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199390</wp:posOffset>
            </wp:positionH>
            <wp:positionV relativeFrom="page">
              <wp:posOffset>163830</wp:posOffset>
            </wp:positionV>
            <wp:extent cx="71501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178435</wp:posOffset>
            </wp:positionV>
            <wp:extent cx="7150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7620"/>
                    </a:xfrm>
                    <a:prstGeom prst="rect">
                      <a:avLst/>
                    </a:prstGeom>
                    <a:noFill/>
                  </pic:spPr>
                </pic:pic>
              </a:graphicData>
            </a:graphic>
          </wp:anchor>
        </w:drawing>
        <w:t>UNITED STATES</w:t>
      </w:r>
    </w:p>
    <w:p>
      <w:pPr>
        <w:spacing w:after="0" w:line="35" w:lineRule="exact"/>
        <w:rPr>
          <w:sz w:val="24"/>
          <w:szCs w:val="24"/>
          <w:color w:val="auto"/>
        </w:rPr>
      </w:pPr>
    </w:p>
    <w:p>
      <w:pPr>
        <w:jc w:val="center"/>
        <w:ind w:right="14"/>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31750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49" w:lineRule="exact"/>
        <w:rPr>
          <w:sz w:val="24"/>
          <w:szCs w:val="24"/>
          <w:color w:val="auto"/>
        </w:rPr>
      </w:pPr>
    </w:p>
    <w:p>
      <w:pPr>
        <w:jc w:val="center"/>
        <w:ind w:right="14"/>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52070</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92" w:lineRule="exact"/>
        <w:rPr>
          <w:sz w:val="24"/>
          <w:szCs w:val="24"/>
          <w:color w:val="auto"/>
        </w:rPr>
      </w:pPr>
    </w:p>
    <w:p>
      <w:pPr>
        <w:ind w:left="4266" w:right="3100" w:hanging="4266"/>
        <w:spacing w:after="0" w:line="291" w:lineRule="auto"/>
        <w:tabs>
          <w:tab w:leader="none" w:pos="50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March 31, 2020</w:t>
      </w:r>
    </w:p>
    <w:p>
      <w:pPr>
        <w:spacing w:after="0" w:line="1"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or</w:t>
      </w:r>
    </w:p>
    <w:p>
      <w:pPr>
        <w:spacing w:after="0" w:line="28" w:lineRule="exact"/>
        <w:rPr>
          <w:sz w:val="24"/>
          <w:szCs w:val="24"/>
          <w:color w:val="auto"/>
        </w:rPr>
      </w:pPr>
    </w:p>
    <w:p>
      <w:pPr>
        <w:ind w:left="506" w:hanging="506"/>
        <w:spacing w:after="0"/>
        <w:tabs>
          <w:tab w:leader="none" w:pos="506"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0" w:lineRule="exact"/>
        <w:rPr>
          <w:sz w:val="24"/>
          <w:szCs w:val="24"/>
          <w:color w:val="auto"/>
        </w:rPr>
      </w:pPr>
    </w:p>
    <w:p>
      <w:pPr>
        <w:ind w:left="3786"/>
        <w:spacing w:after="0"/>
        <w:tabs>
          <w:tab w:leader="none" w:pos="6585"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3716655</wp:posOffset>
            </wp:positionH>
            <wp:positionV relativeFrom="paragraph">
              <wp:posOffset>-8255</wp:posOffset>
            </wp:positionV>
            <wp:extent cx="1028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7620"/>
                    </a:xfrm>
                    <a:prstGeom prst="rect">
                      <a:avLst/>
                    </a:prstGeom>
                    <a:noFill/>
                  </pic:spPr>
                </pic:pic>
              </a:graphicData>
            </a:graphic>
          </wp:anchor>
        </w:drawing>
      </w:r>
    </w:p>
    <w:p>
      <w:pPr>
        <w:spacing w:after="0" w:line="20"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43180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62" w:lineRule="exact"/>
        <w:rPr>
          <w:sz w:val="24"/>
          <w:szCs w:val="24"/>
          <w:color w:val="auto"/>
        </w:rPr>
      </w:pPr>
    </w:p>
    <w:p>
      <w:pPr>
        <w:jc w:val="center"/>
        <w:ind w:right="14"/>
        <w:spacing w:after="0"/>
        <w:rPr>
          <w:sz w:val="20"/>
          <w:szCs w:val="20"/>
          <w:color w:val="auto"/>
        </w:rPr>
      </w:pPr>
      <w:r>
        <w:rPr>
          <w:rFonts w:ascii="Arial" w:cs="Arial" w:eastAsia="Arial" w:hAnsi="Arial"/>
          <w:sz w:val="31"/>
          <w:szCs w:val="31"/>
          <w:b w:val="1"/>
          <w:bCs w:val="1"/>
          <w:color w:val="auto"/>
        </w:rPr>
        <w:t>Orion Energy Systems, Inc.</w:t>
      </w:r>
    </w:p>
    <w:p>
      <w:pPr>
        <w:spacing w:after="0" w:line="69" w:lineRule="exact"/>
        <w:rPr>
          <w:sz w:val="24"/>
          <w:szCs w:val="24"/>
          <w:color w:val="auto"/>
        </w:rPr>
      </w:pPr>
    </w:p>
    <w:p>
      <w:pPr>
        <w:jc w:val="center"/>
        <w:ind w:right="14"/>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52070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28" w:lineRule="exact"/>
        <w:rPr>
          <w:sz w:val="24"/>
          <w:szCs w:val="24"/>
          <w:color w:val="auto"/>
        </w:rPr>
      </w:pPr>
    </w:p>
    <w:tbl>
      <w:tblPr>
        <w:tblLayout w:type="fixed"/>
        <w:tblInd w:w="2146" w:type="dxa"/>
        <w:tblCellMar>
          <w:top w:w="0" w:type="dxa"/>
          <w:left w:w="0" w:type="dxa"/>
          <w:bottom w:w="0" w:type="dxa"/>
          <w:right w:w="0" w:type="dxa"/>
        </w:tblCellMar>
      </w:tblPr>
      <w:tr>
        <w:trPr>
          <w:trHeight w:val="185"/>
        </w:trPr>
        <w:tc>
          <w:tcPr>
            <w:tcW w:w="3920" w:type="dxa"/>
            <w:vAlign w:val="bottom"/>
          </w:tcPr>
          <w:p>
            <w:pPr>
              <w:jc w:val="center"/>
              <w:ind w:right="1251"/>
              <w:spacing w:after="0"/>
              <w:rPr>
                <w:sz w:val="20"/>
                <w:szCs w:val="20"/>
                <w:color w:val="auto"/>
              </w:rPr>
            </w:pPr>
            <w:r>
              <w:rPr>
                <w:rFonts w:ascii="Arial" w:cs="Arial" w:eastAsia="Arial" w:hAnsi="Arial"/>
                <w:sz w:val="16"/>
                <w:szCs w:val="16"/>
                <w:b w:val="1"/>
                <w:bCs w:val="1"/>
                <w:color w:val="auto"/>
                <w:w w:val="84"/>
              </w:rPr>
              <w:t>Wisconsin</w:t>
            </w:r>
          </w:p>
        </w:tc>
        <w:tc>
          <w:tcPr>
            <w:tcW w:w="2300" w:type="dxa"/>
            <w:vAlign w:val="bottom"/>
          </w:tcPr>
          <w:p>
            <w:pPr>
              <w:jc w:val="right"/>
              <w:ind w:right="31"/>
              <w:spacing w:after="0"/>
              <w:rPr>
                <w:sz w:val="20"/>
                <w:szCs w:val="20"/>
                <w:color w:val="auto"/>
              </w:rPr>
            </w:pPr>
            <w:r>
              <w:rPr>
                <w:rFonts w:ascii="Arial" w:cs="Arial" w:eastAsia="Arial" w:hAnsi="Arial"/>
                <w:sz w:val="16"/>
                <w:szCs w:val="16"/>
                <w:b w:val="1"/>
                <w:bCs w:val="1"/>
                <w:color w:val="auto"/>
              </w:rPr>
              <w:t>39-1847269</w:t>
            </w:r>
          </w:p>
        </w:tc>
        <w:tc>
          <w:tcPr>
            <w:tcW w:w="0" w:type="dxa"/>
            <w:vAlign w:val="bottom"/>
          </w:tcPr>
          <w:p>
            <w:pPr>
              <w:spacing w:after="0"/>
              <w:rPr>
                <w:sz w:val="1"/>
                <w:szCs w:val="1"/>
                <w:color w:val="auto"/>
              </w:rPr>
            </w:pPr>
          </w:p>
        </w:tc>
      </w:tr>
      <w:tr>
        <w:trPr>
          <w:trHeight w:val="129"/>
        </w:trPr>
        <w:tc>
          <w:tcPr>
            <w:tcW w:w="3920" w:type="dxa"/>
            <w:vAlign w:val="bottom"/>
          </w:tcPr>
          <w:p>
            <w:pPr>
              <w:jc w:val="center"/>
              <w:ind w:right="1251"/>
              <w:spacing w:after="0" w:line="129" w:lineRule="exact"/>
              <w:rPr>
                <w:sz w:val="20"/>
                <w:szCs w:val="20"/>
                <w:color w:val="auto"/>
              </w:rPr>
            </w:pPr>
            <w:r>
              <w:rPr>
                <w:rFonts w:ascii="Arial" w:cs="Arial" w:eastAsia="Arial" w:hAnsi="Arial"/>
                <w:sz w:val="13"/>
                <w:szCs w:val="13"/>
                <w:b w:val="1"/>
                <w:bCs w:val="1"/>
                <w:color w:val="auto"/>
                <w:w w:val="87"/>
              </w:rPr>
              <w:t>(State or other jurisdiction of</w:t>
            </w:r>
          </w:p>
        </w:tc>
        <w:tc>
          <w:tcPr>
            <w:tcW w:w="2300" w:type="dxa"/>
            <w:vAlign w:val="bottom"/>
          </w:tcPr>
          <w:p>
            <w:pPr>
              <w:jc w:val="center"/>
              <w:ind w:left="1251"/>
              <w:spacing w:after="0" w:line="129"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33"/>
        </w:trPr>
        <w:tc>
          <w:tcPr>
            <w:tcW w:w="3920" w:type="dxa"/>
            <w:vAlign w:val="bottom"/>
          </w:tcPr>
          <w:p>
            <w:pPr>
              <w:jc w:val="center"/>
              <w:ind w:right="1251"/>
              <w:spacing w:after="0" w:line="133" w:lineRule="exact"/>
              <w:rPr>
                <w:sz w:val="20"/>
                <w:szCs w:val="20"/>
                <w:color w:val="auto"/>
              </w:rPr>
            </w:pPr>
            <w:r>
              <w:rPr>
                <w:rFonts w:ascii="Arial" w:cs="Arial" w:eastAsia="Arial" w:hAnsi="Arial"/>
                <w:sz w:val="13"/>
                <w:szCs w:val="13"/>
                <w:b w:val="1"/>
                <w:bCs w:val="1"/>
                <w:color w:val="auto"/>
                <w:w w:val="88"/>
              </w:rPr>
              <w:t>incorporation or organization)</w:t>
            </w:r>
          </w:p>
        </w:tc>
        <w:tc>
          <w:tcPr>
            <w:tcW w:w="2300" w:type="dxa"/>
            <w:vAlign w:val="bottom"/>
          </w:tcPr>
          <w:p>
            <w:pPr>
              <w:jc w:val="center"/>
              <w:ind w:left="1251"/>
              <w:spacing w:after="0" w:line="133"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04"/>
        </w:trPr>
        <w:tc>
          <w:tcPr>
            <w:tcW w:w="3920" w:type="dxa"/>
            <w:vAlign w:val="bottom"/>
          </w:tcPr>
          <w:p>
            <w:pPr>
              <w:jc w:val="center"/>
              <w:ind w:right="1271"/>
              <w:spacing w:after="0"/>
              <w:rPr>
                <w:sz w:val="20"/>
                <w:szCs w:val="20"/>
                <w:color w:val="auto"/>
              </w:rPr>
            </w:pPr>
            <w:r>
              <w:rPr>
                <w:rFonts w:ascii="Arial" w:cs="Arial" w:eastAsia="Arial" w:hAnsi="Arial"/>
                <w:sz w:val="16"/>
                <w:szCs w:val="16"/>
                <w:b w:val="1"/>
                <w:bCs w:val="1"/>
                <w:color w:val="auto"/>
                <w:w w:val="91"/>
              </w:rPr>
              <w:t>2210 Woodland Drive, Manitowoc, WI</w:t>
            </w:r>
          </w:p>
        </w:tc>
        <w:tc>
          <w:tcPr>
            <w:tcW w:w="2300" w:type="dxa"/>
            <w:vAlign w:val="bottom"/>
          </w:tcPr>
          <w:p>
            <w:pPr>
              <w:jc w:val="right"/>
              <w:ind w:right="211"/>
              <w:spacing w:after="0"/>
              <w:rPr>
                <w:sz w:val="20"/>
                <w:szCs w:val="20"/>
                <w:color w:val="auto"/>
              </w:rPr>
            </w:pPr>
            <w:r>
              <w:rPr>
                <w:rFonts w:ascii="Arial" w:cs="Arial" w:eastAsia="Arial" w:hAnsi="Arial"/>
                <w:sz w:val="16"/>
                <w:szCs w:val="16"/>
                <w:b w:val="1"/>
                <w:bCs w:val="1"/>
                <w:color w:val="auto"/>
              </w:rPr>
              <w:t>54220</w:t>
            </w:r>
          </w:p>
        </w:tc>
        <w:tc>
          <w:tcPr>
            <w:tcW w:w="0" w:type="dxa"/>
            <w:vAlign w:val="bottom"/>
          </w:tcPr>
          <w:p>
            <w:pPr>
              <w:spacing w:after="0"/>
              <w:rPr>
                <w:sz w:val="1"/>
                <w:szCs w:val="1"/>
                <w:color w:val="auto"/>
              </w:rPr>
            </w:pPr>
          </w:p>
        </w:tc>
      </w:tr>
      <w:tr>
        <w:trPr>
          <w:trHeight w:val="202"/>
        </w:trPr>
        <w:tc>
          <w:tcPr>
            <w:tcW w:w="3920" w:type="dxa"/>
            <w:vAlign w:val="bottom"/>
            <w:vMerge w:val="restart"/>
          </w:tcPr>
          <w:p>
            <w:pPr>
              <w:jc w:val="center"/>
              <w:ind w:right="125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300" w:type="dxa"/>
            <w:vAlign w:val="bottom"/>
          </w:tcPr>
          <w:p>
            <w:pPr>
              <w:jc w:val="center"/>
              <w:ind w:left="1251"/>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59"/>
        </w:trPr>
        <w:tc>
          <w:tcPr>
            <w:tcW w:w="3920" w:type="dxa"/>
            <w:vAlign w:val="bottom"/>
            <w:vMerge w:val="continue"/>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7"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(920) 892-9340</w:t>
      </w:r>
    </w:p>
    <w:p>
      <w:pPr>
        <w:spacing w:after="0" w:line="36" w:lineRule="exact"/>
        <w:rPr>
          <w:sz w:val="24"/>
          <w:szCs w:val="24"/>
          <w:color w:val="auto"/>
        </w:rPr>
      </w:pPr>
    </w:p>
    <w:p>
      <w:pPr>
        <w:jc w:val="center"/>
        <w:ind w:right="14"/>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2"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6" w:lineRule="exact"/>
        <w:rPr>
          <w:sz w:val="24"/>
          <w:szCs w:val="24"/>
          <w:color w:val="auto"/>
        </w:rPr>
      </w:pPr>
    </w:p>
    <w:tbl>
      <w:tblPr>
        <w:tblLayout w:type="fixed"/>
        <w:tblInd w:w="1866" w:type="dxa"/>
        <w:tblCellMar>
          <w:top w:w="0" w:type="dxa"/>
          <w:left w:w="0" w:type="dxa"/>
          <w:bottom w:w="0" w:type="dxa"/>
          <w:right w:w="0" w:type="dxa"/>
        </w:tblCellMar>
      </w:tblPr>
      <w:tr>
        <w:trPr>
          <w:trHeight w:val="149"/>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Title of Each Class</w:t>
            </w:r>
          </w:p>
        </w:tc>
        <w:tc>
          <w:tcPr>
            <w:tcW w:w="18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Trading Symbol (s)</w:t>
            </w:r>
          </w:p>
        </w:tc>
        <w:tc>
          <w:tcPr>
            <w:tcW w:w="160" w:type="dxa"/>
            <w:vAlign w:val="bottom"/>
          </w:tcPr>
          <w:p>
            <w:pPr>
              <w:spacing w:after="0"/>
              <w:rPr>
                <w:sz w:val="13"/>
                <w:szCs w:val="13"/>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c>
          <w:tcPr>
            <w:tcW w:w="0" w:type="dxa"/>
            <w:vAlign w:val="bottom"/>
          </w:tcPr>
          <w:p>
            <w:pPr>
              <w:spacing w:after="0"/>
              <w:rPr>
                <w:sz w:val="1"/>
                <w:szCs w:val="1"/>
                <w:color w:val="auto"/>
              </w:rPr>
            </w:pPr>
          </w:p>
        </w:tc>
      </w:tr>
      <w:tr>
        <w:trPr>
          <w:trHeight w:val="105"/>
        </w:trPr>
        <w:tc>
          <w:tcPr>
            <w:tcW w:w="3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OESX</w:t>
            </w:r>
          </w:p>
        </w:tc>
        <w:tc>
          <w:tcPr>
            <w:tcW w:w="2560" w:type="dxa"/>
            <w:vAlign w:val="bottom"/>
          </w:tcPr>
          <w:p>
            <w:pPr>
              <w:jc w:val="center"/>
              <w:spacing w:after="0" w:line="105" w:lineRule="exact"/>
              <w:rPr>
                <w:sz w:val="20"/>
                <w:szCs w:val="20"/>
                <w:color w:val="auto"/>
              </w:rPr>
            </w:pPr>
            <w:r>
              <w:rPr>
                <w:rFonts w:ascii="Arial" w:cs="Arial" w:eastAsia="Arial" w:hAnsi="Arial"/>
                <w:sz w:val="11"/>
                <w:szCs w:val="11"/>
                <w:color w:val="auto"/>
              </w:rPr>
              <w:t>The Nasdaq Stock Market LLC</w:t>
            </w:r>
          </w:p>
        </w:tc>
        <w:tc>
          <w:tcPr>
            <w:tcW w:w="0" w:type="dxa"/>
            <w:vAlign w:val="bottom"/>
          </w:tcPr>
          <w:p>
            <w:pPr>
              <w:spacing w:after="0"/>
              <w:rPr>
                <w:sz w:val="1"/>
                <w:szCs w:val="1"/>
                <w:color w:val="auto"/>
              </w:rPr>
            </w:pPr>
          </w:p>
        </w:tc>
      </w:tr>
      <w:tr>
        <w:trPr>
          <w:trHeight w:val="158"/>
        </w:trPr>
        <w:tc>
          <w:tcPr>
            <w:tcW w:w="34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Common stock, no par value</w:t>
            </w:r>
          </w:p>
        </w:tc>
        <w:tc>
          <w:tcPr>
            <w:tcW w:w="1580" w:type="dxa"/>
            <w:vAlign w:val="bottom"/>
            <w:gridSpan w:val="2"/>
            <w:vMerge w:val="continue"/>
          </w:tcPr>
          <w:p>
            <w:pPr>
              <w:spacing w:after="0"/>
              <w:rPr>
                <w:sz w:val="13"/>
                <w:szCs w:val="13"/>
                <w:color w:val="auto"/>
              </w:rPr>
            </w:pPr>
          </w:p>
        </w:tc>
        <w:tc>
          <w:tcPr>
            <w:tcW w:w="2560" w:type="dxa"/>
            <w:vAlign w:val="bottom"/>
          </w:tcPr>
          <w:p>
            <w:pPr>
              <w:jc w:val="center"/>
              <w:spacing w:after="0"/>
              <w:rPr>
                <w:sz w:val="20"/>
                <w:szCs w:val="20"/>
                <w:color w:val="auto"/>
              </w:rPr>
            </w:pPr>
            <w:r>
              <w:rPr>
                <w:rFonts w:ascii="Arial" w:cs="Arial" w:eastAsia="Arial" w:hAnsi="Arial"/>
                <w:sz w:val="13"/>
                <w:szCs w:val="13"/>
                <w:color w:val="auto"/>
                <w:w w:val="91"/>
              </w:rPr>
              <w:t>(NASDAQ Capital Market)</w:t>
            </w:r>
          </w:p>
        </w:tc>
        <w:tc>
          <w:tcPr>
            <w:tcW w:w="0" w:type="dxa"/>
            <w:vAlign w:val="bottom"/>
          </w:tcPr>
          <w:p>
            <w:pPr>
              <w:spacing w:after="0"/>
              <w:rPr>
                <w:sz w:val="1"/>
                <w:szCs w:val="1"/>
                <w:color w:val="auto"/>
              </w:rPr>
            </w:pPr>
          </w:p>
        </w:tc>
      </w:tr>
      <w:tr>
        <w:trPr>
          <w:trHeight w:val="136"/>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60" w:type="dxa"/>
            <w:vAlign w:val="bottom"/>
          </w:tcPr>
          <w:p>
            <w:pPr>
              <w:jc w:val="center"/>
              <w:spacing w:after="0" w:line="136" w:lineRule="exact"/>
              <w:rPr>
                <w:sz w:val="20"/>
                <w:szCs w:val="20"/>
                <w:color w:val="auto"/>
              </w:rPr>
            </w:pPr>
            <w:r>
              <w:rPr>
                <w:rFonts w:ascii="Arial" w:cs="Arial" w:eastAsia="Arial" w:hAnsi="Arial"/>
                <w:sz w:val="13"/>
                <w:szCs w:val="13"/>
                <w:color w:val="auto"/>
                <w:w w:val="88"/>
              </w:rPr>
              <w:t>The Nasdaq Stock Market LLC</w:t>
            </w:r>
          </w:p>
        </w:tc>
        <w:tc>
          <w:tcPr>
            <w:tcW w:w="0" w:type="dxa"/>
            <w:vAlign w:val="bottom"/>
          </w:tcPr>
          <w:p>
            <w:pPr>
              <w:spacing w:after="0"/>
              <w:rPr>
                <w:sz w:val="1"/>
                <w:szCs w:val="1"/>
                <w:color w:val="auto"/>
              </w:rPr>
            </w:pPr>
          </w:p>
        </w:tc>
      </w:tr>
      <w:tr>
        <w:trPr>
          <w:trHeight w:val="158"/>
        </w:trPr>
        <w:tc>
          <w:tcPr>
            <w:tcW w:w="3400" w:type="dxa"/>
            <w:vAlign w:val="bottom"/>
            <w:gridSpan w:val="2"/>
          </w:tcPr>
          <w:p>
            <w:pPr>
              <w:jc w:val="center"/>
              <w:ind w:right="180"/>
              <w:spacing w:after="0"/>
              <w:rPr>
                <w:sz w:val="20"/>
                <w:szCs w:val="20"/>
                <w:color w:val="auto"/>
              </w:rPr>
            </w:pPr>
            <w:r>
              <w:rPr>
                <w:rFonts w:ascii="Arial" w:cs="Arial" w:eastAsia="Arial" w:hAnsi="Arial"/>
                <w:sz w:val="13"/>
                <w:szCs w:val="13"/>
                <w:color w:val="auto"/>
                <w:w w:val="85"/>
              </w:rPr>
              <w:t>Common stock purchase rights</w:t>
            </w: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Arial" w:cs="Arial" w:eastAsia="Arial" w:hAnsi="Arial"/>
                <w:sz w:val="13"/>
                <w:szCs w:val="13"/>
                <w:color w:val="auto"/>
                <w:w w:val="91"/>
              </w:rPr>
              <w:t>(NASDAQ Capital Market)</w:t>
            </w:r>
          </w:p>
        </w:tc>
        <w:tc>
          <w:tcPr>
            <w:tcW w:w="0" w:type="dxa"/>
            <w:vAlign w:val="bottom"/>
          </w:tcPr>
          <w:p>
            <w:pPr>
              <w:spacing w:after="0"/>
              <w:rPr>
                <w:sz w:val="1"/>
                <w:szCs w:val="1"/>
                <w:color w:val="auto"/>
              </w:rPr>
            </w:pPr>
          </w:p>
        </w:tc>
      </w:tr>
    </w:tbl>
    <w:p>
      <w:pPr>
        <w:spacing w:after="0" w:line="77"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1"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65405</wp:posOffset>
            </wp:positionV>
            <wp:extent cx="14268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ectPr>
          <w:pgSz w:w="11900" w:h="16838" w:orient="portrait"/>
          <w:cols w:equalWidth="0" w:num="1">
            <w:col w:w="11266"/>
          </w:cols>
          <w:pgMar w:left="314" w:top="300" w:right="319" w:bottom="1440" w:gutter="0" w:footer="0" w:header="0"/>
        </w:sectPr>
      </w:pPr>
    </w:p>
    <w:p>
      <w:pPr>
        <w:spacing w:after="0" w:line="158" w:lineRule="exact"/>
        <w:rPr>
          <w:sz w:val="24"/>
          <w:szCs w:val="24"/>
          <w:color w:val="auto"/>
        </w:rPr>
      </w:pPr>
    </w:p>
    <w:p>
      <w:pPr>
        <w:ind w:left="506"/>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73" w:lineRule="exact"/>
        <w:rPr>
          <w:sz w:val="24"/>
          <w:szCs w:val="24"/>
          <w:color w:val="auto"/>
        </w:rPr>
      </w:pPr>
    </w:p>
    <w:p>
      <w:pPr>
        <w:sectPr>
          <w:pgSz w:w="11900" w:h="16838" w:orient="portrait"/>
          <w:cols w:equalWidth="0" w:num="4">
            <w:col w:w="6406" w:space="120"/>
            <w:col w:w="180" w:space="80"/>
            <w:col w:w="100" w:space="140"/>
            <w:col w:w="4240"/>
          </w:cols>
          <w:pgMar w:left="314" w:top="300" w:right="319" w:bottom="1440" w:gutter="0" w:footer="0" w:header="0"/>
          <w:type w:val="continuous"/>
        </w:sectPr>
      </w:pPr>
    </w:p>
    <w:p>
      <w:pPr>
        <w:spacing w:after="0" w:line="23" w:lineRule="exact"/>
        <w:rPr>
          <w:sz w:val="24"/>
          <w:szCs w:val="24"/>
          <w:color w:val="auto"/>
        </w:rPr>
      </w:pPr>
    </w:p>
    <w:p>
      <w:pPr>
        <w:ind w:left="506"/>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9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1"/>
          <w:szCs w:val="11"/>
          <w:color w:val="auto"/>
        </w:rPr>
        <w:t>No</w:t>
      </w:r>
    </w:p>
    <w:p>
      <w:pPr>
        <w:spacing w:after="0" w:line="20" w:lineRule="exact"/>
        <w:rPr>
          <w:sz w:val="24"/>
          <w:szCs w:val="24"/>
          <w:color w:val="auto"/>
        </w:rPr>
      </w:pPr>
      <w:r>
        <w:rPr>
          <w:sz w:val="24"/>
          <w:szCs w:val="24"/>
          <w:color w:val="auto"/>
        </w:rPr>
        <w:br w:type="column"/>
      </w:r>
    </w:p>
    <w:p>
      <w:pPr>
        <w:spacing w:after="0" w:line="91" w:lineRule="exact"/>
        <w:rPr>
          <w:sz w:val="20"/>
          <w:szCs w:val="20"/>
          <w:color w:val="auto"/>
        </w:rPr>
      </w:pPr>
      <w:r>
        <w:rPr>
          <w:rFonts w:ascii="MS PGothic" w:cs="MS PGothic" w:eastAsia="MS PGothic" w:hAnsi="MS PGothic"/>
          <w:sz w:val="11"/>
          <w:szCs w:val="11"/>
          <w:color w:val="auto"/>
        </w:rPr>
        <w:t>☒</w:t>
      </w:r>
    </w:p>
    <w:p>
      <w:pPr>
        <w:spacing w:after="0" w:line="101" w:lineRule="exact"/>
        <w:rPr>
          <w:sz w:val="24"/>
          <w:szCs w:val="24"/>
          <w:color w:val="auto"/>
        </w:rPr>
      </w:pPr>
    </w:p>
    <w:p>
      <w:pPr>
        <w:sectPr>
          <w:pgSz w:w="11900" w:h="16838" w:orient="portrait"/>
          <w:cols w:equalWidth="0" w:num="5">
            <w:col w:w="6146" w:space="120"/>
            <w:col w:w="180" w:space="60"/>
            <w:col w:w="120" w:space="120"/>
            <w:col w:w="160" w:space="60"/>
            <w:col w:w="4300"/>
          </w:cols>
          <w:pgMar w:left="314" w:top="300" w:right="319" w:bottom="1440" w:gutter="0" w:footer="0" w:header="0"/>
          <w:type w:val="continuous"/>
        </w:sectPr>
      </w:pPr>
    </w:p>
    <w:p>
      <w:pPr>
        <w:ind w:left="6" w:right="20" w:firstLine="511"/>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left="6" w:firstLine="511"/>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left="6" w:right="20" w:firstLine="511"/>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6" w:type="dxa"/>
        <w:tblCellMar>
          <w:top w:w="0" w:type="dxa"/>
          <w:left w:w="0" w:type="dxa"/>
          <w:bottom w:w="0" w:type="dxa"/>
          <w:right w:w="0" w:type="dxa"/>
        </w:tblCellMar>
      </w:tblPr>
      <w:tr>
        <w:trPr>
          <w:trHeight w:val="165"/>
        </w:trPr>
        <w:tc>
          <w:tcPr>
            <w:tcW w:w="18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4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2640"/>
              <w:spacing w:after="0"/>
              <w:rPr>
                <w:sz w:val="20"/>
                <w:szCs w:val="20"/>
                <w:color w:val="auto"/>
              </w:rPr>
            </w:pPr>
            <w:r>
              <w:rPr>
                <w:rFonts w:ascii="Arial" w:cs="Arial" w:eastAsia="Arial" w:hAnsi="Arial"/>
                <w:sz w:val="13"/>
                <w:szCs w:val="13"/>
                <w:color w:val="auto"/>
              </w:rPr>
              <w:t>Accelerated filer</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5"/>
        </w:trPr>
        <w:tc>
          <w:tcPr>
            <w:tcW w:w="1800" w:type="dxa"/>
            <w:vAlign w:val="bottom"/>
          </w:tcPr>
          <w:p>
            <w:pPr>
              <w:spacing w:after="0"/>
              <w:rPr>
                <w:sz w:val="20"/>
                <w:szCs w:val="20"/>
                <w:color w:val="auto"/>
              </w:rPr>
            </w:pPr>
            <w:r>
              <w:rPr>
                <w:rFonts w:ascii="Arial" w:cs="Arial" w:eastAsia="Arial" w:hAnsi="Arial"/>
                <w:sz w:val="13"/>
                <w:szCs w:val="13"/>
                <w:color w:val="auto"/>
              </w:rPr>
              <w:t>Non-accelerated filer</w:t>
            </w:r>
          </w:p>
        </w:tc>
        <w:tc>
          <w:tcPr>
            <w:tcW w:w="344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2640"/>
              <w:spacing w:after="0"/>
              <w:rPr>
                <w:sz w:val="20"/>
                <w:szCs w:val="20"/>
                <w:color w:val="auto"/>
              </w:rPr>
            </w:pPr>
            <w:r>
              <w:rPr>
                <w:rFonts w:ascii="Arial" w:cs="Arial" w:eastAsia="Arial" w:hAnsi="Arial"/>
                <w:sz w:val="13"/>
                <w:szCs w:val="13"/>
                <w:color w:val="auto"/>
              </w:rPr>
              <w:t>Smaller reporting company</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4"/>
        </w:trPr>
        <w:tc>
          <w:tcPr>
            <w:tcW w:w="18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840" w:type="dxa"/>
            <w:vAlign w:val="bottom"/>
          </w:tcPr>
          <w:p>
            <w:pPr>
              <w:ind w:left="2640"/>
              <w:spacing w:after="0"/>
              <w:rPr>
                <w:sz w:val="20"/>
                <w:szCs w:val="20"/>
                <w:color w:val="auto"/>
              </w:rPr>
            </w:pPr>
            <w:r>
              <w:rPr>
                <w:rFonts w:ascii="Arial" w:cs="Arial" w:eastAsia="Arial" w:hAnsi="Arial"/>
                <w:sz w:val="13"/>
                <w:szCs w:val="13"/>
                <w:color w:val="auto"/>
              </w:rPr>
              <w:t>Emerging growth company</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0" w:lineRule="exact"/>
        <w:rPr>
          <w:sz w:val="24"/>
          <w:szCs w:val="24"/>
          <w:color w:val="auto"/>
        </w:rPr>
      </w:pPr>
    </w:p>
    <w:p>
      <w:pPr>
        <w:ind w:left="6" w:right="20" w:firstLine="511"/>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7" w:lineRule="exact"/>
        <w:rPr>
          <w:sz w:val="24"/>
          <w:szCs w:val="24"/>
          <w:color w:val="auto"/>
        </w:rPr>
      </w:pPr>
    </w:p>
    <w:p>
      <w:pPr>
        <w:ind w:left="6" w:firstLine="511"/>
        <w:spacing w:after="0" w:line="15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ectPr>
          <w:pgSz w:w="11900" w:h="16838" w:orient="portrait"/>
          <w:cols w:equalWidth="0" w:num="1">
            <w:col w:w="11266"/>
          </w:cols>
          <w:pgMar w:left="314" w:top="300" w:right="319" w:bottom="1440" w:gutter="0" w:footer="0" w:header="0"/>
          <w:type w:val="continuous"/>
        </w:sectPr>
      </w:pPr>
    </w:p>
    <w:p>
      <w:pPr>
        <w:spacing w:after="0" w:line="29" w:lineRule="exact"/>
        <w:rPr>
          <w:sz w:val="24"/>
          <w:szCs w:val="24"/>
          <w:color w:val="auto"/>
        </w:rPr>
      </w:pPr>
    </w:p>
    <w:p>
      <w:pPr>
        <w:ind w:left="506"/>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97"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20" w:lineRule="exact"/>
        <w:rPr>
          <w:sz w:val="24"/>
          <w:szCs w:val="24"/>
          <w:color w:val="auto"/>
        </w:rPr>
      </w:pPr>
      <w:r>
        <w:rPr>
          <w:sz w:val="24"/>
          <w:szCs w:val="24"/>
          <w:color w:val="auto"/>
        </w:rPr>
        <w:br w:type="column"/>
      </w:r>
    </w:p>
    <w:p>
      <w:pPr>
        <w:spacing w:after="0" w:line="97" w:lineRule="exact"/>
        <w:rPr>
          <w:sz w:val="20"/>
          <w:szCs w:val="20"/>
          <w:color w:val="auto"/>
        </w:rPr>
      </w:pPr>
      <w:r>
        <w:rPr>
          <w:rFonts w:ascii="MS PGothic" w:cs="MS PGothic" w:eastAsia="MS PGothic" w:hAnsi="MS PGothic"/>
          <w:sz w:val="11"/>
          <w:szCs w:val="11"/>
          <w:color w:val="auto"/>
        </w:rPr>
        <w:t>☒</w:t>
      </w:r>
    </w:p>
    <w:p>
      <w:pPr>
        <w:spacing w:after="0" w:line="101" w:lineRule="exact"/>
        <w:rPr>
          <w:sz w:val="24"/>
          <w:szCs w:val="24"/>
          <w:color w:val="auto"/>
        </w:rPr>
      </w:pPr>
    </w:p>
    <w:p>
      <w:pPr>
        <w:sectPr>
          <w:pgSz w:w="11900" w:h="16838" w:orient="portrait"/>
          <w:cols w:equalWidth="0" w:num="5">
            <w:col w:w="6246" w:space="120"/>
            <w:col w:w="180" w:space="60"/>
            <w:col w:w="120" w:space="140"/>
            <w:col w:w="140" w:space="60"/>
            <w:col w:w="4200"/>
          </w:cols>
          <w:pgMar w:left="314" w:top="300" w:right="319" w:bottom="1440" w:gutter="0" w:footer="0" w:header="0"/>
          <w:type w:val="continuous"/>
        </w:sectPr>
      </w:pPr>
    </w:p>
    <w:p>
      <w:pPr>
        <w:ind w:left="6" w:firstLine="511"/>
        <w:spacing w:after="0" w:line="230" w:lineRule="auto"/>
        <w:rPr>
          <w:sz w:val="20"/>
          <w:szCs w:val="20"/>
          <w:color w:val="auto"/>
        </w:rPr>
      </w:pPr>
      <w:r>
        <w:rPr>
          <w:rFonts w:ascii="Arial" w:cs="Arial" w:eastAsia="Arial" w:hAnsi="Arial"/>
          <w:sz w:val="13"/>
          <w:szCs w:val="13"/>
          <w:color w:val="auto"/>
        </w:rPr>
        <w:t>The aggregate market value of shares of the Registrant’s common stock held by non-affiliates as of September 30, 2019, the last business day of the Registrant’s most recently completed second fiscal quarter, was approximately $65,729,416.</w:t>
      </w:r>
    </w:p>
    <w:p>
      <w:pPr>
        <w:spacing w:after="0" w:line="19" w:lineRule="exact"/>
        <w:rPr>
          <w:sz w:val="24"/>
          <w:szCs w:val="24"/>
          <w:color w:val="auto"/>
        </w:rPr>
      </w:pPr>
    </w:p>
    <w:p>
      <w:pPr>
        <w:ind w:left="506"/>
        <w:spacing w:after="0"/>
        <w:rPr>
          <w:sz w:val="20"/>
          <w:szCs w:val="20"/>
          <w:color w:val="auto"/>
        </w:rPr>
      </w:pPr>
      <w:r>
        <w:rPr>
          <w:rFonts w:ascii="Arial" w:cs="Arial" w:eastAsia="Arial" w:hAnsi="Arial"/>
          <w:sz w:val="13"/>
          <w:szCs w:val="13"/>
          <w:color w:val="auto"/>
        </w:rPr>
        <w:t>As of May 31, 2020, there were 30,274,101 shares of the Registrant’s common stock outstanding.</w:t>
      </w:r>
    </w:p>
    <w:p>
      <w:pPr>
        <w:spacing w:after="0" w:line="26"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DOCUMENTS INCORPORATED BY REFERENCE</w:t>
      </w:r>
    </w:p>
    <w:p>
      <w:pPr>
        <w:spacing w:after="0" w:line="52" w:lineRule="exact"/>
        <w:rPr>
          <w:sz w:val="24"/>
          <w:szCs w:val="24"/>
          <w:color w:val="auto"/>
        </w:rPr>
      </w:pPr>
    </w:p>
    <w:p>
      <w:pPr>
        <w:jc w:val="center"/>
        <w:ind w:right="-45"/>
        <w:spacing w:after="0"/>
        <w:rPr>
          <w:sz w:val="20"/>
          <w:szCs w:val="20"/>
          <w:color w:val="auto"/>
        </w:rPr>
      </w:pPr>
      <w:r>
        <w:rPr>
          <w:rFonts w:ascii="Arial" w:cs="Arial" w:eastAsia="Arial" w:hAnsi="Arial"/>
          <w:sz w:val="11"/>
          <w:szCs w:val="11"/>
          <w:color w:val="auto"/>
        </w:rPr>
        <w:t>Portions of the Registrant's Proxy Statement for the 2020 Annual Meeting of Shareholders to be held on August 6, 2020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1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236220</wp:posOffset>
            </wp:positionV>
            <wp:extent cx="716470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6"/>
          </w:cols>
          <w:pgMar w:left="314" w:top="300"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8"/>
        </w:trPr>
        <w:tc>
          <w:tcPr>
            <w:tcW w:w="10680" w:type="dxa"/>
            <w:vAlign w:val="bottom"/>
          </w:tcPr>
          <w:p>
            <w:pPr>
              <w:jc w:val="center"/>
              <w:ind w:left="502"/>
              <w:spacing w:after="0"/>
              <w:rPr>
                <w:sz w:val="20"/>
                <w:szCs w:val="20"/>
                <w:color w:val="auto"/>
              </w:rPr>
            </w:pPr>
            <w:r>
              <w:rPr>
                <w:rFonts w:ascii="Arial" w:cs="Arial" w:eastAsia="Arial" w:hAnsi="Arial"/>
                <w:sz w:val="16"/>
                <w:szCs w:val="16"/>
                <w:b w:val="1"/>
                <w:bCs w:val="1"/>
                <w:color w:val="auto"/>
                <w:w w:val="98"/>
              </w:rPr>
              <w:t>ORION ENERGY SYSTEMS, INC.</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680" w:type="dxa"/>
            <w:vAlign w:val="bottom"/>
          </w:tcPr>
          <w:p>
            <w:pPr>
              <w:jc w:val="center"/>
              <w:ind w:left="482"/>
              <w:spacing w:after="0"/>
              <w:rPr>
                <w:sz w:val="20"/>
                <w:szCs w:val="20"/>
                <w:color w:val="auto"/>
              </w:rPr>
            </w:pPr>
            <w:r>
              <w:rPr>
                <w:rFonts w:ascii="Arial" w:cs="Arial" w:eastAsia="Arial" w:hAnsi="Arial"/>
                <w:sz w:val="16"/>
                <w:szCs w:val="16"/>
                <w:b w:val="1"/>
                <w:bCs w:val="1"/>
                <w:color w:val="auto"/>
                <w:w w:val="97"/>
              </w:rPr>
              <w:t>ANNUAL REPORT ON FORM 10-K</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680" w:type="dxa"/>
            <w:vAlign w:val="bottom"/>
          </w:tcPr>
          <w:p>
            <w:pPr>
              <w:jc w:val="center"/>
              <w:ind w:left="482"/>
              <w:spacing w:after="0"/>
              <w:rPr>
                <w:sz w:val="20"/>
                <w:szCs w:val="20"/>
                <w:color w:val="auto"/>
              </w:rPr>
            </w:pPr>
            <w:r>
              <w:rPr>
                <w:rFonts w:ascii="Arial" w:cs="Arial" w:eastAsia="Arial" w:hAnsi="Arial"/>
                <w:sz w:val="16"/>
                <w:szCs w:val="16"/>
                <w:b w:val="1"/>
                <w:bCs w:val="1"/>
                <w:color w:val="auto"/>
                <w:w w:val="95"/>
              </w:rPr>
              <w:t>FOR THE YEAR ENDED March 31, 2020</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10680" w:type="dxa"/>
            <w:vAlign w:val="bottom"/>
          </w:tcPr>
          <w:p>
            <w:pPr>
              <w:jc w:val="center"/>
              <w:ind w:left="502"/>
              <w:spacing w:after="0"/>
              <w:rPr>
                <w:sz w:val="20"/>
                <w:szCs w:val="20"/>
                <w:color w:val="auto"/>
              </w:rPr>
            </w:pPr>
            <w:r>
              <w:rPr>
                <w:rFonts w:ascii="Arial" w:cs="Arial" w:eastAsia="Arial" w:hAnsi="Arial"/>
                <w:sz w:val="16"/>
                <w:szCs w:val="16"/>
                <w:b w:val="1"/>
                <w:bCs w:val="1"/>
                <w:color w:val="auto"/>
                <w:w w:val="87"/>
              </w:rPr>
              <w:t>Table of Contents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0680" w:type="dxa"/>
            <w:vAlign w:val="bottom"/>
            <w:vMerge w:val="restart"/>
          </w:tcPr>
          <w:p>
            <w:pPr>
              <w:jc w:val="center"/>
              <w:ind w:left="482"/>
              <w:spacing w:after="0"/>
              <w:rPr>
                <w:sz w:val="20"/>
                <w:szCs w:val="20"/>
                <w:color w:val="auto"/>
              </w:rPr>
            </w:pPr>
            <w:r>
              <w:rPr>
                <w:rFonts w:ascii="Arial" w:cs="Arial" w:eastAsia="Arial" w:hAnsi="Arial"/>
                <w:sz w:val="16"/>
                <w:szCs w:val="16"/>
                <w:color w:val="auto"/>
                <w:w w:val="92"/>
              </w:rPr>
              <w:t>PART I</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6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Item 1 Business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Item 1A Risk Factors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1B Unresolved Staff Comments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2 Properties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3 Legal Proceedings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4 Mine Safety Disclosures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jc w:val="center"/>
              <w:ind w:left="482"/>
              <w:spacing w:after="0"/>
              <w:rPr>
                <w:sz w:val="20"/>
                <w:szCs w:val="20"/>
                <w:color w:val="auto"/>
              </w:rPr>
            </w:pPr>
            <w:r>
              <w:rPr>
                <w:rFonts w:ascii="Arial" w:cs="Arial" w:eastAsia="Arial" w:hAnsi="Arial"/>
                <w:sz w:val="16"/>
                <w:szCs w:val="16"/>
                <w:color w:val="auto"/>
                <w:w w:val="92"/>
              </w:rPr>
              <w:t>PART II</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5 Market for Registrant’s Common Equity, Related Shareholder Matters and Issuer Purchases of Equity Securities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Item 6 Selected Financial Data</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Item 7 Management’s Discussion and Analysis of Financial Condition and Results of Operations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Item 7A Quantitative and Qualitative Disclosures About Market Risk</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Item 8 Financial Statements and Supplementary Data</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Item 9 Changes in and Disagreements with Accountants on Accounting and Financial Disclosure</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Item 9A Controls and Procedures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87">
              <w:r>
                <w:rPr>
                  <w:rFonts w:ascii="Arial" w:cs="Arial" w:eastAsia="Arial" w:hAnsi="Arial"/>
                  <w:sz w:val="16"/>
                  <w:szCs w:val="16"/>
                  <w:u w:val="single" w:color="auto"/>
                  <w:color w:val="0000EE"/>
                </w:rPr>
                <w:t>Item 9B Other Information</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jc w:val="center"/>
              <w:ind w:left="502"/>
              <w:spacing w:after="0"/>
              <w:rPr>
                <w:sz w:val="20"/>
                <w:szCs w:val="20"/>
                <w:color w:val="auto"/>
              </w:rPr>
            </w:pPr>
            <w:r>
              <w:rPr>
                <w:rFonts w:ascii="Arial" w:cs="Arial" w:eastAsia="Arial" w:hAnsi="Arial"/>
                <w:sz w:val="16"/>
                <w:szCs w:val="16"/>
                <w:color w:val="auto"/>
                <w:w w:val="95"/>
              </w:rPr>
              <w:t>PART III</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Item 10 Directors, Executive Officers and Corporate Governance</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Item 11 Executive Compensation</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Item 12 Security Ownership of Certain Beneficial Owners and Management and Related Shareholder Matters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Item 13 Certain Relationships and Related Transactions, and Director Independence</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Item 14 Principal Accountant Fees and Services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jc w:val="center"/>
              <w:ind w:left="502"/>
              <w:spacing w:after="0"/>
              <w:rPr>
                <w:sz w:val="20"/>
                <w:szCs w:val="20"/>
                <w:color w:val="auto"/>
              </w:rPr>
            </w:pPr>
            <w:r>
              <w:rPr>
                <w:rFonts w:ascii="Arial" w:cs="Arial" w:eastAsia="Arial" w:hAnsi="Arial"/>
                <w:sz w:val="16"/>
                <w:szCs w:val="16"/>
                <w:color w:val="auto"/>
                <w:w w:val="93"/>
              </w:rPr>
              <w:t>PART IV</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89">
              <w:r>
                <w:rPr>
                  <w:rFonts w:ascii="Arial" w:cs="Arial" w:eastAsia="Arial" w:hAnsi="Arial"/>
                  <w:sz w:val="16"/>
                  <w:szCs w:val="16"/>
                  <w:u w:val="single" w:color="auto"/>
                  <w:color w:val="0000EE"/>
                </w:rPr>
                <w:t>Item 15 Exhibits and Financial Statement Schedules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80" w:type="dxa"/>
            <w:vAlign w:val="bottom"/>
          </w:tcPr>
          <w:p>
            <w:pPr>
              <w:ind w:left="40"/>
              <w:spacing w:after="0"/>
              <w:rPr>
                <w:rFonts w:ascii="Arial" w:cs="Arial" w:eastAsia="Arial" w:hAnsi="Arial"/>
                <w:sz w:val="16"/>
                <w:szCs w:val="16"/>
                <w:u w:val="single" w:color="auto"/>
                <w:color w:val="0000EE"/>
              </w:rPr>
            </w:pPr>
            <w:hyperlink w:anchor="page91">
              <w:r>
                <w:rPr>
                  <w:rFonts w:ascii="Arial" w:cs="Arial" w:eastAsia="Arial" w:hAnsi="Arial"/>
                  <w:sz w:val="16"/>
                  <w:szCs w:val="16"/>
                  <w:u w:val="single" w:color="auto"/>
                  <w:color w:val="0000EE"/>
                </w:rPr>
                <w:t>Item 16 10-K Summary</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680" w:type="dxa"/>
            <w:vAlign w:val="bottom"/>
          </w:tcPr>
          <w:p>
            <w:pPr>
              <w:ind w:left="40"/>
              <w:spacing w:after="0"/>
              <w:rPr>
                <w:rFonts w:ascii="Arial" w:cs="Arial" w:eastAsia="Arial" w:hAnsi="Arial"/>
                <w:sz w:val="16"/>
                <w:szCs w:val="16"/>
                <w:u w:val="single" w:color="auto"/>
                <w:color w:val="0000EE"/>
              </w:rPr>
            </w:pPr>
            <w:hyperlink w:anchor="page92">
              <w:r>
                <w:rPr>
                  <w:rFonts w:ascii="Arial" w:cs="Arial" w:eastAsia="Arial" w:hAnsi="Arial"/>
                  <w:sz w:val="16"/>
                  <w:szCs w:val="16"/>
                  <w:u w:val="single" w:color="auto"/>
                  <w:color w:val="0000EE"/>
                </w:rPr>
                <w:t>Signatures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6"/>
        </w:trPr>
        <w:tc>
          <w:tcPr>
            <w:tcW w:w="10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-6985</wp:posOffset>
            </wp:positionV>
            <wp:extent cx="76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197" w:lineRule="exact"/>
        <w:rPr>
          <w:sz w:val="20"/>
          <w:szCs w:val="20"/>
          <w:color w:val="auto"/>
        </w:rPr>
      </w:pPr>
    </w:p>
    <w:p>
      <w:pPr>
        <w:jc w:val="both"/>
        <w:ind w:firstLine="500"/>
        <w:spacing w:after="0" w:line="310" w:lineRule="auto"/>
        <w:rPr>
          <w:sz w:val="20"/>
          <w:szCs w:val="20"/>
          <w:color w:val="auto"/>
        </w:rPr>
      </w:pPr>
      <w:r>
        <w:rPr>
          <w:rFonts w:ascii="Arial" w:cs="Arial" w:eastAsia="Arial" w:hAnsi="Arial"/>
          <w:sz w:val="13"/>
          <w:szCs w:val="13"/>
          <w:color w:val="auto"/>
        </w:rPr>
        <w:t>This Annual Report on Form 10-K includes forward-looking statements that are based on Orion Energy Systems, Inc's ("Orion", "we", "us", "our" and similar references)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229" w:lineRule="exact"/>
        <w:rPr>
          <w:sz w:val="20"/>
          <w:szCs w:val="20"/>
          <w:color w:val="auto"/>
        </w:rPr>
      </w:pPr>
    </w:p>
    <w:p>
      <w:pPr>
        <w:ind w:left="860" w:right="20" w:hanging="372"/>
        <w:spacing w:after="0" w:line="266"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212529"/>
        </w:rPr>
        <w:t>our ability to manage general economic, business and geopolitical conditions, including the impacts of natural disasters, pandemics and outbreaks of contagious diseases and other adverse public health developments, such as the COVID-19 pandemic;</w:t>
      </w:r>
    </w:p>
    <w:p>
      <w:pPr>
        <w:spacing w:after="0" w:line="62" w:lineRule="exact"/>
        <w:rPr>
          <w:rFonts w:ascii="Arial" w:cs="Arial" w:eastAsia="Arial" w:hAnsi="Arial"/>
          <w:sz w:val="16"/>
          <w:szCs w:val="16"/>
          <w:color w:val="auto"/>
        </w:rPr>
      </w:pPr>
    </w:p>
    <w:p>
      <w:pPr>
        <w:ind w:left="860" w:right="20" w:hanging="372"/>
        <w:spacing w:after="0" w:line="266"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deterioration of market conditions, including our dependence on customers' capital budgets for sales of products and services, and adverse impacts on costs and the demand for our products as a result of factors such as the COVID-19 pandemic and the implementation of tariffs;</w:t>
      </w:r>
    </w:p>
    <w:p>
      <w:pPr>
        <w:spacing w:after="0" w:line="62" w:lineRule="exact"/>
        <w:rPr>
          <w:rFonts w:ascii="Arial" w:cs="Arial" w:eastAsia="Arial" w:hAnsi="Arial"/>
          <w:sz w:val="16"/>
          <w:szCs w:val="16"/>
          <w:color w:val="auto"/>
        </w:rPr>
      </w:pPr>
    </w:p>
    <w:p>
      <w:pPr>
        <w:ind w:left="860" w:right="20" w:hanging="372"/>
        <w:spacing w:after="0" w:line="266"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launch, manage and maintain our refocused business strategy to successfully bring to market new and innovative product and service offerings ;</w:t>
      </w:r>
    </w:p>
    <w:p>
      <w:pPr>
        <w:spacing w:after="0" w:line="62" w:lineRule="exact"/>
        <w:rPr>
          <w:rFonts w:ascii="Arial" w:cs="Arial" w:eastAsia="Arial" w:hAnsi="Arial"/>
          <w:sz w:val="16"/>
          <w:szCs w:val="16"/>
          <w:color w:val="auto"/>
        </w:rPr>
      </w:pPr>
    </w:p>
    <w:p>
      <w:pPr>
        <w:ind w:left="860" w:hanging="372"/>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recent and expected fiscal 2021 reliance on revenue generated from the retrofit of a few national account projects;</w:t>
      </w:r>
    </w:p>
    <w:p>
      <w:pPr>
        <w:spacing w:after="0" w:line="98" w:lineRule="exact"/>
        <w:rPr>
          <w:rFonts w:ascii="Arial" w:cs="Arial" w:eastAsia="Arial" w:hAnsi="Arial"/>
          <w:sz w:val="16"/>
          <w:szCs w:val="16"/>
          <w:color w:val="auto"/>
        </w:rPr>
      </w:pPr>
    </w:p>
    <w:p>
      <w:pPr>
        <w:ind w:left="860" w:right="20" w:hanging="372"/>
        <w:spacing w:after="0" w:line="266"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lack of major sources of recurring revenue, our dependence on a limited number of key customers, and the potential consequences of the loss of one or more key customers or suppliers, including key contacts at such customers;</w:t>
      </w:r>
    </w:p>
    <w:p>
      <w:pPr>
        <w:spacing w:after="0" w:line="62" w:lineRule="exact"/>
        <w:rPr>
          <w:rFonts w:ascii="Arial" w:cs="Arial" w:eastAsia="Arial" w:hAnsi="Arial"/>
          <w:sz w:val="16"/>
          <w:szCs w:val="16"/>
          <w:color w:val="auto"/>
        </w:rPr>
      </w:pPr>
    </w:p>
    <w:p>
      <w:pPr>
        <w:ind w:left="860" w:hanging="372"/>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identify and successfully complete transactions with suitable acquisition candidates in the future as part of our growth strategy;</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of additional debt financing and/or equity capital to pursue our evolving strategy and sustain our growth initiatives;</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risk of potential loss related to single or focused exposure within the current customer base and product offerings;</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sustain our profitability and positive cash flows;</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differentiate our products in a highly competitive and converging market, expand our customer base and gain market share;</w:t>
      </w:r>
    </w:p>
    <w:p>
      <w:pPr>
        <w:spacing w:after="0" w:line="98" w:lineRule="exact"/>
        <w:rPr>
          <w:rFonts w:ascii="Arial" w:cs="Arial" w:eastAsia="Arial" w:hAnsi="Arial"/>
          <w:sz w:val="16"/>
          <w:szCs w:val="16"/>
          <w:color w:val="auto"/>
        </w:rPr>
      </w:pPr>
    </w:p>
    <w:p>
      <w:pPr>
        <w:ind w:left="860" w:right="20" w:hanging="372"/>
        <w:spacing w:after="0" w:line="266"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mitigate downward pressure on the average selling prices of our products as a result of competitive pressures in the light emitting diode ("LED") market;</w:t>
      </w:r>
    </w:p>
    <w:p>
      <w:pPr>
        <w:spacing w:after="0" w:line="62" w:lineRule="exact"/>
        <w:rPr>
          <w:rFonts w:ascii="Arial" w:cs="Arial" w:eastAsia="Arial" w:hAnsi="Arial"/>
          <w:sz w:val="16"/>
          <w:szCs w:val="16"/>
          <w:color w:val="auto"/>
        </w:rPr>
      </w:pPr>
    </w:p>
    <w:p>
      <w:pPr>
        <w:ind w:left="860" w:hanging="372"/>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our inventory and avoid inventory obsolescence in a rapidly evolving LED market;</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reduction or elimination of investments in, or incentives to adopt, LED lighting and solar power technologies;</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increasing reliance on third parties for the manufacture and development of products, product components, as well as the provision of certain services;</w:t>
      </w:r>
    </w:p>
    <w:p>
      <w:pPr>
        <w:spacing w:after="0" w:line="109" w:lineRule="exact"/>
        <w:rPr>
          <w:rFonts w:ascii="Arial" w:cs="Arial" w:eastAsia="Arial" w:hAnsi="Arial"/>
          <w:sz w:val="15"/>
          <w:szCs w:val="15"/>
          <w:color w:val="auto"/>
        </w:rPr>
      </w:pPr>
    </w:p>
    <w:p>
      <w:pPr>
        <w:ind w:left="860" w:right="20" w:hanging="372"/>
        <w:spacing w:after="0" w:line="266"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increasing emphasis on selling more of our products through third party distributors and sales agents, including our ability to attract and retain effective third party distributors and sales agents to execute our sales model;</w:t>
      </w:r>
    </w:p>
    <w:p>
      <w:pPr>
        <w:spacing w:after="0" w:line="62" w:lineRule="exact"/>
        <w:rPr>
          <w:rFonts w:ascii="Arial" w:cs="Arial" w:eastAsia="Arial" w:hAnsi="Arial"/>
          <w:sz w:val="16"/>
          <w:szCs w:val="16"/>
          <w:color w:val="auto"/>
        </w:rPr>
      </w:pPr>
    </w:p>
    <w:p>
      <w:pPr>
        <w:ind w:left="860" w:hanging="372"/>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participate in new product and technology offerings or applications in a cost effective and timely manner;</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safe and secure information technology systems;</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failure to comply with the covenants in our revolving credit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 w:name="page4"/>
    <w:bookmarkEnd w:id="3"/>
    <w:p>
      <w:pPr>
        <w:ind w:left="860" w:hanging="372"/>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recruit, hire and retain talented individuals in all disciplines of our company;</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balance customer demand and production capacity;</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maintain an effective system of internal control over financial reporting;</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price fluctuations (including as a result of tariffs), shortages or interruptions of component supplies and raw materials used to manufacture our products;</w:t>
      </w:r>
    </w:p>
    <w:p>
      <w:pPr>
        <w:spacing w:after="0" w:line="109" w:lineRule="exact"/>
        <w:rPr>
          <w:rFonts w:ascii="Arial" w:cs="Arial" w:eastAsia="Arial" w:hAnsi="Arial"/>
          <w:sz w:val="15"/>
          <w:szCs w:val="15"/>
          <w:color w:val="auto"/>
        </w:rPr>
      </w:pPr>
    </w:p>
    <w:p>
      <w:pPr>
        <w:ind w:left="860" w:hanging="372"/>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defend our patent portfolio and license technology from third parties;</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reduction in the price of electricity;</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cost to comply with, and the effects of, any current and future industry and government regulations, laws and policies;</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sale of our corporate office building which will likely result in a non-cash impairment charge; and</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warranty claims in excess of our reserve estimates.</w:t>
      </w:r>
    </w:p>
    <w:p>
      <w:pPr>
        <w:spacing w:after="0" w:line="193" w:lineRule="exact"/>
        <w:rPr>
          <w:sz w:val="20"/>
          <w:szCs w:val="20"/>
          <w:color w:val="auto"/>
        </w:rPr>
      </w:pPr>
    </w:p>
    <w:p>
      <w:pPr>
        <w:ind w:firstLine="500"/>
        <w:spacing w:after="0" w:line="266" w:lineRule="auto"/>
        <w:rPr>
          <w:sz w:val="20"/>
          <w:szCs w:val="20"/>
          <w:color w:val="auto"/>
        </w:rPr>
      </w:pPr>
      <w:r>
        <w:rPr>
          <w:rFonts w:ascii="Arial" w:cs="Arial" w:eastAsia="Arial" w:hAnsi="Arial"/>
          <w:sz w:val="16"/>
          <w:szCs w:val="16"/>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157" w:lineRule="exact"/>
        <w:rPr>
          <w:sz w:val="20"/>
          <w:szCs w:val="20"/>
          <w:color w:val="auto"/>
        </w:rPr>
      </w:pPr>
    </w:p>
    <w:p>
      <w:pPr>
        <w:ind w:right="20" w:firstLine="500"/>
        <w:spacing w:after="0" w:line="266" w:lineRule="auto"/>
        <w:rPr>
          <w:sz w:val="20"/>
          <w:szCs w:val="20"/>
          <w:color w:val="auto"/>
        </w:rPr>
      </w:pPr>
      <w:r>
        <w:rPr>
          <w:rFonts w:ascii="Arial" w:cs="Arial" w:eastAsia="Arial" w:hAnsi="Arial"/>
          <w:sz w:val="16"/>
          <w:szCs w:val="16"/>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4" w:name="page5"/>
    <w:bookmarkEnd w:id="4"/>
    <w:p>
      <w:pPr>
        <w:spacing w:after="0"/>
        <w:tabs>
          <w:tab w:leader="none" w:pos="7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02" w:lineRule="exact"/>
        <w:rPr>
          <w:sz w:val="20"/>
          <w:szCs w:val="20"/>
          <w:color w:val="auto"/>
        </w:rPr>
      </w:pPr>
    </w:p>
    <w:p>
      <w:pPr>
        <w:jc w:val="both"/>
        <w:ind w:right="20" w:firstLine="495"/>
        <w:spacing w:after="0" w:line="266" w:lineRule="auto"/>
        <w:rPr>
          <w:sz w:val="20"/>
          <w:szCs w:val="20"/>
          <w:color w:val="auto"/>
        </w:rPr>
      </w:pPr>
      <w:r>
        <w:rPr>
          <w:rFonts w:ascii="Arial" w:cs="Arial" w:eastAsia="Arial" w:hAnsi="Arial"/>
          <w:sz w:val="16"/>
          <w:szCs w:val="16"/>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02" w:lineRule="exact"/>
        <w:rPr>
          <w:sz w:val="20"/>
          <w:szCs w:val="20"/>
          <w:color w:val="auto"/>
        </w:rPr>
      </w:pPr>
    </w:p>
    <w:p>
      <w:pPr>
        <w:jc w:val="both"/>
        <w:ind w:firstLine="495"/>
        <w:spacing w:after="0" w:line="250" w:lineRule="auto"/>
        <w:rPr>
          <w:sz w:val="20"/>
          <w:szCs w:val="20"/>
          <w:color w:val="auto"/>
        </w:rPr>
      </w:pPr>
      <w:r>
        <w:rPr>
          <w:rFonts w:ascii="Arial" w:cs="Arial" w:eastAsia="Arial" w:hAnsi="Arial"/>
          <w:sz w:val="16"/>
          <w:szCs w:val="16"/>
          <w:color w:val="auto"/>
        </w:rPr>
        <w:t>We provide state-of-the-art light emitting diode (“LED”) lighting, wireless Internet of Things (“IoT”) enabled control solutions, project engineering, design energy project management and maintenance services. We research, design, develop, manufacture, market, sell, install,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exterior area lighting, and industrial applications, although we do sell and install products into other markets. Virtually all of our sales occur within North America.</w:t>
      </w:r>
    </w:p>
    <w:p>
      <w:pPr>
        <w:spacing w:after="0" w:line="171"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Our lighting products consist primarily of LED lighting fixtures, many of which include IoT enabled control systems. Our principal customers include large national account end-users, federal and state government facilities, large regional account end-users, electrical distributors, electrical contractors and energy service companies ("ESCOs"). A substantial amount of our products are manufactured at our leased production facility located in Manitowoc, Wisconsin. In addition, certain products and components are sourced from third parties in order to provide versatility in our product development and portfolio.</w:t>
      </w:r>
    </w:p>
    <w:p>
      <w:pPr>
        <w:spacing w:after="0" w:line="169"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We have significant experience offering our comprehensive project management services to national and regional account customers as well as federal and state government facilities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67"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We believe the market for LED lighting products and related services continues to grow. Due to their size and flexibility in application, we also believe that LED lighting systems can address opportunities for retrofit applications that cannot be satisfied by other lighting technologies. Our LED lighting technologies and related services have become the primary component of our revenue as we continue to strive to be a leader in the LED market.</w:t>
      </w:r>
    </w:p>
    <w:p>
      <w:pPr>
        <w:spacing w:after="0" w:line="167"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5"/>
          <w:szCs w:val="15"/>
          <w:color w:val="auto"/>
        </w:rPr>
        <w:t>We generally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56" w:lineRule="exact"/>
        <w:rPr>
          <w:sz w:val="20"/>
          <w:szCs w:val="20"/>
          <w:color w:val="auto"/>
        </w:rPr>
      </w:pPr>
    </w:p>
    <w:p>
      <w:pPr>
        <w:jc w:val="both"/>
        <w:ind w:firstLine="500"/>
        <w:spacing w:after="0" w:line="280" w:lineRule="auto"/>
        <w:rPr>
          <w:sz w:val="20"/>
          <w:szCs w:val="20"/>
          <w:color w:val="auto"/>
        </w:rPr>
      </w:pPr>
      <w:r>
        <w:rPr>
          <w:rFonts w:ascii="Arial" w:cs="Arial" w:eastAsia="Arial" w:hAnsi="Arial"/>
          <w:sz w:val="15"/>
          <w:szCs w:val="15"/>
          <w:color w:val="auto"/>
        </w:rPr>
        <w:t>We typically sell our lighting systems in replacement of our customers’ existing lighting fixtures. We call this replacement process a "retrofit". We frequently sell our products and services directly to our customers and in many cases we provide design and installation as well as project management services. We also sell our lighting systems on a wholesale basis, principally to electrical distributors, electrical contractors and ESCOs to sell to their own customer bases.</w:t>
      </w:r>
    </w:p>
    <w:p>
      <w:pPr>
        <w:spacing w:after="0" w:line="149" w:lineRule="exact"/>
        <w:rPr>
          <w:sz w:val="20"/>
          <w:szCs w:val="20"/>
          <w:color w:val="auto"/>
        </w:rPr>
      </w:pPr>
    </w:p>
    <w:p>
      <w:pPr>
        <w:jc w:val="both"/>
        <w:ind w:firstLine="500"/>
        <w:spacing w:after="0" w:line="299" w:lineRule="auto"/>
        <w:rPr>
          <w:sz w:val="20"/>
          <w:szCs w:val="20"/>
          <w:color w:val="auto"/>
        </w:rPr>
      </w:pPr>
      <w:r>
        <w:rPr>
          <w:rFonts w:ascii="Arial" w:cs="Arial" w:eastAsia="Arial" w:hAnsi="Arial"/>
          <w:sz w:val="15"/>
          <w:szCs w:val="15"/>
          <w:color w:val="auto"/>
        </w:rPr>
        <w:t>The gross margins of our products can vary significantly depending upon the types of products we sell, with gross margins typically ranging from 10% to 50%. As a result, a change in the total mix of our sales among higher or lower gross margin products can cause our profitability to fluctuate from period to period.</w:t>
      </w:r>
    </w:p>
    <w:p>
      <w:pPr>
        <w:spacing w:after="0" w:line="135" w:lineRule="exact"/>
        <w:rPr>
          <w:sz w:val="20"/>
          <w:szCs w:val="20"/>
          <w:color w:val="auto"/>
        </w:rPr>
      </w:pPr>
    </w:p>
    <w:p>
      <w:pPr>
        <w:jc w:val="both"/>
        <w:ind w:right="20" w:firstLine="500"/>
        <w:spacing w:after="0" w:line="342" w:lineRule="auto"/>
        <w:rPr>
          <w:sz w:val="20"/>
          <w:szCs w:val="20"/>
          <w:color w:val="auto"/>
        </w:rPr>
      </w:pPr>
      <w:r>
        <w:rPr>
          <w:rFonts w:ascii="Arial" w:cs="Arial" w:eastAsia="Arial" w:hAnsi="Arial"/>
          <w:sz w:val="13"/>
          <w:szCs w:val="13"/>
          <w:color w:val="auto"/>
        </w:rPr>
        <w:t>Our fiscal year ends on March 31. We refer to our current fiscal year which will end on March 31, 2020 as "fiscal 2020". We refer to our most recently completed fiscal year, which ended on March 31, 2019, as “fiscal 2019”, and our prior fiscal year which ended on March 31, 2018 as "fiscal 2018". Our fiscal first quarter of each fiscal year ends on June 30, our fiscal second quarter ends on September 30, our fiscal third quarter ends on December 31, and our fiscal fourth quarter ends on March 31.</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102" w:lineRule="exact"/>
        <w:rPr>
          <w:sz w:val="20"/>
          <w:szCs w:val="20"/>
          <w:color w:val="auto"/>
        </w:rPr>
      </w:pPr>
    </w:p>
    <w:p>
      <w:pPr>
        <w:jc w:val="both"/>
        <w:ind w:firstLine="495"/>
        <w:spacing w:after="0" w:line="266" w:lineRule="auto"/>
        <w:rPr>
          <w:sz w:val="20"/>
          <w:szCs w:val="20"/>
          <w:color w:val="auto"/>
        </w:rPr>
      </w:pPr>
      <w:r>
        <w:rPr>
          <w:rFonts w:ascii="Arial" w:cs="Arial" w:eastAsia="Arial" w:hAnsi="Arial"/>
          <w:sz w:val="16"/>
          <w:szCs w:val="16"/>
          <w:color w:val="auto"/>
        </w:rPr>
        <w:t>Reportable segments are components of an entity that have separate financial data that the entity's chief operating decision maker ("CODM") regularly reviews when allocating resources and assessing performance. Our CODM is our chief executive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5" w:name="page6"/>
    <w:bookmarkEnd w:id="5"/>
    <w:p>
      <w:pPr>
        <w:spacing w:after="0"/>
        <w:rPr>
          <w:sz w:val="20"/>
          <w:szCs w:val="20"/>
          <w:color w:val="auto"/>
        </w:rPr>
      </w:pPr>
      <w:r>
        <w:rPr>
          <w:rFonts w:ascii="Arial" w:cs="Arial" w:eastAsia="Arial" w:hAnsi="Arial"/>
          <w:sz w:val="13"/>
          <w:szCs w:val="13"/>
          <w:color w:val="auto"/>
        </w:rPr>
        <w:t>We have three reportable segments: Orion Engineered Systems Division ("OES"), and Orion Distribution Services Division ("ODS"), and Orion U.S. Markets Division ("USM").</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For financial results by reportable segment, please refer to Note 18 – Segment Data in our consolidated financial statements included in Item 8. of this Annual Report.</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Orion Engineered Systems Division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OES segment develops and sells lighting products and provides construction and engineering services for our commercial lighting and energy management systems.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OES provides engineering, design, lighting products and in many cases turnkey solutions for large national accounts, governments, municipalities, schools and other customers.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Orion Distribution Services Division</w:t>
      </w:r>
    </w:p>
    <w:p>
      <w:pPr>
        <w:spacing w:after="0" w:line="102" w:lineRule="exact"/>
        <w:rPr>
          <w:sz w:val="20"/>
          <w:szCs w:val="20"/>
          <w:color w:val="auto"/>
        </w:rPr>
      </w:pPr>
    </w:p>
    <w:p>
      <w:pPr>
        <w:jc w:val="both"/>
        <w:ind w:firstLine="495"/>
        <w:spacing w:after="0" w:line="266" w:lineRule="auto"/>
        <w:rPr>
          <w:sz w:val="20"/>
          <w:szCs w:val="20"/>
          <w:color w:val="auto"/>
        </w:rPr>
      </w:pPr>
      <w:r>
        <w:rPr>
          <w:rFonts w:ascii="Arial" w:cs="Arial" w:eastAsia="Arial" w:hAnsi="Arial"/>
          <w:sz w:val="16"/>
          <w:szCs w:val="16"/>
          <w:color w:val="auto"/>
        </w:rPr>
        <w:t>Our ODS segment sells lighting products through manufacturer representative agencies and a network of North American broadline and electrical distributors and contractors.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Orion U.S. Markets Division</w:t>
      </w:r>
    </w:p>
    <w:p>
      <w:pPr>
        <w:spacing w:after="0" w:line="102" w:lineRule="exact"/>
        <w:rPr>
          <w:sz w:val="20"/>
          <w:szCs w:val="20"/>
          <w:color w:val="auto"/>
        </w:rPr>
      </w:pPr>
    </w:p>
    <w:p>
      <w:pPr>
        <w:jc w:val="both"/>
        <w:ind w:firstLine="495"/>
        <w:spacing w:after="0" w:line="266" w:lineRule="auto"/>
        <w:rPr>
          <w:sz w:val="20"/>
          <w:szCs w:val="20"/>
          <w:color w:val="auto"/>
        </w:rPr>
      </w:pPr>
      <w:r>
        <w:rPr>
          <w:rFonts w:ascii="Arial" w:cs="Arial" w:eastAsia="Arial" w:hAnsi="Arial"/>
          <w:sz w:val="16"/>
          <w:szCs w:val="16"/>
          <w:color w:val="auto"/>
        </w:rPr>
        <w:t>Our USM segment sells commercial lighting systems and energy management systems to the wholesale contractor markets. USM customers include ESCOs and contractors.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Market Opportunity</w:t>
      </w:r>
    </w:p>
    <w:p>
      <w:pPr>
        <w:spacing w:after="0" w:line="102" w:lineRule="exact"/>
        <w:rPr>
          <w:sz w:val="20"/>
          <w:szCs w:val="20"/>
          <w:color w:val="auto"/>
        </w:rPr>
      </w:pPr>
    </w:p>
    <w:p>
      <w:pPr>
        <w:jc w:val="both"/>
        <w:ind w:firstLine="495"/>
        <w:spacing w:after="0" w:line="250" w:lineRule="auto"/>
        <w:rPr>
          <w:sz w:val="20"/>
          <w:szCs w:val="20"/>
          <w:color w:val="auto"/>
        </w:rPr>
      </w:pPr>
      <w:r>
        <w:rPr>
          <w:rFonts w:ascii="Arial" w:cs="Arial" w:eastAsia="Arial" w:hAnsi="Arial"/>
          <w:sz w:val="16"/>
          <w:szCs w:val="16"/>
          <w:color w:val="auto"/>
        </w:rPr>
        <w:t>We provide enterprise-grade LED lighting and energy project solutions. We are primarily focused on providing commercial and industrial facilities lighting retrofit solutions in North America using solid-state LED technology. We believe the market for lighting products has shifted to LED lighting systems and continues to grow.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other technologies.</w:t>
      </w:r>
    </w:p>
    <w:p>
      <w:pPr>
        <w:spacing w:after="0" w:line="171" w:lineRule="exact"/>
        <w:rPr>
          <w:sz w:val="20"/>
          <w:szCs w:val="20"/>
          <w:color w:val="auto"/>
        </w:rPr>
      </w:pPr>
    </w:p>
    <w:p>
      <w:pPr>
        <w:jc w:val="both"/>
        <w:ind w:firstLine="500"/>
        <w:spacing w:after="0" w:line="322" w:lineRule="auto"/>
        <w:rPr>
          <w:sz w:val="20"/>
          <w:szCs w:val="20"/>
          <w:color w:val="auto"/>
        </w:rPr>
      </w:pPr>
      <w:r>
        <w:rPr>
          <w:rFonts w:ascii="Arial" w:cs="Arial" w:eastAsia="Arial" w:hAnsi="Arial"/>
          <w:sz w:val="13"/>
          <w:szCs w:val="13"/>
          <w:color w:val="auto"/>
        </w:rPr>
        <w:t>Our products deliver energy savings and efficiency gains to our commercial and industrial customers without compromising their quantity or quality of light. We estimate that our energy management systems reduce our customers’ legacy lighting-related electricity costs by approximately 50% or greater, while maintaining their quantity of light after the reduced wattage and improving overall lighting quality when replacing traditional fixtures. Our customers with legacy lighting systems typically realize a one to four-year payback period, and most often 18 – 24 months, from electricity cost savings generated by our lighting systems without considering utility incentives or government subsidies. Energy-efficient lighting systems are cost-effective and environmentally responsible solutions allowing end users to reduce operating expenses.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We serve government and private sector end-customers in the following primary markets: commercial office and retail, exterior area lighting and industrial applications.</w:t>
      </w:r>
    </w:p>
    <w:p>
      <w:pPr>
        <w:spacing w:after="0" w:line="227"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i w:val="1"/>
          <w:iCs w:val="1"/>
          <w:color w:val="auto"/>
        </w:rPr>
        <w:t xml:space="preserve">Commercial office and retail. </w:t>
      </w:r>
      <w:r>
        <w:rPr>
          <w:rFonts w:ascii="Arial" w:cs="Arial" w:eastAsia="Arial" w:hAnsi="Arial"/>
          <w:sz w:val="16"/>
          <w:szCs w:val="16"/>
          <w:color w:val="auto"/>
        </w:rPr>
        <w:t>Our commercial office and retail market includes commercial office buildings, retail store fronts, government offices, schools, hospitals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buildings with traditional 10 to 12 foot ceiling heights. We believe we have the opportunity to increase our revenue by serving this market with our LED Door Retrofit, or LDR</w:t>
      </w:r>
      <w:r>
        <w:rPr>
          <w:rFonts w:ascii="Arial" w:cs="Arial" w:eastAsia="Arial" w:hAnsi="Arial"/>
          <w:sz w:val="13"/>
          <w:szCs w:val="13"/>
          <w:color w:val="auto"/>
        </w:rPr>
        <w:t>TM</w:t>
      </w:r>
      <w:r>
        <w:rPr>
          <w:rFonts w:ascii="Arial" w:cs="Arial" w:eastAsia="Arial" w:hAnsi="Arial"/>
          <w:sz w:val="16"/>
          <w:szCs w:val="16"/>
          <w:color w:val="auto"/>
        </w:rPr>
        <w:t>, lighting solutions.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 xml:space="preserve">Exterior Area lighting. </w:t>
      </w:r>
      <w:r>
        <w:rPr>
          <w:rFonts w:ascii="Arial" w:cs="Arial" w:eastAsia="Arial" w:hAnsi="Arial"/>
          <w:sz w:val="16"/>
          <w:szCs w:val="16"/>
          <w:color w:val="auto"/>
        </w:rPr>
        <w:t>Our market for area lighting includes parking garages, surface lots, automobile dealerships and gas service stations.</w:t>
      </w:r>
    </w:p>
    <w:p>
      <w:pPr>
        <w:spacing w:after="0" w:line="193"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i w:val="1"/>
          <w:iCs w:val="1"/>
          <w:color w:val="auto"/>
        </w:rPr>
        <w:t xml:space="preserve">Industrial applications. </w:t>
      </w:r>
      <w:r>
        <w:rPr>
          <w:rFonts w:ascii="Arial" w:cs="Arial" w:eastAsia="Arial" w:hAnsi="Arial"/>
          <w:sz w:val="16"/>
          <w:szCs w:val="16"/>
          <w:color w:val="auto"/>
        </w:rPr>
        <w:t>Our market for industrial facilities includes manufacturing facilities, distribution and warehouse facilities, government buildings and agricultural</w:t>
      </w:r>
      <w:r>
        <w:rPr>
          <w:rFonts w:ascii="Arial" w:cs="Arial" w:eastAsia="Arial" w:hAnsi="Arial"/>
          <w:sz w:val="16"/>
          <w:szCs w:val="16"/>
          <w:i w:val="1"/>
          <w:iCs w:val="1"/>
          <w:color w:val="auto"/>
        </w:rPr>
        <w:t xml:space="preserve"> </w:t>
      </w:r>
      <w:r>
        <w:rPr>
          <w:rFonts w:ascii="Arial" w:cs="Arial" w:eastAsia="Arial" w:hAnsi="Arial"/>
          <w:sz w:val="16"/>
          <w:szCs w:val="16"/>
          <w:color w:val="auto"/>
        </w:rPr>
        <w:t>buildings. These facilities typically contain "high-bay" lighting fixtures.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6" w:name="page7"/>
    <w:bookmarkEnd w:id="6"/>
    <w:p>
      <w:pPr>
        <w:jc w:val="both"/>
        <w:ind w:right="20" w:firstLine="495"/>
        <w:spacing w:after="0" w:line="255" w:lineRule="auto"/>
        <w:rPr>
          <w:sz w:val="20"/>
          <w:szCs w:val="20"/>
          <w:color w:val="auto"/>
        </w:rPr>
      </w:pPr>
      <w:r>
        <w:rPr>
          <w:rFonts w:ascii="Arial" w:cs="Arial" w:eastAsia="Arial" w:hAnsi="Arial"/>
          <w:sz w:val="16"/>
          <w:szCs w:val="16"/>
          <w:color w:val="auto"/>
        </w:rPr>
        <w:t>Commercial and industrial facilities in the United States employ a variety of lighting technologies, including HID, traditional fluorescents, LED and incandescent lighting fixtures. We estimate that approximately 50% of this market still utilizes inefficient high intensity discharge ("HID") lighting technologies. Our lighting systems typically replace less efficient HID, HIF fixtures, and earlier generation of LED fixtures.</w:t>
      </w:r>
    </w:p>
    <w:p>
      <w:pPr>
        <w:spacing w:after="0" w:line="167" w:lineRule="exact"/>
        <w:rPr>
          <w:sz w:val="20"/>
          <w:szCs w:val="20"/>
          <w:color w:val="auto"/>
        </w:rPr>
      </w:pPr>
    </w:p>
    <w:p>
      <w:pPr>
        <w:jc w:val="both"/>
        <w:ind w:firstLine="500"/>
        <w:spacing w:after="0" w:line="250" w:lineRule="auto"/>
        <w:rPr>
          <w:sz w:val="20"/>
          <w:szCs w:val="20"/>
          <w:color w:val="auto"/>
        </w:rPr>
      </w:pPr>
      <w:r>
        <w:rPr>
          <w:rFonts w:ascii="Arial" w:cs="Arial" w:eastAsia="Arial" w:hAnsi="Arial"/>
          <w:sz w:val="16"/>
          <w:szCs w:val="16"/>
          <w:color w:val="auto"/>
        </w:rPr>
        <w:t>We believe that utilities within the United States recognize the importance of energy efficiency as an economical means to manage capacity constraints and as a low-cost alternative when compared to the construction costs of building new power plants. Accordingly, many of these utilities are continually focused on demand reduction through energy efficiency. According to our research of individual state and utility programs, utilities design and fund programs that promote or deliver energy efficiency through legislation, regulation or voluntary action. Our product sales are not solely dependent upon these incentive programs, but we do believe that these incentive programs provide an important benefit as our customers evaluate their out-of-pocket cash investments.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Solution</w:t>
      </w:r>
    </w:p>
    <w:p>
      <w:pPr>
        <w:spacing w:after="0" w:line="102" w:lineRule="exact"/>
        <w:rPr>
          <w:sz w:val="20"/>
          <w:szCs w:val="20"/>
          <w:color w:val="auto"/>
        </w:rPr>
      </w:pPr>
    </w:p>
    <w:p>
      <w:pPr>
        <w:jc w:val="both"/>
        <w:ind w:firstLine="495"/>
        <w:spacing w:after="0" w:line="266" w:lineRule="auto"/>
        <w:rPr>
          <w:sz w:val="20"/>
          <w:szCs w:val="20"/>
          <w:color w:val="auto"/>
        </w:rPr>
      </w:pPr>
      <w:r>
        <w:rPr>
          <w:rFonts w:ascii="Arial" w:cs="Arial" w:eastAsia="Arial" w:hAnsi="Arial"/>
          <w:sz w:val="16"/>
          <w:szCs w:val="16"/>
          <w:i w:val="1"/>
          <w:iCs w:val="1"/>
          <w:color w:val="auto"/>
        </w:rPr>
        <w:t xml:space="preserve">Value Proposition. </w:t>
      </w:r>
      <w:r>
        <w:rPr>
          <w:rFonts w:ascii="Arial" w:cs="Arial" w:eastAsia="Arial" w:hAnsi="Arial"/>
          <w:sz w:val="16"/>
          <w:szCs w:val="16"/>
          <w:color w:val="auto"/>
        </w:rPr>
        <w:t>We estimate our LED lighting systems generally reduce lighting-related electricity costs by approximately 50% or greater, compared to legacy fixtures,</w:t>
      </w:r>
      <w:r>
        <w:rPr>
          <w:rFonts w:ascii="Arial" w:cs="Arial" w:eastAsia="Arial" w:hAnsi="Arial"/>
          <w:sz w:val="16"/>
          <w:szCs w:val="16"/>
          <w:i w:val="1"/>
          <w:iCs w:val="1"/>
          <w:color w:val="auto"/>
        </w:rPr>
        <w:t xml:space="preserve"> </w:t>
      </w:r>
      <w:r>
        <w:rPr>
          <w:rFonts w:ascii="Arial" w:cs="Arial" w:eastAsia="Arial" w:hAnsi="Arial"/>
          <w:sz w:val="16"/>
          <w:szCs w:val="16"/>
          <w:color w:val="auto"/>
        </w:rPr>
        <w:t>while retaining the quantity of light and improving overall lighting quality.</w:t>
      </w:r>
    </w:p>
    <w:p>
      <w:pPr>
        <w:spacing w:after="0" w:line="15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i w:val="1"/>
          <w:iCs w:val="1"/>
          <w:color w:val="auto"/>
        </w:rPr>
        <w:t xml:space="preserve">Multi-Facility Roll-Out Capability. </w:t>
      </w:r>
      <w:r>
        <w:rPr>
          <w:rFonts w:ascii="Arial" w:cs="Arial" w:eastAsia="Arial" w:hAnsi="Arial"/>
          <w:sz w:val="16"/>
          <w:szCs w:val="16"/>
          <w:color w:val="auto"/>
        </w:rPr>
        <w:t>We offer our customers a single source, turnkey solution for project implementation in which we manage and maintain responsibility</w:t>
      </w:r>
      <w:r>
        <w:rPr>
          <w:rFonts w:ascii="Arial" w:cs="Arial" w:eastAsia="Arial" w:hAnsi="Arial"/>
          <w:sz w:val="16"/>
          <w:szCs w:val="16"/>
          <w:i w:val="1"/>
          <w:iCs w:val="1"/>
          <w:color w:val="auto"/>
        </w:rPr>
        <w:t xml:space="preserve"> </w:t>
      </w:r>
      <w:r>
        <w:rPr>
          <w:rFonts w:ascii="Arial" w:cs="Arial" w:eastAsia="Arial" w:hAnsi="Arial"/>
          <w:sz w:val="16"/>
          <w:szCs w:val="16"/>
          <w:color w:val="auto"/>
        </w:rPr>
        <w:t>for entire multi-facility rollouts of our energy management solutions across North American commercial and industrial facility portfolios. This capability allows us to offer our customers an orderly, timely and scheduled process for recognizing energy reductions and cost savings.</w:t>
      </w:r>
    </w:p>
    <w:p>
      <w:pPr>
        <w:spacing w:after="0" w:line="167" w:lineRule="exact"/>
        <w:rPr>
          <w:sz w:val="20"/>
          <w:szCs w:val="20"/>
          <w:color w:val="auto"/>
        </w:rPr>
      </w:pPr>
    </w:p>
    <w:p>
      <w:pPr>
        <w:jc w:val="both"/>
        <w:ind w:firstLine="500"/>
        <w:spacing w:after="0" w:line="280" w:lineRule="auto"/>
        <w:rPr>
          <w:sz w:val="20"/>
          <w:szCs w:val="20"/>
          <w:color w:val="auto"/>
        </w:rPr>
      </w:pPr>
      <w:r>
        <w:rPr>
          <w:rFonts w:ascii="Arial" w:cs="Arial" w:eastAsia="Arial" w:hAnsi="Arial"/>
          <w:sz w:val="15"/>
          <w:szCs w:val="15"/>
          <w:i w:val="1"/>
          <w:iCs w:val="1"/>
          <w:color w:val="auto"/>
        </w:rPr>
        <w:t xml:space="preserve">Rapid Payback Period. </w:t>
      </w:r>
      <w:r>
        <w:rPr>
          <w:rFonts w:ascii="Arial" w:cs="Arial" w:eastAsia="Arial" w:hAnsi="Arial"/>
          <w:sz w:val="15"/>
          <w:szCs w:val="15"/>
          <w:color w:val="auto"/>
        </w:rPr>
        <w:t>In most retrofit projects where we replace HID and HIF fixtures, our customers typically realize a one to four year, but most often 18 – 24 months,</w:t>
      </w:r>
      <w:r>
        <w:rPr>
          <w:rFonts w:ascii="Arial" w:cs="Arial" w:eastAsia="Arial" w:hAnsi="Arial"/>
          <w:sz w:val="15"/>
          <w:szCs w:val="15"/>
          <w:i w:val="1"/>
          <w:iCs w:val="1"/>
          <w:color w:val="auto"/>
        </w:rPr>
        <w:t xml:space="preserve"> </w:t>
      </w:r>
      <w:r>
        <w:rPr>
          <w:rFonts w:ascii="Arial" w:cs="Arial" w:eastAsia="Arial" w:hAnsi="Arial"/>
          <w:sz w:val="15"/>
          <w:szCs w:val="15"/>
          <w:color w:val="auto"/>
        </w:rPr>
        <w:t>payback period on our lighting systems. These returns are achieved without considering utility incentives or government subsidies (although subsidies and incentives are continually being made available to our customers in connection with the installation of our systems that further shorten payback periods).</w:t>
      </w:r>
    </w:p>
    <w:p>
      <w:pPr>
        <w:spacing w:after="0" w:line="149" w:lineRule="exact"/>
        <w:rPr>
          <w:sz w:val="20"/>
          <w:szCs w:val="20"/>
          <w:color w:val="auto"/>
        </w:rPr>
      </w:pPr>
    </w:p>
    <w:p>
      <w:pPr>
        <w:jc w:val="both"/>
        <w:ind w:right="20" w:firstLine="500"/>
        <w:spacing w:after="0" w:line="250" w:lineRule="auto"/>
        <w:rPr>
          <w:sz w:val="20"/>
          <w:szCs w:val="20"/>
          <w:color w:val="auto"/>
        </w:rPr>
      </w:pPr>
      <w:r>
        <w:rPr>
          <w:rFonts w:ascii="Arial" w:cs="Arial" w:eastAsia="Arial" w:hAnsi="Arial"/>
          <w:sz w:val="16"/>
          <w:szCs w:val="16"/>
          <w:i w:val="1"/>
          <w:iCs w:val="1"/>
          <w:color w:val="auto"/>
        </w:rPr>
        <w:t xml:space="preserve">Easy Installation, Implementation and Maintenance. </w:t>
      </w:r>
      <w:r>
        <w:rPr>
          <w:rFonts w:ascii="Arial" w:cs="Arial" w:eastAsia="Arial" w:hAnsi="Arial"/>
          <w:sz w:val="16"/>
          <w:szCs w:val="16"/>
          <w:color w:val="auto"/>
        </w:rPr>
        <w:t>Most of our fixtures are designed with a lightweight construction and modular plug-and-play architecture that allows</w:t>
      </w:r>
      <w:r>
        <w:rPr>
          <w:rFonts w:ascii="Arial" w:cs="Arial" w:eastAsia="Arial" w:hAnsi="Arial"/>
          <w:sz w:val="16"/>
          <w:szCs w:val="16"/>
          <w:i w:val="1"/>
          <w:iCs w:val="1"/>
          <w:color w:val="auto"/>
        </w:rPr>
        <w:t xml:space="preserve"> </w:t>
      </w:r>
      <w:r>
        <w:rPr>
          <w:rFonts w:ascii="Arial" w:cs="Arial" w:eastAsia="Arial" w:hAnsi="Arial"/>
          <w:sz w:val="16"/>
          <w:szCs w:val="16"/>
          <w:color w:val="auto"/>
        </w:rPr>
        <w:t>for fast and easy installation, facilitates maintenance, and integration of other components of our energy management system. Our office LED Troffer Door Retrofit (</w:t>
      </w:r>
      <w:r>
        <w:rPr>
          <w:rFonts w:ascii="Arial" w:cs="Arial" w:eastAsia="Arial" w:hAnsi="Arial"/>
          <w:sz w:val="16"/>
          <w:szCs w:val="16"/>
          <w:i w:val="1"/>
          <w:iCs w:val="1"/>
          <w:color w:val="auto"/>
        </w:rPr>
        <w:t>"</w:t>
      </w:r>
      <w:r>
        <w:rPr>
          <w:rFonts w:ascii="Arial" w:cs="Arial" w:eastAsia="Arial" w:hAnsi="Arial"/>
          <w:sz w:val="16"/>
          <w:szCs w:val="16"/>
          <w:color w:val="auto"/>
        </w:rPr>
        <w:t>LDR</w:t>
      </w:r>
      <w:r>
        <w:rPr>
          <w:rFonts w:ascii="Arial" w:cs="Arial" w:eastAsia="Arial" w:hAnsi="Arial"/>
          <w:sz w:val="13"/>
          <w:szCs w:val="13"/>
          <w:color w:val="auto"/>
        </w:rPr>
        <w:t>TM</w:t>
      </w:r>
      <w:r>
        <w:rPr>
          <w:rFonts w:ascii="Arial" w:cs="Arial" w:eastAsia="Arial" w:hAnsi="Arial"/>
          <w:sz w:val="16"/>
          <w:szCs w:val="16"/>
          <w:color w:val="auto"/>
        </w:rPr>
        <w:t>") products are designed to allow for fast and easy installation without disrupting the ceiling space or the office workspace. We believe our system’s design reduces installation time and expense compared to other lighting solutions, which further improves our customers’ return on investment. We also believe that our use of standard components reduces our customers’ ongoing maintenance costs.</w:t>
      </w:r>
    </w:p>
    <w:p>
      <w:pPr>
        <w:spacing w:after="0" w:line="171" w:lineRule="exact"/>
        <w:rPr>
          <w:sz w:val="20"/>
          <w:szCs w:val="20"/>
          <w:color w:val="auto"/>
        </w:rPr>
      </w:pPr>
    </w:p>
    <w:p>
      <w:pPr>
        <w:jc w:val="both"/>
        <w:ind w:firstLine="500"/>
        <w:spacing w:after="0" w:line="250" w:lineRule="auto"/>
        <w:rPr>
          <w:sz w:val="20"/>
          <w:szCs w:val="20"/>
          <w:color w:val="auto"/>
        </w:rPr>
      </w:pPr>
      <w:r>
        <w:rPr>
          <w:rFonts w:ascii="Arial" w:cs="Arial" w:eastAsia="Arial" w:hAnsi="Arial"/>
          <w:sz w:val="16"/>
          <w:szCs w:val="16"/>
          <w:i w:val="1"/>
          <w:iCs w:val="1"/>
          <w:color w:val="auto"/>
        </w:rPr>
        <w:t xml:space="preserve">Expanded Product Offerings. </w:t>
      </w:r>
      <w:r>
        <w:rPr>
          <w:rFonts w:ascii="Arial" w:cs="Arial" w:eastAsia="Arial" w:hAnsi="Arial"/>
          <w:sz w:val="16"/>
          <w:szCs w:val="16"/>
          <w:color w:val="auto"/>
        </w:rPr>
        <w:t>We are committed to continuing to develop LED product offerings in all of the markets we serve. Our third generation of ISON® class of</w:t>
      </w:r>
      <w:r>
        <w:rPr>
          <w:rFonts w:ascii="Arial" w:cs="Arial" w:eastAsia="Arial" w:hAnsi="Arial"/>
          <w:sz w:val="16"/>
          <w:szCs w:val="16"/>
          <w:i w:val="1"/>
          <w:iCs w:val="1"/>
          <w:color w:val="auto"/>
        </w:rPr>
        <w:t xml:space="preserve"> </w:t>
      </w:r>
      <w:r>
        <w:rPr>
          <w:rFonts w:ascii="Arial" w:cs="Arial" w:eastAsia="Arial" w:hAnsi="Arial"/>
          <w:sz w:val="16"/>
          <w:szCs w:val="16"/>
          <w:color w:val="auto"/>
        </w:rPr>
        <w:t>LED interior fixture delivers a market leading up to 214 lumens per watt. This advancement means our customers can get more light with less energy, and sometimes fewer fixtures, than with any other product on the market. We have also recently launched a variety of new products, features and functionality targeting healthcare, food service, high and low temperature environments and other market segments. Our lighting products also may be configured to include IoT enabled control systems. See "Products and Services" below.</w:t>
      </w:r>
    </w:p>
    <w:p>
      <w:pPr>
        <w:spacing w:after="0" w:line="171"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i w:val="1"/>
          <w:iCs w:val="1"/>
          <w:color w:val="auto"/>
        </w:rPr>
        <w:t xml:space="preserve">Environmental Benefits. </w:t>
      </w:r>
      <w:r>
        <w:rPr>
          <w:rFonts w:ascii="Arial" w:cs="Arial" w:eastAsia="Arial" w:hAnsi="Arial"/>
          <w:sz w:val="16"/>
          <w:szCs w:val="16"/>
          <w:color w:val="auto"/>
        </w:rPr>
        <w:t>By allowing for the permanent reduction of electricity consumption, we believe our energy management systems reduce indirect CO2 emissions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a negative by-product of energy generation.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Competitive Strengths</w:t>
      </w:r>
    </w:p>
    <w:p>
      <w:pPr>
        <w:spacing w:after="0" w:line="102" w:lineRule="exact"/>
        <w:rPr>
          <w:sz w:val="20"/>
          <w:szCs w:val="20"/>
          <w:color w:val="auto"/>
        </w:rPr>
      </w:pPr>
    </w:p>
    <w:p>
      <w:pPr>
        <w:jc w:val="both"/>
        <w:ind w:right="20" w:firstLine="495"/>
        <w:spacing w:after="0" w:line="255" w:lineRule="auto"/>
        <w:rPr>
          <w:sz w:val="20"/>
          <w:szCs w:val="20"/>
          <w:color w:val="auto"/>
        </w:rPr>
      </w:pPr>
      <w:r>
        <w:rPr>
          <w:rFonts w:ascii="Arial" w:cs="Arial" w:eastAsia="Arial" w:hAnsi="Arial"/>
          <w:sz w:val="16"/>
          <w:szCs w:val="16"/>
          <w:i w:val="1"/>
          <w:iCs w:val="1"/>
          <w:color w:val="auto"/>
        </w:rPr>
        <w:t xml:space="preserve">Compelling Value Proposition. </w:t>
      </w:r>
      <w:r>
        <w:rPr>
          <w:rFonts w:ascii="Arial" w:cs="Arial" w:eastAsia="Arial" w:hAnsi="Arial"/>
          <w:sz w:val="16"/>
          <w:szCs w:val="16"/>
          <w:color w:val="auto"/>
        </w:rPr>
        <w:t>By permanently reducing lighting-related electricity usage, our systems enable our customers to achieve significant cost savings,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compromising quantity and quality of light in their facilities. As a result, our products offer our customers a rapid return on their investment, without relying on government subsidies or utility incentives.</w:t>
      </w:r>
    </w:p>
    <w:p>
      <w:pPr>
        <w:spacing w:after="0" w:line="167" w:lineRule="exact"/>
        <w:rPr>
          <w:sz w:val="20"/>
          <w:szCs w:val="20"/>
          <w:color w:val="auto"/>
        </w:rPr>
      </w:pPr>
    </w:p>
    <w:p>
      <w:pPr>
        <w:jc w:val="both"/>
        <w:ind w:right="20" w:firstLine="500"/>
        <w:spacing w:after="0" w:line="342" w:lineRule="auto"/>
        <w:rPr>
          <w:sz w:val="20"/>
          <w:szCs w:val="20"/>
          <w:color w:val="auto"/>
        </w:rPr>
      </w:pPr>
      <w:r>
        <w:rPr>
          <w:rFonts w:ascii="Arial" w:cs="Arial" w:eastAsia="Arial" w:hAnsi="Arial"/>
          <w:sz w:val="13"/>
          <w:szCs w:val="13"/>
          <w:i w:val="1"/>
          <w:iCs w:val="1"/>
          <w:color w:val="auto"/>
        </w:rPr>
        <w:t xml:space="preserve">Comprehensive Project Management. </w:t>
      </w:r>
      <w:r>
        <w:rPr>
          <w:rFonts w:ascii="Arial" w:cs="Arial" w:eastAsia="Arial" w:hAnsi="Arial"/>
          <w:sz w:val="13"/>
          <w:szCs w:val="13"/>
          <w:color w:val="auto"/>
        </w:rPr>
        <w:t>We offer our customers a single source solution whereby we manage and are responsible for an entire retrofit lighting project, from</w:t>
      </w:r>
      <w:r>
        <w:rPr>
          <w:rFonts w:ascii="Arial" w:cs="Arial" w:eastAsia="Arial" w:hAnsi="Arial"/>
          <w:sz w:val="13"/>
          <w:szCs w:val="13"/>
          <w:i w:val="1"/>
          <w:iCs w:val="1"/>
          <w:color w:val="auto"/>
        </w:rPr>
        <w:t xml:space="preserve"> </w:t>
      </w:r>
      <w:r>
        <w:rPr>
          <w:rFonts w:ascii="Arial" w:cs="Arial" w:eastAsia="Arial" w:hAnsi="Arial"/>
          <w:sz w:val="13"/>
          <w:szCs w:val="13"/>
          <w:color w:val="auto"/>
        </w:rPr>
        <w:t>initial site surveys and energy audits through to installation and controls integration. Our ability to offer such comprehensive turnkey project management services, coupled with best-in-class customer service, allows us to deliver energy reductions and cost savings to our customers in timely, orderly and planned multi-facility rollouts nationwide. We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7" w:name="page8"/>
    <w:bookmarkEnd w:id="7"/>
    <w:p>
      <w:pPr>
        <w:jc w:val="both"/>
        <w:spacing w:after="0" w:line="248" w:lineRule="auto"/>
        <w:rPr>
          <w:sz w:val="20"/>
          <w:szCs w:val="20"/>
          <w:color w:val="auto"/>
        </w:rPr>
      </w:pPr>
      <w:r>
        <w:rPr>
          <w:rFonts w:ascii="Arial" w:cs="Arial" w:eastAsia="Arial" w:hAnsi="Arial"/>
          <w:sz w:val="16"/>
          <w:szCs w:val="16"/>
          <w:color w:val="auto"/>
        </w:rPr>
        <w:t>believe one of our competitive advantages is our ability to deliver full turnkey LED lighting project capabilities. These turnkey services were the principal reason we achieved significant revenue growth in fiscal 2020 as we executed on our commitment to retrofit multiple locations for a major national account customer. Our success in the national account market segment centers on our turnkey design, engineering, manufacturing and project management capabilities, which represent a very clear competitive advantage for us among large enterprises seeking to benefit from the illumination benefits and energy savings of LED lighting across locations nationwide. Few LED lighting providers are organized to serve every step of a custom retrofit project in a comprehensive, non-disruptive and timely fashion, from custom fixture design and initial site surveys to final installations. Incrementally, we are also able to help customers deploy state-of-the-art control systems that provide even greater long-term value from their lighting system investments.</w:t>
      </w:r>
    </w:p>
    <w:p>
      <w:pPr>
        <w:spacing w:after="0" w:line="175" w:lineRule="exact"/>
        <w:rPr>
          <w:sz w:val="20"/>
          <w:szCs w:val="20"/>
          <w:color w:val="auto"/>
        </w:rPr>
      </w:pPr>
    </w:p>
    <w:p>
      <w:pPr>
        <w:jc w:val="both"/>
        <w:ind w:firstLine="500"/>
        <w:spacing w:after="0" w:line="250" w:lineRule="auto"/>
        <w:rPr>
          <w:sz w:val="20"/>
          <w:szCs w:val="20"/>
          <w:color w:val="auto"/>
        </w:rPr>
      </w:pPr>
      <w:r>
        <w:rPr>
          <w:rFonts w:ascii="Arial" w:cs="Arial" w:eastAsia="Arial" w:hAnsi="Arial"/>
          <w:sz w:val="16"/>
          <w:szCs w:val="16"/>
          <w:i w:val="1"/>
          <w:iCs w:val="1"/>
          <w:color w:val="auto"/>
        </w:rPr>
        <w:t xml:space="preserve">Large and Growing Customer Base. </w:t>
      </w:r>
      <w:r>
        <w:rPr>
          <w:rFonts w:ascii="Arial" w:cs="Arial" w:eastAsia="Arial" w:hAnsi="Arial"/>
          <w:sz w:val="16"/>
          <w:szCs w:val="16"/>
          <w:color w:val="auto"/>
        </w:rPr>
        <w:t>We have developed a large and growing national customer base and have installed our products in commercial and industrial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North America. We believe that the willingness of our blue-chip customers to install our products across multiple facilities represents a significant endorsement of our value proposition, which in turn helps us sell our energy management systems to new customers. We intend to leverage our expertise in managing projects across multiple facilities within our new LED product markets, which now include new customer opportunities with banks, insurance companies, hospitals, fast food chains, retail storefronts, grocery and pharmacies.</w:t>
      </w:r>
    </w:p>
    <w:p>
      <w:pPr>
        <w:spacing w:after="0" w:line="171" w:lineRule="exact"/>
        <w:rPr>
          <w:sz w:val="20"/>
          <w:szCs w:val="20"/>
          <w:color w:val="auto"/>
        </w:rPr>
      </w:pPr>
    </w:p>
    <w:p>
      <w:pPr>
        <w:jc w:val="both"/>
        <w:ind w:firstLine="500"/>
        <w:spacing w:after="0" w:line="265" w:lineRule="auto"/>
        <w:rPr>
          <w:sz w:val="20"/>
          <w:szCs w:val="20"/>
          <w:color w:val="auto"/>
        </w:rPr>
      </w:pPr>
      <w:r>
        <w:rPr>
          <w:rFonts w:ascii="Arial" w:cs="Arial" w:eastAsia="Arial" w:hAnsi="Arial"/>
          <w:sz w:val="15"/>
          <w:szCs w:val="15"/>
          <w:i w:val="1"/>
          <w:iCs w:val="1"/>
          <w:color w:val="auto"/>
        </w:rPr>
        <w:t xml:space="preserve">Innovative Technology. </w:t>
      </w:r>
      <w:r>
        <w:rPr>
          <w:rFonts w:ascii="Arial" w:cs="Arial" w:eastAsia="Arial" w:hAnsi="Arial"/>
          <w:sz w:val="15"/>
          <w:szCs w:val="15"/>
          <w:color w:val="auto"/>
        </w:rPr>
        <w:t>We have developed a portfolio of United States patents primarily covering various elements of our products. We believe these innovations allow</w:t>
      </w:r>
      <w:r>
        <w:rPr>
          <w:rFonts w:ascii="Arial" w:cs="Arial" w:eastAsia="Arial" w:hAnsi="Arial"/>
          <w:sz w:val="15"/>
          <w:szCs w:val="15"/>
          <w:i w:val="1"/>
          <w:iCs w:val="1"/>
          <w:color w:val="auto"/>
        </w:rPr>
        <w:t xml:space="preserve"> </w:t>
      </w:r>
      <w:r>
        <w:rPr>
          <w:rFonts w:ascii="Arial" w:cs="Arial" w:eastAsia="Arial" w:hAnsi="Arial"/>
          <w:sz w:val="15"/>
          <w:szCs w:val="15"/>
          <w:color w:val="auto"/>
        </w:rPr>
        <w:t>our products to produce more light output per unit of input energy compared to our competition. We also have patents pending that primarily cover various elements of our newly developed LED products and certain business methods. To complement our innovative energy management products, our integrated energy management services provide our customers with a turnkey solution either at a single facility or across their North American facility footprints. Our demonstrated ability to innovate provides us with significant competitive advantages. Our lighting products offer significantly more light output as measured in foot-candles of light delivered per watt of electricity consumed when compared to HID or traditional fluorescent fixtures. Beyond the benefits of our lighting fixtures, we believe that there is also an opportunity to utilize our system platform as a “connected ceiling” or “smart ceiling”, or a framework or network that can support the installation and integration of other solutions on a digital platform. This “smart ceiling” can be integrated with other technologies to collect data and manage assets and resources more efficiently. Orion’s percentage of systems utilizing IoT enabled devices has grown significantly over the past few years and we expect this trend to continue. Our “Industrial Internet of Things” or IoT enabled devices not only contain energy management control functions, but also have the ability to collect facility usage and traffic data as well as collect data from other facility mechanical systems, providing our customers with a path to digitization for their business operations.</w:t>
      </w:r>
    </w:p>
    <w:p>
      <w:pPr>
        <w:spacing w:after="0" w:line="164"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i w:val="1"/>
          <w:iCs w:val="1"/>
          <w:color w:val="auto"/>
        </w:rPr>
        <w:t xml:space="preserve">Expanded Sales and Distribution Network. </w:t>
      </w:r>
      <w:r>
        <w:rPr>
          <w:rFonts w:ascii="Arial" w:cs="Arial" w:eastAsia="Arial" w:hAnsi="Arial"/>
          <w:sz w:val="16"/>
          <w:szCs w:val="16"/>
          <w:color w:val="auto"/>
        </w:rPr>
        <w:t>In addition to selling directly to national accounts, electrical contractors and ESCOs, we sell our lighting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electrical distributors through a North American network of independent lighting agencies. As of the end of fiscal 2020, we had 33 independent lighting agencies representing us in substantially all of North America. We intend to continue to selectively evaluate our sales network in the future, with a focus on geographic regions where we do not currently have a strong sales presence.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Events – Impact of COVID-19</w:t>
      </w:r>
    </w:p>
    <w:p>
      <w:pPr>
        <w:spacing w:after="0" w:line="102" w:lineRule="exact"/>
        <w:rPr>
          <w:sz w:val="20"/>
          <w:szCs w:val="20"/>
          <w:color w:val="auto"/>
        </w:rPr>
      </w:pPr>
    </w:p>
    <w:p>
      <w:pPr>
        <w:jc w:val="both"/>
        <w:ind w:right="20" w:firstLine="495"/>
        <w:spacing w:after="0" w:line="329" w:lineRule="auto"/>
        <w:rPr>
          <w:sz w:val="20"/>
          <w:szCs w:val="20"/>
          <w:color w:val="auto"/>
        </w:rPr>
      </w:pPr>
      <w:r>
        <w:rPr>
          <w:rFonts w:ascii="Arial" w:cs="Arial" w:eastAsia="Arial" w:hAnsi="Arial"/>
          <w:sz w:val="13"/>
          <w:szCs w:val="13"/>
          <w:color w:val="auto"/>
        </w:rPr>
        <w:t>The COVID-19 pandemic has disrupted business, trade, commerce, financial and credit markets, in the U.S. and globally. Our business has been adversely impacted by measures taken by government entities and others to control the spread of the virus beginning in March 2020, the last month of our fiscal 2020 year. As an essential business, we provide products and services to ensure energy and lighting infrastructure and we therefore have continued to operate throughout the pandemic. Nonetheless, we did experience a curtailment of activity in the last few weeks of our 2020 fiscal year, including the delay of project installations for our major national account customer.</w:t>
      </w:r>
    </w:p>
    <w:p>
      <w:pPr>
        <w:spacing w:after="0" w:line="122" w:lineRule="exact"/>
        <w:rPr>
          <w:sz w:val="20"/>
          <w:szCs w:val="20"/>
          <w:color w:val="auto"/>
        </w:rPr>
      </w:pPr>
    </w:p>
    <w:p>
      <w:pPr>
        <w:jc w:val="both"/>
        <w:ind w:right="20" w:firstLine="500"/>
        <w:spacing w:after="0" w:line="274" w:lineRule="auto"/>
        <w:rPr>
          <w:sz w:val="20"/>
          <w:szCs w:val="20"/>
          <w:color w:val="auto"/>
        </w:rPr>
      </w:pPr>
      <w:r>
        <w:rPr>
          <w:rFonts w:ascii="Arial" w:cs="Arial" w:eastAsia="Arial" w:hAnsi="Arial"/>
          <w:sz w:val="15"/>
          <w:szCs w:val="15"/>
          <w:color w:val="auto"/>
        </w:rPr>
        <w:t>As part of our recent response to the impacts of the COVID-19, we have taken a number of cost reduction and cash conservation measures, including reducing headcount. While restrictions have begun to lessen in certain jurisdictions during our fiscal 2021 first quarter, stay-at-home or lockdown orders remain in effect in others, with employees asked to work remotely if possible. Some customers and projects are in areas where travel restrictions have been imposed, certain customers have either closed or reduced on-site activities, and timelines for the completion of multiple projects have been extended. As of the date of this report, it is not possible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8" w:name="page9"/>
    <w:bookmarkEnd w:id="8"/>
    <w:p>
      <w:pPr>
        <w:jc w:val="both"/>
        <w:spacing w:after="0" w:line="266" w:lineRule="auto"/>
        <w:rPr>
          <w:sz w:val="20"/>
          <w:szCs w:val="20"/>
          <w:color w:val="auto"/>
        </w:rPr>
      </w:pPr>
      <w:r>
        <w:rPr>
          <w:rFonts w:ascii="Arial" w:cs="Arial" w:eastAsia="Arial" w:hAnsi="Arial"/>
          <w:sz w:val="16"/>
          <w:szCs w:val="16"/>
          <w:color w:val="auto"/>
        </w:rPr>
        <w:t>to predict the overall long-term impact the COVID-19 pandemic will have on our business, liquidity, capital resources or financial results, although our results of operations for at least the first half of fiscal 2021 will be materially adversely affected.</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Growth Strategies</w:t>
      </w:r>
    </w:p>
    <w:p>
      <w:pPr>
        <w:spacing w:after="0" w:line="102" w:lineRule="exact"/>
        <w:rPr>
          <w:sz w:val="20"/>
          <w:szCs w:val="20"/>
          <w:color w:val="auto"/>
        </w:rPr>
      </w:pPr>
    </w:p>
    <w:p>
      <w:pPr>
        <w:jc w:val="both"/>
        <w:ind w:firstLine="495"/>
        <w:spacing w:after="0" w:line="267" w:lineRule="auto"/>
        <w:rPr>
          <w:sz w:val="20"/>
          <w:szCs w:val="20"/>
          <w:color w:val="auto"/>
        </w:rPr>
      </w:pPr>
      <w:r>
        <w:rPr>
          <w:rFonts w:ascii="Arial" w:cs="Arial" w:eastAsia="Arial" w:hAnsi="Arial"/>
          <w:sz w:val="15"/>
          <w:szCs w:val="15"/>
          <w:color w:val="auto"/>
        </w:rPr>
        <w:t>In fiscal 2020, we continued to successfully capitalize on our capability of being a full service, turn-key provider of LED lighting and controls systems with design, build, installation and project management services, including being awarded a very large project for a major national account. To build on this success, we are evolving our business strategy to further leverage this unique capability, while making targeted additions to the scope and nature of our products and services to enhance the value we can provide to our customers. In particular, we are working to develop recurring revenue streams, including lighting and electrical maintenance services, with an emphasis on utilizing control sensor technology to collect data and assist customers in the digitization of this data, along with other potential services. We also plan to expand our “smart-building” and “connected ceiling” IoT capabilities, along with related software and control technology products and services offerings. While we intend to pursue these expansion strategies organically, we also are actively exploring potential acquisitions that could accelerate our progress. Our ability to achieve our desired revenue and profitability goals depends on our ability to manage the adverse impact of COVID-19 and effectively execute on the following key strategic initiatives.</w:t>
      </w:r>
    </w:p>
    <w:p>
      <w:pPr>
        <w:spacing w:after="0" w:line="159"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i w:val="1"/>
          <w:iCs w:val="1"/>
          <w:color w:val="auto"/>
        </w:rPr>
        <w:t xml:space="preserve">Focus on executing and marketing our turnkey LED retrofit capabilities to large national account customers. </w:t>
      </w:r>
      <w:r>
        <w:rPr>
          <w:rFonts w:ascii="Arial" w:cs="Arial" w:eastAsia="Arial" w:hAnsi="Arial"/>
          <w:sz w:val="16"/>
          <w:szCs w:val="16"/>
          <w:color w:val="auto"/>
        </w:rPr>
        <w:t>We believe one of our competitive advantages is our ability</w:t>
      </w:r>
      <w:r>
        <w:rPr>
          <w:rFonts w:ascii="Arial" w:cs="Arial" w:eastAsia="Arial" w:hAnsi="Arial"/>
          <w:sz w:val="16"/>
          <w:szCs w:val="16"/>
          <w:i w:val="1"/>
          <w:iCs w:val="1"/>
          <w:color w:val="auto"/>
        </w:rPr>
        <w:t xml:space="preserve"> </w:t>
      </w:r>
      <w:r>
        <w:rPr>
          <w:rFonts w:ascii="Arial" w:cs="Arial" w:eastAsia="Arial" w:hAnsi="Arial"/>
          <w:sz w:val="16"/>
          <w:szCs w:val="16"/>
          <w:color w:val="auto"/>
        </w:rPr>
        <w:t>to deliver full turnkey LED lighting project capabilities starting with energy audits and site assessments that lead to custom engineering and manufacturing through to fully managed installations. These attributes coupled with our superior customer service, high quality designs and expedited delivery responsiveness resulted in our contract to retrofit multiple locations for a single national account in fiscal 2020.</w:t>
      </w:r>
    </w:p>
    <w:p>
      <w:pPr>
        <w:spacing w:after="0" w:line="169" w:lineRule="exact"/>
        <w:rPr>
          <w:sz w:val="20"/>
          <w:szCs w:val="20"/>
          <w:color w:val="auto"/>
        </w:rPr>
      </w:pPr>
    </w:p>
    <w:p>
      <w:pPr>
        <w:jc w:val="both"/>
        <w:ind w:right="20" w:firstLine="500"/>
        <w:spacing w:after="0" w:line="271" w:lineRule="auto"/>
        <w:rPr>
          <w:sz w:val="20"/>
          <w:szCs w:val="20"/>
          <w:color w:val="auto"/>
        </w:rPr>
      </w:pPr>
      <w:r>
        <w:rPr>
          <w:rFonts w:ascii="Arial" w:cs="Arial" w:eastAsia="Arial" w:hAnsi="Arial"/>
          <w:sz w:val="15"/>
          <w:szCs w:val="15"/>
          <w:i w:val="1"/>
          <w:iCs w:val="1"/>
          <w:color w:val="auto"/>
        </w:rPr>
        <w:t xml:space="preserve">Continue Product Innovation. </w:t>
      </w:r>
      <w:r>
        <w:rPr>
          <w:rFonts w:ascii="Arial" w:cs="Arial" w:eastAsia="Arial" w:hAnsi="Arial"/>
          <w:sz w:val="15"/>
          <w:szCs w:val="15"/>
          <w:color w:val="auto"/>
        </w:rPr>
        <w:t>We continue to innovate, developing lighting fixtures and features that address specific customer requirements, while also working to</w:t>
      </w:r>
      <w:r>
        <w:rPr>
          <w:rFonts w:ascii="Arial" w:cs="Arial" w:eastAsia="Arial" w:hAnsi="Arial"/>
          <w:sz w:val="15"/>
          <w:szCs w:val="15"/>
          <w:i w:val="1"/>
          <w:iCs w:val="1"/>
          <w:color w:val="auto"/>
        </w:rPr>
        <w:t xml:space="preserve"> </w:t>
      </w:r>
      <w:r>
        <w:rPr>
          <w:rFonts w:ascii="Arial" w:cs="Arial" w:eastAsia="Arial" w:hAnsi="Arial"/>
          <w:sz w:val="15"/>
          <w:szCs w:val="15"/>
          <w:color w:val="auto"/>
        </w:rPr>
        <w:t>maintain a leadership position in energy efficiency, smart product design and installation benefits. For interior building applications, we have recently relaunched our antimicrobial troffer fixture which supports the suppression of bacteria, mold, fungi, and mildew, and are currently developing an air circulation troffer to support improved air circulation. We also continue to deepen our capabilities in the integration of smart lighting controls. Our goal is to provide state-of-the-art lighting products with modular plug-and-play designs to enable lighting system customization from basic controls to advanced IoT capabilities.</w:t>
      </w:r>
    </w:p>
    <w:p>
      <w:pPr>
        <w:spacing w:after="0" w:line="156" w:lineRule="exact"/>
        <w:rPr>
          <w:sz w:val="20"/>
          <w:szCs w:val="20"/>
          <w:color w:val="auto"/>
        </w:rPr>
      </w:pPr>
    </w:p>
    <w:p>
      <w:pPr>
        <w:jc w:val="both"/>
        <w:ind w:firstLine="500"/>
        <w:spacing w:after="0" w:line="329" w:lineRule="auto"/>
        <w:rPr>
          <w:sz w:val="20"/>
          <w:szCs w:val="20"/>
          <w:color w:val="auto"/>
        </w:rPr>
      </w:pPr>
      <w:r>
        <w:rPr>
          <w:rFonts w:ascii="Arial" w:cs="Arial" w:eastAsia="Arial" w:hAnsi="Arial"/>
          <w:sz w:val="13"/>
          <w:szCs w:val="13"/>
          <w:i w:val="1"/>
          <w:iCs w:val="1"/>
          <w:color w:val="auto"/>
        </w:rPr>
        <w:t xml:space="preserve">Leverage Orion’s Smart Lighting Systems to Support Internet of Things Applications. </w:t>
      </w:r>
      <w:r>
        <w:rPr>
          <w:rFonts w:ascii="Arial" w:cs="Arial" w:eastAsia="Arial" w:hAnsi="Arial"/>
          <w:sz w:val="13"/>
          <w:szCs w:val="13"/>
          <w:color w:val="auto"/>
        </w:rPr>
        <w:t>We believe we are ideally positioned to help customers to efficiently deploy new IoT</w:t>
      </w:r>
      <w:r>
        <w:rPr>
          <w:rFonts w:ascii="Arial" w:cs="Arial" w:eastAsia="Arial" w:hAnsi="Arial"/>
          <w:sz w:val="13"/>
          <w:szCs w:val="13"/>
          <w:i w:val="1"/>
          <w:iCs w:val="1"/>
          <w:color w:val="auto"/>
        </w:rPr>
        <w:t xml:space="preserve"> </w:t>
      </w:r>
      <w:r>
        <w:rPr>
          <w:rFonts w:ascii="Arial" w:cs="Arial" w:eastAsia="Arial" w:hAnsi="Arial"/>
          <w:sz w:val="13"/>
          <w:szCs w:val="13"/>
          <w:color w:val="auto"/>
        </w:rPr>
        <w:t>controls and applications by leveraging the “Smart Ceiling” capabilities of their Orion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 providing our customers with a path to digitization for their business operations.</w:t>
      </w:r>
    </w:p>
    <w:p>
      <w:pPr>
        <w:spacing w:after="0" w:line="122" w:lineRule="exact"/>
        <w:rPr>
          <w:sz w:val="20"/>
          <w:szCs w:val="20"/>
          <w:color w:val="auto"/>
        </w:rPr>
      </w:pPr>
    </w:p>
    <w:p>
      <w:pPr>
        <w:jc w:val="both"/>
        <w:ind w:firstLine="500"/>
        <w:spacing w:after="0" w:line="342" w:lineRule="auto"/>
        <w:rPr>
          <w:sz w:val="20"/>
          <w:szCs w:val="20"/>
          <w:color w:val="auto"/>
        </w:rPr>
      </w:pPr>
      <w:r>
        <w:rPr>
          <w:rFonts w:ascii="Arial" w:cs="Arial" w:eastAsia="Arial" w:hAnsi="Arial"/>
          <w:sz w:val="13"/>
          <w:szCs w:val="13"/>
          <w:i w:val="1"/>
          <w:iCs w:val="1"/>
          <w:color w:val="auto"/>
        </w:rPr>
        <w:t xml:space="preserve">Develop Maintenance Service Offerings. </w:t>
      </w:r>
      <w:r>
        <w:rPr>
          <w:rFonts w:ascii="Arial" w:cs="Arial" w:eastAsia="Arial" w:hAnsi="Arial"/>
          <w:sz w:val="13"/>
          <w:szCs w:val="13"/>
          <w:color w:val="auto"/>
        </w:rPr>
        <w:t>We believe we can leverage our construction management process expertise to develop a high-quality, quick-response, multi-location maintenance service offering. Our experience with large national customers and our large installed base of fixtures position us well to extend a maintenance offering to historical customers, as well as to new customers. Development of this recurring revenue stream is in the preliminary stage, but we believe there is significant market opportunity.</w:t>
      </w:r>
    </w:p>
    <w:p>
      <w:pPr>
        <w:spacing w:after="0" w:line="114"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i w:val="1"/>
          <w:iCs w:val="1"/>
          <w:color w:val="auto"/>
        </w:rPr>
        <w:t xml:space="preserve">Support success of our ESCO and agent driven distribution sales channels. </w:t>
      </w:r>
      <w:r>
        <w:rPr>
          <w:rFonts w:ascii="Arial" w:cs="Arial" w:eastAsia="Arial" w:hAnsi="Arial"/>
          <w:sz w:val="16"/>
          <w:szCs w:val="16"/>
          <w:color w:val="auto"/>
        </w:rPr>
        <w:t>We continue to focus on building our relationships and product and sales support for our ESCO</w:t>
      </w:r>
      <w:r>
        <w:rPr>
          <w:rFonts w:ascii="Arial" w:cs="Arial" w:eastAsia="Arial" w:hAnsi="Arial"/>
          <w:sz w:val="16"/>
          <w:szCs w:val="16"/>
          <w:i w:val="1"/>
          <w:iCs w:val="1"/>
          <w:color w:val="auto"/>
        </w:rPr>
        <w:t xml:space="preserve"> </w:t>
      </w:r>
      <w:r>
        <w:rPr>
          <w:rFonts w:ascii="Arial" w:cs="Arial" w:eastAsia="Arial" w:hAnsi="Arial"/>
          <w:sz w:val="16"/>
          <w:szCs w:val="16"/>
          <w:color w:val="auto"/>
        </w:rPr>
        <w:t>and agent driven distribution channels. These efforts include an array of product and sales training efforts as well as the development of new products to cater to the unique needs of these sales channels.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and Services</w:t>
      </w:r>
    </w:p>
    <w:p>
      <w:pPr>
        <w:spacing w:after="0" w:line="102" w:lineRule="exact"/>
        <w:rPr>
          <w:sz w:val="20"/>
          <w:szCs w:val="20"/>
          <w:color w:val="auto"/>
        </w:rPr>
      </w:pPr>
    </w:p>
    <w:p>
      <w:pPr>
        <w:jc w:val="both"/>
        <w:ind w:right="20" w:firstLine="495"/>
        <w:spacing w:after="0" w:line="266" w:lineRule="auto"/>
        <w:rPr>
          <w:sz w:val="20"/>
          <w:szCs w:val="20"/>
          <w:color w:val="auto"/>
        </w:rPr>
      </w:pPr>
      <w:r>
        <w:rPr>
          <w:rFonts w:ascii="Arial" w:cs="Arial" w:eastAsia="Arial" w:hAnsi="Arial"/>
          <w:sz w:val="16"/>
          <w:szCs w:val="16"/>
          <w:color w:val="auto"/>
        </w:rPr>
        <w:t>Our primary focus has been the sale of our LED lighting fixtures with integrated controls technology and related installation services. We will continue to focus on these products and services, as well as the development of a maintenance service offering.</w:t>
      </w:r>
    </w:p>
    <w:p>
      <w:pPr>
        <w:spacing w:after="0" w:line="63"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Currently, substantially all of our products are manufactured at our leased production facility location in Manitowoc, Wisconsin, although as the LED market continues to evolve, we also source products and components from third parties in order to have versatility in our product development. We are focused on researching, developing and/or acquiring new innovative LED products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9" w:name="page10"/>
    <w:bookmarkEnd w:id="9"/>
    <w:p>
      <w:pPr>
        <w:jc w:val="both"/>
        <w:ind w:right="20"/>
        <w:spacing w:after="0" w:line="266" w:lineRule="auto"/>
        <w:rPr>
          <w:sz w:val="20"/>
          <w:szCs w:val="20"/>
          <w:color w:val="auto"/>
        </w:rPr>
      </w:pPr>
      <w:r>
        <w:rPr>
          <w:rFonts w:ascii="Arial" w:cs="Arial" w:eastAsia="Arial" w:hAnsi="Arial"/>
          <w:sz w:val="16"/>
          <w:szCs w:val="16"/>
          <w:color w:val="auto"/>
        </w:rPr>
        <w:t>technologies for the retrofit markets. We plan to focus our efforts on developing creative new LED retrofit products in order to offer our customers a variety of integrated energy management services, such as system design, project management and installation.</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Products</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is a description of our primary products:</w:t>
      </w:r>
    </w:p>
    <w:p>
      <w:pPr>
        <w:spacing w:after="0" w:line="193" w:lineRule="exact"/>
        <w:rPr>
          <w:sz w:val="20"/>
          <w:szCs w:val="20"/>
          <w:color w:val="auto"/>
        </w:rPr>
      </w:pPr>
    </w:p>
    <w:p>
      <w:pPr>
        <w:jc w:val="both"/>
        <w:ind w:firstLine="500"/>
        <w:spacing w:after="0" w:line="315" w:lineRule="auto"/>
        <w:rPr>
          <w:sz w:val="20"/>
          <w:szCs w:val="20"/>
          <w:color w:val="auto"/>
        </w:rPr>
      </w:pPr>
      <w:r>
        <w:rPr>
          <w:rFonts w:ascii="Arial" w:cs="Arial" w:eastAsia="Arial" w:hAnsi="Arial"/>
          <w:sz w:val="13"/>
          <w:szCs w:val="13"/>
          <w:i w:val="1"/>
          <w:iCs w:val="1"/>
          <w:color w:val="auto"/>
        </w:rPr>
        <w:t xml:space="preserve">Interior LED High Bay Fixtures: </w:t>
      </w:r>
      <w:r>
        <w:rPr>
          <w:rFonts w:ascii="Arial" w:cs="Arial" w:eastAsia="Arial" w:hAnsi="Arial"/>
          <w:sz w:val="13"/>
          <w:szCs w:val="13"/>
          <w:color w:val="auto"/>
        </w:rPr>
        <w:t>Our LED interior high bay lighting products consist of our Harris high bay, Apollo</w:t>
      </w:r>
      <w:r>
        <w:rPr>
          <w:rFonts w:ascii="Arial" w:cs="Arial" w:eastAsia="Arial" w:hAnsi="Arial"/>
          <w:sz w:val="11"/>
          <w:szCs w:val="11"/>
          <w:color w:val="auto"/>
        </w:rPr>
        <w:t>TM</w:t>
      </w:r>
      <w:r>
        <w:rPr>
          <w:rFonts w:ascii="Arial" w:cs="Arial" w:eastAsia="Arial" w:hAnsi="Arial"/>
          <w:sz w:val="13"/>
          <w:szCs w:val="13"/>
          <w:i w:val="1"/>
          <w:iCs w:val="1"/>
          <w:color w:val="auto"/>
        </w:rPr>
        <w:t xml:space="preserve"> </w:t>
      </w:r>
      <w:r>
        <w:rPr>
          <w:rFonts w:ascii="Arial" w:cs="Arial" w:eastAsia="Arial" w:hAnsi="Arial"/>
          <w:sz w:val="13"/>
          <w:szCs w:val="13"/>
          <w:color w:val="auto"/>
        </w:rPr>
        <w:t>high bay and ISON® high bay products. Our</w:t>
      </w:r>
      <w:r>
        <w:rPr>
          <w:rFonts w:ascii="Arial" w:cs="Arial" w:eastAsia="Arial" w:hAnsi="Arial"/>
          <w:sz w:val="13"/>
          <w:szCs w:val="13"/>
          <w:i w:val="1"/>
          <w:iCs w:val="1"/>
          <w:color w:val="auto"/>
        </w:rPr>
        <w:t xml:space="preserve"> </w:t>
      </w:r>
      <w:r>
        <w:rPr>
          <w:rFonts w:ascii="Arial" w:cs="Arial" w:eastAsia="Arial" w:hAnsi="Arial"/>
          <w:sz w:val="13"/>
          <w:szCs w:val="13"/>
          <w:color w:val="auto"/>
        </w:rPr>
        <w:t>ISON® class of LED interior fixture offers a full package of premium features, including low total cost of ownership, optics that currently exceed competitors in terms of lumen package, delivered light, modularity and advanced thermal management. Our third generation of ISON® class of LED interior fixture delivers up to an exceptional 214 lumens per watt. This advancement means our customers can get more light with less energy, and sometimes fewer fixtures, compared to other products on the market. Our Apollo</w:t>
      </w:r>
      <w:r>
        <w:rPr>
          <w:rFonts w:ascii="Arial" w:cs="Arial" w:eastAsia="Arial" w:hAnsi="Arial"/>
          <w:sz w:val="11"/>
          <w:szCs w:val="11"/>
          <w:color w:val="auto"/>
        </w:rPr>
        <w:t>TM</w:t>
      </w:r>
      <w:r>
        <w:rPr>
          <w:rFonts w:ascii="Arial" w:cs="Arial" w:eastAsia="Arial" w:hAnsi="Arial"/>
          <w:sz w:val="13"/>
          <w:szCs w:val="13"/>
          <w:color w:val="auto"/>
        </w:rPr>
        <w:t xml:space="preserve"> class of LED interior fixtures is designed for new construction and retrofit projects where initial cost is the largest factor in the purchase decision. Our Harris high bay is ideal for customers seeking a cost-effective solution to deliver energy savings and maintenance reductions. In addition, our LED interior lighting products are lightweight and easy to handle, which further reduces installation and maintenance costs and helps to build brand loyalty with electrical contractors and installers.</w:t>
      </w:r>
    </w:p>
    <w:p>
      <w:pPr>
        <w:spacing w:after="0" w:line="133"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i w:val="1"/>
          <w:iCs w:val="1"/>
          <w:color w:val="auto"/>
        </w:rPr>
        <w:t xml:space="preserve">Smart Lighting Controls. </w:t>
      </w:r>
      <w:r>
        <w:rPr>
          <w:rFonts w:ascii="Arial" w:cs="Arial" w:eastAsia="Arial" w:hAnsi="Arial"/>
          <w:sz w:val="16"/>
          <w:szCs w:val="16"/>
          <w:color w:val="auto"/>
        </w:rPr>
        <w:t>We offer a broad array of smart building control systems. These control systems provide both lighting control options (such as occupancy,</w:t>
      </w:r>
      <w:r>
        <w:rPr>
          <w:rFonts w:ascii="Arial" w:cs="Arial" w:eastAsia="Arial" w:hAnsi="Arial"/>
          <w:sz w:val="16"/>
          <w:szCs w:val="16"/>
          <w:i w:val="1"/>
          <w:iCs w:val="1"/>
          <w:color w:val="auto"/>
        </w:rPr>
        <w:t xml:space="preserve"> </w:t>
      </w:r>
      <w:r>
        <w:rPr>
          <w:rFonts w:ascii="Arial" w:cs="Arial" w:eastAsia="Arial" w:hAnsi="Arial"/>
          <w:sz w:val="16"/>
          <w:szCs w:val="16"/>
          <w:color w:val="auto"/>
        </w:rPr>
        <w:t>daylight, or schedule control) and data intelligence capabilities for building managers to log, monitor, and analyze use of space, energy savings, and provide physical security of the space.</w:t>
      </w:r>
    </w:p>
    <w:p>
      <w:pPr>
        <w:spacing w:after="0" w:line="167" w:lineRule="exact"/>
        <w:rPr>
          <w:sz w:val="20"/>
          <w:szCs w:val="20"/>
          <w:color w:val="auto"/>
        </w:rPr>
      </w:pPr>
    </w:p>
    <w:p>
      <w:pPr>
        <w:jc w:val="both"/>
        <w:ind w:firstLine="495"/>
        <w:spacing w:after="0" w:line="280" w:lineRule="auto"/>
        <w:rPr>
          <w:sz w:val="20"/>
          <w:szCs w:val="20"/>
          <w:color w:val="auto"/>
        </w:rPr>
      </w:pPr>
      <w:r>
        <w:rPr>
          <w:rFonts w:ascii="Arial" w:cs="Arial" w:eastAsia="Arial" w:hAnsi="Arial"/>
          <w:sz w:val="15"/>
          <w:szCs w:val="15"/>
          <w:i w:val="1"/>
          <w:iCs w:val="1"/>
          <w:color w:val="auto"/>
        </w:rPr>
        <w:t>The LED Troffer Door Retrofit (LDR</w:t>
      </w:r>
      <w:r>
        <w:rPr>
          <w:rFonts w:ascii="Arial" w:cs="Arial" w:eastAsia="Arial" w:hAnsi="Arial"/>
          <w:sz w:val="12"/>
          <w:szCs w:val="12"/>
          <w:i w:val="1"/>
          <w:iCs w:val="1"/>
          <w:color w:val="auto"/>
        </w:rPr>
        <w:t>TM</w:t>
      </w:r>
      <w:r>
        <w:rPr>
          <w:rFonts w:ascii="Arial" w:cs="Arial" w:eastAsia="Arial" w:hAnsi="Arial"/>
          <w:sz w:val="15"/>
          <w:szCs w:val="15"/>
          <w:i w:val="1"/>
          <w:iCs w:val="1"/>
          <w:color w:val="auto"/>
        </w:rPr>
        <w:t xml:space="preserve">): </w:t>
      </w:r>
      <w:r>
        <w:rPr>
          <w:rFonts w:ascii="Arial" w:cs="Arial" w:eastAsia="Arial" w:hAnsi="Arial"/>
          <w:sz w:val="15"/>
          <w:szCs w:val="15"/>
          <w:color w:val="auto"/>
        </w:rPr>
        <w:t>The LDR</w:t>
      </w:r>
      <w:r>
        <w:rPr>
          <w:rFonts w:ascii="Arial" w:cs="Arial" w:eastAsia="Arial" w:hAnsi="Arial"/>
          <w:sz w:val="12"/>
          <w:szCs w:val="12"/>
          <w:color w:val="auto"/>
        </w:rPr>
        <w:t>TM</w:t>
      </w:r>
      <w:r>
        <w:rPr>
          <w:rFonts w:ascii="Arial" w:cs="Arial" w:eastAsia="Arial" w:hAnsi="Arial"/>
          <w:sz w:val="15"/>
          <w:szCs w:val="15"/>
          <w:i w:val="1"/>
          <w:iCs w:val="1"/>
          <w:color w:val="auto"/>
        </w:rPr>
        <w:t xml:space="preserve"> </w:t>
      </w:r>
      <w:r>
        <w:rPr>
          <w:rFonts w:ascii="Arial" w:cs="Arial" w:eastAsia="Arial" w:hAnsi="Arial"/>
          <w:sz w:val="15"/>
          <w:szCs w:val="15"/>
          <w:color w:val="auto"/>
        </w:rPr>
        <w:t>is designed to replace existing 4 foot by 2 foot and 2 foot by 2 foot fluorescent troffers that are frequently found in</w:t>
      </w:r>
      <w:r>
        <w:rPr>
          <w:rFonts w:ascii="Arial" w:cs="Arial" w:eastAsia="Arial" w:hAnsi="Arial"/>
          <w:sz w:val="15"/>
          <w:szCs w:val="15"/>
          <w:i w:val="1"/>
          <w:iCs w:val="1"/>
          <w:color w:val="auto"/>
        </w:rPr>
        <w:t xml:space="preserve"> </w:t>
      </w:r>
      <w:r>
        <w:rPr>
          <w:rFonts w:ascii="Arial" w:cs="Arial" w:eastAsia="Arial" w:hAnsi="Arial"/>
          <w:sz w:val="15"/>
          <w:szCs w:val="15"/>
          <w:color w:val="auto"/>
        </w:rPr>
        <w:t>office or retail grid ceilings. Our LDR</w:t>
      </w:r>
      <w:r>
        <w:rPr>
          <w:rFonts w:ascii="Arial" w:cs="Arial" w:eastAsia="Arial" w:hAnsi="Arial"/>
          <w:sz w:val="12"/>
          <w:szCs w:val="12"/>
          <w:color w:val="auto"/>
        </w:rPr>
        <w:t>TM</w:t>
      </w:r>
      <w:r>
        <w:rPr>
          <w:rFonts w:ascii="Arial" w:cs="Arial" w:eastAsia="Arial" w:hAnsi="Arial"/>
          <w:sz w:val="15"/>
          <w:szCs w:val="15"/>
          <w:color w:val="auto"/>
        </w:rPr>
        <w:t xml:space="preserve"> product is unique in that the LED optics and electronics are housed within the doorframe that allows for installation of the product in approximately one to two minutes. Our LDR</w:t>
      </w:r>
      <w:r>
        <w:rPr>
          <w:rFonts w:ascii="Arial" w:cs="Arial" w:eastAsia="Arial" w:hAnsi="Arial"/>
          <w:sz w:val="12"/>
          <w:szCs w:val="12"/>
          <w:color w:val="auto"/>
        </w:rPr>
        <w:t>TM</w:t>
      </w:r>
      <w:r>
        <w:rPr>
          <w:rFonts w:ascii="Arial" w:cs="Arial" w:eastAsia="Arial" w:hAnsi="Arial"/>
          <w:sz w:val="15"/>
          <w:szCs w:val="15"/>
          <w:color w:val="auto"/>
        </w:rPr>
        <w:t xml:space="preserve"> product also provides reduced maintenance expenses based upon improved LED chips.</w:t>
      </w:r>
    </w:p>
    <w:p>
      <w:pPr>
        <w:spacing w:after="0" w:line="149"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i w:val="1"/>
          <w:iCs w:val="1"/>
          <w:color w:val="auto"/>
        </w:rPr>
        <w:t xml:space="preserve">Other Products. </w:t>
      </w:r>
      <w:r>
        <w:rPr>
          <w:rFonts w:ascii="Arial" w:cs="Arial" w:eastAsia="Arial" w:hAnsi="Arial"/>
          <w:sz w:val="16"/>
          <w:szCs w:val="16"/>
          <w:color w:val="auto"/>
        </w:rPr>
        <w:t>We also offer our customers a variety of other LED and HIF fixtures to address their lighting and energy management needs, including fixtures designed</w:t>
      </w:r>
      <w:r>
        <w:rPr>
          <w:rFonts w:ascii="Arial" w:cs="Arial" w:eastAsia="Arial" w:hAnsi="Arial"/>
          <w:sz w:val="16"/>
          <w:szCs w:val="16"/>
          <w:i w:val="1"/>
          <w:iCs w:val="1"/>
          <w:color w:val="auto"/>
        </w:rPr>
        <w:t xml:space="preserve"> </w:t>
      </w:r>
      <w:r>
        <w:rPr>
          <w:rFonts w:ascii="Arial" w:cs="Arial" w:eastAsia="Arial" w:hAnsi="Arial"/>
          <w:sz w:val="16"/>
          <w:szCs w:val="16"/>
          <w:color w:val="auto"/>
        </w:rPr>
        <w:t>for agribusinesses, parking lots, roadways, retail, mezzanine, outdoor applications and private label resale.</w:t>
      </w:r>
    </w:p>
    <w:p>
      <w:pPr>
        <w:spacing w:after="0" w:line="157" w:lineRule="exact"/>
        <w:rPr>
          <w:sz w:val="20"/>
          <w:szCs w:val="20"/>
          <w:color w:val="auto"/>
        </w:rPr>
      </w:pPr>
    </w:p>
    <w:p>
      <w:pPr>
        <w:jc w:val="both"/>
        <w:ind w:right="20" w:firstLine="495"/>
        <w:spacing w:after="0" w:line="274" w:lineRule="auto"/>
        <w:rPr>
          <w:sz w:val="20"/>
          <w:szCs w:val="20"/>
          <w:color w:val="auto"/>
        </w:rPr>
      </w:pPr>
      <w:r>
        <w:rPr>
          <w:rFonts w:ascii="Arial" w:cs="Arial" w:eastAsia="Arial" w:hAnsi="Arial"/>
          <w:sz w:val="15"/>
          <w:szCs w:val="15"/>
          <w:i w:val="1"/>
          <w:iCs w:val="1"/>
          <w:color w:val="auto"/>
        </w:rPr>
        <w:t>Warranty Policy</w:t>
      </w:r>
      <w:r>
        <w:rPr>
          <w:rFonts w:ascii="Arial" w:cs="Arial" w:eastAsia="Arial" w:hAnsi="Arial"/>
          <w:sz w:val="15"/>
          <w:szCs w:val="15"/>
          <w:color w:val="auto"/>
        </w:rPr>
        <w:t>. Our warranty policy generally provides for a limited one-year warranty on our HIF products and a limited five-year warranty on our LED products,</w:t>
      </w:r>
      <w:r>
        <w:rPr>
          <w:rFonts w:ascii="Arial" w:cs="Arial" w:eastAsia="Arial" w:hAnsi="Arial"/>
          <w:sz w:val="15"/>
          <w:szCs w:val="15"/>
          <w:i w:val="1"/>
          <w:iCs w:val="1"/>
          <w:color w:val="auto"/>
        </w:rPr>
        <w:t xml:space="preserve"> </w:t>
      </w:r>
      <w:r>
        <w:rPr>
          <w:rFonts w:ascii="Arial" w:cs="Arial" w:eastAsia="Arial" w:hAnsi="Arial"/>
          <w:sz w:val="15"/>
          <w:szCs w:val="15"/>
          <w:color w:val="auto"/>
        </w:rPr>
        <w:t>although we do offer warranties ranging up to 10 years for certain LED products. Ballasts, lamps, drivers, LED chips and other electrical components are excluded from our standard warranty as they are covered by separate warranties offered by the original equipment manufacturers. We coordinate and process customer warranty inquiries and claims, including inquiries and claims relating to ballast and lamp components, through our customer service department.</w:t>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Services</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provide a range of fee-based lighting-related energy management services to our customers, including:</w:t>
      </w:r>
    </w:p>
    <w:p>
      <w:pPr>
        <w:spacing w:after="0" w:line="98" w:lineRule="exact"/>
        <w:rPr>
          <w:sz w:val="20"/>
          <w:szCs w:val="20"/>
          <w:color w:val="auto"/>
        </w:rPr>
      </w:pPr>
    </w:p>
    <w:p>
      <w:pPr>
        <w:ind w:left="860" w:right="20" w:hanging="372"/>
        <w:spacing w:after="0" w:line="266"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comprehensive site assessment, which includes a review of the current lighting and controls including IoT enabled devices requirements and energy usage at the customer’s facility;</w:t>
      </w:r>
    </w:p>
    <w:p>
      <w:pPr>
        <w:spacing w:after="0" w:line="62" w:lineRule="exact"/>
        <w:rPr>
          <w:rFonts w:ascii="Arial" w:cs="Arial" w:eastAsia="Arial" w:hAnsi="Arial"/>
          <w:sz w:val="16"/>
          <w:szCs w:val="16"/>
          <w:color w:val="auto"/>
        </w:rPr>
      </w:pPr>
    </w:p>
    <w:p>
      <w:pPr>
        <w:ind w:left="860" w:hanging="372"/>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site field verification, or SFV, during which we perform a test implementation of our energy management system at a customer’s facility;</w:t>
      </w:r>
    </w:p>
    <w:p>
      <w:pPr>
        <w:spacing w:after="0" w:line="98" w:lineRule="exact"/>
        <w:rPr>
          <w:rFonts w:ascii="Arial" w:cs="Arial" w:eastAsia="Arial" w:hAnsi="Arial"/>
          <w:sz w:val="16"/>
          <w:szCs w:val="16"/>
          <w:color w:val="auto"/>
        </w:rPr>
      </w:pPr>
    </w:p>
    <w:p>
      <w:pPr>
        <w:ind w:left="860" w:right="20" w:hanging="372"/>
        <w:spacing w:after="0" w:line="266"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utility incentive and government subsidy management, where we assist our customers in identifying, applying for and obtaining available utility incentives or government subsidies;</w:t>
      </w:r>
    </w:p>
    <w:p>
      <w:pPr>
        <w:spacing w:after="0" w:line="62" w:lineRule="exact"/>
        <w:rPr>
          <w:rFonts w:ascii="Arial" w:cs="Arial" w:eastAsia="Arial" w:hAnsi="Arial"/>
          <w:sz w:val="16"/>
          <w:szCs w:val="16"/>
          <w:color w:val="auto"/>
        </w:rPr>
      </w:pPr>
    </w:p>
    <w:p>
      <w:pPr>
        <w:ind w:left="860" w:right="20" w:hanging="372"/>
        <w:spacing w:after="0" w:line="299" w:lineRule="auto"/>
        <w:tabs>
          <w:tab w:leader="none" w:pos="860" w:val="left"/>
        </w:tabs>
        <w:numPr>
          <w:ilvl w:val="0"/>
          <w:numId w:val="5"/>
        </w:numPr>
        <w:rPr>
          <w:rFonts w:ascii="Arial" w:cs="Arial" w:eastAsia="Arial" w:hAnsi="Arial"/>
          <w:sz w:val="15"/>
          <w:szCs w:val="15"/>
          <w:color w:val="auto"/>
        </w:rPr>
      </w:pPr>
      <w:r>
        <w:rPr>
          <w:rFonts w:ascii="Arial" w:cs="Arial" w:eastAsia="Arial" w:hAnsi="Arial"/>
          <w:sz w:val="15"/>
          <w:szCs w:val="15"/>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40" w:lineRule="exact"/>
        <w:rPr>
          <w:rFonts w:ascii="Arial" w:cs="Arial" w:eastAsia="Arial" w:hAnsi="Arial"/>
          <w:sz w:val="15"/>
          <w:szCs w:val="15"/>
          <w:color w:val="auto"/>
        </w:rPr>
      </w:pPr>
    </w:p>
    <w:p>
      <w:pPr>
        <w:ind w:left="860" w:right="20" w:hanging="372"/>
        <w:spacing w:after="0" w:line="266"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project management, which involves us working with the electrical contractor in overseeing and managing all phases of implementation from delivery through installation for a single facility or through multi-facility roll-outs tied to a defined project schedule;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10" w:name="page11"/>
    <w:bookmarkEnd w:id="10"/>
    <w:p>
      <w:pPr>
        <w:ind w:left="860" w:hanging="372"/>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installation services, for our products, which we provide through our national network of qualified third-party installers;</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complete facility design commissioning of IoT enabled control devices; and</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recycling in connection with our retrofit installations, where we remove, dispose of and recycle our customer’s legacy lighting fixtures.</w:t>
      </w:r>
    </w:p>
    <w:p>
      <w:pPr>
        <w:spacing w:after="0" w:line="193"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We also provide other services that comprise a small amount of our revenue. These services primarily include management and control of power quality and remote monitoring and control of our installed systems. We also sell and distribute replacement lamps and fixture components into the after-market.</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Customers</w:t>
      </w:r>
    </w:p>
    <w:p>
      <w:pPr>
        <w:spacing w:after="0" w:line="102"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5"/>
          <w:szCs w:val="15"/>
          <w:color w:val="auto"/>
        </w:rPr>
        <w:t>We primarily target commercial, institutional and industrial customers who have warehousing, retail, manufacturing, and office facilities. In fiscal 2018, two customers accounted for 11.7% and 10.8% of our total revenue, respectively. In fiscal 2019, one customer accounted for 20.7% of our total revenue. In fiscal 2020, this same customer accounted for 74.1% of our total revenue. We expect that we will continue to experience significant customer concentration in fiscal 2021, particularly as we focus on our large customer multi-location retrofit program. While we continue to seek to diversify our customer base by expanding our reach to national accounts, ESCOs and the agent driven distribution channel, we expect to continue to derive a significant percentage of our revenue from contracts with one or a few customers. These contracts are entered into in the ordinary course of business and provide that we will deliver products and services on a work order or purchase order basis and any purchase order may be terminated prior to shipment. These contracts generally do not guarantee that the customer will buy our products or services.</w:t>
      </w:r>
    </w:p>
    <w:p>
      <w:pPr>
        <w:spacing w:after="0" w:line="158" w:lineRule="exact"/>
        <w:rPr>
          <w:sz w:val="20"/>
          <w:szCs w:val="20"/>
          <w:color w:val="auto"/>
        </w:rPr>
      </w:pPr>
    </w:p>
    <w:p>
      <w:pPr>
        <w:jc w:val="both"/>
        <w:ind w:firstLine="500"/>
        <w:spacing w:after="0" w:line="274" w:lineRule="auto"/>
        <w:rPr>
          <w:sz w:val="20"/>
          <w:szCs w:val="20"/>
          <w:color w:val="auto"/>
        </w:rPr>
      </w:pPr>
      <w:r>
        <w:rPr>
          <w:rFonts w:ascii="Arial" w:cs="Arial" w:eastAsia="Arial" w:hAnsi="Arial"/>
          <w:sz w:val="15"/>
          <w:szCs w:val="15"/>
          <w:color w:val="auto"/>
        </w:rPr>
        <w:t>The amount and concentration of our revenues with one or more customer may fluctuate on a year to year or quarter to quarter basis depending on the number of purchase orders issued by our customers. The loss of a significant customer or the termination of a material volume of purchase orders (or the underlying agreements) could have a material adverse effect on our results of operations. Additionally, the COVID-19 pandemic has resulted in the delay of multiple customer projects, and we expect these resulting delays will have a material adverse effect on our results of operations in at least the first half fiscal 2021.</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02" w:lineRule="exact"/>
        <w:rPr>
          <w:sz w:val="20"/>
          <w:szCs w:val="20"/>
          <w:color w:val="auto"/>
        </w:rPr>
      </w:pPr>
    </w:p>
    <w:p>
      <w:pPr>
        <w:jc w:val="both"/>
        <w:ind w:right="20" w:firstLine="500"/>
        <w:spacing w:after="0" w:line="322" w:lineRule="auto"/>
        <w:rPr>
          <w:sz w:val="20"/>
          <w:szCs w:val="20"/>
          <w:color w:val="auto"/>
        </w:rPr>
      </w:pPr>
      <w:r>
        <w:rPr>
          <w:rFonts w:ascii="Arial" w:cs="Arial" w:eastAsia="Arial" w:hAnsi="Arial"/>
          <w:sz w:val="13"/>
          <w:szCs w:val="13"/>
          <w:color w:val="auto"/>
        </w:rPr>
        <w:t>We sell our products in one of three ways: (i) directly with our relationships with our national account partners; (ii) indirectly through independent sales agencies and broadline North American distributors; and (iii) through ESCOs. Our ODS segment focuses on developing and expanding customer relationships with independent manufacturer’s agents and broadline distributors. As of the end of fiscal 2020 we had 33 independent lighting agencies representing us in substantially all of North America expanding our reach with broadline distributors. We attempt to leverage the customer relationships of these distributors to further extend the geographic scope of our selling efforts. We work cooperatively with our indirect channels through participation in national trade organizations and by providing training on our sales methodologies.</w:t>
      </w:r>
    </w:p>
    <w:p>
      <w:pPr>
        <w:spacing w:after="0" w:line="127" w:lineRule="exact"/>
        <w:rPr>
          <w:sz w:val="20"/>
          <w:szCs w:val="20"/>
          <w:color w:val="auto"/>
        </w:rPr>
      </w:pPr>
    </w:p>
    <w:p>
      <w:pPr>
        <w:jc w:val="both"/>
        <w:ind w:right="20" w:firstLine="495"/>
        <w:spacing w:after="0" w:line="252" w:lineRule="auto"/>
        <w:rPr>
          <w:sz w:val="20"/>
          <w:szCs w:val="20"/>
          <w:color w:val="auto"/>
        </w:rPr>
      </w:pPr>
      <w:r>
        <w:rPr>
          <w:rFonts w:ascii="Arial" w:cs="Arial" w:eastAsia="Arial" w:hAnsi="Arial"/>
          <w:sz w:val="16"/>
          <w:szCs w:val="16"/>
          <w:color w:val="auto"/>
        </w:rPr>
        <w:t>We have historically focused our marketing efforts on traditional direct advertising, as well as developing brand awareness through customer education and active participation in trade shows and energy management seminars. These efforts have included participating in national, regional and local trade organizations, exhibiting at trade shows, executing targeted direct mail campaigns, advertising in select publications, public relations campaigns, social media and other lead generation and brand-building initiatives.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02"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The market for energy-efficient lighting products and services is fragmented. We face strong competition primarily from manufacturers and distributors of lighting products and services as well as electrical contractors. We compete primarily on the basis of technology, cost, performance, quality, customer experience, energy efficiency, customer service and marketing support.</w:t>
      </w:r>
    </w:p>
    <w:p>
      <w:pPr>
        <w:spacing w:after="0" w:line="167" w:lineRule="exact"/>
        <w:rPr>
          <w:sz w:val="20"/>
          <w:szCs w:val="20"/>
          <w:color w:val="auto"/>
        </w:rPr>
      </w:pPr>
    </w:p>
    <w:p>
      <w:pPr>
        <w:jc w:val="both"/>
        <w:ind w:right="20" w:firstLine="500"/>
        <w:spacing w:after="0" w:line="342" w:lineRule="auto"/>
        <w:rPr>
          <w:sz w:val="20"/>
          <w:szCs w:val="20"/>
          <w:color w:val="auto"/>
        </w:rPr>
      </w:pPr>
      <w:r>
        <w:rPr>
          <w:rFonts w:ascii="Arial" w:cs="Arial" w:eastAsia="Arial" w:hAnsi="Arial"/>
          <w:sz w:val="13"/>
          <w:szCs w:val="13"/>
          <w:color w:val="auto"/>
        </w:rPr>
        <w:t>There are a number of lighting fixture manufacturers that sell LED and HIF products that compete with our lighting product lines. Lighting companies such as Acuity Brands, Inc., Energy Focus, Inc., Signify Co., Cree, Inc., LSI Industries, Inc., Revolution Lighting Technologies Inc., General Electric Co., and Hubbell Incorporated are some of our main competitors within the commercial office, retail and industrial markets. We are also facing increased competition from manufacturers in low-cost countries.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11" w:name="page12"/>
    <w:bookmarkEnd w:id="11"/>
    <w:p>
      <w:pPr>
        <w:jc w:val="both"/>
        <w:ind w:right="20" w:firstLine="500"/>
        <w:spacing w:after="0" w:line="266" w:lineRule="auto"/>
        <w:rPr>
          <w:sz w:val="20"/>
          <w:szCs w:val="20"/>
          <w:color w:val="auto"/>
        </w:rPr>
      </w:pPr>
      <w:r>
        <w:rPr>
          <w:rFonts w:ascii="Arial" w:cs="Arial" w:eastAsia="Arial" w:hAnsi="Arial"/>
          <w:sz w:val="16"/>
          <w:szCs w:val="16"/>
          <w:color w:val="auto"/>
        </w:rPr>
        <w:t>We also face competition from companies who provide energy management services. Some of these competitors, such as Ameresco, Inc., Johnson Controls International and Honeywell International, provide basic systems and controls designed to further energy efficiency.</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02"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As of March 31, 2020, we had been issued over one hundred United States patents and have applied for a number of additional United States patents. The patented and patent pending technologies cover various innovative elements of our products, including our HIF and LED fixtures. Our patented LDR</w:t>
      </w:r>
      <w:r>
        <w:rPr>
          <w:rFonts w:ascii="Arial" w:cs="Arial" w:eastAsia="Arial" w:hAnsi="Arial"/>
          <w:sz w:val="13"/>
          <w:szCs w:val="13"/>
          <w:color w:val="auto"/>
        </w:rPr>
        <w:t>TM</w:t>
      </w:r>
      <w:r>
        <w:rPr>
          <w:rFonts w:ascii="Arial" w:cs="Arial" w:eastAsia="Arial" w:hAnsi="Arial"/>
          <w:sz w:val="16"/>
          <w:szCs w:val="16"/>
          <w:color w:val="auto"/>
        </w:rPr>
        <w:t xml:space="preserve"> product allows for a significantly quicker installation when compared to competitor's commercial office lighting products. Our smart lighting controls allow our lighting fixtures to selectively provide a targeted amount of light where and when it is needed most.</w:t>
      </w:r>
    </w:p>
    <w:p>
      <w:pPr>
        <w:spacing w:after="0" w:line="169"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We believe that our patent portfolio as a whole is material to our business. We also believe that our patents covering our ability to manage the thermal and optical performance of our LED and HIF lighting products are material to our business, and that the loss of these patents could significantly and adversely affect our business, operating results and prospects.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02" w:lineRule="exact"/>
        <w:rPr>
          <w:sz w:val="20"/>
          <w:szCs w:val="20"/>
          <w:color w:val="auto"/>
        </w:rPr>
      </w:pPr>
    </w:p>
    <w:p>
      <w:pPr>
        <w:jc w:val="both"/>
        <w:ind w:firstLine="495"/>
        <w:spacing w:after="0" w:line="252" w:lineRule="auto"/>
        <w:rPr>
          <w:sz w:val="20"/>
          <w:szCs w:val="20"/>
          <w:color w:val="auto"/>
        </w:rPr>
      </w:pPr>
      <w:r>
        <w:rPr>
          <w:rFonts w:ascii="Arial" w:cs="Arial" w:eastAsia="Arial" w:hAnsi="Arial"/>
          <w:sz w:val="16"/>
          <w:szCs w:val="16"/>
          <w:color w:val="auto"/>
        </w:rPr>
        <w:t>Backlog represents the amount of revenue that we expect to realize in the future as a result of firm, committed orders. Our backlog as of March 31, 2020 and March 31, 2019 totaled $18.6 million and $10.8 million, respectively. The higher backlog at March 31, 2020, compared to the prior year period, was primarily due to delays in pending project installations due to the COVID-19 pandemic. We generally expect our backlog to be recognized as revenue within one year, although the COVID-19 pandemic may extend this time period.</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and Distribution</w:t>
      </w:r>
    </w:p>
    <w:p>
      <w:pPr>
        <w:spacing w:after="0" w:line="102"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We lease an approximately 197,000 square foot manufacturing and distribution facility located in Manitowoc, Wisconsin, where substantially all of our products are manufactured.</w:t>
      </w:r>
    </w:p>
    <w:p>
      <w:pPr>
        <w:spacing w:after="0" w:line="157"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We generally maintain a significant supply of raw material and purchased and manufactured component inventory. We contract with transportation companies to ship our products and manage all aspects of distribution logistics. We generally ship our products directly to the end user.</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02" w:lineRule="exact"/>
        <w:rPr>
          <w:sz w:val="20"/>
          <w:szCs w:val="20"/>
          <w:color w:val="auto"/>
        </w:rPr>
      </w:pPr>
    </w:p>
    <w:p>
      <w:pPr>
        <w:jc w:val="both"/>
        <w:ind w:firstLine="500"/>
        <w:spacing w:after="0" w:line="280" w:lineRule="auto"/>
        <w:rPr>
          <w:sz w:val="20"/>
          <w:szCs w:val="20"/>
          <w:color w:val="auto"/>
        </w:rPr>
      </w:pPr>
      <w:r>
        <w:rPr>
          <w:rFonts w:ascii="Arial" w:cs="Arial" w:eastAsia="Arial" w:hAnsi="Arial"/>
          <w:sz w:val="15"/>
          <w:szCs w:val="15"/>
          <w:color w:val="auto"/>
        </w:rPr>
        <w:t>Our research and development efforts are centered on developing new LED products and technologies and enhancing existing products. The products, technologies and services we are developing are focused on increasing end user energy efficiency and enhancing lighting output. Over the last three fiscal years, we have focused our development on additional LED products, resulting in our development and commercialization of several new suites of LED interior high bay products.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operate research and development lab and test facilities in our Jacksonville, Florida and Manitowoc, Wisconsin locations.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Matters</w:t>
      </w:r>
    </w:p>
    <w:p>
      <w:pPr>
        <w:spacing w:after="0" w:line="102" w:lineRule="exact"/>
        <w:rPr>
          <w:sz w:val="20"/>
          <w:szCs w:val="20"/>
          <w:color w:val="auto"/>
        </w:rPr>
      </w:pPr>
    </w:p>
    <w:p>
      <w:pPr>
        <w:jc w:val="both"/>
        <w:ind w:right="20" w:firstLine="500"/>
        <w:spacing w:after="0" w:line="252" w:lineRule="auto"/>
        <w:rPr>
          <w:sz w:val="20"/>
          <w:szCs w:val="20"/>
          <w:color w:val="auto"/>
        </w:rPr>
      </w:pPr>
      <w:r>
        <w:rPr>
          <w:rFonts w:ascii="Arial" w:cs="Arial" w:eastAsia="Arial" w:hAnsi="Arial"/>
          <w:sz w:val="16"/>
          <w:szCs w:val="16"/>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69"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Our Corporate and Other Available Information</w:t>
      </w:r>
    </w:p>
    <w:p>
      <w:pPr>
        <w:spacing w:after="0" w:line="102" w:lineRule="exact"/>
        <w:rPr>
          <w:sz w:val="20"/>
          <w:szCs w:val="20"/>
          <w:color w:val="auto"/>
        </w:rPr>
      </w:pPr>
    </w:p>
    <w:p>
      <w:pPr>
        <w:jc w:val="both"/>
        <w:ind w:firstLine="500"/>
        <w:spacing w:after="0" w:line="322" w:lineRule="auto"/>
        <w:rPr>
          <w:sz w:val="20"/>
          <w:szCs w:val="20"/>
          <w:color w:val="auto"/>
        </w:rPr>
      </w:pPr>
      <w:r>
        <w:rPr>
          <w:rFonts w:ascii="Arial" w:cs="Arial" w:eastAsia="Arial" w:hAnsi="Arial"/>
          <w:sz w:val="13"/>
          <w:szCs w:val="13"/>
          <w:color w:val="auto"/>
        </w:rPr>
        <w:t>We were incorporated as a Wisconsin corporation in April 1996 and our corporate headquarters are located at 2210 Woodland Drive, Manitowoc, Wisconsin 54220. Our Internet website address is www.orionlighting.com. Annual Reports on Form 10-K, Quarterly Reports on Form 10-Q, Current Reports on Form 8-K and amendments to those reports filed or furnished pursuant to Section 13(a) or 15(d) of the Securities Exchange Act of 1934, as amended, or the Exchange Act, are available through the investor relations page of our internet website free of charge as soon as reasonably practicable after we electronically file such material with, or furnish it to, the Securities and Exchange Commission, or the SEC. We are not including the information contained on our website as part of, or incorporating it by reference into, this report.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102" w:lineRule="exact"/>
        <w:rPr>
          <w:sz w:val="20"/>
          <w:szCs w:val="20"/>
          <w:color w:val="auto"/>
        </w:rPr>
      </w:pPr>
    </w:p>
    <w:p>
      <w:pPr>
        <w:jc w:val="both"/>
        <w:ind w:right="20" w:firstLine="495"/>
        <w:spacing w:after="0" w:line="255" w:lineRule="auto"/>
        <w:rPr>
          <w:sz w:val="20"/>
          <w:szCs w:val="20"/>
          <w:color w:val="auto"/>
        </w:rPr>
      </w:pPr>
      <w:r>
        <w:rPr>
          <w:rFonts w:ascii="Arial" w:cs="Arial" w:eastAsia="Arial" w:hAnsi="Arial"/>
          <w:sz w:val="16"/>
          <w:szCs w:val="16"/>
          <w:color w:val="auto"/>
        </w:rPr>
        <w:t>As of March 31, 2020, we had approximately 176 full-time employees. We also employ temporary employees in our manufacturing facility as demand requires, at times up to 130 temporary employees. As of March 31, 2020, due to the COVID-19 pandemic, we employed 5 temporary employees. Our employees are not represented by any labor union, and we have never experienced a work stoppage or strike due to employee relations.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13" w:name="page14"/>
    <w:bookmarkEnd w:id="13"/>
    <w:p>
      <w:pPr>
        <w:ind w:left="6"/>
        <w:spacing w:after="0"/>
        <w:rPr>
          <w:sz w:val="20"/>
          <w:szCs w:val="20"/>
          <w:color w:val="auto"/>
        </w:rPr>
      </w:pPr>
      <w:r>
        <w:rPr>
          <w:rFonts w:ascii="Arial" w:cs="Arial" w:eastAsia="Arial" w:hAnsi="Arial"/>
          <w:sz w:val="16"/>
          <w:szCs w:val="16"/>
          <w:b w:val="1"/>
          <w:bCs w:val="1"/>
          <w:color w:val="auto"/>
        </w:rPr>
        <w:t>ITEM 1A. RISK FACTORS</w:t>
      </w:r>
    </w:p>
    <w:p>
      <w:pPr>
        <w:spacing w:after="0" w:line="102" w:lineRule="exact"/>
        <w:rPr>
          <w:sz w:val="20"/>
          <w:szCs w:val="20"/>
          <w:color w:val="auto"/>
        </w:rPr>
      </w:pPr>
    </w:p>
    <w:p>
      <w:pPr>
        <w:jc w:val="both"/>
        <w:ind w:left="6" w:firstLine="495"/>
        <w:spacing w:after="0" w:line="252" w:lineRule="auto"/>
        <w:rPr>
          <w:sz w:val="20"/>
          <w:szCs w:val="20"/>
          <w:color w:val="auto"/>
        </w:rPr>
      </w:pPr>
      <w:r>
        <w:rPr>
          <w:rFonts w:ascii="Arial" w:cs="Arial" w:eastAsia="Arial" w:hAnsi="Arial"/>
          <w:sz w:val="16"/>
          <w:szCs w:val="16"/>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following risk factors, and additional risks and uncertainties not currently known to us or that we currently deem immaterial, could have a material adverse effect on our business, financial condition, results of operations and future growth prospects and could cause the trading price of our common stock to decline.</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Our business is currently, and could be in the future, negatively impacted by the recent Coronavirus (“COVID-19”) outbreak.</w:t>
      </w:r>
    </w:p>
    <w:p>
      <w:pPr>
        <w:spacing w:after="0" w:line="197" w:lineRule="exact"/>
        <w:rPr>
          <w:sz w:val="20"/>
          <w:szCs w:val="20"/>
          <w:color w:val="auto"/>
        </w:rPr>
      </w:pPr>
    </w:p>
    <w:p>
      <w:pPr>
        <w:ind w:left="6" w:right="60" w:firstLine="495"/>
        <w:spacing w:after="0" w:line="269" w:lineRule="auto"/>
        <w:rPr>
          <w:sz w:val="20"/>
          <w:szCs w:val="20"/>
          <w:color w:val="auto"/>
        </w:rPr>
      </w:pPr>
      <w:r>
        <w:rPr>
          <w:rFonts w:ascii="Arial" w:cs="Arial" w:eastAsia="Arial" w:hAnsi="Arial"/>
          <w:sz w:val="15"/>
          <w:szCs w:val="15"/>
          <w:color w:val="auto"/>
        </w:rPr>
        <w:t>An outbreak of a novel strain of coronavirus, COVID-19 has severely restricted the level of economic activity around the world. In response to this COVID-19 outbreak, the governments of many countries, states, cities and other geographic regions have taken preventative or protective actions, such as imposing restrictions on travel and business operations. Temporary closures of businesses have been ordered and numerous other businesses have temporarily closed voluntarily. These measures, while intended to protect human life, are expected to have significant adverse impacts on domestic and foreign economies of uncertain severity and duration. The current outbreak or continued spread of COVID-19 has caused an economic slowdown, and it is possible that it could cause a global recession. Currently, the effectiveness of economic stabilization efforts being taken to mitigate the effects of these actions and the spread of COVID-19 is uncertain.</w:t>
      </w:r>
    </w:p>
    <w:p>
      <w:pPr>
        <w:spacing w:after="0" w:line="158" w:lineRule="exact"/>
        <w:rPr>
          <w:sz w:val="20"/>
          <w:szCs w:val="20"/>
          <w:color w:val="auto"/>
        </w:rPr>
      </w:pPr>
    </w:p>
    <w:p>
      <w:pPr>
        <w:ind w:left="6" w:right="40" w:firstLine="495"/>
        <w:spacing w:after="0" w:line="315" w:lineRule="auto"/>
        <w:rPr>
          <w:sz w:val="20"/>
          <w:szCs w:val="20"/>
          <w:color w:val="auto"/>
        </w:rPr>
      </w:pPr>
      <w:r>
        <w:rPr>
          <w:rFonts w:ascii="Arial" w:cs="Arial" w:eastAsia="Arial" w:hAnsi="Arial"/>
          <w:sz w:val="13"/>
          <w:szCs w:val="13"/>
          <w:color w:val="auto"/>
        </w:rPr>
        <w:t>A public health pandemic, including COVID-19, poses the risk that we and our affiliates, employees, suppliers, customers and others may be prevented from conducting business activities for an indefinite period of time, including as a result of shutdowns, travel restrictions and other actions that may be requested or mandated by governmental authorities. Such actions may prevent us from accessing the facilities of our customers to deliver and install products, provide services and complete maintenance. In addition, we have experienced customers choosing to delay projects, and in the future our customers may choose to further delay or cancel projects, on which we provide products and/or services as a result of such actions. Further, we have experienced, and may continue to experience, disruptions or delays in our supply chain as a result of such actions. While a substantial portion of our businesses have been classified as an essential business in jurisdictions in which facility closures have been mandated, we can give no assurance that this will not change in the future or that our businesses will be classified as essential in each of the jurisdictions in which we operate.</w:t>
      </w:r>
    </w:p>
    <w:p>
      <w:pPr>
        <w:spacing w:after="0" w:line="133" w:lineRule="exact"/>
        <w:rPr>
          <w:sz w:val="20"/>
          <w:szCs w:val="20"/>
          <w:color w:val="auto"/>
        </w:rPr>
      </w:pPr>
    </w:p>
    <w:p>
      <w:pPr>
        <w:ind w:left="6" w:right="100" w:firstLine="495"/>
        <w:spacing w:after="0" w:line="318" w:lineRule="auto"/>
        <w:rPr>
          <w:sz w:val="20"/>
          <w:szCs w:val="20"/>
          <w:color w:val="auto"/>
        </w:rPr>
      </w:pPr>
      <w:r>
        <w:rPr>
          <w:rFonts w:ascii="Arial" w:cs="Arial" w:eastAsia="Arial" w:hAnsi="Arial"/>
          <w:sz w:val="13"/>
          <w:szCs w:val="13"/>
          <w:color w:val="auto"/>
        </w:rPr>
        <w:t>This COVID-19 outbreak has impacted, and may continue to impact, our office and manufacturing locations, as well as those of its third-party vendors, including through the effects of facility closures, reductions in operating hours and other social distancing efforts. For example, we have modified its business practices (including employee travel, employee work locations, and cancellation of physical participation in meetings, events and conferences), and we may take further actions as may be required by government authorities or that we determine are in the best interests of our employees, customers, partners, and suppliers. These modifications to our business practices, including any future actions we take, may cause us to experience reductions in productivity and disruptions to our business routines. For example, we temporarily suspended operations at our manufacturing facility after one of our employees tested positive for COVID-19 in order to conduct a deep clean of the facility in order to ensure the safety of our employees.</w:t>
      </w:r>
    </w:p>
    <w:p>
      <w:pPr>
        <w:spacing w:after="0" w:line="129" w:lineRule="exact"/>
        <w:rPr>
          <w:sz w:val="20"/>
          <w:szCs w:val="20"/>
          <w:color w:val="auto"/>
        </w:rPr>
      </w:pPr>
    </w:p>
    <w:p>
      <w:pPr>
        <w:ind w:left="6" w:right="240" w:firstLine="495"/>
        <w:spacing w:after="0" w:line="252" w:lineRule="auto"/>
        <w:rPr>
          <w:sz w:val="20"/>
          <w:szCs w:val="20"/>
          <w:color w:val="auto"/>
        </w:rPr>
      </w:pPr>
      <w:r>
        <w:rPr>
          <w:rFonts w:ascii="Arial" w:cs="Arial" w:eastAsia="Arial" w:hAnsi="Arial"/>
          <w:sz w:val="16"/>
          <w:szCs w:val="16"/>
          <w:color w:val="auto"/>
        </w:rPr>
        <w:t>Our management of the impact of COVID-19 has and will continue to require significant investment of time from our management and employees, as well as resources across our global enterprise. The focus on managing and mitigating the impacts of COVID-19 on our business may cause us to divert or delay the application of our resources toward new initiatives or investments, which may adversely impact our future results of operations. In addition, issues relating to the COVID-19 pandemic may result in legal claims or litigation against us.</w:t>
      </w:r>
    </w:p>
    <w:p>
      <w:pPr>
        <w:spacing w:after="0" w:line="169" w:lineRule="exact"/>
        <w:rPr>
          <w:sz w:val="20"/>
          <w:szCs w:val="20"/>
          <w:color w:val="auto"/>
        </w:rPr>
      </w:pPr>
    </w:p>
    <w:p>
      <w:pPr>
        <w:ind w:left="6" w:right="200" w:firstLine="495"/>
        <w:spacing w:after="0" w:line="252" w:lineRule="auto"/>
        <w:rPr>
          <w:sz w:val="20"/>
          <w:szCs w:val="20"/>
          <w:color w:val="auto"/>
        </w:rPr>
      </w:pPr>
      <w:r>
        <w:rPr>
          <w:rFonts w:ascii="Arial" w:cs="Arial" w:eastAsia="Arial" w:hAnsi="Arial"/>
          <w:sz w:val="16"/>
          <w:szCs w:val="16"/>
          <w:color w:val="auto"/>
        </w:rPr>
        <w:t>The impact of COVID-19 has caused significant uncertainty and volatility in the credit markets. We rely on the credit markets to provide us with liquidity to operate and grow our businesses beyond the liquidity that operating cash flows provide. If our access to capital were to become significantly constrained or if costs of capital increased significantly due the impact of COVID-19, including volatility in the capital markets, a reduction in our credit ratings or other factors, then our financial condition, results of operations and cash flows could be adversely affected.</w:t>
      </w:r>
    </w:p>
    <w:p>
      <w:pPr>
        <w:spacing w:after="0" w:line="169" w:lineRule="exact"/>
        <w:rPr>
          <w:sz w:val="20"/>
          <w:szCs w:val="20"/>
          <w:color w:val="auto"/>
        </w:rPr>
      </w:pPr>
    </w:p>
    <w:p>
      <w:pPr>
        <w:ind w:left="486"/>
        <w:spacing w:after="0"/>
        <w:rPr>
          <w:sz w:val="20"/>
          <w:szCs w:val="20"/>
          <w:color w:val="auto"/>
        </w:rPr>
      </w:pPr>
      <w:r>
        <w:rPr>
          <w:rFonts w:ascii="Arial" w:cs="Arial" w:eastAsia="Arial" w:hAnsi="Arial"/>
          <w:sz w:val="13"/>
          <w:szCs w:val="13"/>
          <w:color w:val="auto"/>
        </w:rPr>
        <w:t>We may also experience impacts from market downturns and changes in consumer behavior related to pandemic fears and impacts on its workforce as a result of COVID-</w:t>
      </w:r>
    </w:p>
    <w:p>
      <w:pPr>
        <w:spacing w:after="0" w:line="50" w:lineRule="exact"/>
        <w:rPr>
          <w:sz w:val="20"/>
          <w:szCs w:val="20"/>
          <w:color w:val="auto"/>
        </w:rPr>
      </w:pPr>
    </w:p>
    <w:p>
      <w:pPr>
        <w:ind w:left="6" w:right="20" w:hanging="6"/>
        <w:spacing w:after="0" w:line="247" w:lineRule="auto"/>
        <w:tabs>
          <w:tab w:leader="none" w:pos="241"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example, we have experienced a recent decline in demand in our businesses as a result of the impact of efforts to contain the spread of COVID-19. If the COVID-19 pandemic becomes more pronounced in our markets or experiences a resurgence in markets recovering from the spread of COVID-19, or if another significant natural disaster or pandemic were to occur in the future, our operations in areas impacted by such events could experience further adverse financial impacts due to market changes and other resulting events and circumstances. The extent to which the COVID-19 outbreak further</w:t>
      </w:r>
    </w:p>
    <w:p>
      <w:pPr>
        <w:spacing w:after="0" w:line="17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470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6"/>
          </w:cols>
          <w:pgMar w:left="314" w:top="311" w:right="319" w:bottom="1440" w:gutter="0" w:footer="0" w:header="0"/>
        </w:sectPr>
      </w:pPr>
    </w:p>
    <w:bookmarkStart w:id="14" w:name="page15"/>
    <w:bookmarkEnd w:id="14"/>
    <w:p>
      <w:pPr>
        <w:ind w:right="40"/>
        <w:spacing w:after="0" w:line="252" w:lineRule="auto"/>
        <w:rPr>
          <w:sz w:val="20"/>
          <w:szCs w:val="20"/>
          <w:color w:val="auto"/>
        </w:rPr>
      </w:pPr>
      <w:r>
        <w:rPr>
          <w:rFonts w:ascii="Arial" w:cs="Arial" w:eastAsia="Arial" w:hAnsi="Arial"/>
          <w:sz w:val="16"/>
          <w:szCs w:val="16"/>
          <w:color w:val="auto"/>
        </w:rPr>
        <w:t>impacts our results of operations, financial condition and cash flows will depend on future developments that are highly uncertain and cannot be predicted, including new information that may emerge concerning the severity of COVID-19, the longevity of COVID-19 and the actions to contain its impact or recurrence. The impact of COVID-19 may also exacerbate other risks discussed in Item 1A of this Annual Report on Form 10-K, any of which could have a material effect on our financial condition, results of operations and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Adverse conditions in the global economy have negatively impacted, and could in the future negatively impact, our customers, suppliers and business.</w:t>
      </w:r>
    </w:p>
    <w:p>
      <w:pPr>
        <w:spacing w:after="0" w:line="208" w:lineRule="exact"/>
        <w:rPr>
          <w:sz w:val="20"/>
          <w:szCs w:val="20"/>
          <w:color w:val="auto"/>
        </w:rPr>
      </w:pPr>
    </w:p>
    <w:p>
      <w:pPr>
        <w:jc w:val="both"/>
        <w:ind w:firstLine="495"/>
        <w:spacing w:after="0" w:line="318" w:lineRule="auto"/>
        <w:rPr>
          <w:sz w:val="20"/>
          <w:szCs w:val="20"/>
          <w:color w:val="auto"/>
        </w:rPr>
      </w:pPr>
      <w:r>
        <w:rPr>
          <w:rFonts w:ascii="Arial" w:cs="Arial" w:eastAsia="Arial" w:hAnsi="Arial"/>
          <w:sz w:val="13"/>
          <w:szCs w:val="13"/>
          <w:color w:val="auto"/>
        </w:rPr>
        <w:t>Our operations and performance are impacted by worldwide economic conditions. Uncertainty about global economic conditions, including the impact of the COVID-19 pandemic, have and could result in customers postponing purchases of our products and services in response to tighter credit, unemployment, negative financial news and/or declines in income or asset values and other macroeconomic factors, which could have a material negative effect on demand for our products and services and, accordingly, on our results of operations, financial condition and cash flows. For example, the Company has experienced a recent decline in demand in its businesses as a result of the impact of efforts to contain the spread of COVID-19 and any economic and political uncertainty caused by the United States tariffs imposed on other countries, and any corresponding tariffs from such other countries in response, may negatively impact demand and/or increase the cost for our products and components used in our products.</w:t>
      </w:r>
    </w:p>
    <w:p>
      <w:pPr>
        <w:spacing w:after="0" w:line="129" w:lineRule="exact"/>
        <w:rPr>
          <w:sz w:val="20"/>
          <w:szCs w:val="20"/>
          <w:color w:val="auto"/>
        </w:rPr>
      </w:pPr>
    </w:p>
    <w:p>
      <w:pPr>
        <w:jc w:val="both"/>
        <w:ind w:firstLine="495"/>
        <w:spacing w:after="0" w:line="250" w:lineRule="auto"/>
        <w:rPr>
          <w:sz w:val="20"/>
          <w:szCs w:val="20"/>
          <w:color w:val="auto"/>
        </w:rPr>
      </w:pPr>
      <w:r>
        <w:rPr>
          <w:rFonts w:ascii="Arial" w:cs="Arial" w:eastAsia="Arial" w:hAnsi="Arial"/>
          <w:sz w:val="16"/>
          <w:szCs w:val="16"/>
          <w:color w:val="auto"/>
        </w:rPr>
        <w:t>There continues to be a great amount of debate regarding a wide range of policy options with respect to monetary, regulatory, and trade, amongst others, that the U.S. federal government has and may pursue, including the imposition of tariffs on certain imports. Certain sourced finished products and certain of the components used in our products are impacted by tariffs imposed on China imports. Our efforts to mitigate the impact of added costs include a variety of activities, such as sourcing from non-tariff impacted countries and raising prices. If we are unable to successfully mitigate the impacts of these tariffs and other trade policies, our results of operations, financial condition and cash flows may be materially adversely affected.</w:t>
      </w:r>
    </w:p>
    <w:p>
      <w:pPr>
        <w:spacing w:after="0" w:line="171" w:lineRule="exact"/>
        <w:rPr>
          <w:sz w:val="20"/>
          <w:szCs w:val="20"/>
          <w:color w:val="auto"/>
        </w:rPr>
      </w:pPr>
    </w:p>
    <w:p>
      <w:pPr>
        <w:jc w:val="both"/>
        <w:ind w:firstLine="495"/>
        <w:spacing w:after="0" w:line="315" w:lineRule="auto"/>
        <w:rPr>
          <w:sz w:val="20"/>
          <w:szCs w:val="20"/>
          <w:color w:val="auto"/>
        </w:rPr>
      </w:pPr>
      <w:r>
        <w:rPr>
          <w:rFonts w:ascii="Arial" w:cs="Arial" w:eastAsia="Arial" w:hAnsi="Arial"/>
          <w:sz w:val="13"/>
          <w:szCs w:val="13"/>
          <w:color w:val="auto"/>
        </w:rPr>
        <w:t>In addition, global economic and political uncertainty caused by the COVID-19 pandemic has led many customers to adopt strategies for conserving cash, including limits on capital spending. Our lighting systems are often purchased as capital assets and therefore are subject to capital availability. Uncertainty around such availability, including as a result of the COVID-19 pandemic, has led customers to delay purchase decisions, which has elongated the duration of our sales cycles. Weak economic conditions in the past have adversely affected our customers’ capital budgets, purchasing decisions and facilities managers and, therefore, have adversely affected our results of operations, financial condition and cash flows. The return to a recessionary state of the global economy, including as a result of the COVID-19 pandemic, could potentially have negative effects on our near-term liquidity and capital resources, including slower collections of receivables, delays of existing order deliveries, postponements of incoming orders and reductions in the number and volume of purchase orders received from key customers as a result of reduced capital expenditure budgets. Our business and results of operations will be adversely affected to the extent these adverse economic conditions affect our customers’ purchasing decisions.</w:t>
      </w:r>
    </w:p>
    <w:p>
      <w:pPr>
        <w:spacing w:after="0" w:line="31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As we evolve our business strategy to increase our focus on new product and service offerings, including our IoT, “smart-building”, “connected ceilings” and other related technology, software and controls products and services, the nature of our business may be significantly changed, or transformed, and our results of operations, financial condition and cash flows may be materially adversely affected.</w:t>
      </w:r>
    </w:p>
    <w:p>
      <w:pPr>
        <w:spacing w:after="0" w:line="164"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5"/>
          <w:szCs w:val="15"/>
          <w:color w:val="auto"/>
        </w:rPr>
        <w:t>Our future growth and profitability are tied in part to our ability to successfully bring to market new and innovative product and service offerings. We have begun to evolve our business strategy to focus on further expanding the nature and scope of our products and services offered to our customers. This expansion of products and services includes pursuing projects to develop recurring revenue streams, including providing lighting and electrical maintenance services and utilizing control sensor technology to collect data and assisting customers in the digitization of this data, along with other potential services. We also plan to pursue the expansion of our IoT “smart-building” and “connected ceiling” and other related technology, software and control products and services we offer to our customers. We currently plan on investing significant time, resources and capital into expanding our offerings in these areas with no expectation that they will result in us realizing material revenue in the near term and without any assurance they will succeed or be profitable. In fact, it is likely that these efforts will reduce our profitability, at least in the near term as we invest resources and incur expenses to develop these offerings. Moreover, we expect that as we continue to explore, develop and refine new offerings, market preferences will continue to evolve, our offerings may not generate sufficient interest by end customers and we may be unable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compete effectively with existing or new competitors, generate sufficient revenues or achieve or maintain acceptable levels of profitability.</w:t>
      </w:r>
    </w:p>
    <w:p>
      <w:pPr>
        <w:spacing w:after="0" w:line="193" w:lineRule="exact"/>
        <w:rPr>
          <w:sz w:val="20"/>
          <w:szCs w:val="20"/>
          <w:color w:val="auto"/>
        </w:rPr>
      </w:pPr>
    </w:p>
    <w:p>
      <w:pPr>
        <w:jc w:val="both"/>
        <w:ind w:right="20" w:firstLine="500"/>
        <w:spacing w:after="0" w:line="252" w:lineRule="auto"/>
        <w:rPr>
          <w:sz w:val="20"/>
          <w:szCs w:val="20"/>
          <w:color w:val="auto"/>
        </w:rPr>
      </w:pPr>
      <w:r>
        <w:rPr>
          <w:rFonts w:ascii="Arial" w:cs="Arial" w:eastAsia="Arial" w:hAnsi="Arial"/>
          <w:sz w:val="16"/>
          <w:szCs w:val="16"/>
          <w:color w:val="auto"/>
        </w:rPr>
        <w:t>If we are successful in introducing new product and services offerings, including technology, software and controls, the nature of our business may significantly change or be transformed away from being principally products focused. Additionally, our experience with technology, software and controls products and services is limited. If we do not successfully execute our strategy or anticipate the needs of our customers, our credibility as a provider of technology, software and controls products could be questioned and our prospects for future revenue growth and profitability may never materialize.</w:t>
      </w:r>
    </w:p>
    <w:p>
      <w:pPr>
        <w:spacing w:after="0" w:line="169" w:lineRule="exact"/>
        <w:rPr>
          <w:sz w:val="20"/>
          <w:szCs w:val="20"/>
          <w:color w:val="auto"/>
        </w:rPr>
      </w:pPr>
    </w:p>
    <w:p>
      <w:pPr>
        <w:jc w:val="both"/>
        <w:ind w:firstLine="500"/>
        <w:spacing w:after="0" w:line="249" w:lineRule="auto"/>
        <w:rPr>
          <w:sz w:val="20"/>
          <w:szCs w:val="20"/>
          <w:color w:val="auto"/>
        </w:rPr>
      </w:pPr>
      <w:r>
        <w:rPr>
          <w:rFonts w:ascii="Arial" w:cs="Arial" w:eastAsia="Arial" w:hAnsi="Arial"/>
          <w:sz w:val="16"/>
          <w:szCs w:val="16"/>
          <w:color w:val="auto"/>
        </w:rPr>
        <w:t>As we expand our product and services offerings to new markets, the overall complexity of our business will likely increase at an accelerated rate and we may become subject to different market dynamics. The new markets into which we are expanding, or may expand, may have different characteristics from the markets in which we historically competed. These different characteristics may include, among other things, rapidly changing technologies, different manufacturing capabilities, different supply chains, different methods of competition, new product development rates, client concentrations and performance and compatibility requirements. We do not have the current expertise to address many of these characteristics. Our failure to make the necessary adaptations to our business model to address these different characteristics, complexities and new market dynamics could adversely affect our operating results.</w:t>
      </w:r>
    </w:p>
    <w:p>
      <w:pPr>
        <w:spacing w:after="0" w:line="267"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Accordingly, if we fail to successfully launch, manage and maintain our refocused business strategy, our future revenue growth and profitability may be limited and our results of operations, financial condition and cash flows may be materially adversely affected.</w:t>
      </w:r>
    </w:p>
    <w:p>
      <w:pPr>
        <w:spacing w:after="0" w:line="2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We do not have major sources of recurring revenue and we depend upon a limited number of customers in any given period to generate a substantial portion of our revenue. The loss of any significant customers or a major customer could have a materially adverse effect on our results of operations, financial condition and cash flows.</w:t>
      </w:r>
    </w:p>
    <w:p>
      <w:pPr>
        <w:spacing w:after="0" w:line="70" w:lineRule="exact"/>
        <w:rPr>
          <w:sz w:val="20"/>
          <w:szCs w:val="20"/>
          <w:color w:val="auto"/>
        </w:rPr>
      </w:pPr>
    </w:p>
    <w:p>
      <w:pPr>
        <w:jc w:val="both"/>
        <w:ind w:firstLine="500"/>
        <w:spacing w:after="0" w:line="315" w:lineRule="auto"/>
        <w:rPr>
          <w:sz w:val="20"/>
          <w:szCs w:val="20"/>
          <w:color w:val="auto"/>
        </w:rPr>
      </w:pPr>
      <w:r>
        <w:rPr>
          <w:rFonts w:ascii="Arial" w:cs="Arial" w:eastAsia="Arial" w:hAnsi="Arial"/>
          <w:sz w:val="13"/>
          <w:szCs w:val="13"/>
          <w:color w:val="auto"/>
        </w:rPr>
        <w:t>We do not have long-term contracts with our customers that provide us with recurring revenue from period to period. We generate a substantial portion of our revenue by securing large retrofit and multi-facility roll-out projects from new and existing customers. As a result, our dependence on individual key customers can vary from period to period due to the significant size of some of our retrofit and multi-facility roll-out projects. Our top 10 customers accounted for approximately 83%, 48%, and 42% respectively, of our total revenue in fiscal 2020, 2019 and 2018. In fiscal 2019, one customer accounted for 20.7% of total revenue. In fiscal 2020, this customer accounted for 74.1% of our total revenue. We expect that we will continue to experience significant customer concentration in fiscal 2021. The loss of our largest customer or our failure to satisfy its installation requirements could have a material adverse effect on our results of operations, financial condition and cash flows, as well as on our reputation and our ability to execute our business strategy. We expect large retrofit and rollout projects to continue to remain a significant component of our total revenue.</w:t>
      </w:r>
    </w:p>
    <w:p>
      <w:pPr>
        <w:spacing w:after="0" w:line="133" w:lineRule="exact"/>
        <w:rPr>
          <w:sz w:val="20"/>
          <w:szCs w:val="20"/>
          <w:color w:val="auto"/>
        </w:rPr>
      </w:pPr>
    </w:p>
    <w:p>
      <w:pPr>
        <w:jc w:val="both"/>
        <w:ind w:firstLine="500"/>
        <w:spacing w:after="0" w:line="265" w:lineRule="auto"/>
        <w:rPr>
          <w:sz w:val="20"/>
          <w:szCs w:val="20"/>
          <w:color w:val="auto"/>
        </w:rPr>
      </w:pPr>
      <w:r>
        <w:rPr>
          <w:rFonts w:ascii="Arial" w:cs="Arial" w:eastAsia="Arial" w:hAnsi="Arial"/>
          <w:sz w:val="15"/>
          <w:szCs w:val="15"/>
          <w:color w:val="auto"/>
        </w:rPr>
        <w:t>The multi-location master retrofit agreements we enter into with several of our key customers (including our current largest customer) generally require that the customer issue individual retrofit location work orders or purchase orders before we may provide our products and services at that individual retrofit location. These master agreements do not guarantee that our key customers will make individual location purchases from us and they also generally allow any purchase order or work order to be terminated prior to shipment. As a result, the relative amount and concentration of our revenues may fluctuate year over year and period over period depending on the number of purchase orders or work orders issued by our key customers, which may fluctuate due to factors such as our customers’ capital expenditure budgets and general economic conditions.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For example, while we received a master retrofit agreement in January 2020 for additional revenue of $18-20 million for our largest customer, due to the closure of its facilities to external activities because of the COVID-19 pandemic, this customer deferred retrofit installations for a significant portion of its locations in March 2020, thereby resulting in the deferral of our realization of substantial expected revenue during our fiscal 2020 fourth quarter, The loss of, or substantial reduction in sales to, any of our significant customers, or a major customer, or the termination or delay of a significant volume of purchase orders by one or more key customers, could have a material adverse effect on our results of operations, financial condition and cash flows in any given future period.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16" w:name="page17"/>
    <w:bookmarkEnd w:id="16"/>
    <w:p>
      <w:pPr>
        <w:ind w:right="100"/>
        <w:spacing w:after="0" w:line="258" w:lineRule="auto"/>
        <w:rPr>
          <w:sz w:val="20"/>
          <w:szCs w:val="20"/>
          <w:color w:val="auto"/>
        </w:rPr>
      </w:pPr>
      <w:r>
        <w:rPr>
          <w:rFonts w:ascii="Arial" w:cs="Arial" w:eastAsia="Arial" w:hAnsi="Arial"/>
          <w:sz w:val="16"/>
          <w:szCs w:val="16"/>
          <w:b w:val="1"/>
          <w:bCs w:val="1"/>
          <w:color w:val="auto"/>
        </w:rPr>
        <w:t>Our evolving business strategy includes actively exploring potential acquisitions, including potential acquisitions that could significantly change, or even transform, the nature of our business. These acquisitions could be unsuccessful or consume significant resources, which could materially adversely affect our results of operations, financial condition and cash flows.</w:t>
      </w:r>
    </w:p>
    <w:p>
      <w:pPr>
        <w:spacing w:after="0" w:line="164" w:lineRule="exact"/>
        <w:rPr>
          <w:sz w:val="20"/>
          <w:szCs w:val="20"/>
          <w:color w:val="auto"/>
        </w:rPr>
      </w:pPr>
    </w:p>
    <w:p>
      <w:pPr>
        <w:ind w:right="80" w:firstLine="495"/>
        <w:spacing w:after="0" w:line="266" w:lineRule="auto"/>
        <w:rPr>
          <w:sz w:val="20"/>
          <w:szCs w:val="20"/>
          <w:color w:val="auto"/>
        </w:rPr>
      </w:pPr>
      <w:r>
        <w:rPr>
          <w:rFonts w:ascii="Arial" w:cs="Arial" w:eastAsia="Arial" w:hAnsi="Arial"/>
          <w:sz w:val="15"/>
          <w:szCs w:val="15"/>
          <w:color w:val="auto"/>
        </w:rPr>
        <w:t>As discussed in “Our Growth Strategies,” we are actively exploring potential business acquisitions which would more quickly add expanded and different capabilities to our product and services offerings, including potential acquisitions that could significantly change, or even transform, the nature of our business. There can be no assurance that we will identify or successfully complete any transactions with one or more suitable acquisition candidates in the future. Nor can there be any assurance that any completed acquisitions will be successful. Acquisitions may involve significant cash expenditures, debt incurrence, stock issuances, operating losses and expenses that that would otherwise be directed to investments in our existing business and could have a material adverse effect on our financial condition, results of operations and cash flows. To pursue acquisitions and other strategic transactions, we may need to raise additional debt and/or equity capital in the future, which may not be available on acceptable terms, in sufficient amounts or at all. In addition, we may issue new shares of our common stock as consideration in such transactions, which may have a dilutive impact on our existing shareholders and may also result in a reduction in the market price of our shares once those newly issued shares are resold in the market. In addition, acquisitions involve numerous other risks, including:</w:t>
      </w:r>
    </w:p>
    <w:p>
      <w:pPr>
        <w:spacing w:after="0" w:line="256" w:lineRule="exact"/>
        <w:rPr>
          <w:sz w:val="20"/>
          <w:szCs w:val="20"/>
          <w:color w:val="auto"/>
        </w:rPr>
      </w:pPr>
    </w:p>
    <w:p>
      <w:pPr>
        <w:ind w:left="1220" w:hanging="367"/>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failure to achieve the acquisition's revenue or profit forecasts;</w:t>
      </w:r>
    </w:p>
    <w:p>
      <w:pPr>
        <w:spacing w:after="0" w:line="98" w:lineRule="exact"/>
        <w:rPr>
          <w:rFonts w:ascii="Arial" w:cs="Arial" w:eastAsia="Arial" w:hAnsi="Arial"/>
          <w:sz w:val="16"/>
          <w:szCs w:val="16"/>
          <w:color w:val="auto"/>
        </w:rPr>
      </w:pPr>
    </w:p>
    <w:p>
      <w:pPr>
        <w:ind w:left="1220" w:hanging="367"/>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business culture of the acquired business may not match well with our culture;</w:t>
      </w:r>
    </w:p>
    <w:p>
      <w:pPr>
        <w:spacing w:after="0" w:line="98" w:lineRule="exact"/>
        <w:rPr>
          <w:rFonts w:ascii="Arial" w:cs="Arial" w:eastAsia="Arial" w:hAnsi="Arial"/>
          <w:sz w:val="16"/>
          <w:szCs w:val="16"/>
          <w:color w:val="auto"/>
        </w:rPr>
      </w:pPr>
    </w:p>
    <w:p>
      <w:pPr>
        <w:ind w:left="1220" w:hanging="367"/>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business strategies and focus may change in ways that adversely affect our results of operations, financial condition and cash flows;</w:t>
      </w:r>
    </w:p>
    <w:p>
      <w:pPr>
        <w:spacing w:after="0" w:line="98" w:lineRule="exact"/>
        <w:rPr>
          <w:rFonts w:ascii="Arial" w:cs="Arial" w:eastAsia="Arial" w:hAnsi="Arial"/>
          <w:sz w:val="16"/>
          <w:szCs w:val="16"/>
          <w:color w:val="auto"/>
        </w:rPr>
      </w:pPr>
    </w:p>
    <w:p>
      <w:pPr>
        <w:ind w:left="1220" w:hanging="367"/>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technological and product synergies, economies of scale and cost reductions may not occur as expected;</w:t>
      </w:r>
    </w:p>
    <w:p>
      <w:pPr>
        <w:spacing w:after="0" w:line="98" w:lineRule="exact"/>
        <w:rPr>
          <w:rFonts w:ascii="Arial" w:cs="Arial" w:eastAsia="Arial" w:hAnsi="Arial"/>
          <w:sz w:val="16"/>
          <w:szCs w:val="16"/>
          <w:color w:val="auto"/>
        </w:rPr>
      </w:pPr>
    </w:p>
    <w:p>
      <w:pPr>
        <w:ind w:left="1220" w:hanging="367"/>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unforeseen expenses, delays or conditions may result from the acquisition, including required regulatory approvals or consents;</w:t>
      </w:r>
    </w:p>
    <w:p>
      <w:pPr>
        <w:spacing w:after="0" w:line="98" w:lineRule="exact"/>
        <w:rPr>
          <w:rFonts w:ascii="Arial" w:cs="Arial" w:eastAsia="Arial" w:hAnsi="Arial"/>
          <w:sz w:val="16"/>
          <w:szCs w:val="16"/>
          <w:color w:val="auto"/>
        </w:rPr>
      </w:pPr>
    </w:p>
    <w:p>
      <w:pPr>
        <w:ind w:left="1220" w:hanging="367"/>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changes may result to our management team and/or board of directors;</w:t>
      </w:r>
    </w:p>
    <w:p>
      <w:pPr>
        <w:spacing w:after="0" w:line="98" w:lineRule="exact"/>
        <w:rPr>
          <w:rFonts w:ascii="Arial" w:cs="Arial" w:eastAsia="Arial" w:hAnsi="Arial"/>
          <w:sz w:val="16"/>
          <w:szCs w:val="16"/>
          <w:color w:val="auto"/>
        </w:rPr>
      </w:pPr>
    </w:p>
    <w:p>
      <w:pPr>
        <w:ind w:left="1220" w:hanging="367"/>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acquire or assume unexpected liabilities or be subject to unexpected penalties or other enforcement actions;</w:t>
      </w:r>
    </w:p>
    <w:p>
      <w:pPr>
        <w:spacing w:after="0" w:line="98" w:lineRule="exact"/>
        <w:rPr>
          <w:rFonts w:ascii="Arial" w:cs="Arial" w:eastAsia="Arial" w:hAnsi="Arial"/>
          <w:sz w:val="16"/>
          <w:szCs w:val="16"/>
          <w:color w:val="auto"/>
        </w:rPr>
      </w:pPr>
    </w:p>
    <w:p>
      <w:pPr>
        <w:ind w:left="1220" w:hanging="367"/>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faulty assumptions may be made regarding the macroeconomic environment or the integration process that form a basis for the acquisition;</w:t>
      </w:r>
    </w:p>
    <w:p>
      <w:pPr>
        <w:spacing w:after="0" w:line="98" w:lineRule="exact"/>
        <w:rPr>
          <w:rFonts w:ascii="Arial" w:cs="Arial" w:eastAsia="Arial" w:hAnsi="Arial"/>
          <w:sz w:val="16"/>
          <w:szCs w:val="16"/>
          <w:color w:val="auto"/>
        </w:rPr>
      </w:pPr>
    </w:p>
    <w:p>
      <w:pPr>
        <w:ind w:left="1220" w:hanging="367"/>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unforeseen difficulties, delays and costs may arise in integrating operations, processes and systems;</w:t>
      </w:r>
    </w:p>
    <w:p>
      <w:pPr>
        <w:spacing w:after="0" w:line="98" w:lineRule="exact"/>
        <w:rPr>
          <w:rFonts w:ascii="Arial" w:cs="Arial" w:eastAsia="Arial" w:hAnsi="Arial"/>
          <w:sz w:val="16"/>
          <w:szCs w:val="16"/>
          <w:color w:val="auto"/>
        </w:rPr>
      </w:pPr>
    </w:p>
    <w:p>
      <w:pPr>
        <w:ind w:left="1220" w:hanging="367"/>
        <w:spacing w:after="0" w:line="266"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higher than expected investments may be required to implement necessary compliance processes and related systems, including information technology systems, accounting systems and internal controls over financial reporting;</w:t>
      </w:r>
    </w:p>
    <w:p>
      <w:pPr>
        <w:spacing w:after="0" w:line="62" w:lineRule="exact"/>
        <w:rPr>
          <w:rFonts w:ascii="Arial" w:cs="Arial" w:eastAsia="Arial" w:hAnsi="Arial"/>
          <w:sz w:val="16"/>
          <w:szCs w:val="16"/>
          <w:color w:val="auto"/>
        </w:rPr>
      </w:pPr>
    </w:p>
    <w:p>
      <w:pPr>
        <w:ind w:left="1220" w:hanging="367"/>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fail to retain, motivate and integrate key management and other employees of the acquired business;</w:t>
      </w:r>
    </w:p>
    <w:p>
      <w:pPr>
        <w:spacing w:after="0" w:line="98" w:lineRule="exact"/>
        <w:rPr>
          <w:rFonts w:ascii="Arial" w:cs="Arial" w:eastAsia="Arial" w:hAnsi="Arial"/>
          <w:sz w:val="16"/>
          <w:szCs w:val="16"/>
          <w:color w:val="auto"/>
        </w:rPr>
      </w:pPr>
    </w:p>
    <w:p>
      <w:pPr>
        <w:ind w:left="1220" w:hanging="367"/>
        <w:spacing w:after="0" w:line="266"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higher than expected costs may arise due to unforeseen changes in tax, trade, environmental, labor, safety, payroll or pension policies in any jurisdiction in which the acquired business conducts its operations;</w:t>
      </w:r>
    </w:p>
    <w:p>
      <w:pPr>
        <w:spacing w:after="0" w:line="62" w:lineRule="exact"/>
        <w:rPr>
          <w:rFonts w:ascii="Arial" w:cs="Arial" w:eastAsia="Arial" w:hAnsi="Arial"/>
          <w:sz w:val="16"/>
          <w:szCs w:val="16"/>
          <w:color w:val="auto"/>
        </w:rPr>
      </w:pPr>
    </w:p>
    <w:p>
      <w:pPr>
        <w:ind w:left="1220" w:hanging="367"/>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adversely impact our sales channels and our sales channel partners; and</w:t>
      </w:r>
    </w:p>
    <w:p>
      <w:pPr>
        <w:spacing w:after="0" w:line="98" w:lineRule="exact"/>
        <w:rPr>
          <w:rFonts w:ascii="Arial" w:cs="Arial" w:eastAsia="Arial" w:hAnsi="Arial"/>
          <w:sz w:val="16"/>
          <w:szCs w:val="16"/>
          <w:color w:val="auto"/>
        </w:rPr>
      </w:pPr>
    </w:p>
    <w:p>
      <w:pPr>
        <w:ind w:left="1220" w:hanging="367"/>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experience problems in retaining customers and integrating customer bases.</w:t>
      </w:r>
    </w:p>
    <w:p>
      <w:pPr>
        <w:spacing w:after="0" w:line="193" w:lineRule="exact"/>
        <w:rPr>
          <w:sz w:val="20"/>
          <w:szCs w:val="20"/>
          <w:color w:val="auto"/>
        </w:rPr>
      </w:pPr>
    </w:p>
    <w:p>
      <w:pPr>
        <w:ind w:right="260" w:firstLine="495"/>
        <w:spacing w:after="0" w:line="255" w:lineRule="auto"/>
        <w:rPr>
          <w:sz w:val="20"/>
          <w:szCs w:val="20"/>
          <w:color w:val="auto"/>
        </w:rPr>
      </w:pPr>
      <w:r>
        <w:rPr>
          <w:rFonts w:ascii="Arial" w:cs="Arial" w:eastAsia="Arial" w:hAnsi="Arial"/>
          <w:sz w:val="16"/>
          <w:szCs w:val="16"/>
          <w:color w:val="auto"/>
        </w:rPr>
        <w:t>Many of these factors will be outside of our control and any one of them could result in increased costs and reduced profitability, decreases in the amount of expected revenues and diversion of our management’s time and attention. They may also delay, decrease or eliminate the realization of some or all of the benefits we anticipate when we enter into a transaction.</w:t>
      </w:r>
    </w:p>
    <w:p>
      <w:pPr>
        <w:spacing w:after="0" w:line="167" w:lineRule="exact"/>
        <w:rPr>
          <w:sz w:val="20"/>
          <w:szCs w:val="20"/>
          <w:color w:val="auto"/>
        </w:rPr>
      </w:pPr>
    </w:p>
    <w:p>
      <w:pPr>
        <w:ind w:right="140" w:firstLine="495"/>
        <w:spacing w:after="0" w:line="252" w:lineRule="auto"/>
        <w:rPr>
          <w:sz w:val="20"/>
          <w:szCs w:val="20"/>
          <w:color w:val="auto"/>
        </w:rPr>
      </w:pPr>
      <w:r>
        <w:rPr>
          <w:rFonts w:ascii="Arial" w:cs="Arial" w:eastAsia="Arial" w:hAnsi="Arial"/>
          <w:sz w:val="16"/>
          <w:szCs w:val="16"/>
          <w:color w:val="auto"/>
        </w:rPr>
        <w:t>Because we have only made one acquisition to date, our ability to do so successfully is unproven. Moreover, our management team has limited experience in, and limited time to dedicate to, pursuing, negotiating or integrating acquisitions. If we do identify suitable candidates, we may not be able to negotiate or consummate such acquisitions on favorable terms or at all. Any acquisitions we complete may not achieve their initially intended results and benefits and may be viewed negatively by investors and other stakeholders.</w:t>
      </w:r>
    </w:p>
    <w:p>
      <w:pPr>
        <w:spacing w:after="0" w:line="169" w:lineRule="exact"/>
        <w:rPr>
          <w:sz w:val="20"/>
          <w:szCs w:val="20"/>
          <w:color w:val="auto"/>
        </w:rPr>
      </w:pPr>
    </w:p>
    <w:p>
      <w:pPr>
        <w:ind w:right="400" w:firstLine="495"/>
        <w:spacing w:after="0" w:line="266" w:lineRule="auto"/>
        <w:rPr>
          <w:sz w:val="20"/>
          <w:szCs w:val="20"/>
          <w:color w:val="auto"/>
        </w:rPr>
      </w:pPr>
      <w:r>
        <w:rPr>
          <w:rFonts w:ascii="Arial" w:cs="Arial" w:eastAsia="Arial" w:hAnsi="Arial"/>
          <w:sz w:val="16"/>
          <w:szCs w:val="16"/>
          <w:color w:val="auto"/>
        </w:rPr>
        <w:t>We may undertake acquisitions financed in part through public offerings or private placements of debt or equity securities, including through the new issuance of our common stock or debt securities as consideration in an acquisition transaction. Such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17" w:name="page18"/>
    <w:bookmarkEnd w:id="17"/>
    <w:p>
      <w:pPr>
        <w:ind w:right="420"/>
        <w:spacing w:after="0" w:line="266" w:lineRule="auto"/>
        <w:rPr>
          <w:sz w:val="20"/>
          <w:szCs w:val="20"/>
          <w:color w:val="auto"/>
        </w:rPr>
      </w:pPr>
      <w:r>
        <w:rPr>
          <w:rFonts w:ascii="Arial" w:cs="Arial" w:eastAsia="Arial" w:hAnsi="Arial"/>
          <w:sz w:val="16"/>
          <w:szCs w:val="16"/>
          <w:color w:val="auto"/>
        </w:rPr>
        <w:t>acquisition financing could result in dilution to our current shareholders, result in a decrease in our earnings and/or adversely affect our financial condition, liquidity or other leverage measures.</w:t>
      </w:r>
    </w:p>
    <w:p>
      <w:pPr>
        <w:spacing w:after="0" w:line="157" w:lineRule="exact"/>
        <w:rPr>
          <w:sz w:val="20"/>
          <w:szCs w:val="20"/>
          <w:color w:val="auto"/>
        </w:rPr>
      </w:pPr>
    </w:p>
    <w:p>
      <w:pPr>
        <w:ind w:right="460" w:firstLine="495"/>
        <w:spacing w:after="0" w:line="252" w:lineRule="auto"/>
        <w:rPr>
          <w:sz w:val="20"/>
          <w:szCs w:val="20"/>
          <w:color w:val="auto"/>
        </w:rPr>
      </w:pPr>
      <w:r>
        <w:rPr>
          <w:rFonts w:ascii="Arial" w:cs="Arial" w:eastAsia="Arial" w:hAnsi="Arial"/>
          <w:sz w:val="16"/>
          <w:szCs w:val="16"/>
          <w:color w:val="auto"/>
        </w:rPr>
        <w:t>In addition to committing additional capital resources to complete any acquisitions, substantial additional capital may be required to operate the acquired businesses following their acquisition. Moreover, these acquisitions may result in significant financial losses if the intended objectives of the transactions are not achieved. Some of the businesses we may acquire may have significant operating and financial challenges, requiring significant additional capital commitments to overcome such challenges and adversely affecting our financial condition and liquidity.</w:t>
      </w:r>
    </w:p>
    <w:p>
      <w:pPr>
        <w:spacing w:after="0" w:line="169" w:lineRule="exact"/>
        <w:rPr>
          <w:sz w:val="20"/>
          <w:szCs w:val="20"/>
          <w:color w:val="auto"/>
        </w:rPr>
      </w:pPr>
    </w:p>
    <w:p>
      <w:pPr>
        <w:ind w:right="340" w:firstLine="495"/>
        <w:spacing w:after="0" w:line="266" w:lineRule="auto"/>
        <w:rPr>
          <w:sz w:val="20"/>
          <w:szCs w:val="20"/>
          <w:color w:val="auto"/>
        </w:rPr>
      </w:pPr>
      <w:r>
        <w:rPr>
          <w:rFonts w:ascii="Arial" w:cs="Arial" w:eastAsia="Arial" w:hAnsi="Arial"/>
          <w:sz w:val="16"/>
          <w:szCs w:val="16"/>
          <w:color w:val="auto"/>
        </w:rPr>
        <w:t>Failure to implement our acquisition strategy, including successfully integrating acquired businesses, could have a material adverse effect on our results of operations, financial condition and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able to obtain equity capital or debt financing necessary to effectively pursue our evolving strategy and sustain our growth initiatives.</w:t>
      </w:r>
    </w:p>
    <w:p>
      <w:pPr>
        <w:spacing w:after="0" w:line="208" w:lineRule="exact"/>
        <w:rPr>
          <w:sz w:val="20"/>
          <w:szCs w:val="20"/>
          <w:color w:val="auto"/>
        </w:rPr>
      </w:pPr>
    </w:p>
    <w:p>
      <w:pPr>
        <w:ind w:right="80" w:firstLine="495"/>
        <w:spacing w:after="0" w:line="249" w:lineRule="auto"/>
        <w:rPr>
          <w:sz w:val="20"/>
          <w:szCs w:val="20"/>
          <w:color w:val="auto"/>
        </w:rPr>
      </w:pPr>
      <w:r>
        <w:rPr>
          <w:rFonts w:ascii="Arial" w:cs="Arial" w:eastAsia="Arial" w:hAnsi="Arial"/>
          <w:sz w:val="16"/>
          <w:szCs w:val="16"/>
          <w:color w:val="auto"/>
        </w:rPr>
        <w:t>Our existing liquidity and capital resources may not be sufficient to allow us to effectively pursue our evolving growth strategy, complete potential acquisitions or otherwise fund or sustain our growth initiatives. As of March 31, 2020, we had $28.8 million of cash, approximately $10 million of outstanding borrowings and $1.2 million of remaining borrowing capacity available under our revolving credit facility, compared to $8.7 million of cash, approximately $9.2 million of outstanding borrowings and $1.4 million of remaining borrowing availability as of March 31, 2019. If we require additional capital resources, we may not be able to obtain sufficient equity capital and/or debt financing on acceptable terms or conditions, or at all. Factors affecting the availability to us of additional equity capital or debt financing on acceptable terms and conditions, or in sufficient amounts, include:</w:t>
      </w:r>
    </w:p>
    <w:p>
      <w:pPr>
        <w:spacing w:after="0" w:line="267" w:lineRule="exact"/>
        <w:rPr>
          <w:sz w:val="20"/>
          <w:szCs w:val="20"/>
          <w:color w:val="auto"/>
        </w:rPr>
      </w:pPr>
    </w:p>
    <w:p>
      <w:pPr>
        <w:ind w:left="860" w:hanging="372"/>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history of operating losses prior to our fiscal 2020;</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current and future financial results and condition;</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limited collateral availability;</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current customer concentration;</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market’s, investors’ and lenders' view of our company, industry and products;</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perception in the equity and debt markets of our ability to execute and sustain our business plan or achieve our operating results expectations; and</w:t>
      </w:r>
    </w:p>
    <w:p>
      <w:pPr>
        <w:spacing w:after="0" w:line="109" w:lineRule="exact"/>
        <w:rPr>
          <w:rFonts w:ascii="Arial" w:cs="Arial" w:eastAsia="Arial" w:hAnsi="Arial"/>
          <w:sz w:val="15"/>
          <w:szCs w:val="15"/>
          <w:color w:val="auto"/>
        </w:rPr>
      </w:pPr>
    </w:p>
    <w:p>
      <w:pPr>
        <w:ind w:left="860" w:hanging="372"/>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price, volatility and trading volume and history of our common stock.</w:t>
      </w:r>
    </w:p>
    <w:p>
      <w:pPr>
        <w:spacing w:after="0" w:line="193" w:lineRule="exact"/>
        <w:rPr>
          <w:sz w:val="20"/>
          <w:szCs w:val="20"/>
          <w:color w:val="auto"/>
        </w:rPr>
      </w:pPr>
    </w:p>
    <w:p>
      <w:pPr>
        <w:ind w:right="120" w:firstLine="495"/>
        <w:spacing w:after="0" w:line="255" w:lineRule="auto"/>
        <w:rPr>
          <w:sz w:val="20"/>
          <w:szCs w:val="20"/>
          <w:color w:val="auto"/>
        </w:rPr>
      </w:pPr>
      <w:r>
        <w:rPr>
          <w:rFonts w:ascii="Arial" w:cs="Arial" w:eastAsia="Arial" w:hAnsi="Arial"/>
          <w:sz w:val="16"/>
          <w:szCs w:val="16"/>
          <w:color w:val="auto"/>
        </w:rPr>
        <w:t>Our inability to obtain the equity capital or debt financing necessary to pursue our evolving growth strategy could force us to scale back our growth initiatives or abandon potential acquisitions. If we are unable to pursue our evolving growth strategy and growth initiatives, our results of operations, financial condition and cash flows could be materially adversely affected.</w:t>
      </w:r>
    </w:p>
    <w:p>
      <w:pPr>
        <w:spacing w:after="0" w:line="163" w:lineRule="exact"/>
        <w:rPr>
          <w:sz w:val="20"/>
          <w:szCs w:val="20"/>
          <w:color w:val="auto"/>
        </w:rPr>
      </w:pPr>
    </w:p>
    <w:p>
      <w:pPr>
        <w:ind w:right="720"/>
        <w:spacing w:after="0" w:line="271" w:lineRule="auto"/>
        <w:rPr>
          <w:sz w:val="20"/>
          <w:szCs w:val="20"/>
          <w:color w:val="auto"/>
        </w:rPr>
      </w:pPr>
      <w:r>
        <w:rPr>
          <w:rFonts w:ascii="Arial" w:cs="Arial" w:eastAsia="Arial" w:hAnsi="Arial"/>
          <w:sz w:val="16"/>
          <w:szCs w:val="16"/>
          <w:b w:val="1"/>
          <w:bCs w:val="1"/>
          <w:color w:val="auto"/>
        </w:rPr>
        <w:t>Until fiscal 2020, we had a history of losses and negative cash flow and we may be unable to sustain our recent profitability or positive cash flows in the future, particularly in fiscal 2021 as a result of the COVID-19 pandemic.</w:t>
      </w:r>
    </w:p>
    <w:p>
      <w:pPr>
        <w:spacing w:after="0" w:line="153" w:lineRule="exact"/>
        <w:rPr>
          <w:sz w:val="20"/>
          <w:szCs w:val="20"/>
          <w:color w:val="auto"/>
        </w:rPr>
      </w:pPr>
    </w:p>
    <w:p>
      <w:pPr>
        <w:ind w:right="140" w:firstLine="465"/>
        <w:spacing w:after="0" w:line="249" w:lineRule="auto"/>
        <w:rPr>
          <w:sz w:val="20"/>
          <w:szCs w:val="20"/>
          <w:color w:val="auto"/>
        </w:rPr>
      </w:pPr>
      <w:r>
        <w:rPr>
          <w:rFonts w:ascii="Arial" w:cs="Arial" w:eastAsia="Arial" w:hAnsi="Arial"/>
          <w:sz w:val="16"/>
          <w:szCs w:val="16"/>
          <w:color w:val="auto"/>
        </w:rPr>
        <w:t>Prior to fiscal 2020, we experienced net losses and negative cash flow for the prior five fiscal years. Although we achieved substantial profitability and positive cash flow in fiscal 2020, continuing to sustain our fiscal 2020 levels of net income and positive cash flows in the future will depend on our ability to successfully complete and execute our strategic plan. Moreover, the duration of the impact of the COVID-19 pandemic may again make it difficult for us to achieve profitability and positive cash flows in our fiscal 2021. There is no guarantee that we will be able to sustain our profitability or positive cash flows in the future, particularly in fiscal 2021 as a result of the COVID-19 pandemic. Our inability to successfully sustain our profitability and positive cash flows could materially and adversely affect our ability to pursue our evolving strategy and growth initiatives.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success of our business depends upon market acceptance of our energy management products and services.</w:t>
      </w:r>
    </w:p>
    <w:p>
      <w:pPr>
        <w:spacing w:after="0" w:line="19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Our future success depends upon the continued market acceptance of our energy management products and services and obtaining additional project management retrofit master contracts, as well as customer orders for new and expanded products and services to supplement our master contract with our current single largest customer. If we are unable to convince current and potential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8" w:name="page19"/>
    <w:bookmarkEnd w:id="18"/>
    <w:p>
      <w:pPr>
        <w:jc w:val="both"/>
        <w:spacing w:after="0" w:line="318" w:lineRule="auto"/>
        <w:rPr>
          <w:sz w:val="20"/>
          <w:szCs w:val="20"/>
          <w:color w:val="auto"/>
        </w:rPr>
      </w:pPr>
      <w:r>
        <w:rPr>
          <w:rFonts w:ascii="Arial" w:cs="Arial" w:eastAsia="Arial" w:hAnsi="Arial"/>
          <w:sz w:val="13"/>
          <w:szCs w:val="13"/>
          <w:color w:val="auto"/>
        </w:rPr>
        <w:t>new customers of the advantages of our lighting systems and energy management products and services, or our expanded product and services offerings, our results of operations, financial condition and cash flows will likely be materially adversely affected. In addition, because the market for energy management products and services, as well as potential new customer uses for our products and services, is rapidly evolving, we may not be able to accurately assess the size of the market, and we may have limited insight into trends that may emerge and affect our business. If the market for our lighting systems and energy management products and services, as well as potential new customer uses for our products and services, does not continue to develop as we anticipate, or if the market does not accept our products or services, then our ability to grow our business could be limited and we may not be able to increase our revenue and our results of operations, financial condition and cash flows will likely be materially adversely affected.</w:t>
      </w:r>
    </w:p>
    <w:p>
      <w:pPr>
        <w:spacing w:after="0" w:line="21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color w:val="auto"/>
        </w:rPr>
        <w:t>The success of our business depends upon our adaptation to the quickly changing market conditions in the lighting industry and on market acceptance of our lighting retrofit solutions using new LED and control technologies.</w:t>
      </w:r>
    </w:p>
    <w:p>
      <w:pPr>
        <w:spacing w:after="0" w:line="153"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The market for lighting products has experienced a significant technology shift to LED lighting systems. In addition, we continue to explore utilizing our system platform as a “connected ceiling” or “smart ceiling”, or a framework or network that can support the installation and integration of other business technology or data information solutions on our lighting platform.</w:t>
      </w:r>
    </w:p>
    <w:p>
      <w:pPr>
        <w:spacing w:after="0" w:line="167" w:lineRule="exact"/>
        <w:rPr>
          <w:sz w:val="20"/>
          <w:szCs w:val="20"/>
          <w:color w:val="auto"/>
        </w:rPr>
      </w:pPr>
    </w:p>
    <w:p>
      <w:pPr>
        <w:jc w:val="both"/>
        <w:ind w:firstLine="500"/>
        <w:spacing w:after="0" w:line="312" w:lineRule="auto"/>
        <w:rPr>
          <w:sz w:val="20"/>
          <w:szCs w:val="20"/>
          <w:color w:val="auto"/>
        </w:rPr>
      </w:pPr>
      <w:r>
        <w:rPr>
          <w:rFonts w:ascii="Arial" w:cs="Arial" w:eastAsia="Arial" w:hAnsi="Arial"/>
          <w:sz w:val="13"/>
          <w:szCs w:val="13"/>
          <w:color w:val="auto"/>
        </w:rPr>
        <w:t>As a result, our future success depends significantly upon the adoption rate of LED products and related control technologies within our primary markets, our ability to participate in this ongoing market trend and our ability to expand into complementary markets. To be an effective participant in the LED market, we must keep up with the evolution of LED and related technologies, which continue to move at a fast pace. We may be unable to successfully develop and market new products or services that keep pace with technological or industry changes, differentiate ourselves from our competition, satisfy changes in customer demands or comply with present or emerging government and industry regulations and technology standards. The development and introduction of new products and services may result in increased warranty expenses and other new product and services introduction expenses. In addition, we will likely continue to incur substantial costs to research and develop new products and services, which will increase our expenses, without guarantee that our new products and services will be commercially viable. We may also spend time and resources to develop and release new products and services only to discover that a competitor has also introduced similar new products and services with superior performance, at a lower price or on better delivery terms. Moreover, if new sources of lighting or lighting-based solutions or related technologies are developed, our current products and technologies could become less competitive or obsolete, which could result in reduced revenue, reduced earnings or increased losses and/or inventory and other impairment charges.</w:t>
      </w:r>
    </w:p>
    <w:p>
      <w:pPr>
        <w:spacing w:after="0" w:line="322" w:lineRule="exact"/>
        <w:rPr>
          <w:sz w:val="20"/>
          <w:szCs w:val="20"/>
          <w:color w:val="auto"/>
        </w:rPr>
      </w:pPr>
    </w:p>
    <w:p>
      <w:pPr>
        <w:jc w:val="both"/>
        <w:ind w:firstLine="500"/>
        <w:spacing w:after="0" w:line="250" w:lineRule="auto"/>
        <w:rPr>
          <w:sz w:val="20"/>
          <w:szCs w:val="20"/>
          <w:color w:val="auto"/>
        </w:rPr>
      </w:pPr>
      <w:r>
        <w:rPr>
          <w:rFonts w:ascii="Arial" w:cs="Arial" w:eastAsia="Arial" w:hAnsi="Arial"/>
          <w:sz w:val="16"/>
          <w:szCs w:val="16"/>
          <w:color w:val="auto"/>
        </w:rPr>
        <w:t>As we attempt to adapt and respond to this quickly evolving market, we have been managing through significant change in our vendor supply chain for our LED product line. While we have attempted to negotiate lower material input costs to help maintain or improve our LED product gross margins, we may not be able to realize any gross margin benefits in the amounts or on the timetable anticipated and we may experience higher warranty expenses in the future as we implement our manufacturing and assembly process changes. It is also possible that, as we focus more of our sales efforts on new products and services, we may increase our risk of inventory obsolescence for outmoded LED or controls products.</w:t>
      </w:r>
    </w:p>
    <w:p>
      <w:pPr>
        <w:spacing w:after="0" w:line="171" w:lineRule="exact"/>
        <w:rPr>
          <w:sz w:val="20"/>
          <w:szCs w:val="20"/>
          <w:color w:val="auto"/>
        </w:rPr>
      </w:pPr>
    </w:p>
    <w:p>
      <w:pPr>
        <w:jc w:val="both"/>
        <w:ind w:right="20" w:firstLine="500"/>
        <w:spacing w:after="0" w:line="329" w:lineRule="auto"/>
        <w:rPr>
          <w:sz w:val="20"/>
          <w:szCs w:val="20"/>
          <w:color w:val="auto"/>
        </w:rPr>
      </w:pPr>
      <w:r>
        <w:rPr>
          <w:rFonts w:ascii="Arial" w:cs="Arial" w:eastAsia="Arial" w:hAnsi="Arial"/>
          <w:sz w:val="13"/>
          <w:szCs w:val="13"/>
          <w:color w:val="auto"/>
        </w:rPr>
        <w:t>Finally, in connection with our historical primary focus on selling our LED products and related control technologies, we expect our results of operations to continue to fluctuate from quarter to quarter as customers may delay purchasing decisions as they evaluate their return on investment from purchasing new LED and/or control products compared to alternative lighting and controls solutions, the pricing of LED products continues to fall and LED products continue to gain more widespread customer acceptance. Similarly, these circumstances have adversely impacted, and may continue to adversely impact, our product gross margins and our profitability from quarter to quarter.</w:t>
      </w:r>
    </w:p>
    <w:p>
      <w:pPr>
        <w:spacing w:after="0" w:line="122"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If we are unable to achieve market acceptance of our lighting retrofit solutions using LED technologies and our system platform as a “connected ceiling” or “smart ceiling” or realize the expected benefits from our focus on promoting new products and services, our results of operations, financial condition and cash flows will likely be materially adversely affected.</w:t>
      </w:r>
    </w:p>
    <w:p>
      <w:pPr>
        <w:spacing w:after="0" w:line="2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The success of our LED lighting retrofit solutions and related controls technologies depend, in part, on our ability to claim market share away from our competitors. If we are unable to expand our customer base and increase sales in our targeted markets, our results of operations, financial condition and cash flows will likely be materially adversely affected.</w:t>
      </w:r>
    </w:p>
    <w:p>
      <w:pPr>
        <w:spacing w:after="0" w:line="164"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Participants in the LED market who are able to quickly establish customer relationships and achieve market penetration are likely to gain a competitive advantage as the lighting retrofit solutions offered by us and our competitors generally have a product life of several years following installation. If we are unable to broaden our customer base and achieve greater market penetration in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19" w:name="page20"/>
    <w:bookmarkEnd w:id="19"/>
    <w:p>
      <w:pPr>
        <w:jc w:val="both"/>
        <w:spacing w:after="0" w:line="342" w:lineRule="auto"/>
        <w:rPr>
          <w:sz w:val="20"/>
          <w:szCs w:val="20"/>
          <w:color w:val="auto"/>
        </w:rPr>
      </w:pPr>
      <w:r>
        <w:rPr>
          <w:rFonts w:ascii="Arial" w:cs="Arial" w:eastAsia="Arial" w:hAnsi="Arial"/>
          <w:sz w:val="13"/>
          <w:szCs w:val="13"/>
          <w:color w:val="auto"/>
        </w:rPr>
        <w:t>LED market in a timely manner, we may lose the opportunity to market our LED products and services and related controls technologies to significant portions of the lighting systems retrofit market for several years and may be at a disadvantage in securing future business opportunities from customers that have previously established relationships with one or more of our competitors. These circumstances could have a material adverse effect on our results of operations, financial condition and cash flows.</w:t>
      </w:r>
    </w:p>
    <w:p>
      <w:pPr>
        <w:spacing w:after="0" w:line="114"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In addition, as we continue to seek to expand our customer base within our national account, agent and ESCO sales channels, our success will depend, in part, on our ability to attract and retain talent to execute on our sales model. If we are unable to attract and retain sufficient talent, we may be unable to broaden our customer base, which will adversely affect our results of operations, financial condition and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increasingly rely on third-party manufacturers for the manufacture and development of our products and product components.</w:t>
      </w:r>
    </w:p>
    <w:p>
      <w:pPr>
        <w:spacing w:after="0" w:line="197"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We have increased our utilization of third-party manufacturers for the manufacture and development of our products and product components. As a result, our results of operations, financial condition and cash flows could be materially adversely affected if our third-party manufacturers were to experience problems with product quality, credit or liquidity issues, or disruptions or delays in their manufacturing process or delivery of the finished products and components or the raw materials used to make such products and components.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rely on third-parties to provide our controls technology products and services.</w:t>
      </w:r>
    </w:p>
    <w:p>
      <w:pPr>
        <w:spacing w:after="0" w:line="197"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5"/>
          <w:szCs w:val="15"/>
          <w:color w:val="auto"/>
        </w:rPr>
        <w:t>We rely third-party service providers to provide our controls technology products and services to our customers. If any of these service providers stop providing us with access to their products, platforms and services, fail to provide these services to us on a cost-effective basis, cease operations, or otherwise terminate these services, the delay caused by qualifying and switching to another third-party product or service provider, if one is available, could have a material adverse effect on our results of operations, financial condition and cash flows. In addition, our results of operations, financial condition and cash flows could be materially adversely affected if our third-party providers were to experience problems with product quality, service quality, credit or liquidity issues, or disruptions or delays.</w:t>
      </w:r>
    </w:p>
    <w:p>
      <w:pPr>
        <w:spacing w:after="0" w:line="156"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If problems occur with any of these third-party providers, it may cause errors or reduced quality in our services, and we could encounter difficulty identifying the source of the problem. The occurrence of errors or reduced quality in our controls products or services, whether caused by us a third-party provider, may result in the loss of our existing customers, delay or loss of market acceptance of our products and services or liability for failure to meet obligations under our agreements with customers, and may have a material adverse effect on our results of operations, financial condition and cash flows.</w:t>
      </w:r>
    </w:p>
    <w:p>
      <w:pPr>
        <w:spacing w:after="0" w:line="169"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5"/>
          <w:szCs w:val="15"/>
          <w:color w:val="auto"/>
        </w:rPr>
        <w:t>We rely on products obtained from third parties in order to offer our controls technology products and services. In some cases, we integrate third-party licensed software components into our platforms. This hardware and software may not continue to be available at reasonable prices or on commercially reasonable terms, or at all. Any loss of the right to use any of this hardware or software could significantly increase our expenses and otherwise result in delays in the provisioning of our services until equivalent technology is either developed by us, or, if available, is identified, obtained and integrated. Any errors or defects in third-party hardware or software could result in errors or a failure of our service which could have a material adverse effect on our results of operations, financial condition and cash flows.</w:t>
      </w:r>
    </w:p>
    <w:p>
      <w:pPr>
        <w:spacing w:after="0" w:line="24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Our continued emphasis on indirect distribution channels to sell our products and services to supplement our direct distribution channels has had limited success to date. If we are unable to attract, incentivize and retain our third-party distributors and sales agents, or our distributors and sales agents do not sell our products and services at the levels expected, our revenues could decline and our costs could increase.</w:t>
      </w:r>
    </w:p>
    <w:p>
      <w:pPr>
        <w:spacing w:after="0" w:line="70" w:lineRule="exact"/>
        <w:rPr>
          <w:sz w:val="20"/>
          <w:szCs w:val="20"/>
          <w:color w:val="auto"/>
        </w:rPr>
      </w:pPr>
    </w:p>
    <w:p>
      <w:pPr>
        <w:jc w:val="both"/>
        <w:ind w:firstLine="500"/>
        <w:spacing w:after="0" w:line="318" w:lineRule="auto"/>
        <w:rPr>
          <w:sz w:val="20"/>
          <w:szCs w:val="20"/>
          <w:color w:val="auto"/>
        </w:rPr>
      </w:pPr>
      <w:r>
        <w:rPr>
          <w:rFonts w:ascii="Arial" w:cs="Arial" w:eastAsia="Arial" w:hAnsi="Arial"/>
          <w:sz w:val="13"/>
          <w:szCs w:val="13"/>
          <w:color w:val="auto"/>
        </w:rPr>
        <w:t>Over the past two fiscal years, we have significantly expanded the number of our manufacturer representative agencies that sell our products through distributors, many of which are not exclusive, which means that these sales agents and distributors may sell other third-party products and services in direct competition with us. Since many of our competitors, including those that are larger than us and have more established relationships, use sales agents and distributors to sell their products and services, competition for such agents and distributors is intense and may adversely affect our product pricing and gross margins. Additionally, due to mismanagement, industry trends, macro-economic developments, or other reasons, our sales agents and distributors may be unable to effectively sell our products at the levels desired or anticipated. In addition, we have historically relied on direct sales to sell our products and services, which were often made in competition with sales agents and distributors. In order to attract and form lasting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20" w:name="page21"/>
    <w:bookmarkEnd w:id="20"/>
    <w:p>
      <w:pPr>
        <w:jc w:val="both"/>
        <w:ind w:right="20"/>
        <w:spacing w:after="0" w:line="271" w:lineRule="auto"/>
        <w:rPr>
          <w:sz w:val="20"/>
          <w:szCs w:val="20"/>
          <w:color w:val="auto"/>
        </w:rPr>
      </w:pPr>
      <w:r>
        <w:rPr>
          <w:rFonts w:ascii="Arial" w:cs="Arial" w:eastAsia="Arial" w:hAnsi="Arial"/>
          <w:sz w:val="15"/>
          <w:szCs w:val="15"/>
          <w:color w:val="auto"/>
        </w:rPr>
        <w:t>partnerships with sales agents and distributors, we will be required to overcome our historical perception as a direct sales competitor. As a result, we may have difficulty attracting and retaining sales agents and distributors and any inability to do so could have a negative effect on our ability to attract and obtain customers, which could have an adverse impact on our business. In fiscal 2020, our indirect distribution channels did not achieve the level of success desired. As a result, we have modified our strategy in our indirect distribution channels to work more closely with distributors and contractors, usually in coordination with our agents. There can be no assurance that this modified strategy will be successful and may result in a further reduction in revenue through this distribution channel.</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performance is dependent on our ability to achieve increases in our average selling prices of our products.</w:t>
      </w:r>
    </w:p>
    <w:p>
      <w:pPr>
        <w:spacing w:after="0" w:line="102" w:lineRule="exact"/>
        <w:rPr>
          <w:sz w:val="20"/>
          <w:szCs w:val="20"/>
          <w:color w:val="auto"/>
        </w:rPr>
      </w:pPr>
    </w:p>
    <w:p>
      <w:pPr>
        <w:jc w:val="both"/>
        <w:ind w:firstLine="495"/>
        <w:spacing w:after="0" w:line="313" w:lineRule="auto"/>
        <w:rPr>
          <w:sz w:val="20"/>
          <w:szCs w:val="20"/>
          <w:color w:val="auto"/>
        </w:rPr>
      </w:pPr>
      <w:r>
        <w:rPr>
          <w:rFonts w:ascii="Arial" w:cs="Arial" w:eastAsia="Arial" w:hAnsi="Arial"/>
          <w:sz w:val="13"/>
          <w:szCs w:val="13"/>
          <w:color w:val="auto"/>
        </w:rPr>
        <w:t>The gross margins of our products can vary significantly, with margins generally ranging from 10% to 50%. While we continue to implement our strategy of transitioning to higher-margin products and reducing the material cost of our products, a change in the total mix of our sales toward lower margin products, a decrease in the margins on our products as a result of competitive pressures and lower cost imported products driving down the average selling price of our products, lower sales volumes, our substantial fixed manufacturing facility overhead and promotional programs to increase sales volumes could reduce our profitability and result in a material adverse effect on our results of operations, financial condition and cash flows. Furthermore, average selling prices may be further negatively impacted by market over-supply conditions, product feature cannibalization by competitors or component providers, low-cost non-traditional sales methods by new market entrants, and comparison of our retrofit fixture products with replacement lamp equivalents. In our highly competitive lighting industry, we must be able to innovate and release new products on a regular basis with features and benefits that generate increases in our average selling prices and average gross margins. There can be no assurance we will be successful in achieving these goals.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We operate in a highly competitive industry and, if we are unable to compete successfully, our results of operations, financial condition and cash flows will likely be materially adversely affected.</w:t>
      </w:r>
    </w:p>
    <w:p>
      <w:pPr>
        <w:spacing w:after="0" w:line="153" w:lineRule="exact"/>
        <w:rPr>
          <w:sz w:val="20"/>
          <w:szCs w:val="20"/>
          <w:color w:val="auto"/>
        </w:rPr>
      </w:pPr>
    </w:p>
    <w:p>
      <w:pPr>
        <w:jc w:val="both"/>
        <w:ind w:firstLine="495"/>
        <w:spacing w:after="0" w:line="252" w:lineRule="auto"/>
        <w:rPr>
          <w:sz w:val="20"/>
          <w:szCs w:val="20"/>
          <w:color w:val="auto"/>
        </w:rPr>
      </w:pPr>
      <w:r>
        <w:rPr>
          <w:rFonts w:ascii="Arial" w:cs="Arial" w:eastAsia="Arial" w:hAnsi="Arial"/>
          <w:sz w:val="16"/>
          <w:szCs w:val="16"/>
          <w:color w:val="auto"/>
        </w:rPr>
        <w:t>We face strong competition primarily from manufacturers and distributors of energy management products and services, as well as from ESCOs and electrical contractors. We are also facing increased imported products competition from manufacturers in low-cost countries. We compete primarily on the basis of customer relationships, price, quality, energy efficiency, customer service and marketing support. Our products are in direct competition with the expanding availability of LED products, HID technology, as well as HIF products and older fluorescent technology in the lighting systems retrofit market.</w:t>
      </w:r>
    </w:p>
    <w:p>
      <w:pPr>
        <w:spacing w:after="0" w:line="169" w:lineRule="exact"/>
        <w:rPr>
          <w:sz w:val="20"/>
          <w:szCs w:val="20"/>
          <w:color w:val="auto"/>
        </w:rPr>
      </w:pPr>
    </w:p>
    <w:p>
      <w:pPr>
        <w:jc w:val="both"/>
        <w:ind w:firstLine="495"/>
        <w:spacing w:after="0" w:line="268" w:lineRule="auto"/>
        <w:rPr>
          <w:sz w:val="20"/>
          <w:szCs w:val="20"/>
          <w:color w:val="auto"/>
        </w:rPr>
      </w:pPr>
      <w:r>
        <w:rPr>
          <w:rFonts w:ascii="Arial" w:cs="Arial" w:eastAsia="Arial" w:hAnsi="Arial"/>
          <w:sz w:val="15"/>
          <w:szCs w:val="15"/>
          <w:color w:val="auto"/>
        </w:rPr>
        <w:t>Many of our competitors are better capitalized than we are, have strong customer relationships, greater name recognition, and more extensive engineering, manufacturing, sales and marketing capabilities. In addition, the LED market has seen increased convergence in recent years, resulting in our competition gaining increased market share and resources.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 retain customers, or require us to lower our average selling prices in order to remain competitive, any of which could have a material adverse effect on our results of operations, financial condition and cash flows.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21" w:name="page22"/>
    <w:bookmarkEnd w:id="21"/>
    <w:p>
      <w:pPr>
        <w:jc w:val="both"/>
        <w:ind w:right="20"/>
        <w:spacing w:after="0" w:line="258" w:lineRule="auto"/>
        <w:rPr>
          <w:sz w:val="20"/>
          <w:szCs w:val="20"/>
          <w:color w:val="auto"/>
        </w:rPr>
      </w:pPr>
      <w:r>
        <w:rPr>
          <w:rFonts w:ascii="Arial" w:cs="Arial" w:eastAsia="Arial" w:hAnsi="Arial"/>
          <w:sz w:val="16"/>
          <w:szCs w:val="16"/>
          <w:b w:val="1"/>
          <w:bCs w:val="1"/>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 which could have a material adverse effect on our results of operations, financial condition and cash flows.</w:t>
      </w:r>
    </w:p>
    <w:p>
      <w:pPr>
        <w:spacing w:after="0" w:line="70"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Reductions in (including as a result of any budgetary constraints), or the elimination of, government investment and favorable energy policies designed to accelerate the adoption of LED lighting could result in decreased demand for our products and decrease our results of operations, financial condition and cash flows. Further, if our products fail to qualify for any financial incentives or rebates provided by governmental agencies or utilities for which our competitors’ products qualify, such programs may diminish or eliminate our ability to compete by offering products at lower prices than ours.</w:t>
      </w:r>
    </w:p>
    <w:p>
      <w:pPr>
        <w:spacing w:after="0" w:line="25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The elimination of, or changes in, policies, incentives or rebates in certain states that encourage the use of solar power over other traditional power sources could cause the revenue from our sale of solar-related tax credits to third parties to decrease, which could have a material adverse effect on our results of operations, financial condition and cash flows.</w:t>
      </w:r>
    </w:p>
    <w:p>
      <w:pPr>
        <w:spacing w:after="0" w:line="70" w:lineRule="exact"/>
        <w:rPr>
          <w:sz w:val="20"/>
          <w:szCs w:val="20"/>
          <w:color w:val="auto"/>
        </w:rPr>
      </w:pPr>
    </w:p>
    <w:p>
      <w:pPr>
        <w:jc w:val="both"/>
        <w:ind w:right="20" w:firstLine="500"/>
        <w:spacing w:after="0" w:line="252" w:lineRule="auto"/>
        <w:rPr>
          <w:sz w:val="20"/>
          <w:szCs w:val="20"/>
          <w:color w:val="auto"/>
        </w:rPr>
      </w:pPr>
      <w:r>
        <w:rPr>
          <w:rFonts w:ascii="Arial" w:cs="Arial" w:eastAsia="Arial" w:hAnsi="Arial"/>
          <w:sz w:val="16"/>
          <w:szCs w:val="16"/>
          <w:color w:val="auto"/>
        </w:rPr>
        <w:t>We have long-lived assets associated with our legacy solar business and recognize revenue from the sale to third parties of tax credits received from operating these solar assets. There is currently legislation pending which may decrease the future cash flows associated with the sale of these tax credits. Such a decrease could have a material adverse effect on our results of operations, financial condition and cash flows. Depending on the result of this pending legislation change, we may be required to record a non-cash impairment charge in a future period.</w:t>
      </w:r>
    </w:p>
    <w:p>
      <w:pPr>
        <w:spacing w:after="0" w:line="25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color w:val="auto"/>
        </w:rPr>
        <w:t>Changes in government budget priorities and political gridlock, and future potential government shutdown, could negatively impact our results of operations, financial condition and cash flows.</w:t>
      </w:r>
    </w:p>
    <w:p>
      <w:pPr>
        <w:spacing w:after="0" w:line="59" w:lineRule="exact"/>
        <w:rPr>
          <w:sz w:val="20"/>
          <w:szCs w:val="20"/>
          <w:color w:val="auto"/>
        </w:rPr>
      </w:pPr>
    </w:p>
    <w:p>
      <w:pPr>
        <w:jc w:val="both"/>
        <w:ind w:right="20" w:firstLine="500"/>
        <w:spacing w:after="0" w:line="268" w:lineRule="auto"/>
        <w:rPr>
          <w:sz w:val="20"/>
          <w:szCs w:val="20"/>
          <w:color w:val="auto"/>
        </w:rPr>
      </w:pPr>
      <w:r>
        <w:rPr>
          <w:rFonts w:ascii="Arial" w:cs="Arial" w:eastAsia="Arial" w:hAnsi="Arial"/>
          <w:sz w:val="15"/>
          <w:szCs w:val="15"/>
          <w:color w:val="auto"/>
        </w:rPr>
        <w:t>Actual and perceived changes in governmental budget priorities, and future potential government shutdown, could adversely affect our results of operations, financial condition and cash flows. Certain government agencies purchase certain products and services directly from us. When the government changes budget priorities, such as in times of war or financial crisis, including as a result of the COVID-19 pandemic, or reallocates spending to areas unrelated to our business, our results of operations, financial condition and cash flows can be negatively impacted. For example, demand and payment for our products and services may be affected by public sector budgetary cycles, funding authorizations or rebates. Funding reductions or delays, including delays caused by political gridlock and the impact of the COVID-19 pandemic, and future potential government shutdown, could negatively impact demand and payment for our products and services. If any of these events occur, our results of operations, financial condition and cash flows could be materially adversely affected.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use components and raw materials that may be subject to price fluctuations, shortages or interruptions of supply.</w:t>
      </w:r>
    </w:p>
    <w:p>
      <w:pPr>
        <w:spacing w:after="0" w:line="102" w:lineRule="exact"/>
        <w:rPr>
          <w:sz w:val="20"/>
          <w:szCs w:val="20"/>
          <w:color w:val="auto"/>
        </w:rPr>
      </w:pPr>
    </w:p>
    <w:p>
      <w:pPr>
        <w:jc w:val="both"/>
        <w:ind w:firstLine="500"/>
        <w:spacing w:after="0" w:line="265" w:lineRule="auto"/>
        <w:rPr>
          <w:sz w:val="20"/>
          <w:szCs w:val="20"/>
          <w:color w:val="auto"/>
        </w:rPr>
      </w:pPr>
      <w:r>
        <w:rPr>
          <w:rFonts w:ascii="Arial" w:cs="Arial" w:eastAsia="Arial" w:hAnsi="Arial"/>
          <w:sz w:val="15"/>
          <w:szCs w:val="15"/>
          <w:color w:val="auto"/>
        </w:rPr>
        <w:t>We may be vulnerable to price increases for components or raw materials that we require for our products, including aluminum, copper, certain rare earth minerals, electronic drivers, chips, ballasts, power supplies and lamps. In particular, our cost of aluminum can be subject to commodity price fluctuation. We also source certain finished goods externally. Limitations inherent within our supply chain of certain of these component parts, including competitive, governmental, and legal limitations, natural disasters, and other events, could impact costs, and future increases in the costs of these items, including, for example, the adoption of new tariffs by the United States and other countries and the worldwide COVID-19 pandemic could adversely affect our profitability and availability of raw materials or components, as there can be no assurance that future price increases will be successfully passed through to customers or that we will be able to find alternative suppliers. Further, suppliers' inventories of certain components that our products require may be limited and are subject to acquisition by others. As a result of disruption to our supply chain due to COVID-19, we have purchased quantities of certain components that are critical to our product manufacturing and that are in excess of our estimated near-term requirements as a result of supplier delivery constraints and concerns over component availability. We may need to continue to do so in the future. As a result, we have had, and may need to continue, to devote additional working capital to support component and raw material inventory that may not be used over a reasonable period to produce saleable products, and we may be required to increase our excess and obsolete inventory reserves to provide for these excess quantities, particularly if demand for our products does not meet our expectations. Also, any shortages or interruptions in the supply of our components or raw materials could disrupt our operations. If any of these events occur, our results of operations, financial condition and cash flows could be materially adversely affected.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Our ability to balance customer demand and capacity and increased employee turnover could negatively impact our business.</w:t>
      </w:r>
    </w:p>
    <w:p>
      <w:pPr>
        <w:spacing w:after="0" w:line="197" w:lineRule="exact"/>
        <w:rPr>
          <w:sz w:val="20"/>
          <w:szCs w:val="20"/>
          <w:color w:val="auto"/>
        </w:rPr>
      </w:pPr>
    </w:p>
    <w:p>
      <w:pPr>
        <w:jc w:val="both"/>
        <w:ind w:firstLine="500"/>
        <w:spacing w:after="0" w:line="342" w:lineRule="auto"/>
        <w:rPr>
          <w:sz w:val="20"/>
          <w:szCs w:val="20"/>
          <w:color w:val="auto"/>
        </w:rPr>
      </w:pPr>
      <w:r>
        <w:rPr>
          <w:rFonts w:ascii="Arial" w:cs="Arial" w:eastAsia="Arial" w:hAnsi="Arial"/>
          <w:sz w:val="13"/>
          <w:szCs w:val="13"/>
          <w:color w:val="auto"/>
        </w:rPr>
        <w:t>In addition, as customer demand for our products changes, we must be able to adjust our production capacity, including increasing or decreasing our employee workforce, to meet demand. We are continually taking steps to address our manufacturing capacity needs for our products. If we are not able to increase or decrease our production capacity at our targeted rate or if there are unforeseen costs associated with adjusting our capacity levels, our ability to execute our operating plan could be adversely affected.</w:t>
      </w:r>
    </w:p>
    <w:p>
      <w:pPr>
        <w:spacing w:after="0" w:line="114" w:lineRule="exact"/>
        <w:rPr>
          <w:sz w:val="20"/>
          <w:szCs w:val="20"/>
          <w:color w:val="auto"/>
        </w:rPr>
      </w:pPr>
    </w:p>
    <w:p>
      <w:pPr>
        <w:jc w:val="both"/>
        <w:ind w:right="20" w:firstLine="500"/>
        <w:spacing w:after="0" w:line="249" w:lineRule="auto"/>
        <w:rPr>
          <w:sz w:val="20"/>
          <w:szCs w:val="20"/>
          <w:color w:val="auto"/>
        </w:rPr>
      </w:pPr>
      <w:r>
        <w:rPr>
          <w:rFonts w:ascii="Arial" w:cs="Arial" w:eastAsia="Arial" w:hAnsi="Arial"/>
          <w:sz w:val="16"/>
          <w:szCs w:val="16"/>
          <w:color w:val="auto"/>
        </w:rPr>
        <w:t>We have, from time to time, experienced increased employee turnover. The increased turnover has resulted in the loss of numerous long-term employees, along with their institutional knowledge and expertise, and the reallocation of certain employment responsibilities, all of which could adversely affect operational efficiencies, employee performance and retention. Such turnover has also placed a significant burden on our continuing employees, has resulted in higher recruiting expenses as we have sought to recruit and train employees, and introduced increased instability in our operations as responsibilities were reallocated to new or different employees. To the extent that we are unable to effectively reallocate employee responsibilities, retain key employees and reduce employee turnover, our operations and our ability to execute our operating plan could be adversely affected.</w:t>
      </w:r>
    </w:p>
    <w:p>
      <w:pPr>
        <w:spacing w:after="0" w:line="26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color w:val="auto"/>
        </w:rPr>
        <w:t>Our inability to attract and retain key employees, our reseller network members or manufacturer representative agencies could adversely affect our operations and our ability to execute on our operating plan and growth strategy.</w:t>
      </w:r>
    </w:p>
    <w:p>
      <w:pPr>
        <w:spacing w:after="0" w:line="59" w:lineRule="exact"/>
        <w:rPr>
          <w:sz w:val="20"/>
          <w:szCs w:val="20"/>
          <w:color w:val="auto"/>
        </w:rPr>
      </w:pPr>
    </w:p>
    <w:p>
      <w:pPr>
        <w:jc w:val="both"/>
        <w:ind w:right="20" w:firstLine="500"/>
        <w:spacing w:after="0" w:line="248" w:lineRule="auto"/>
        <w:rPr>
          <w:sz w:val="20"/>
          <w:szCs w:val="20"/>
          <w:color w:val="auto"/>
        </w:rPr>
      </w:pPr>
      <w:r>
        <w:rPr>
          <w:rFonts w:ascii="Arial" w:cs="Arial" w:eastAsia="Arial" w:hAnsi="Arial"/>
          <w:sz w:val="16"/>
          <w:szCs w:val="16"/>
          <w:color w:val="auto"/>
        </w:rPr>
        <w:t>We rely upon the knowledge, experience and skills of key employees throughout our organization, particularly our senior management team, our sales group that require technical knowledge or contacts in, and knowledge of, the LED industry, and our innovation and engineering team. In addition, our ability to attract talented new employees, particularly in our sales group and our innovation and engineering team, is also critical to our success. We also depend on our distribution channels and network of manufacturer representative agencies. If we are unable to attract and retain key employees, resellers, and manufacturer representative agencies because of competition or, in the case of employees, inadequate compensation or other factors, our results of operations and our ability to execute our operating plan could be adversely affected. In addition, if key employees terminate their employment, become ill as a result of the COVID-19 pandemic, or if an insufficient number of employees are retained to maintain effective operations, our business activities may be adversely affected.</w:t>
      </w:r>
    </w:p>
    <w:p>
      <w:pPr>
        <w:spacing w:after="0" w:line="265"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b w:val="1"/>
          <w:bCs w:val="1"/>
          <w:color w:val="auto"/>
        </w:rPr>
        <w:t>If our information technology systems security measures are breached or fail, our products may be perceived as not being secure, customers may curtail or stop buying our products, we may incur significant legal and financial exposure, and our results of operations, financial condition and cash flows could be materially adversely affected.</w:t>
      </w:r>
    </w:p>
    <w:p>
      <w:pPr>
        <w:spacing w:after="0" w:line="70" w:lineRule="exact"/>
        <w:rPr>
          <w:sz w:val="20"/>
          <w:szCs w:val="20"/>
          <w:color w:val="auto"/>
        </w:rPr>
      </w:pPr>
    </w:p>
    <w:p>
      <w:pPr>
        <w:jc w:val="both"/>
        <w:ind w:firstLine="500"/>
        <w:spacing w:after="0" w:line="310" w:lineRule="auto"/>
        <w:rPr>
          <w:sz w:val="20"/>
          <w:szCs w:val="20"/>
          <w:color w:val="auto"/>
        </w:rPr>
      </w:pPr>
      <w:r>
        <w:rPr>
          <w:rFonts w:ascii="Arial" w:cs="Arial" w:eastAsia="Arial" w:hAnsi="Arial"/>
          <w:sz w:val="13"/>
          <w:szCs w:val="13"/>
          <w:color w:val="auto"/>
        </w:rPr>
        <w:t>Our information technology systems involve the storage of our confidential information and trade secrets, as well as our customers’ personal and proprietary information in our equipment, networks and corporate systems. Security breaches expose us to a risk of loss of this information, litigation and increased costs for security measures, loss of revenue, damage to our reputation and potential liability. Security breaches or unauthorized access may in the future result in a combination of significant legal and financial exposure, increased remediation and other costs, theft and/or unauthorized use or publication of our trade secrets and other confidential business information, damage to our reputation and a loss of confidence in the security of our products, services and networks that could have an adverse effect upon our business. While we take steps to prevent unauthorized access to our corporate systems, because the techniques used to obtain unauthorized access, disable or sabotage systems change frequently or may be designed to remain dormant until a triggering event, we may be unable to anticipate these techniques or implement adequate preventative measures. Further, the risk of a security breach or disruption, particularly through cyber-attacks, or cyber intrusion, including by computer hackers, foreign governments, and cyber terrorists, has generally increased as cyber-attacks have become more prevalent and harder to detect and fight against. In addition, hardware, software or applications we procure from third parties may contain defects in design or manufacture or other problems that could unexpectedly compromise network and data security. Any breach or failure of our information technology systems could result in decreased revenue, increased expenses, increased capital expenditures, customer dissatisfaction and potential lawsuits, any of which could have a material adverse effect on our results of operations, financial condition and cash flows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6"/>
          <w:szCs w:val="16"/>
          <w:b w:val="1"/>
          <w:bCs w:val="1"/>
          <w:color w:val="auto"/>
        </w:rPr>
        <w:t>If our information technology systems fail, or if we experience an interruption in their operation, then our business, results of operations and financial condition could be materially adversely affected.</w:t>
      </w:r>
    </w:p>
    <w:p>
      <w:pPr>
        <w:spacing w:after="0" w:line="59" w:lineRule="exact"/>
        <w:rPr>
          <w:sz w:val="20"/>
          <w:szCs w:val="20"/>
          <w:color w:val="auto"/>
        </w:rPr>
      </w:pPr>
    </w:p>
    <w:p>
      <w:pPr>
        <w:jc w:val="both"/>
        <w:ind w:right="20" w:firstLine="500"/>
        <w:spacing w:after="0" w:line="322" w:lineRule="auto"/>
        <w:rPr>
          <w:sz w:val="20"/>
          <w:szCs w:val="20"/>
          <w:color w:val="auto"/>
        </w:rPr>
      </w:pPr>
      <w:r>
        <w:rPr>
          <w:rFonts w:ascii="Arial" w:cs="Arial" w:eastAsia="Arial" w:hAnsi="Arial"/>
          <w:sz w:val="13"/>
          <w:szCs w:val="13"/>
          <w:color w:val="auto"/>
        </w:rPr>
        <w:t>The efficient operation of our business is dependent on our information technology systems. We rely on those systems generally to manage day-to-day operations, manage relationships with our customers, maintain our research and development data and maintain our financial and accounting records. The failure of our information technology systems, our inability to successfully maintain, enhance and/or replace our information technology systems, or any compromise of the integrity or security of the data we generate from our information technology systems, could have a materially adverse effect on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33" w:lineRule="exact"/>
        <w:rPr>
          <w:sz w:val="20"/>
          <w:szCs w:val="20"/>
          <w:color w:val="auto"/>
        </w:rPr>
      </w:pPr>
    </w:p>
    <w:p>
      <w:pPr>
        <w:ind w:left="860" w:hanging="372"/>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earthquake, fire, flood and other natural disasters;</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employee or other theft;</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attacks by computer viruses or hackers;</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power outages; and</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computer systems, internet, telecommunications or data network failure.</w:t>
      </w:r>
    </w:p>
    <w:p>
      <w:pPr>
        <w:spacing w:after="0" w:line="193" w:lineRule="exact"/>
        <w:rPr>
          <w:sz w:val="20"/>
          <w:szCs w:val="20"/>
          <w:color w:val="auto"/>
        </w:rPr>
      </w:pPr>
    </w:p>
    <w:p>
      <w:pPr>
        <w:jc w:val="both"/>
        <w:ind w:firstLine="500"/>
        <w:spacing w:after="0" w:line="299" w:lineRule="auto"/>
        <w:rPr>
          <w:sz w:val="20"/>
          <w:szCs w:val="20"/>
          <w:color w:val="auto"/>
        </w:rPr>
      </w:pPr>
      <w:r>
        <w:rPr>
          <w:rFonts w:ascii="Arial" w:cs="Arial" w:eastAsia="Arial" w:hAnsi="Arial"/>
          <w:sz w:val="15"/>
          <w:szCs w:val="15"/>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financial condition and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liability claims could adversely affect our business, results of operations and financial condition.</w:t>
      </w:r>
    </w:p>
    <w:p>
      <w:pPr>
        <w:spacing w:after="0" w:line="102" w:lineRule="exact"/>
        <w:rPr>
          <w:sz w:val="20"/>
          <w:szCs w:val="20"/>
          <w:color w:val="auto"/>
        </w:rPr>
      </w:pPr>
    </w:p>
    <w:p>
      <w:pPr>
        <w:jc w:val="both"/>
        <w:ind w:firstLine="500"/>
        <w:spacing w:after="0" w:line="318" w:lineRule="auto"/>
        <w:rPr>
          <w:sz w:val="20"/>
          <w:szCs w:val="20"/>
          <w:color w:val="auto"/>
        </w:rPr>
      </w:pPr>
      <w:r>
        <w:rPr>
          <w:rFonts w:ascii="Arial" w:cs="Arial" w:eastAsia="Arial" w:hAnsi="Arial"/>
          <w:sz w:val="13"/>
          <w:szCs w:val="13"/>
          <w:color w:val="auto"/>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financial condition and cash flows.</w:t>
      </w:r>
    </w:p>
    <w:p>
      <w:pPr>
        <w:spacing w:after="0" w:line="21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color w:val="auto"/>
        </w:rPr>
        <w:t>Our inability to protect our intellectual property, or our involvement in damaging and disruptive intellectual property litigation, could adversely affect our results of operations, financial condition and cash flows or result in the loss of use of the related product or service.</w:t>
      </w:r>
    </w:p>
    <w:p>
      <w:pPr>
        <w:spacing w:after="0" w:line="153"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results of operations, financial condition and cash flows.</w:t>
      </w:r>
    </w:p>
    <w:p>
      <w:pPr>
        <w:spacing w:after="0" w:line="167" w:lineRule="exact"/>
        <w:rPr>
          <w:sz w:val="20"/>
          <w:szCs w:val="20"/>
          <w:color w:val="auto"/>
        </w:rPr>
      </w:pPr>
    </w:p>
    <w:p>
      <w:pPr>
        <w:jc w:val="both"/>
        <w:ind w:firstLine="500"/>
        <w:spacing w:after="0" w:line="248" w:lineRule="auto"/>
        <w:rPr>
          <w:sz w:val="20"/>
          <w:szCs w:val="20"/>
          <w:color w:val="auto"/>
        </w:rPr>
      </w:pPr>
      <w:r>
        <w:rPr>
          <w:rFonts w:ascii="Arial" w:cs="Arial" w:eastAsia="Arial" w:hAnsi="Arial"/>
          <w:sz w:val="16"/>
          <w:szCs w:val="16"/>
          <w:color w:val="auto"/>
        </w:rPr>
        <w:t>We own numerous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24" w:name="page25"/>
    <w:bookmarkEnd w:id="24"/>
    <w:p>
      <w:pPr>
        <w:jc w:val="both"/>
        <w:ind w:firstLine="500"/>
        <w:spacing w:after="0" w:line="250" w:lineRule="auto"/>
        <w:rPr>
          <w:sz w:val="20"/>
          <w:szCs w:val="20"/>
          <w:color w:val="auto"/>
        </w:rPr>
      </w:pPr>
      <w:r>
        <w:rPr>
          <w:rFonts w:ascii="Arial" w:cs="Arial" w:eastAsia="Arial" w:hAnsi="Arial"/>
          <w:sz w:val="16"/>
          <w:szCs w:val="16"/>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171" w:lineRule="exact"/>
        <w:rPr>
          <w:sz w:val="20"/>
          <w:szCs w:val="20"/>
          <w:color w:val="auto"/>
        </w:rPr>
      </w:pPr>
    </w:p>
    <w:p>
      <w:pPr>
        <w:jc w:val="both"/>
        <w:ind w:right="20" w:firstLine="500"/>
        <w:spacing w:after="0" w:line="342" w:lineRule="auto"/>
        <w:rPr>
          <w:sz w:val="20"/>
          <w:szCs w:val="20"/>
          <w:color w:val="auto"/>
        </w:rPr>
      </w:pPr>
      <w:r>
        <w:rPr>
          <w:rFonts w:ascii="Arial" w:cs="Arial" w:eastAsia="Arial" w:hAnsi="Arial"/>
          <w:sz w:val="13"/>
          <w:szCs w:val="13"/>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114"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5"/>
          <w:szCs w:val="15"/>
          <w:color w:val="auto"/>
        </w:rPr>
        <w:t>In addition, third parties may bring infringement and other claims that could be time-consuming and expensive to defend. Also, parties making infringement and other claims may be able to obtain injunctive or other equitable relief that could effectively block our ability to provide our products, services or business methods and could cause us to pay substantial damages. In the event of a successful claim of infringement,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results of operations, financial condition and cash flows.</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We are subject to financial and operating covenants in our credit agreement and any failure to comply with such covenants, or obtain waivers in the event of non-compliance, could limit our borrowing availability under the credit agreement, resulting in our being unable to borrow under our credit agreement and materially adversely impact our liquidity.</w:t>
      </w:r>
    </w:p>
    <w:p>
      <w:pPr>
        <w:spacing w:after="0" w:line="70" w:lineRule="exact"/>
        <w:rPr>
          <w:sz w:val="20"/>
          <w:szCs w:val="20"/>
          <w:color w:val="auto"/>
        </w:rPr>
      </w:pPr>
    </w:p>
    <w:p>
      <w:pPr>
        <w:jc w:val="both"/>
        <w:ind w:right="20" w:firstLine="500"/>
        <w:spacing w:after="0" w:line="252" w:lineRule="auto"/>
        <w:rPr>
          <w:sz w:val="20"/>
          <w:szCs w:val="20"/>
          <w:color w:val="auto"/>
        </w:rPr>
      </w:pPr>
      <w:r>
        <w:rPr>
          <w:rFonts w:ascii="Arial" w:cs="Arial" w:eastAsia="Arial" w:hAnsi="Arial"/>
          <w:sz w:val="16"/>
          <w:szCs w:val="16"/>
          <w:color w:val="auto"/>
        </w:rPr>
        <w:t>Our credit agreement with Western Alliance Bank contains provisions that limit our future borrowing availability and require us to maintain a minimum amount of cash on deposit and available borrowing capacity under such credit agreement as of the end of each month. The credit agreement also contains other customary covenants, including certain restrictions on our ability to incur additional indebtedness, consolidate or merge, enter into acquisitions, make investments, pay any dividend or distribution on our stock, redeem, repurchase or retire shares of our stock, or pledge or dispose of assets.</w:t>
      </w:r>
    </w:p>
    <w:p>
      <w:pPr>
        <w:spacing w:after="0" w:line="169" w:lineRule="exact"/>
        <w:rPr>
          <w:sz w:val="20"/>
          <w:szCs w:val="20"/>
          <w:color w:val="auto"/>
        </w:rPr>
      </w:pPr>
    </w:p>
    <w:p>
      <w:pPr>
        <w:jc w:val="both"/>
        <w:ind w:firstLine="500"/>
        <w:spacing w:after="0" w:line="249" w:lineRule="auto"/>
        <w:rPr>
          <w:sz w:val="20"/>
          <w:szCs w:val="20"/>
          <w:color w:val="auto"/>
        </w:rPr>
      </w:pPr>
      <w:r>
        <w:rPr>
          <w:rFonts w:ascii="Arial" w:cs="Arial" w:eastAsia="Arial" w:hAnsi="Arial"/>
          <w:sz w:val="16"/>
          <w:szCs w:val="16"/>
          <w:color w:val="auto"/>
        </w:rPr>
        <w:t>There can be no assurance that we will be able to comply with the financial and other covenants in our credit agreement. Our failure to comply with these covenants could cause us to be unable to borrow under the credit agreement and may constitute an event of default which, if not cured or waived, could result in the acceleration of the maturity of any indebtedness then outstanding under the credit agreement, which would require us to pay all amounts then outstanding. Such an event could materially adversely affect our financial condition and liquidity. Additionally, such events of non-compliance could impact the terms of any additional borrowings and/or any credit renewal terms. Any failure to comply with such covenants may be a disclosable event and may be perceived negatively. Such perception could adversely affect the market price for our common stock and our ability to obtain financing in the future.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retrofitting process frequently involves responsibility for the removal and disposal of components containing hazardous materials.</w:t>
      </w:r>
    </w:p>
    <w:p>
      <w:pPr>
        <w:spacing w:after="0" w:line="102" w:lineRule="exact"/>
        <w:rPr>
          <w:sz w:val="20"/>
          <w:szCs w:val="20"/>
          <w:color w:val="auto"/>
        </w:rPr>
      </w:pPr>
    </w:p>
    <w:p>
      <w:pPr>
        <w:jc w:val="both"/>
        <w:ind w:firstLine="500"/>
        <w:spacing w:after="0" w:line="269" w:lineRule="auto"/>
        <w:rPr>
          <w:sz w:val="20"/>
          <w:szCs w:val="20"/>
          <w:color w:val="auto"/>
        </w:rPr>
      </w:pPr>
      <w:r>
        <w:rPr>
          <w:rFonts w:ascii="Arial" w:cs="Arial" w:eastAsia="Arial" w:hAnsi="Arial"/>
          <w:sz w:val="15"/>
          <w:szCs w:val="15"/>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 which may have a material adverse effect on our results of operations, financial condition and cash flows.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25" w:name="page26"/>
    <w:bookmarkEnd w:id="25"/>
    <w:p>
      <w:pPr>
        <w:jc w:val="both"/>
        <w:spacing w:after="0" w:line="271" w:lineRule="auto"/>
        <w:rPr>
          <w:sz w:val="20"/>
          <w:szCs w:val="20"/>
          <w:color w:val="auto"/>
        </w:rPr>
      </w:pPr>
      <w:r>
        <w:rPr>
          <w:rFonts w:ascii="Arial" w:cs="Arial" w:eastAsia="Arial" w:hAnsi="Arial"/>
          <w:sz w:val="16"/>
          <w:szCs w:val="16"/>
          <w:b w:val="1"/>
          <w:bCs w:val="1"/>
          <w:color w:val="auto"/>
        </w:rPr>
        <w:t>The cost of compliance with environmental laws and regulations and any related environmental liabilities could adversely affect our results of operations, financial condition and cash flows.</w:t>
      </w:r>
    </w:p>
    <w:p>
      <w:pPr>
        <w:spacing w:after="0" w:line="59"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5"/>
          <w:szCs w:val="15"/>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that could adversely affect our results of operations, financial condition and cash flows.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corporate office building is currently listed for sale or lease; any sale of our building will likely result in a non-cash impairment charge.</w:t>
      </w:r>
    </w:p>
    <w:p>
      <w:pPr>
        <w:spacing w:after="0" w:line="102" w:lineRule="exact"/>
        <w:rPr>
          <w:sz w:val="20"/>
          <w:szCs w:val="20"/>
          <w:color w:val="auto"/>
        </w:rPr>
      </w:pPr>
    </w:p>
    <w:p>
      <w:pPr>
        <w:jc w:val="both"/>
        <w:ind w:right="20" w:firstLine="495"/>
        <w:spacing w:after="0" w:line="250" w:lineRule="auto"/>
        <w:rPr>
          <w:sz w:val="20"/>
          <w:szCs w:val="20"/>
          <w:color w:val="auto"/>
        </w:rPr>
      </w:pPr>
      <w:r>
        <w:rPr>
          <w:rFonts w:ascii="Arial" w:cs="Arial" w:eastAsia="Arial" w:hAnsi="Arial"/>
          <w:sz w:val="16"/>
          <w:szCs w:val="16"/>
          <w:color w:val="auto"/>
        </w:rPr>
        <w:t>We currently own, but have listed for sale or lease, our corporate office building in Manitowoc, Wisconsin. We evaluate long-lived assets, including property, plant, and equipment, for impairment whenever events or circumstances indicate that the carrying value of the assets recognized in our financial statements may not be recoverable; as of March 31, 2020, the value of our long-lived assets was deemed recoverable. However, any sale of our building will likely result in a non-cash impairment charge, as the building is currently listed for sale at a price below its net book value and, as a result, will have an adverse impact on our results of operations during the period the impairment charge is incurred.</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net operating loss carryforwards provide a future benefit only if we are profitable and may be subject to limitation based upon ownership changes.</w:t>
      </w:r>
    </w:p>
    <w:p>
      <w:pPr>
        <w:spacing w:after="0" w:line="114" w:lineRule="exact"/>
        <w:rPr>
          <w:sz w:val="20"/>
          <w:szCs w:val="20"/>
          <w:color w:val="auto"/>
        </w:rPr>
      </w:pPr>
    </w:p>
    <w:p>
      <w:pPr>
        <w:jc w:val="both"/>
        <w:ind w:right="20" w:firstLine="500"/>
        <w:spacing w:after="0" w:line="249" w:lineRule="auto"/>
        <w:rPr>
          <w:sz w:val="20"/>
          <w:szCs w:val="20"/>
          <w:color w:val="auto"/>
        </w:rPr>
      </w:pPr>
      <w:r>
        <w:rPr>
          <w:rFonts w:ascii="Arial" w:cs="Arial" w:eastAsia="Arial" w:hAnsi="Arial"/>
          <w:sz w:val="16"/>
          <w:szCs w:val="16"/>
          <w:color w:val="auto"/>
        </w:rPr>
        <w:t>We have significant federal net operating loss carryforwards and state net operating loss carryforwards. While our federal and state net operating loss carryforwards are fully reserved for, if we are unable to maintain our recent profitability, we may not be able to fully utilize these tax benefits. Furthermore,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establish and maintain effective internal controls over financial reporting, our business and financial results could be harmed.</w:t>
      </w:r>
    </w:p>
    <w:p>
      <w:pPr>
        <w:spacing w:after="0" w:line="102" w:lineRule="exact"/>
        <w:rPr>
          <w:sz w:val="20"/>
          <w:szCs w:val="20"/>
          <w:color w:val="auto"/>
        </w:rPr>
      </w:pPr>
    </w:p>
    <w:p>
      <w:pPr>
        <w:jc w:val="both"/>
        <w:ind w:firstLine="495"/>
        <w:spacing w:after="0" w:line="313" w:lineRule="auto"/>
        <w:rPr>
          <w:sz w:val="20"/>
          <w:szCs w:val="20"/>
          <w:color w:val="auto"/>
        </w:rPr>
      </w:pPr>
      <w:r>
        <w:rPr>
          <w:rFonts w:ascii="Arial" w:cs="Arial" w:eastAsia="Arial" w:hAnsi="Arial"/>
          <w:sz w:val="13"/>
          <w:szCs w:val="13"/>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As of March 31, 2020, our Chief Executive Officer and Chief Financial Officer concluded that our internal controls were designed and operating effectively. There can be no assurance that we will not experience another material weakness in our internal control over financial reporting in the future.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A failure to maintain an effective system of internal control over financial reporting could limit our ability to report our financial results accurately and in a timely manner or to detect and prevent fraud, could result in a restatement of our financial statements, and could also cause a loss of investor confidence and decline in the market price of our common stock.</w:t>
      </w:r>
    </w:p>
    <w:p>
      <w:pPr>
        <w:spacing w:after="0" w:line="200" w:lineRule="exact"/>
        <w:rPr>
          <w:sz w:val="20"/>
          <w:szCs w:val="20"/>
          <w:color w:val="auto"/>
        </w:rPr>
      </w:pP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We expect our quarterly revenue and operating results to fluctuate. If we fail to meet the expectations of market analysts or investors, the market price of our common stock could decline substantially, and we could become subject to securities litigation.</w:t>
      </w:r>
    </w:p>
    <w:p>
      <w:pPr>
        <w:spacing w:after="0" w:line="59" w:lineRule="exact"/>
        <w:rPr>
          <w:sz w:val="20"/>
          <w:szCs w:val="20"/>
          <w:color w:val="auto"/>
        </w:rPr>
      </w:pPr>
    </w:p>
    <w:p>
      <w:pPr>
        <w:jc w:val="both"/>
        <w:ind w:right="20" w:firstLine="495"/>
        <w:spacing w:after="0" w:line="266" w:lineRule="auto"/>
        <w:rPr>
          <w:sz w:val="20"/>
          <w:szCs w:val="20"/>
          <w:color w:val="auto"/>
        </w:rPr>
      </w:pPr>
      <w:r>
        <w:rPr>
          <w:rFonts w:ascii="Arial" w:cs="Arial" w:eastAsia="Arial" w:hAnsi="Arial"/>
          <w:sz w:val="16"/>
          <w:szCs w:val="16"/>
          <w:color w:val="auto"/>
        </w:rPr>
        <w:t>Our quarterly revenue and operating results have fluctuated in the past and will likely vary from quarter to quarter in the future. Our results for any particular quarter are not an indication of our future performance. Our revenue and operating results may fall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26" w:name="page27"/>
    <w:bookmarkEnd w:id="26"/>
    <w:p>
      <w:pPr>
        <w:jc w:val="both"/>
        <w:spacing w:after="0" w:line="274" w:lineRule="auto"/>
        <w:rPr>
          <w:sz w:val="20"/>
          <w:szCs w:val="20"/>
          <w:color w:val="auto"/>
        </w:rPr>
      </w:pPr>
      <w:r>
        <w:rPr>
          <w:rFonts w:ascii="Arial" w:cs="Arial" w:eastAsia="Arial" w:hAnsi="Arial"/>
          <w:sz w:val="15"/>
          <w:szCs w:val="15"/>
          <w:color w:val="auto"/>
        </w:rPr>
        <w:t>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current price, we may be the target of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results of operations, financial condition and cash flows.</w:t>
      </w:r>
    </w:p>
    <w:p>
      <w:pPr>
        <w:spacing w:after="0" w:line="24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If securities or industry analysts do not continue to publish research or publish inaccurate or unfavorable research about our business, our stock price and trading volume could decline.</w:t>
      </w:r>
    </w:p>
    <w:p>
      <w:pPr>
        <w:spacing w:after="0" w:line="59" w:lineRule="exact"/>
        <w:rPr>
          <w:sz w:val="20"/>
          <w:szCs w:val="20"/>
          <w:color w:val="auto"/>
        </w:rPr>
      </w:pPr>
    </w:p>
    <w:p>
      <w:pPr>
        <w:jc w:val="both"/>
        <w:ind w:firstLine="495"/>
        <w:spacing w:after="0" w:line="274" w:lineRule="auto"/>
        <w:rPr>
          <w:sz w:val="20"/>
          <w:szCs w:val="20"/>
          <w:color w:val="auto"/>
        </w:rPr>
      </w:pPr>
      <w:r>
        <w:rPr>
          <w:rFonts w:ascii="Arial" w:cs="Arial" w:eastAsia="Arial" w:hAnsi="Arial"/>
          <w:sz w:val="15"/>
          <w:szCs w:val="15"/>
          <w:color w:val="auto"/>
        </w:rPr>
        <w:t>The trading market for our common stock will continue to depend in part on the research and reports that securities or industry analysts publish about our business or us. If these analysts do not continue to provide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24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The market price of our common stock could be adversely affected by future sales of our common stock in the public market by us or our executive officers and directors.</w:t>
      </w:r>
    </w:p>
    <w:p>
      <w:pPr>
        <w:spacing w:after="0" w:line="59"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6"/>
          <w:szCs w:val="16"/>
          <w:color w:val="auto"/>
        </w:rPr>
        <w:t>We and our executive officers and directors may from time to time sell shares of our common stock in the public market or otherwise. We cannot predict the size or the effect, if any, that future sales of shares of our common stock by us or our executive officers and directors, or the perception of such sales, would have on the market price of our common stock.</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not currently paying dividends and will likely not pay any dividends for the foreseeable future.</w:t>
      </w:r>
    </w:p>
    <w:p>
      <w:pPr>
        <w:spacing w:after="0" w:line="102"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5"/>
          <w:szCs w:val="15"/>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revolving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and other factors that our board of directors deems relevant. The restriction on and decision not to pay dividends may impact our ability to attract investors and raise funds, if necessary, in the capital markets.</w:t>
      </w:r>
    </w:p>
    <w:p>
      <w:pPr>
        <w:spacing w:after="0" w:line="246" w:lineRule="exact"/>
        <w:rPr>
          <w:sz w:val="20"/>
          <w:szCs w:val="20"/>
          <w:color w:val="auto"/>
        </w:rPr>
      </w:pPr>
    </w:p>
    <w:p>
      <w:pPr>
        <w:jc w:val="both"/>
        <w:spacing w:after="0" w:line="345" w:lineRule="auto"/>
        <w:rPr>
          <w:sz w:val="20"/>
          <w:szCs w:val="20"/>
          <w:color w:val="auto"/>
        </w:rPr>
      </w:pPr>
      <w:r>
        <w:rPr>
          <w:rFonts w:ascii="Arial" w:cs="Arial" w:eastAsia="Arial" w:hAnsi="Arial"/>
          <w:sz w:val="13"/>
          <w:szCs w:val="13"/>
          <w:b w:val="1"/>
          <w:bCs w:val="1"/>
          <w:color w:val="auto"/>
        </w:rPr>
        <w:t>Anti-takeover provisions included in the Wisconsin Business Corporation Law, provisions in our amended and restated articles of incorporation or bylaws and the common share purchase rights that accompany shares of our common stock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18" w:lineRule="exact"/>
        <w:rPr>
          <w:sz w:val="20"/>
          <w:szCs w:val="20"/>
          <w:color w:val="auto"/>
        </w:rPr>
      </w:pPr>
    </w:p>
    <w:p>
      <w:pPr>
        <w:jc w:val="both"/>
        <w:ind w:firstLine="500"/>
        <w:spacing w:after="0" w:line="322" w:lineRule="auto"/>
        <w:rPr>
          <w:sz w:val="20"/>
          <w:szCs w:val="20"/>
          <w:color w:val="auto"/>
        </w:rPr>
      </w:pPr>
      <w:r>
        <w:rPr>
          <w:rFonts w:ascii="Arial" w:cs="Arial" w:eastAsia="Arial" w:hAnsi="Arial"/>
          <w:sz w:val="13"/>
          <w:szCs w:val="13"/>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of directors and our ability to issue “blank check” preferred stock, as well as the provisions of our amended and restated bylaws and Wisconsin law, could make it more difficult for shareholders or potential acquirers to obtain control of our board of directors or initiate actions that are opposed by the then-current board of directors, including to delay or impede a merger, tender offer or proxy contest involving our company.</w:t>
      </w:r>
    </w:p>
    <w:p>
      <w:pPr>
        <w:spacing w:after="0" w:line="127" w:lineRule="exact"/>
        <w:rPr>
          <w:sz w:val="20"/>
          <w:szCs w:val="20"/>
          <w:color w:val="auto"/>
        </w:rPr>
      </w:pPr>
    </w:p>
    <w:p>
      <w:pPr>
        <w:jc w:val="both"/>
        <w:ind w:right="20" w:firstLine="500"/>
        <w:spacing w:after="0" w:line="250" w:lineRule="auto"/>
        <w:rPr>
          <w:sz w:val="20"/>
          <w:szCs w:val="20"/>
          <w:color w:val="auto"/>
        </w:rPr>
      </w:pPr>
      <w:r>
        <w:rPr>
          <w:rFonts w:ascii="Arial" w:cs="Arial" w:eastAsia="Arial" w:hAnsi="Arial"/>
          <w:sz w:val="16"/>
          <w:szCs w:val="16"/>
          <w:color w:val="auto"/>
        </w:rPr>
        <w:t>Each currently outstanding share of our common stock includes, and each newly issued share of our common stock will include, a common share purchase right. The rights are attached to, and trade with, the shares of common stock and generally are not exercisable. The rights will become exercisable if a person or group acquires, or announces an intention to acquire, 20% or more of our outstanding common stock. The rights have some anti-takeover effects and generally will cause substantial dilution to a person or group that attempts to acquire control of us without conditioning the offer on either redemption of the rights or amendment of the rights to prevent this dilution. The rights could have the effect of delaying, deferring or preventing a change of control.</w:t>
      </w:r>
    </w:p>
    <w:p>
      <w:pPr>
        <w:spacing w:after="0" w:line="171"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In addition, our employment arrangements with senior management provide for severance payments and accelerated vesting of benefits, including accelerated vesting of stock options and restricted stock awards, upon a change of control and a subsequent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27" w:name="page28"/>
    <w:bookmarkEnd w:id="27"/>
    <w:p>
      <w:pPr>
        <w:jc w:val="both"/>
        <w:ind w:right="20"/>
        <w:spacing w:after="0" w:line="382" w:lineRule="auto"/>
        <w:rPr>
          <w:sz w:val="20"/>
          <w:szCs w:val="20"/>
          <w:color w:val="auto"/>
        </w:rPr>
      </w:pPr>
      <w:r>
        <w:rPr>
          <w:rFonts w:ascii="Arial" w:cs="Arial" w:eastAsia="Arial" w:hAnsi="Arial"/>
          <w:sz w:val="13"/>
          <w:szCs w:val="13"/>
          <w:color w:val="auto"/>
        </w:rPr>
        <w:t>qualifying termination.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0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None.</w:t>
      </w:r>
    </w:p>
    <w:p>
      <w:pPr>
        <w:spacing w:after="0" w:line="283"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97"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We lease our approximately 196,000 square foot manufacturing and distribution facility located in Manitowoc, Wisconsin. On January 31, 2020, we entered a new lease for the facility with a ten-year term, and an option to terminate after six years.</w:t>
      </w:r>
    </w:p>
    <w:p>
      <w:pPr>
        <w:spacing w:after="0" w:line="157"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We own our approximately 70,000 square foot technology center and corporate headquarters adjacent to our leased Manitowoc manufacturing and distribution facility, of which we sub-lease a portion to third parties. We also lease approximately 10,500 square feet of office space in Jacksonville, Florida.</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facilities noted above are utilized by all our business segments.</w:t>
      </w:r>
    </w:p>
    <w:p>
      <w:pPr>
        <w:spacing w:after="0" w:line="283"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02"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We are subject to various claims and legal proceedings arising in the ordinary course of business. As of the date of this report, we do not believe that the final resolution of any of such claims or legal proceedings would have a material adverse effect on our future results of operations.</w:t>
      </w:r>
    </w:p>
    <w:p>
      <w:pPr>
        <w:spacing w:after="0" w:line="247"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w:t>
      </w:r>
    </w:p>
    <w:p>
      <w:pPr>
        <w:spacing w:after="0" w:line="283"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SHAREHOLDER MATTERS AND ISSUER PURCHASES OF EQUITY SECURITIES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Shares of our common stock are traded on the NASDAQ Capital Market under the symbol “OESX”.</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w:t>
      </w:r>
    </w:p>
    <w:p>
      <w:pPr>
        <w:spacing w:after="0" w:line="102"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As of May 31, 2020, there were approximately 182 record holders of the 30,274,101 outstanding shares of our common stock. The number of record holders does not include shareholders for whom shares are held in a “nominee” or “street” name.</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02" w:lineRule="exact"/>
        <w:rPr>
          <w:sz w:val="20"/>
          <w:szCs w:val="20"/>
          <w:color w:val="auto"/>
        </w:rPr>
      </w:pPr>
    </w:p>
    <w:p>
      <w:pPr>
        <w:jc w:val="both"/>
        <w:ind w:firstLine="500"/>
        <w:spacing w:after="0" w:line="250" w:lineRule="auto"/>
        <w:rPr>
          <w:sz w:val="20"/>
          <w:szCs w:val="20"/>
          <w:color w:val="auto"/>
        </w:rPr>
      </w:pPr>
      <w:r>
        <w:rPr>
          <w:rFonts w:ascii="Arial" w:cs="Arial" w:eastAsia="Arial" w:hAnsi="Arial"/>
          <w:sz w:val="16"/>
          <w:szCs w:val="16"/>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(including those under our loan agreements) and other factors that our board of directors deems relevant.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28" w:name="page29"/>
    <w:bookmarkEnd w:id="28"/>
    <w:p>
      <w:pPr>
        <w:ind w:left="6"/>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02" w:lineRule="exact"/>
        <w:rPr>
          <w:sz w:val="20"/>
          <w:szCs w:val="20"/>
          <w:color w:val="auto"/>
        </w:rPr>
      </w:pPr>
    </w:p>
    <w:p>
      <w:pPr>
        <w:ind w:left="506"/>
        <w:spacing w:after="0"/>
        <w:rPr>
          <w:sz w:val="20"/>
          <w:szCs w:val="20"/>
          <w:color w:val="auto"/>
        </w:rPr>
      </w:pPr>
      <w:r>
        <w:rPr>
          <w:rFonts w:ascii="Arial" w:cs="Arial" w:eastAsia="Arial" w:hAnsi="Arial"/>
          <w:sz w:val="13"/>
          <w:szCs w:val="13"/>
          <w:color w:val="auto"/>
        </w:rPr>
        <w:t>The following table represents shares outstanding under our 2004 Stock and Incentive Awards Incentive Plan, and our 2016 Omnibus Incentive Plan as of March 31, 2020.</w:t>
      </w:r>
    </w:p>
    <w:p>
      <w:pPr>
        <w:spacing w:after="0" w:line="247"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60" w:type="dxa"/>
            <w:vAlign w:val="bottom"/>
            <w:gridSpan w:val="3"/>
          </w:tcPr>
          <w:p>
            <w:pPr>
              <w:ind w:left="340"/>
              <w:spacing w:after="0"/>
              <w:rPr>
                <w:sz w:val="20"/>
                <w:szCs w:val="20"/>
                <w:color w:val="auto"/>
              </w:rPr>
            </w:pPr>
            <w:r>
              <w:rPr>
                <w:rFonts w:ascii="Arial" w:cs="Arial" w:eastAsia="Arial" w:hAnsi="Arial"/>
                <w:sz w:val="13"/>
                <w:szCs w:val="13"/>
                <w:b w:val="1"/>
                <w:bCs w:val="1"/>
                <w:color w:val="auto"/>
              </w:rPr>
              <w:t>Equity Compensation Plan Information</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29"/>
        </w:trPr>
        <w:tc>
          <w:tcPr>
            <w:tcW w:w="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29"/>
        </w:trPr>
        <w:tc>
          <w:tcPr>
            <w:tcW w:w="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1"/>
              </w:rPr>
              <w:t>Shares to be</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right="73"/>
              <w:spacing w:after="0" w:line="129" w:lineRule="exact"/>
              <w:rPr>
                <w:sz w:val="20"/>
                <w:szCs w:val="20"/>
                <w:color w:val="auto"/>
              </w:rPr>
            </w:pPr>
            <w:r>
              <w:rPr>
                <w:rFonts w:ascii="Arial" w:cs="Arial" w:eastAsia="Arial" w:hAnsi="Arial"/>
                <w:sz w:val="13"/>
                <w:szCs w:val="13"/>
                <w:b w:val="1"/>
                <w:bCs w:val="1"/>
                <w:color w:val="auto"/>
                <w:w w:val="89"/>
              </w:rPr>
              <w:t>Number of</w:t>
            </w:r>
          </w:p>
        </w:tc>
      </w:tr>
      <w:tr>
        <w:trPr>
          <w:trHeight w:val="129"/>
        </w:trPr>
        <w:tc>
          <w:tcPr>
            <w:tcW w:w="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84"/>
              </w:rPr>
              <w:t>Issued Upon</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right="53"/>
              <w:spacing w:after="0" w:line="129" w:lineRule="exact"/>
              <w:rPr>
                <w:sz w:val="20"/>
                <w:szCs w:val="20"/>
                <w:color w:val="auto"/>
              </w:rPr>
            </w:pPr>
            <w:r>
              <w:rPr>
                <w:rFonts w:ascii="Arial" w:cs="Arial" w:eastAsia="Arial" w:hAnsi="Arial"/>
                <w:sz w:val="13"/>
                <w:szCs w:val="13"/>
                <w:b w:val="1"/>
                <w:bCs w:val="1"/>
                <w:color w:val="auto"/>
                <w:w w:val="82"/>
              </w:rPr>
              <w:t>Shares</w:t>
            </w:r>
          </w:p>
        </w:tc>
      </w:tr>
      <w:tr>
        <w:trPr>
          <w:trHeight w:val="129"/>
        </w:trPr>
        <w:tc>
          <w:tcPr>
            <w:tcW w:w="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83"/>
              </w:rPr>
              <w:t>Exercise of</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right="53"/>
              <w:spacing w:after="0" w:line="129" w:lineRule="exact"/>
              <w:rPr>
                <w:sz w:val="20"/>
                <w:szCs w:val="20"/>
                <w:color w:val="auto"/>
              </w:rPr>
            </w:pPr>
            <w:r>
              <w:rPr>
                <w:rFonts w:ascii="Arial" w:cs="Arial" w:eastAsia="Arial" w:hAnsi="Arial"/>
                <w:sz w:val="13"/>
                <w:szCs w:val="13"/>
                <w:b w:val="1"/>
                <w:bCs w:val="1"/>
                <w:color w:val="auto"/>
                <w:w w:val="90"/>
              </w:rPr>
              <w:t>Remaining</w:t>
            </w:r>
          </w:p>
        </w:tc>
      </w:tr>
      <w:tr>
        <w:trPr>
          <w:trHeight w:val="129"/>
        </w:trPr>
        <w:tc>
          <w:tcPr>
            <w:tcW w:w="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8"/>
              </w:rPr>
              <w:t>Outstanding</w:t>
            </w:r>
          </w:p>
        </w:tc>
        <w:tc>
          <w:tcPr>
            <w:tcW w:w="140" w:type="dxa"/>
            <w:vAlign w:val="bottom"/>
          </w:tcPr>
          <w:p>
            <w:pPr>
              <w:spacing w:after="0"/>
              <w:rPr>
                <w:sz w:val="11"/>
                <w:szCs w:val="11"/>
                <w:color w:val="auto"/>
              </w:rPr>
            </w:pPr>
          </w:p>
        </w:tc>
        <w:tc>
          <w:tcPr>
            <w:tcW w:w="1460" w:type="dxa"/>
            <w:vAlign w:val="bottom"/>
            <w:gridSpan w:val="2"/>
          </w:tcPr>
          <w:p>
            <w:pPr>
              <w:jc w:val="center"/>
              <w:ind w:right="420"/>
              <w:spacing w:after="0" w:line="129" w:lineRule="exact"/>
              <w:rPr>
                <w:sz w:val="20"/>
                <w:szCs w:val="20"/>
                <w:color w:val="auto"/>
              </w:rPr>
            </w:pPr>
            <w:r>
              <w:rPr>
                <w:rFonts w:ascii="Arial" w:cs="Arial" w:eastAsia="Arial" w:hAnsi="Arial"/>
                <w:sz w:val="13"/>
                <w:szCs w:val="13"/>
                <w:b w:val="1"/>
                <w:bCs w:val="1"/>
                <w:color w:val="auto"/>
                <w:w w:val="88"/>
              </w:rPr>
              <w:t>Weighted</w:t>
            </w:r>
          </w:p>
        </w:tc>
        <w:tc>
          <w:tcPr>
            <w:tcW w:w="1440" w:type="dxa"/>
            <w:vAlign w:val="bottom"/>
          </w:tcPr>
          <w:p>
            <w:pPr>
              <w:jc w:val="center"/>
              <w:ind w:right="53"/>
              <w:spacing w:after="0" w:line="129" w:lineRule="exact"/>
              <w:rPr>
                <w:sz w:val="20"/>
                <w:szCs w:val="20"/>
                <w:color w:val="auto"/>
              </w:rPr>
            </w:pPr>
            <w:r>
              <w:rPr>
                <w:rFonts w:ascii="Arial" w:cs="Arial" w:eastAsia="Arial" w:hAnsi="Arial"/>
                <w:sz w:val="13"/>
                <w:szCs w:val="13"/>
                <w:b w:val="1"/>
                <w:bCs w:val="1"/>
                <w:color w:val="auto"/>
                <w:w w:val="87"/>
              </w:rPr>
              <w:t>Available for</w:t>
            </w:r>
          </w:p>
        </w:tc>
      </w:tr>
      <w:tr>
        <w:trPr>
          <w:trHeight w:val="129"/>
        </w:trPr>
        <w:tc>
          <w:tcPr>
            <w:tcW w:w="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86"/>
              </w:rPr>
              <w:t>Options and</w:t>
            </w:r>
          </w:p>
        </w:tc>
        <w:tc>
          <w:tcPr>
            <w:tcW w:w="140" w:type="dxa"/>
            <w:vAlign w:val="bottom"/>
          </w:tcPr>
          <w:p>
            <w:pPr>
              <w:spacing w:after="0"/>
              <w:rPr>
                <w:sz w:val="11"/>
                <w:szCs w:val="11"/>
                <w:color w:val="auto"/>
              </w:rPr>
            </w:pPr>
          </w:p>
        </w:tc>
        <w:tc>
          <w:tcPr>
            <w:tcW w:w="1460" w:type="dxa"/>
            <w:vAlign w:val="bottom"/>
            <w:gridSpan w:val="2"/>
          </w:tcPr>
          <w:p>
            <w:pPr>
              <w:jc w:val="center"/>
              <w:ind w:right="420"/>
              <w:spacing w:after="0" w:line="129" w:lineRule="exact"/>
              <w:rPr>
                <w:sz w:val="20"/>
                <w:szCs w:val="20"/>
                <w:color w:val="auto"/>
              </w:rPr>
            </w:pPr>
            <w:r>
              <w:rPr>
                <w:rFonts w:ascii="Arial" w:cs="Arial" w:eastAsia="Arial" w:hAnsi="Arial"/>
                <w:sz w:val="13"/>
                <w:szCs w:val="13"/>
                <w:b w:val="1"/>
                <w:bCs w:val="1"/>
                <w:color w:val="auto"/>
                <w:w w:val="85"/>
              </w:rPr>
              <w:t>Average</w:t>
            </w:r>
          </w:p>
        </w:tc>
        <w:tc>
          <w:tcPr>
            <w:tcW w:w="1440" w:type="dxa"/>
            <w:vAlign w:val="bottom"/>
          </w:tcPr>
          <w:p>
            <w:pPr>
              <w:jc w:val="center"/>
              <w:ind w:right="53"/>
              <w:spacing w:after="0" w:line="129" w:lineRule="exact"/>
              <w:rPr>
                <w:sz w:val="20"/>
                <w:szCs w:val="20"/>
                <w:color w:val="auto"/>
              </w:rPr>
            </w:pPr>
            <w:r>
              <w:rPr>
                <w:rFonts w:ascii="Arial" w:cs="Arial" w:eastAsia="Arial" w:hAnsi="Arial"/>
                <w:sz w:val="13"/>
                <w:szCs w:val="13"/>
                <w:b w:val="1"/>
                <w:bCs w:val="1"/>
                <w:color w:val="auto"/>
                <w:w w:val="85"/>
              </w:rPr>
              <w:t>Future Issuances</w:t>
            </w:r>
          </w:p>
        </w:tc>
      </w:tr>
      <w:tr>
        <w:trPr>
          <w:trHeight w:val="129"/>
        </w:trPr>
        <w:tc>
          <w:tcPr>
            <w:tcW w:w="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2"/>
              </w:rPr>
              <w:t>Vesting of</w:t>
            </w:r>
          </w:p>
        </w:tc>
        <w:tc>
          <w:tcPr>
            <w:tcW w:w="140" w:type="dxa"/>
            <w:vAlign w:val="bottom"/>
          </w:tcPr>
          <w:p>
            <w:pPr>
              <w:spacing w:after="0"/>
              <w:rPr>
                <w:sz w:val="11"/>
                <w:szCs w:val="11"/>
                <w:color w:val="auto"/>
              </w:rPr>
            </w:pPr>
          </w:p>
        </w:tc>
        <w:tc>
          <w:tcPr>
            <w:tcW w:w="1460" w:type="dxa"/>
            <w:vAlign w:val="bottom"/>
            <w:gridSpan w:val="2"/>
          </w:tcPr>
          <w:p>
            <w:pPr>
              <w:jc w:val="center"/>
              <w:ind w:right="440"/>
              <w:spacing w:after="0" w:line="129" w:lineRule="exact"/>
              <w:rPr>
                <w:sz w:val="20"/>
                <w:szCs w:val="20"/>
                <w:color w:val="auto"/>
              </w:rPr>
            </w:pPr>
            <w:r>
              <w:rPr>
                <w:rFonts w:ascii="Arial" w:cs="Arial" w:eastAsia="Arial" w:hAnsi="Arial"/>
                <w:sz w:val="13"/>
                <w:szCs w:val="13"/>
                <w:b w:val="1"/>
                <w:bCs w:val="1"/>
                <w:color w:val="auto"/>
                <w:w w:val="85"/>
              </w:rPr>
              <w:t>Exercise Price of</w:t>
            </w:r>
          </w:p>
        </w:tc>
        <w:tc>
          <w:tcPr>
            <w:tcW w:w="1440" w:type="dxa"/>
            <w:vAlign w:val="bottom"/>
          </w:tcPr>
          <w:p>
            <w:pPr>
              <w:jc w:val="center"/>
              <w:ind w:right="73"/>
              <w:spacing w:after="0" w:line="129" w:lineRule="exact"/>
              <w:rPr>
                <w:sz w:val="20"/>
                <w:szCs w:val="20"/>
                <w:color w:val="auto"/>
              </w:rPr>
            </w:pPr>
            <w:r>
              <w:rPr>
                <w:rFonts w:ascii="Arial" w:cs="Arial" w:eastAsia="Arial" w:hAnsi="Arial"/>
                <w:sz w:val="13"/>
                <w:szCs w:val="13"/>
                <w:b w:val="1"/>
                <w:bCs w:val="1"/>
                <w:color w:val="auto"/>
                <w:w w:val="87"/>
              </w:rPr>
              <w:t>Under the 2016</w:t>
            </w:r>
          </w:p>
        </w:tc>
      </w:tr>
      <w:tr>
        <w:trPr>
          <w:trHeight w:val="129"/>
        </w:trPr>
        <w:tc>
          <w:tcPr>
            <w:tcW w:w="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8"/>
              </w:rPr>
              <w:t>Restricted</w:t>
            </w:r>
          </w:p>
        </w:tc>
        <w:tc>
          <w:tcPr>
            <w:tcW w:w="140" w:type="dxa"/>
            <w:vAlign w:val="bottom"/>
          </w:tcPr>
          <w:p>
            <w:pPr>
              <w:spacing w:after="0"/>
              <w:rPr>
                <w:sz w:val="11"/>
                <w:szCs w:val="11"/>
                <w:color w:val="auto"/>
              </w:rPr>
            </w:pPr>
          </w:p>
        </w:tc>
        <w:tc>
          <w:tcPr>
            <w:tcW w:w="1460" w:type="dxa"/>
            <w:vAlign w:val="bottom"/>
            <w:gridSpan w:val="2"/>
          </w:tcPr>
          <w:p>
            <w:pPr>
              <w:jc w:val="center"/>
              <w:ind w:right="420"/>
              <w:spacing w:after="0" w:line="129" w:lineRule="exact"/>
              <w:rPr>
                <w:sz w:val="20"/>
                <w:szCs w:val="20"/>
                <w:color w:val="auto"/>
              </w:rPr>
            </w:pPr>
            <w:r>
              <w:rPr>
                <w:rFonts w:ascii="Arial" w:cs="Arial" w:eastAsia="Arial" w:hAnsi="Arial"/>
                <w:sz w:val="13"/>
                <w:szCs w:val="13"/>
                <w:b w:val="1"/>
                <w:bCs w:val="1"/>
                <w:color w:val="auto"/>
                <w:w w:val="88"/>
              </w:rPr>
              <w:t>Outstanding</w:t>
            </w:r>
          </w:p>
        </w:tc>
        <w:tc>
          <w:tcPr>
            <w:tcW w:w="1440" w:type="dxa"/>
            <w:vAlign w:val="bottom"/>
          </w:tcPr>
          <w:p>
            <w:pPr>
              <w:jc w:val="center"/>
              <w:ind w:right="73"/>
              <w:spacing w:after="0" w:line="129" w:lineRule="exact"/>
              <w:rPr>
                <w:sz w:val="20"/>
                <w:szCs w:val="20"/>
                <w:color w:val="auto"/>
              </w:rPr>
            </w:pPr>
            <w:r>
              <w:rPr>
                <w:rFonts w:ascii="Arial" w:cs="Arial" w:eastAsia="Arial" w:hAnsi="Arial"/>
                <w:sz w:val="13"/>
                <w:szCs w:val="13"/>
                <w:b w:val="1"/>
                <w:bCs w:val="1"/>
                <w:color w:val="auto"/>
                <w:w w:val="88"/>
              </w:rPr>
              <w:t>Omnibus Incentive Plan</w:t>
            </w:r>
          </w:p>
        </w:tc>
      </w:tr>
      <w:tr>
        <w:trPr>
          <w:trHeight w:val="138"/>
        </w:trPr>
        <w:tc>
          <w:tcPr>
            <w:tcW w:w="416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Plan Category</w:t>
            </w:r>
          </w:p>
        </w:tc>
        <w:tc>
          <w:tcPr>
            <w:tcW w:w="2460" w:type="dxa"/>
            <w:vAlign w:val="bottom"/>
          </w:tcPr>
          <w:p>
            <w:pPr>
              <w:spacing w:after="0"/>
              <w:rPr>
                <w:sz w:val="11"/>
                <w:szCs w:val="11"/>
                <w:color w:val="auto"/>
              </w:rPr>
            </w:pPr>
          </w:p>
        </w:tc>
        <w:tc>
          <w:tcPr>
            <w:tcW w:w="160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1"/>
                <w:szCs w:val="11"/>
                <w:color w:val="auto"/>
              </w:rPr>
            </w:pPr>
          </w:p>
        </w:tc>
        <w:tc>
          <w:tcPr>
            <w:tcW w:w="1460" w:type="dxa"/>
            <w:vAlign w:val="bottom"/>
            <w:gridSpan w:val="2"/>
          </w:tcPr>
          <w:p>
            <w:pPr>
              <w:jc w:val="center"/>
              <w:ind w:right="440"/>
              <w:spacing w:after="0" w:line="138" w:lineRule="exact"/>
              <w:rPr>
                <w:sz w:val="20"/>
                <w:szCs w:val="20"/>
                <w:color w:val="auto"/>
              </w:rPr>
            </w:pPr>
            <w:r>
              <w:rPr>
                <w:rFonts w:ascii="Arial" w:cs="Arial" w:eastAsia="Arial" w:hAnsi="Arial"/>
                <w:sz w:val="13"/>
                <w:szCs w:val="13"/>
                <w:b w:val="1"/>
                <w:bCs w:val="1"/>
                <w:color w:val="auto"/>
                <w:w w:val="85"/>
              </w:rPr>
              <w:t>Options</w:t>
            </w:r>
          </w:p>
        </w:tc>
        <w:tc>
          <w:tcPr>
            <w:tcW w:w="1440" w:type="dxa"/>
            <w:vAlign w:val="bottom"/>
          </w:tcPr>
          <w:p>
            <w:pPr>
              <w:jc w:val="center"/>
              <w:ind w:right="53"/>
              <w:spacing w:after="0" w:line="138" w:lineRule="exact"/>
              <w:rPr>
                <w:sz w:val="20"/>
                <w:szCs w:val="20"/>
                <w:color w:val="auto"/>
              </w:rPr>
            </w:pPr>
            <w:r>
              <w:rPr>
                <w:rFonts w:ascii="Arial" w:cs="Arial" w:eastAsia="Arial" w:hAnsi="Arial"/>
                <w:sz w:val="13"/>
                <w:szCs w:val="13"/>
                <w:b w:val="1"/>
                <w:bCs w:val="1"/>
                <w:color w:val="auto"/>
                <w:w w:val="88"/>
              </w:rPr>
              <w:t>Plans (1)</w:t>
            </w:r>
          </w:p>
        </w:tc>
      </w:tr>
      <w:tr>
        <w:trPr>
          <w:trHeight w:val="20"/>
        </w:trPr>
        <w:tc>
          <w:tcPr>
            <w:tcW w:w="760" w:type="dxa"/>
            <w:vAlign w:val="bottom"/>
            <w:tcBorders>
              <w:bottom w:val="single" w:sz="8" w:color="CFF0FC"/>
            </w:tcBorders>
            <w:shd w:val="clear" w:color="auto" w:fill="000000"/>
          </w:tcPr>
          <w:p>
            <w:pPr>
              <w:spacing w:after="0" w:line="20" w:lineRule="exact"/>
              <w:rPr>
                <w:sz w:val="1"/>
                <w:szCs w:val="1"/>
                <w:color w:val="auto"/>
              </w:rPr>
            </w:pPr>
          </w:p>
        </w:tc>
        <w:tc>
          <w:tcPr>
            <w:tcW w:w="224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CFF0FC"/>
            </w:tcBorders>
          </w:tcPr>
          <w:p>
            <w:pPr>
              <w:spacing w:after="0" w:line="20" w:lineRule="exact"/>
              <w:rPr>
                <w:sz w:val="1"/>
                <w:szCs w:val="1"/>
                <w:color w:val="auto"/>
              </w:rPr>
            </w:pPr>
          </w:p>
        </w:tc>
        <w:tc>
          <w:tcPr>
            <w:tcW w:w="246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4"/>
        </w:trPr>
        <w:tc>
          <w:tcPr>
            <w:tcW w:w="4160" w:type="dxa"/>
            <w:vAlign w:val="bottom"/>
            <w:gridSpan w:val="3"/>
            <w:shd w:val="clear" w:color="auto" w:fill="CFF0FC"/>
          </w:tcPr>
          <w:p>
            <w:pPr>
              <w:spacing w:after="0" w:line="183" w:lineRule="exact"/>
              <w:rPr>
                <w:sz w:val="20"/>
                <w:szCs w:val="20"/>
                <w:color w:val="auto"/>
              </w:rPr>
            </w:pPr>
            <w:r>
              <w:rPr>
                <w:rFonts w:ascii="Arial" w:cs="Arial" w:eastAsia="Arial" w:hAnsi="Arial"/>
                <w:sz w:val="16"/>
                <w:szCs w:val="16"/>
                <w:color w:val="auto"/>
              </w:rPr>
              <w:t>Equity Compensation plans approved by security holders</w:t>
            </w:r>
          </w:p>
        </w:tc>
        <w:tc>
          <w:tcPr>
            <w:tcW w:w="246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6"/>
                <w:szCs w:val="16"/>
                <w:color w:val="auto"/>
              </w:rPr>
              <w:t>1,169,020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51"/>
              <w:spacing w:after="0"/>
              <w:rPr>
                <w:sz w:val="20"/>
                <w:szCs w:val="20"/>
                <w:color w:val="auto"/>
              </w:rPr>
            </w:pPr>
            <w:r>
              <w:rPr>
                <w:rFonts w:ascii="Arial" w:cs="Arial" w:eastAsia="Arial" w:hAnsi="Arial"/>
                <w:sz w:val="16"/>
                <w:szCs w:val="16"/>
                <w:color w:val="auto"/>
              </w:rPr>
              <w:t>2.80</w:t>
            </w: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6"/>
                <w:szCs w:val="16"/>
                <w:color w:val="auto"/>
              </w:rPr>
              <w:t>1,725,845</w:t>
            </w:r>
          </w:p>
        </w:tc>
      </w:tr>
      <w:tr>
        <w:trPr>
          <w:trHeight w:val="200"/>
        </w:trPr>
        <w:tc>
          <w:tcPr>
            <w:tcW w:w="4160" w:type="dxa"/>
            <w:vAlign w:val="bottom"/>
            <w:gridSpan w:val="3"/>
          </w:tcPr>
          <w:p>
            <w:pPr>
              <w:spacing w:after="0"/>
              <w:rPr>
                <w:sz w:val="20"/>
                <w:szCs w:val="20"/>
                <w:color w:val="auto"/>
              </w:rPr>
            </w:pPr>
            <w:r>
              <w:rPr>
                <w:rFonts w:ascii="Arial" w:cs="Arial" w:eastAsia="Arial" w:hAnsi="Arial"/>
                <w:sz w:val="16"/>
                <w:szCs w:val="16"/>
                <w:color w:val="auto"/>
                <w:w w:val="96"/>
              </w:rPr>
              <w:t>Equity Compensation plans not approved by security holders</w:t>
            </w:r>
          </w:p>
        </w:tc>
        <w:tc>
          <w:tcPr>
            <w:tcW w:w="246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3"/>
              <w:spacing w:after="0"/>
              <w:rPr>
                <w:sz w:val="20"/>
                <w:szCs w:val="20"/>
                <w:color w:val="auto"/>
              </w:rPr>
            </w:pPr>
            <w:r>
              <w:rPr>
                <w:rFonts w:ascii="Arial" w:cs="Arial" w:eastAsia="Arial" w:hAnsi="Arial"/>
                <w:sz w:val="16"/>
                <w:szCs w:val="16"/>
                <w:color w:val="auto"/>
              </w:rPr>
              <w:t>—</w:t>
            </w:r>
          </w:p>
        </w:tc>
      </w:tr>
      <w:tr>
        <w:trPr>
          <w:trHeight w:val="192"/>
        </w:trPr>
        <w:tc>
          <w:tcPr>
            <w:tcW w:w="41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Total</w:t>
            </w:r>
          </w:p>
        </w:tc>
        <w:tc>
          <w:tcPr>
            <w:tcW w:w="2460" w:type="dxa"/>
            <w:vAlign w:val="bottom"/>
            <w:tcBorders>
              <w:top w:val="single" w:sz="8" w:color="CFF0FC"/>
              <w:bottom w:val="single" w:sz="8" w:color="CFF0FC"/>
            </w:tcBorders>
            <w:shd w:val="clear" w:color="auto" w:fill="CFF0FC"/>
          </w:tcPr>
          <w:p>
            <w:pPr>
              <w:spacing w:after="0"/>
              <w:rPr>
                <w:sz w:val="16"/>
                <w:szCs w:val="16"/>
                <w:color w:val="auto"/>
              </w:rPr>
            </w:pPr>
          </w:p>
        </w:tc>
        <w:tc>
          <w:tcPr>
            <w:tcW w:w="14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6"/>
                <w:szCs w:val="16"/>
                <w:color w:val="auto"/>
              </w:rPr>
              <w:t>1,169,020</w:t>
            </w: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6"/>
                <w:szCs w:val="16"/>
                <w:color w:val="auto"/>
              </w:rPr>
              <w:t>2.80</w:t>
            </w: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14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6"/>
                <w:szCs w:val="16"/>
                <w:color w:val="auto"/>
              </w:rPr>
              <w:t>1,725,845</w:t>
            </w:r>
          </w:p>
        </w:tc>
      </w:tr>
      <w:tr>
        <w:trPr>
          <w:trHeight w:val="20"/>
        </w:trPr>
        <w:tc>
          <w:tcPr>
            <w:tcW w:w="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93"/>
        </w:trPr>
        <w:tc>
          <w:tcPr>
            <w:tcW w:w="76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23" w:lineRule="exact"/>
        <w:rPr>
          <w:sz w:val="20"/>
          <w:szCs w:val="20"/>
          <w:color w:val="auto"/>
        </w:rPr>
      </w:pPr>
    </w:p>
    <w:p>
      <w:pPr>
        <w:ind w:left="646" w:hanging="646"/>
        <w:spacing w:after="0"/>
        <w:tabs>
          <w:tab w:leader="none" w:pos="646"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Excludes shares reflected in the column titled “Number of Shares to be Issued Upon Exercise of Outstanding Options and Vesting of Restricted Shares”.</w:t>
      </w:r>
    </w:p>
    <w:p>
      <w:pPr>
        <w:spacing w:after="0" w:line="29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Issuer Purchase of Equity Securities</w:t>
      </w:r>
    </w:p>
    <w:p>
      <w:pPr>
        <w:spacing w:after="0" w:line="102" w:lineRule="exact"/>
        <w:rPr>
          <w:sz w:val="20"/>
          <w:szCs w:val="20"/>
          <w:color w:val="auto"/>
        </w:rPr>
      </w:pPr>
    </w:p>
    <w:p>
      <w:pPr>
        <w:ind w:left="506"/>
        <w:spacing w:after="0"/>
        <w:rPr>
          <w:sz w:val="20"/>
          <w:szCs w:val="20"/>
          <w:color w:val="auto"/>
        </w:rPr>
      </w:pPr>
      <w:r>
        <w:rPr>
          <w:rFonts w:ascii="Arial" w:cs="Arial" w:eastAsia="Arial" w:hAnsi="Arial"/>
          <w:sz w:val="16"/>
          <w:szCs w:val="16"/>
          <w:color w:val="auto"/>
        </w:rPr>
        <w:t>We did not purchase shares of our common stock during the fiscal year ended March 31, 2020.</w:t>
      </w:r>
    </w:p>
    <w:p>
      <w:pPr>
        <w:spacing w:after="0" w:line="28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Unregistered Sales of Securities</w:t>
      </w:r>
    </w:p>
    <w:p>
      <w:pPr>
        <w:spacing w:after="0" w:line="102" w:lineRule="exact"/>
        <w:rPr>
          <w:sz w:val="20"/>
          <w:szCs w:val="20"/>
          <w:color w:val="auto"/>
        </w:rPr>
      </w:pPr>
    </w:p>
    <w:p>
      <w:pPr>
        <w:ind w:left="6" w:right="20" w:firstLine="500"/>
        <w:spacing w:after="0" w:line="266" w:lineRule="auto"/>
        <w:rPr>
          <w:sz w:val="20"/>
          <w:szCs w:val="20"/>
          <w:color w:val="auto"/>
        </w:rPr>
      </w:pPr>
      <w:r>
        <w:rPr>
          <w:rFonts w:ascii="Arial" w:cs="Arial" w:eastAsia="Arial" w:hAnsi="Arial"/>
          <w:sz w:val="16"/>
          <w:szCs w:val="16"/>
          <w:color w:val="auto"/>
        </w:rPr>
        <w:t>We did not make any unregistered sales of our common stock during the year ended March 31, 2020 that were not previously disclosed in a Quarterly Report on Form 10-Q or a current report on Form 8-K during such period.</w:t>
      </w:r>
    </w:p>
    <w:p>
      <w:pPr>
        <w:spacing w:after="0" w:line="36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470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6"/>
          </w:cols>
          <w:pgMar w:left="314" w:top="594" w:right="319" w:bottom="1440" w:gutter="0" w:footer="0" w:header="0"/>
        </w:sectPr>
      </w:pPr>
    </w:p>
    <w:bookmarkStart w:id="29" w:name="page30"/>
    <w:bookmarkEnd w:id="29"/>
    <w:p>
      <w:pPr>
        <w:ind w:left="6"/>
        <w:spacing w:after="0"/>
        <w:tabs>
          <w:tab w:leader="none" w:pos="725"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102" w:lineRule="exact"/>
        <w:rPr>
          <w:sz w:val="20"/>
          <w:szCs w:val="20"/>
          <w:color w:val="auto"/>
        </w:rPr>
      </w:pPr>
    </w:p>
    <w:p>
      <w:pPr>
        <w:jc w:val="both"/>
        <w:ind w:left="6" w:right="20" w:firstLine="500"/>
        <w:spacing w:after="0" w:line="255" w:lineRule="auto"/>
        <w:rPr>
          <w:sz w:val="20"/>
          <w:szCs w:val="20"/>
          <w:color w:val="auto"/>
        </w:rPr>
      </w:pPr>
      <w:r>
        <w:rPr>
          <w:rFonts w:ascii="Arial" w:cs="Arial" w:eastAsia="Arial" w:hAnsi="Arial"/>
          <w:sz w:val="16"/>
          <w:szCs w:val="16"/>
          <w:color w:val="auto"/>
        </w:rPr>
        <w:t>You should read the following selected consolidated financial data in conjunction with Item 7. "Management’s Discussion and Analysis of Financial Condition and Results of Operations" and our consolidated financial statements and the related notes included in Item 8. "Financial Statements and Supplementary Data" of this report. The selected historical consolidated financial data are not necessarily indicative of future results.</w:t>
      </w:r>
    </w:p>
    <w:p>
      <w:pPr>
        <w:spacing w:after="0" w:line="253"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center"/>
              <w:ind w:left="503"/>
              <w:spacing w:after="0"/>
              <w:rPr>
                <w:sz w:val="20"/>
                <w:szCs w:val="20"/>
                <w:color w:val="auto"/>
              </w:rPr>
            </w:pPr>
            <w:r>
              <w:rPr>
                <w:rFonts w:ascii="Arial" w:cs="Arial" w:eastAsia="Arial" w:hAnsi="Arial"/>
                <w:sz w:val="13"/>
                <w:szCs w:val="13"/>
                <w:b w:val="1"/>
                <w:bCs w:val="1"/>
                <w:color w:val="auto"/>
                <w:w w:val="88"/>
              </w:rPr>
              <w:t>Fiscal Year Ended March 31,</w:t>
            </w: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33"/>
        </w:trPr>
        <w:tc>
          <w:tcPr>
            <w:tcW w:w="4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2"/>
              <w:spacing w:after="0" w:line="133"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3"/>
              <w:spacing w:after="0" w:line="133"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262"/>
              <w:spacing w:after="0" w:line="133" w:lineRule="exact"/>
              <w:rPr>
                <w:sz w:val="20"/>
                <w:szCs w:val="20"/>
                <w:color w:val="auto"/>
              </w:rPr>
            </w:pPr>
            <w:r>
              <w:rPr>
                <w:rFonts w:ascii="Arial" w:cs="Arial" w:eastAsia="Arial" w:hAnsi="Arial"/>
                <w:sz w:val="13"/>
                <w:szCs w:val="13"/>
                <w:b w:val="1"/>
                <w:bCs w:val="1"/>
                <w:color w:val="auto"/>
                <w:w w:val="82"/>
              </w:rPr>
              <w:t>2018</w:t>
            </w: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2"/>
              <w:spacing w:after="0" w:line="133"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22"/>
              <w:spacing w:after="0" w:line="133" w:lineRule="exact"/>
              <w:rPr>
                <w:sz w:val="20"/>
                <w:szCs w:val="20"/>
                <w:color w:val="auto"/>
              </w:rPr>
            </w:pPr>
            <w:r>
              <w:rPr>
                <w:rFonts w:ascii="Arial" w:cs="Arial" w:eastAsia="Arial" w:hAnsi="Arial"/>
                <w:sz w:val="13"/>
                <w:szCs w:val="13"/>
                <w:b w:val="1"/>
                <w:bCs w:val="1"/>
                <w:color w:val="auto"/>
              </w:rPr>
              <w:t>2016</w:t>
            </w:r>
          </w:p>
        </w:tc>
      </w:tr>
      <w:tr>
        <w:trPr>
          <w:trHeight w:val="133"/>
        </w:trPr>
        <w:tc>
          <w:tcPr>
            <w:tcW w:w="4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60" w:type="dxa"/>
            <w:vAlign w:val="bottom"/>
            <w:gridSpan w:val="8"/>
          </w:tcPr>
          <w:p>
            <w:pPr>
              <w:jc w:val="center"/>
              <w:ind w:right="420"/>
              <w:spacing w:after="0" w:line="133" w:lineRule="exact"/>
              <w:rPr>
                <w:sz w:val="20"/>
                <w:szCs w:val="20"/>
                <w:color w:val="auto"/>
              </w:rPr>
            </w:pPr>
            <w:r>
              <w:rPr>
                <w:rFonts w:ascii="Arial" w:cs="Arial" w:eastAsia="Arial" w:hAnsi="Arial"/>
                <w:sz w:val="13"/>
                <w:szCs w:val="13"/>
                <w:b w:val="1"/>
                <w:bCs w:val="1"/>
                <w:color w:val="auto"/>
                <w:w w:val="85"/>
              </w:rPr>
              <w:t>(in thousands, except per share amounts)</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00"/>
        </w:trPr>
        <w:tc>
          <w:tcPr>
            <w:tcW w:w="4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0"/>
        </w:trPr>
        <w:tc>
          <w:tcPr>
            <w:tcW w:w="4320" w:type="dxa"/>
            <w:vAlign w:val="bottom"/>
          </w:tcPr>
          <w:p>
            <w:pPr>
              <w:spacing w:after="0"/>
              <w:rPr>
                <w:sz w:val="20"/>
                <w:szCs w:val="20"/>
                <w:color w:val="auto"/>
              </w:rPr>
            </w:pPr>
            <w:r>
              <w:rPr>
                <w:rFonts w:ascii="Arial" w:cs="Arial" w:eastAsia="Arial" w:hAnsi="Arial"/>
                <w:sz w:val="16"/>
                <w:szCs w:val="16"/>
                <w:color w:val="auto"/>
              </w:rPr>
              <w:t>Product revenue</w:t>
            </w:r>
          </w:p>
        </w:tc>
        <w:tc>
          <w:tcPr>
            <w:tcW w:w="1120" w:type="dxa"/>
            <w:vAlign w:val="bottom"/>
            <w:gridSpan w:val="2"/>
          </w:tcPr>
          <w:p>
            <w:pPr>
              <w:jc w:val="right"/>
              <w:ind w:right="67"/>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113,352</w:t>
            </w:r>
          </w:p>
        </w:tc>
        <w:tc>
          <w:tcPr>
            <w:tcW w:w="1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56,261</w:t>
            </w:r>
          </w:p>
        </w:tc>
        <w:tc>
          <w:tcPr>
            <w:tcW w:w="1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55,595</w:t>
            </w:r>
          </w:p>
        </w:tc>
        <w:tc>
          <w:tcPr>
            <w:tcW w:w="10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66,224</w:t>
            </w:r>
          </w:p>
        </w:tc>
        <w:tc>
          <w:tcPr>
            <w:tcW w:w="12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64,897</w:t>
            </w:r>
          </w:p>
        </w:tc>
      </w:tr>
      <w:tr>
        <w:trPr>
          <w:trHeight w:val="200"/>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Service revenue</w:t>
            </w:r>
          </w:p>
        </w:tc>
        <w:tc>
          <w:tcPr>
            <w:tcW w:w="9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37,489</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9,493</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4,705</w:t>
            </w:r>
          </w:p>
        </w:tc>
        <w:tc>
          <w:tcPr>
            <w:tcW w:w="1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3,987</w:t>
            </w:r>
          </w:p>
        </w:tc>
        <w:tc>
          <w:tcPr>
            <w:tcW w:w="1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2,745</w:t>
            </w:r>
          </w:p>
        </w:tc>
      </w:tr>
      <w:tr>
        <w:trPr>
          <w:trHeight w:val="192"/>
        </w:trPr>
        <w:tc>
          <w:tcPr>
            <w:tcW w:w="4320" w:type="dxa"/>
            <w:vAlign w:val="bottom"/>
          </w:tcPr>
          <w:p>
            <w:pPr>
              <w:spacing w:after="0"/>
              <w:rPr>
                <w:sz w:val="20"/>
                <w:szCs w:val="20"/>
                <w:color w:val="auto"/>
              </w:rPr>
            </w:pPr>
            <w:r>
              <w:rPr>
                <w:rFonts w:ascii="Arial" w:cs="Arial" w:eastAsia="Arial" w:hAnsi="Arial"/>
                <w:sz w:val="16"/>
                <w:szCs w:val="16"/>
                <w:color w:val="auto"/>
              </w:rPr>
              <w:t>Total revenue</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150,841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65,754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60,300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70,211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67,642</w:t>
            </w:r>
          </w:p>
        </w:tc>
      </w:tr>
      <w:tr>
        <w:trPr>
          <w:trHeight w:val="200"/>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Cost of product revenue (1)(2)</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83,588</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44,111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41,415</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49,630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49,630</w:t>
            </w:r>
          </w:p>
        </w:tc>
      </w:tr>
      <w:tr>
        <w:trPr>
          <w:trHeight w:val="200"/>
        </w:trPr>
        <w:tc>
          <w:tcPr>
            <w:tcW w:w="4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service revenue (1) (3)</w:t>
            </w:r>
          </w:p>
        </w:tc>
        <w:tc>
          <w:tcPr>
            <w:tcW w:w="9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30,130</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7,091</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4,213</w:t>
            </w: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3,244</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2,015</w:t>
            </w:r>
          </w:p>
        </w:tc>
      </w:tr>
      <w:tr>
        <w:trPr>
          <w:trHeight w:val="192"/>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Total cost of revenue</w:t>
            </w:r>
          </w:p>
        </w:tc>
        <w:tc>
          <w:tcPr>
            <w:tcW w:w="90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113,718</w:t>
            </w:r>
          </w:p>
        </w:tc>
        <w:tc>
          <w:tcPr>
            <w:tcW w:w="1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51,202</w:t>
            </w:r>
          </w:p>
        </w:tc>
        <w:tc>
          <w:tcPr>
            <w:tcW w:w="1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45,628</w:t>
            </w:r>
          </w:p>
        </w:tc>
        <w:tc>
          <w:tcPr>
            <w:tcW w:w="10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52,874</w:t>
            </w:r>
          </w:p>
        </w:tc>
        <w:tc>
          <w:tcPr>
            <w:tcW w:w="12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51,645</w:t>
            </w:r>
          </w:p>
        </w:tc>
      </w:tr>
      <w:tr>
        <w:trPr>
          <w:trHeight w:val="192"/>
        </w:trPr>
        <w:tc>
          <w:tcPr>
            <w:tcW w:w="4320" w:type="dxa"/>
            <w:vAlign w:val="bottom"/>
          </w:tcPr>
          <w:p>
            <w:pPr>
              <w:spacing w:after="0"/>
              <w:rPr>
                <w:sz w:val="20"/>
                <w:szCs w:val="20"/>
                <w:color w:val="auto"/>
              </w:rPr>
            </w:pPr>
            <w:r>
              <w:rPr>
                <w:rFonts w:ascii="Arial" w:cs="Arial" w:eastAsia="Arial" w:hAnsi="Arial"/>
                <w:sz w:val="16"/>
                <w:szCs w:val="16"/>
                <w:color w:val="auto"/>
              </w:rPr>
              <w:t>Gross profit</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37,123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14,552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14,672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17,337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15,997</w:t>
            </w:r>
          </w:p>
        </w:tc>
      </w:tr>
      <w:tr>
        <w:trPr>
          <w:trHeight w:val="200"/>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 expenses (1)(4)</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11,184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10,231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13,159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14,777</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16,884</w:t>
            </w:r>
          </w:p>
        </w:tc>
      </w:tr>
      <w:tr>
        <w:trPr>
          <w:trHeight w:val="200"/>
        </w:trPr>
        <w:tc>
          <w:tcPr>
            <w:tcW w:w="4320" w:type="dxa"/>
            <w:vAlign w:val="bottom"/>
          </w:tcPr>
          <w:p>
            <w:pPr>
              <w:spacing w:after="0"/>
              <w:rPr>
                <w:sz w:val="20"/>
                <w:szCs w:val="20"/>
                <w:color w:val="auto"/>
              </w:rPr>
            </w:pPr>
            <w:r>
              <w:rPr>
                <w:rFonts w:ascii="Arial" w:cs="Arial" w:eastAsia="Arial" w:hAnsi="Arial"/>
                <w:sz w:val="16"/>
                <w:szCs w:val="16"/>
                <w:color w:val="auto"/>
              </w:rPr>
              <w:t>Impairment of assets (5)</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6,023</w:t>
            </w:r>
          </w:p>
        </w:tc>
      </w:tr>
      <w:tr>
        <w:trPr>
          <w:trHeight w:val="200"/>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 expenses (1) (6)</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11,113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9,104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11,879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12,833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11,343</w:t>
            </w:r>
          </w:p>
        </w:tc>
      </w:tr>
      <w:tr>
        <w:trPr>
          <w:trHeight w:val="200"/>
        </w:trPr>
        <w:tc>
          <w:tcPr>
            <w:tcW w:w="4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Research and development expenses (1) (7)</w:t>
            </w:r>
          </w:p>
        </w:tc>
        <w:tc>
          <w:tcPr>
            <w:tcW w:w="9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1,716</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1,374</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1,905</w:t>
            </w: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2,004</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1,668</w:t>
            </w:r>
          </w:p>
        </w:tc>
      </w:tr>
      <w:tr>
        <w:trPr>
          <w:trHeight w:val="192"/>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Income (loss) from operations</w:t>
            </w: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13,110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(6,157)</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(12,981)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(12,527)</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(19,921)</w:t>
            </w:r>
          </w:p>
        </w:tc>
      </w:tr>
      <w:tr>
        <w:trPr>
          <w:trHeight w:val="200"/>
        </w:trPr>
        <w:tc>
          <w:tcPr>
            <w:tcW w:w="4320" w:type="dxa"/>
            <w:vAlign w:val="bottom"/>
          </w:tcPr>
          <w:p>
            <w:pPr>
              <w:spacing w:after="0"/>
              <w:rPr>
                <w:sz w:val="20"/>
                <w:szCs w:val="20"/>
                <w:color w:val="auto"/>
              </w:rPr>
            </w:pPr>
            <w:r>
              <w:rPr>
                <w:rFonts w:ascii="Arial" w:cs="Arial" w:eastAsia="Arial" w:hAnsi="Arial"/>
                <w:sz w:val="16"/>
                <w:szCs w:val="16"/>
                <w:color w:val="auto"/>
              </w:rPr>
              <w:t>Other income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00"/>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w:t>
            </w:r>
          </w:p>
        </w:tc>
      </w:tr>
      <w:tr>
        <w:trPr>
          <w:trHeight w:val="200"/>
        </w:trPr>
        <w:tc>
          <w:tcPr>
            <w:tcW w:w="4320" w:type="dxa"/>
            <w:vAlign w:val="bottom"/>
          </w:tcPr>
          <w:p>
            <w:pPr>
              <w:spacing w:after="0"/>
              <w:rPr>
                <w:sz w:val="20"/>
                <w:szCs w:val="20"/>
                <w:color w:val="auto"/>
              </w:rPr>
            </w:pPr>
            <w:r>
              <w:rPr>
                <w:rFonts w:ascii="Arial" w:cs="Arial" w:eastAsia="Arial" w:hAnsi="Arial"/>
                <w:sz w:val="16"/>
                <w:szCs w:val="16"/>
                <w:color w:val="auto"/>
              </w:rPr>
              <w:t>Amortization of debt issue costs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00"/>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Dividend and interest income</w:t>
            </w:r>
          </w:p>
        </w:tc>
        <w:tc>
          <w:tcPr>
            <w:tcW w:w="9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128</w:t>
            </w:r>
          </w:p>
        </w:tc>
      </w:tr>
      <w:tr>
        <w:trPr>
          <w:trHeight w:val="192"/>
        </w:trPr>
        <w:tc>
          <w:tcPr>
            <w:tcW w:w="4320" w:type="dxa"/>
            <w:vAlign w:val="bottom"/>
          </w:tcPr>
          <w:p>
            <w:pPr>
              <w:spacing w:after="0"/>
              <w:rPr>
                <w:sz w:val="20"/>
                <w:szCs w:val="20"/>
                <w:color w:val="auto"/>
              </w:rPr>
            </w:pPr>
            <w:r>
              <w:rPr>
                <w:rFonts w:ascii="Arial" w:cs="Arial" w:eastAsia="Arial" w:hAnsi="Arial"/>
                <w:sz w:val="16"/>
                <w:szCs w:val="16"/>
                <w:color w:val="auto"/>
              </w:rPr>
              <w:t>Income (loss) before income tax</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12,621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(12,549)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(20,090)</w:t>
            </w:r>
          </w:p>
        </w:tc>
      </w:tr>
      <w:tr>
        <w:trPr>
          <w:trHeight w:val="200"/>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 (benefit)</w:t>
            </w:r>
          </w:p>
        </w:tc>
        <w:tc>
          <w:tcPr>
            <w:tcW w:w="9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36</w:t>
            </w:r>
          </w:p>
        </w:tc>
      </w:tr>
      <w:tr>
        <w:trPr>
          <w:trHeight w:val="232"/>
        </w:trPr>
        <w:tc>
          <w:tcPr>
            <w:tcW w:w="4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income (loss)</w:t>
            </w:r>
          </w:p>
        </w:tc>
        <w:tc>
          <w:tcPr>
            <w:tcW w:w="9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12,462</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(6,674)</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(13,128)</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(12,288)</w:t>
            </w:r>
          </w:p>
        </w:tc>
        <w:tc>
          <w:tcPr>
            <w:tcW w:w="1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(20,126)</w:t>
            </w:r>
          </w:p>
        </w:tc>
      </w:tr>
      <w:tr>
        <w:trPr>
          <w:trHeight w:val="159"/>
        </w:trPr>
        <w:tc>
          <w:tcPr>
            <w:tcW w:w="4320" w:type="dxa"/>
            <w:vAlign w:val="bottom"/>
            <w:shd w:val="clear" w:color="auto" w:fill="CFF0FC"/>
          </w:tcPr>
          <w:p>
            <w:pPr>
              <w:spacing w:after="0" w:line="159" w:lineRule="exact"/>
              <w:rPr>
                <w:sz w:val="20"/>
                <w:szCs w:val="20"/>
                <w:color w:val="auto"/>
              </w:rPr>
            </w:pPr>
            <w:r>
              <w:rPr>
                <w:rFonts w:ascii="Arial" w:cs="Arial" w:eastAsia="Arial" w:hAnsi="Arial"/>
                <w:sz w:val="16"/>
                <w:szCs w:val="16"/>
                <w:b w:val="1"/>
                <w:bCs w:val="1"/>
                <w:color w:val="auto"/>
              </w:rPr>
              <w:t>Net income (loss) per share attributable to common</w:t>
            </w: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r>
      <w:tr>
        <w:trPr>
          <w:trHeight w:val="205"/>
        </w:trPr>
        <w:tc>
          <w:tcPr>
            <w:tcW w:w="432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shareholders: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0"/>
        </w:trPr>
        <w:tc>
          <w:tcPr>
            <w:tcW w:w="4320" w:type="dxa"/>
            <w:vAlign w:val="bottom"/>
          </w:tcPr>
          <w:p>
            <w:pPr>
              <w:spacing w:after="0"/>
              <w:rPr>
                <w:sz w:val="20"/>
                <w:szCs w:val="20"/>
                <w:color w:val="auto"/>
              </w:rPr>
            </w:pPr>
            <w:r>
              <w:rPr>
                <w:rFonts w:ascii="Arial" w:cs="Arial" w:eastAsia="Arial" w:hAnsi="Arial"/>
                <w:sz w:val="16"/>
                <w:szCs w:val="16"/>
                <w:color w:val="auto"/>
              </w:rPr>
              <w:t>Basic</w:t>
            </w:r>
          </w:p>
        </w:tc>
        <w:tc>
          <w:tcPr>
            <w:tcW w:w="1120" w:type="dxa"/>
            <w:vAlign w:val="bottom"/>
            <w:gridSpan w:val="2"/>
          </w:tcPr>
          <w:p>
            <w:pPr>
              <w:jc w:val="right"/>
              <w:ind w:right="67"/>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(0.46)</w:t>
            </w:r>
          </w:p>
        </w:tc>
        <w:tc>
          <w:tcPr>
            <w:tcW w:w="10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(0.73)</w:t>
            </w:r>
          </w:p>
        </w:tc>
      </w:tr>
      <w:tr>
        <w:trPr>
          <w:trHeight w:val="200"/>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Diluted</w:t>
            </w:r>
          </w:p>
        </w:tc>
        <w:tc>
          <w:tcPr>
            <w:tcW w:w="1120" w:type="dxa"/>
            <w:vAlign w:val="bottom"/>
            <w:gridSpan w:val="2"/>
            <w:shd w:val="clear" w:color="auto" w:fill="CFF0FC"/>
          </w:tcPr>
          <w:p>
            <w:pPr>
              <w:jc w:val="right"/>
              <w:ind w:right="67"/>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0.40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(0.46)</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(0.73)</w:t>
            </w:r>
          </w:p>
        </w:tc>
      </w:tr>
      <w:tr>
        <w:trPr>
          <w:trHeight w:val="200"/>
        </w:trPr>
        <w:tc>
          <w:tcPr>
            <w:tcW w:w="4320" w:type="dxa"/>
            <w:vAlign w:val="bottom"/>
          </w:tcPr>
          <w:p>
            <w:pPr>
              <w:spacing w:after="0"/>
              <w:rPr>
                <w:sz w:val="20"/>
                <w:szCs w:val="20"/>
                <w:color w:val="auto"/>
              </w:rPr>
            </w:pPr>
            <w:r>
              <w:rPr>
                <w:rFonts w:ascii="Arial" w:cs="Arial" w:eastAsia="Arial" w:hAnsi="Arial"/>
                <w:sz w:val="16"/>
                <w:szCs w:val="16"/>
                <w:b w:val="1"/>
                <w:bCs w:val="1"/>
                <w:color w:val="auto"/>
              </w:rPr>
              <w:t>Weighted-average shares outstanding:</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0"/>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Basic</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30,105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29,430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28,784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28,156</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27,628</w:t>
            </w:r>
          </w:p>
        </w:tc>
      </w:tr>
      <w:tr>
        <w:trPr>
          <w:trHeight w:val="200"/>
        </w:trPr>
        <w:tc>
          <w:tcPr>
            <w:tcW w:w="4320" w:type="dxa"/>
            <w:vAlign w:val="bottom"/>
          </w:tcPr>
          <w:p>
            <w:pPr>
              <w:spacing w:after="0"/>
              <w:rPr>
                <w:sz w:val="20"/>
                <w:szCs w:val="20"/>
                <w:color w:val="auto"/>
              </w:rPr>
            </w:pPr>
            <w:r>
              <w:rPr>
                <w:rFonts w:ascii="Arial" w:cs="Arial" w:eastAsia="Arial" w:hAnsi="Arial"/>
                <w:sz w:val="16"/>
                <w:szCs w:val="16"/>
                <w:color w:val="auto"/>
              </w:rPr>
              <w:t>Diluted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30,965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29,430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28,784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28,156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27,628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19050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05000" cy="7620"/>
                    </a:xfrm>
                    <a:prstGeom prst="rect">
                      <a:avLst/>
                    </a:prstGeom>
                    <a:noFill/>
                  </pic:spPr>
                </pic:pic>
              </a:graphicData>
            </a:graphic>
          </wp:anchor>
        </w:drawing>
      </w:r>
    </w:p>
    <w:p>
      <w:pPr>
        <w:spacing w:after="0" w:line="132" w:lineRule="exact"/>
        <w:rPr>
          <w:sz w:val="20"/>
          <w:szCs w:val="20"/>
          <w:color w:val="auto"/>
        </w:rPr>
      </w:pPr>
    </w:p>
    <w:p>
      <w:pPr>
        <w:ind w:left="666" w:right="20" w:hanging="666"/>
        <w:spacing w:after="0" w:line="266" w:lineRule="auto"/>
        <w:tabs>
          <w:tab w:leader="none" w:pos="6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stock-based compensation expense recognized under Financial Accounting Standards Board Accounting Standards Codification Topic 718, or ASC Topic 718, as follows:</w:t>
      </w:r>
    </w:p>
    <w:p>
      <w:pPr>
        <w:spacing w:after="0" w:line="32"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6"/>
          </w:tcPr>
          <w:p>
            <w:pPr>
              <w:jc w:val="center"/>
              <w:ind w:left="44"/>
              <w:spacing w:after="0"/>
              <w:rPr>
                <w:sz w:val="20"/>
                <w:szCs w:val="20"/>
                <w:color w:val="auto"/>
              </w:rPr>
            </w:pPr>
            <w:r>
              <w:rPr>
                <w:rFonts w:ascii="Arial" w:cs="Arial" w:eastAsia="Arial" w:hAnsi="Arial"/>
                <w:sz w:val="13"/>
                <w:szCs w:val="13"/>
                <w:b w:val="1"/>
                <w:bCs w:val="1"/>
                <w:color w:val="auto"/>
                <w:w w:val="88"/>
              </w:rPr>
              <w:t>Fiscal Year Ended March 31,</w:t>
            </w: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33"/>
        </w:trPr>
        <w:tc>
          <w:tcPr>
            <w:tcW w:w="3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46"/>
              <w:spacing w:after="0" w:line="133" w:lineRule="exact"/>
              <w:rPr>
                <w:sz w:val="20"/>
                <w:szCs w:val="20"/>
                <w:color w:val="auto"/>
              </w:rPr>
            </w:pPr>
            <w:r>
              <w:rPr>
                <w:rFonts w:ascii="Arial" w:cs="Arial" w:eastAsia="Arial" w:hAnsi="Arial"/>
                <w:sz w:val="13"/>
                <w:szCs w:val="13"/>
                <w:b w:val="1"/>
                <w:bCs w:val="1"/>
                <w:color w:val="auto"/>
                <w:w w:val="82"/>
              </w:rPr>
              <w:t>2018</w:t>
            </w: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4"/>
              <w:spacing w:after="0" w:line="133"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24"/>
              <w:spacing w:after="0" w:line="133" w:lineRule="exact"/>
              <w:rPr>
                <w:sz w:val="20"/>
                <w:szCs w:val="20"/>
                <w:color w:val="auto"/>
              </w:rPr>
            </w:pPr>
            <w:r>
              <w:rPr>
                <w:rFonts w:ascii="Arial" w:cs="Arial" w:eastAsia="Arial" w:hAnsi="Arial"/>
                <w:sz w:val="13"/>
                <w:szCs w:val="13"/>
                <w:b w:val="1"/>
                <w:bCs w:val="1"/>
                <w:color w:val="auto"/>
              </w:rPr>
              <w:t>2016</w:t>
            </w:r>
          </w:p>
        </w:tc>
      </w:tr>
      <w:tr>
        <w:trPr>
          <w:trHeight w:val="133"/>
        </w:trPr>
        <w:tc>
          <w:tcPr>
            <w:tcW w:w="3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84"/>
              </w:rPr>
              <w:t>(in thousands)</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00"/>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Cost of product revenue</w:t>
            </w:r>
          </w:p>
        </w:tc>
        <w:tc>
          <w:tcPr>
            <w:tcW w:w="2020" w:type="dxa"/>
            <w:vAlign w:val="bottom"/>
            <w:gridSpan w:val="2"/>
            <w:shd w:val="clear" w:color="auto" w:fill="CFF0FC"/>
          </w:tcPr>
          <w:p>
            <w:pPr>
              <w:jc w:val="right"/>
              <w:ind w:right="532"/>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3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36</w:t>
            </w:r>
          </w:p>
        </w:tc>
      </w:tr>
      <w:tr>
        <w:trPr>
          <w:trHeight w:val="200"/>
        </w:trPr>
        <w:tc>
          <w:tcPr>
            <w:tcW w:w="3880" w:type="dxa"/>
            <w:vAlign w:val="bottom"/>
          </w:tcPr>
          <w:p>
            <w:pPr>
              <w:spacing w:after="0"/>
              <w:rPr>
                <w:sz w:val="20"/>
                <w:szCs w:val="20"/>
                <w:color w:val="auto"/>
              </w:rPr>
            </w:pPr>
            <w:r>
              <w:rPr>
                <w:rFonts w:ascii="Arial" w:cs="Arial" w:eastAsia="Arial" w:hAnsi="Arial"/>
                <w:sz w:val="16"/>
                <w:szCs w:val="16"/>
                <w:color w:val="auto"/>
              </w:rPr>
              <w:t>Cost of service revenue</w:t>
            </w: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jc w:val="right"/>
              <w:ind w:right="24"/>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w:t>
            </w:r>
          </w:p>
        </w:tc>
      </w:tr>
      <w:tr>
        <w:trPr>
          <w:trHeight w:val="200"/>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 expenses</w:t>
            </w:r>
          </w:p>
        </w:tc>
        <w:tc>
          <w:tcPr>
            <w:tcW w:w="13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764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1,337</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1,148</w:t>
            </w:r>
          </w:p>
        </w:tc>
      </w:tr>
      <w:tr>
        <w:trPr>
          <w:trHeight w:val="200"/>
        </w:trPr>
        <w:tc>
          <w:tcPr>
            <w:tcW w:w="388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jc w:val="right"/>
              <w:ind w:right="24"/>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235</w:t>
            </w:r>
          </w:p>
        </w:tc>
      </w:tr>
      <w:tr>
        <w:trPr>
          <w:trHeight w:val="200"/>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340" w:type="dxa"/>
            <w:vAlign w:val="bottom"/>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43</w:t>
            </w:r>
          </w:p>
        </w:tc>
      </w:tr>
      <w:tr>
        <w:trPr>
          <w:trHeight w:val="192"/>
        </w:trPr>
        <w:tc>
          <w:tcPr>
            <w:tcW w:w="3880" w:type="dxa"/>
            <w:vAlign w:val="bottom"/>
          </w:tcPr>
          <w:p>
            <w:pPr>
              <w:spacing w:after="0"/>
              <w:rPr>
                <w:sz w:val="20"/>
                <w:szCs w:val="20"/>
                <w:color w:val="auto"/>
              </w:rPr>
            </w:pPr>
            <w:r>
              <w:rPr>
                <w:rFonts w:ascii="Arial" w:cs="Arial" w:eastAsia="Arial" w:hAnsi="Arial"/>
                <w:sz w:val="16"/>
                <w:szCs w:val="16"/>
                <w:color w:val="auto"/>
              </w:rPr>
              <w:t>Total stock-based compensation expense</w:t>
            </w:r>
          </w:p>
        </w:tc>
        <w:tc>
          <w:tcPr>
            <w:tcW w:w="1340" w:type="dxa"/>
            <w:vAlign w:val="bottom"/>
          </w:tcPr>
          <w:p>
            <w:pPr>
              <w:spacing w:after="0"/>
              <w:rPr>
                <w:sz w:val="16"/>
                <w:szCs w:val="16"/>
                <w:color w:val="auto"/>
              </w:rPr>
            </w:pPr>
          </w:p>
        </w:tc>
        <w:tc>
          <w:tcPr>
            <w:tcW w:w="680" w:type="dxa"/>
            <w:vAlign w:val="bottom"/>
            <w:tcBorders>
              <w:bottom w:val="single" w:sz="8" w:color="auto"/>
            </w:tcBorders>
          </w:tcPr>
          <w:p>
            <w:pPr>
              <w:jc w:val="right"/>
              <w:ind w:right="532"/>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right"/>
              <w:ind w:right="531"/>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1,462</w:t>
            </w:r>
          </w:p>
        </w:tc>
      </w:tr>
      <w:tr>
        <w:trPr>
          <w:trHeight w:val="20"/>
        </w:trPr>
        <w:tc>
          <w:tcPr>
            <w:tcW w:w="3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666" w:right="20" w:hanging="666"/>
        <w:spacing w:after="0" w:line="266" w:lineRule="auto"/>
        <w:tabs>
          <w:tab w:leader="none" w:pos="6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Fiscal 2020 includes expenses of $0.1 million related to restructuring. Fiscal 2018 includes expenses of $34 thousand related to restructuring. Fiscal 2017 includes expenses of $2.2 million related to an increase in inventory reserves and other inventory adjustments.</w:t>
      </w:r>
    </w:p>
    <w:p>
      <w:pPr>
        <w:spacing w:after="0" w:line="62" w:lineRule="exact"/>
        <w:rPr>
          <w:rFonts w:ascii="Arial" w:cs="Arial" w:eastAsia="Arial" w:hAnsi="Arial"/>
          <w:sz w:val="16"/>
          <w:szCs w:val="16"/>
          <w:color w:val="auto"/>
        </w:rPr>
      </w:pPr>
    </w:p>
    <w:p>
      <w:pPr>
        <w:ind w:left="646" w:hanging="646"/>
        <w:spacing w:after="0"/>
        <w:tabs>
          <w:tab w:leader="none" w:pos="646"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Fiscal 2020 includes expenses of $0.1 million related to restructuring.</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470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6"/>
          </w:cols>
          <w:pgMar w:left="314" w:top="311" w:right="319" w:bottom="1440" w:gutter="0" w:footer="0" w:header="0"/>
        </w:sectPr>
      </w:pPr>
    </w:p>
    <w:bookmarkStart w:id="30" w:name="page31"/>
    <w:bookmarkEnd w:id="30"/>
    <w:p>
      <w:pPr>
        <w:ind w:left="646" w:right="40" w:hanging="646"/>
        <w:spacing w:after="0" w:line="266" w:lineRule="auto"/>
        <w:tabs>
          <w:tab w:leader="none" w:pos="6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Fiscal 2020 includes expenses of $28 thousand related to restructuring. Fiscal 2018 includes $1.8 million of restructuring expense and $1.4 million benefit on the reversal of an accrual for a loss contingency. Fiscal 2016 includes a $1.4 million loss contingency accrual.</w:t>
      </w:r>
    </w:p>
    <w:p>
      <w:pPr>
        <w:spacing w:after="0" w:line="62" w:lineRule="exact"/>
        <w:rPr>
          <w:rFonts w:ascii="Arial" w:cs="Arial" w:eastAsia="Arial" w:hAnsi="Arial"/>
          <w:sz w:val="16"/>
          <w:szCs w:val="16"/>
          <w:color w:val="auto"/>
        </w:rPr>
      </w:pPr>
    </w:p>
    <w:p>
      <w:pPr>
        <w:ind w:left="646" w:right="40" w:hanging="646"/>
        <w:spacing w:after="0" w:line="299" w:lineRule="auto"/>
        <w:tabs>
          <w:tab w:leader="none" w:pos="646" w:val="left"/>
        </w:tabs>
        <w:numPr>
          <w:ilvl w:val="0"/>
          <w:numId w:val="14"/>
        </w:numPr>
        <w:rPr>
          <w:rFonts w:ascii="Arial" w:cs="Arial" w:eastAsia="Arial" w:hAnsi="Arial"/>
          <w:sz w:val="15"/>
          <w:szCs w:val="15"/>
          <w:color w:val="auto"/>
        </w:rPr>
      </w:pPr>
      <w:r>
        <w:rPr>
          <w:rFonts w:ascii="Arial" w:cs="Arial" w:eastAsia="Arial" w:hAnsi="Arial"/>
          <w:sz w:val="15"/>
          <w:szCs w:val="15"/>
          <w:color w:val="auto"/>
        </w:rPr>
        <w:t>Fiscal 2018 includes an intangible asset impairment of $0.7 million. Fiscal 2017 includes an intangible asset impairment of $0.3 million. Fiscal 2016 includes expenses of $4.4 million related to the impairment of goodwill and $1.6 million related to the write-down to fair value of the manufacturing facility.</w:t>
      </w:r>
    </w:p>
    <w:p>
      <w:pPr>
        <w:spacing w:after="0" w:line="40" w:lineRule="exact"/>
        <w:rPr>
          <w:rFonts w:ascii="Arial" w:cs="Arial" w:eastAsia="Arial" w:hAnsi="Arial"/>
          <w:sz w:val="15"/>
          <w:szCs w:val="15"/>
          <w:color w:val="auto"/>
        </w:rPr>
      </w:pPr>
    </w:p>
    <w:p>
      <w:pPr>
        <w:ind w:left="646" w:hanging="646"/>
        <w:spacing w:after="0"/>
        <w:tabs>
          <w:tab w:leader="none" w:pos="6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Fiscal 2020 includes expenses of $0.2 million related to restructuring. Fiscal 2018 includes expenses of $0.2 million related to restructuring.</w:t>
      </w:r>
    </w:p>
    <w:p>
      <w:pPr>
        <w:spacing w:after="0" w:line="98" w:lineRule="exact"/>
        <w:rPr>
          <w:rFonts w:ascii="Arial" w:cs="Arial" w:eastAsia="Arial" w:hAnsi="Arial"/>
          <w:sz w:val="16"/>
          <w:szCs w:val="16"/>
          <w:color w:val="auto"/>
        </w:rPr>
      </w:pPr>
    </w:p>
    <w:p>
      <w:pPr>
        <w:ind w:left="646" w:hanging="646"/>
        <w:spacing w:after="0"/>
        <w:tabs>
          <w:tab w:leader="none" w:pos="6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Fiscal 2018 includes expenses of $0.1 million related to restructuring.</w:t>
      </w:r>
    </w:p>
    <w:p>
      <w:pPr>
        <w:spacing w:after="0" w:line="279"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37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87"/>
              </w:rPr>
              <w:t>As of March 31,</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37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04"/>
              <w:spacing w:after="0" w:line="133" w:lineRule="exact"/>
              <w:rPr>
                <w:sz w:val="20"/>
                <w:szCs w:val="20"/>
                <w:color w:val="auto"/>
              </w:rPr>
            </w:pPr>
            <w:r>
              <w:rPr>
                <w:rFonts w:ascii="Arial" w:cs="Arial" w:eastAsia="Arial" w:hAnsi="Arial"/>
                <w:sz w:val="13"/>
                <w:szCs w:val="13"/>
                <w:b w:val="1"/>
                <w:bCs w:val="1"/>
                <w:color w:val="auto"/>
              </w:rPr>
              <w:t>2020</w:t>
            </w:r>
          </w:p>
        </w:tc>
        <w:tc>
          <w:tcPr>
            <w:tcW w:w="3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4"/>
              <w:spacing w:after="0" w:line="133"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27"/>
              <w:spacing w:after="0" w:line="133" w:lineRule="exact"/>
              <w:rPr>
                <w:sz w:val="20"/>
                <w:szCs w:val="20"/>
                <w:color w:val="auto"/>
              </w:rPr>
            </w:pPr>
            <w:r>
              <w:rPr>
                <w:rFonts w:ascii="Arial" w:cs="Arial" w:eastAsia="Arial" w:hAnsi="Arial"/>
                <w:sz w:val="13"/>
                <w:szCs w:val="13"/>
                <w:b w:val="1"/>
                <w:bCs w:val="1"/>
                <w:color w:val="auto"/>
                <w:w w:val="82"/>
              </w:rPr>
              <w:t>2018</w:t>
            </w: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4"/>
              <w:spacing w:after="0" w:line="133" w:lineRule="exact"/>
              <w:rPr>
                <w:sz w:val="20"/>
                <w:szCs w:val="20"/>
                <w:color w:val="auto"/>
              </w:rPr>
            </w:pPr>
            <w:r>
              <w:rPr>
                <w:rFonts w:ascii="Arial" w:cs="Arial" w:eastAsia="Arial" w:hAnsi="Arial"/>
                <w:sz w:val="13"/>
                <w:szCs w:val="13"/>
                <w:b w:val="1"/>
                <w:bCs w:val="1"/>
                <w:color w:val="auto"/>
              </w:rPr>
              <w:t>2017</w:t>
            </w: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24"/>
              <w:spacing w:after="0" w:line="133" w:lineRule="exact"/>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1"/>
                <w:szCs w:val="11"/>
                <w:color w:val="auto"/>
              </w:rPr>
            </w:pPr>
          </w:p>
        </w:tc>
      </w:tr>
      <w:tr>
        <w:trPr>
          <w:trHeight w:val="133"/>
        </w:trPr>
        <w:tc>
          <w:tcPr>
            <w:tcW w:w="37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87"/>
              <w:spacing w:after="0" w:line="133" w:lineRule="exact"/>
              <w:rPr>
                <w:sz w:val="20"/>
                <w:szCs w:val="20"/>
                <w:color w:val="auto"/>
              </w:rPr>
            </w:pPr>
            <w:r>
              <w:rPr>
                <w:rFonts w:ascii="Arial" w:cs="Arial" w:eastAsia="Arial" w:hAnsi="Arial"/>
                <w:sz w:val="13"/>
                <w:szCs w:val="13"/>
                <w:b w:val="1"/>
                <w:bCs w:val="1"/>
                <w:color w:val="auto"/>
                <w:w w:val="84"/>
              </w:rPr>
              <w:t>(in thousands)</w:t>
            </w: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0"/>
        </w:trPr>
        <w:tc>
          <w:tcPr>
            <w:tcW w:w="3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37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28,751</w:t>
            </w:r>
          </w:p>
        </w:tc>
        <w:tc>
          <w:tcPr>
            <w:tcW w:w="3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8,729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7"/>
              <w:spacing w:after="0"/>
              <w:rPr>
                <w:sz w:val="20"/>
                <w:szCs w:val="20"/>
                <w:color w:val="auto"/>
              </w:rPr>
            </w:pPr>
            <w:r>
              <w:rPr>
                <w:rFonts w:ascii="Arial" w:cs="Arial" w:eastAsia="Arial" w:hAnsi="Arial"/>
                <w:sz w:val="16"/>
                <w:szCs w:val="16"/>
                <w:color w:val="auto"/>
              </w:rPr>
              <w:t>9,424</w:t>
            </w:r>
          </w:p>
        </w:tc>
        <w:tc>
          <w:tcPr>
            <w:tcW w:w="3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color w:val="auto"/>
              </w:rPr>
              <w:t>17,307</w:t>
            </w:r>
          </w:p>
        </w:tc>
        <w:tc>
          <w:tcPr>
            <w:tcW w:w="3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15,542</w:t>
            </w:r>
          </w:p>
        </w:tc>
        <w:tc>
          <w:tcPr>
            <w:tcW w:w="20" w:type="dxa"/>
            <w:vAlign w:val="bottom"/>
          </w:tcPr>
          <w:p>
            <w:pPr>
              <w:spacing w:after="0"/>
              <w:rPr>
                <w:sz w:val="17"/>
                <w:szCs w:val="17"/>
                <w:color w:val="auto"/>
              </w:rPr>
            </w:pPr>
          </w:p>
        </w:tc>
      </w:tr>
      <w:tr>
        <w:trPr>
          <w:trHeight w:val="200"/>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1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72,563</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56,021</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45,325</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62,051</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70,875</w:t>
            </w:r>
          </w:p>
        </w:tc>
        <w:tc>
          <w:tcPr>
            <w:tcW w:w="20" w:type="dxa"/>
            <w:vAlign w:val="bottom"/>
          </w:tcPr>
          <w:p>
            <w:pPr>
              <w:spacing w:after="0"/>
              <w:rPr>
                <w:sz w:val="17"/>
                <w:szCs w:val="17"/>
                <w:color w:val="auto"/>
              </w:rPr>
            </w:pPr>
          </w:p>
        </w:tc>
      </w:tr>
      <w:tr>
        <w:trPr>
          <w:trHeight w:val="200"/>
        </w:trPr>
        <w:tc>
          <w:tcPr>
            <w:tcW w:w="3700" w:type="dxa"/>
            <w:vAlign w:val="bottom"/>
          </w:tcPr>
          <w:p>
            <w:pPr>
              <w:spacing w:after="0"/>
              <w:rPr>
                <w:sz w:val="20"/>
                <w:szCs w:val="20"/>
                <w:color w:val="auto"/>
              </w:rPr>
            </w:pPr>
            <w:r>
              <w:rPr>
                <w:rFonts w:ascii="Arial" w:cs="Arial" w:eastAsia="Arial" w:hAnsi="Arial"/>
                <w:sz w:val="16"/>
                <w:szCs w:val="16"/>
                <w:color w:val="auto"/>
              </w:rPr>
              <w:t>Long term borrowings</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10,063</w:t>
            </w:r>
          </w:p>
        </w:tc>
        <w:tc>
          <w:tcPr>
            <w:tcW w:w="340" w:type="dxa"/>
            <w:vAlign w:val="bottom"/>
          </w:tcPr>
          <w:p>
            <w:pPr>
              <w:spacing w:after="0"/>
              <w:rPr>
                <w:sz w:val="17"/>
                <w:szCs w:val="17"/>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9,283</w:t>
            </w:r>
          </w:p>
        </w:tc>
        <w:tc>
          <w:tcPr>
            <w:tcW w:w="200" w:type="dxa"/>
            <w:vAlign w:val="bottom"/>
          </w:tcPr>
          <w:p>
            <w:pPr>
              <w:spacing w:after="0"/>
              <w:rPr>
                <w:sz w:val="17"/>
                <w:szCs w:val="17"/>
                <w:color w:val="auto"/>
              </w:rPr>
            </w:pPr>
          </w:p>
        </w:tc>
        <w:tc>
          <w:tcPr>
            <w:tcW w:w="1040" w:type="dxa"/>
            <w:vAlign w:val="bottom"/>
          </w:tcPr>
          <w:p>
            <w:pPr>
              <w:jc w:val="right"/>
              <w:ind w:right="47"/>
              <w:spacing w:after="0"/>
              <w:rPr>
                <w:sz w:val="20"/>
                <w:szCs w:val="20"/>
                <w:color w:val="auto"/>
              </w:rPr>
            </w:pPr>
            <w:r>
              <w:rPr>
                <w:rFonts w:ascii="Arial" w:cs="Arial" w:eastAsia="Arial" w:hAnsi="Arial"/>
                <w:sz w:val="16"/>
                <w:szCs w:val="16"/>
                <w:color w:val="auto"/>
              </w:rPr>
              <w:t>4,013</w:t>
            </w:r>
          </w:p>
        </w:tc>
        <w:tc>
          <w:tcPr>
            <w:tcW w:w="340" w:type="dxa"/>
            <w:vAlign w:val="bottom"/>
          </w:tcPr>
          <w:p>
            <w:pPr>
              <w:spacing w:after="0"/>
              <w:rPr>
                <w:sz w:val="17"/>
                <w:szCs w:val="17"/>
                <w:color w:val="auto"/>
              </w:rPr>
            </w:pPr>
          </w:p>
        </w:tc>
        <w:tc>
          <w:tcPr>
            <w:tcW w:w="920" w:type="dxa"/>
            <w:vAlign w:val="bottom"/>
          </w:tcPr>
          <w:p>
            <w:pPr>
              <w:jc w:val="right"/>
              <w:ind w:right="84"/>
              <w:spacing w:after="0"/>
              <w:rPr>
                <w:sz w:val="20"/>
                <w:szCs w:val="20"/>
                <w:color w:val="auto"/>
              </w:rPr>
            </w:pPr>
            <w:r>
              <w:rPr>
                <w:rFonts w:ascii="Arial" w:cs="Arial" w:eastAsia="Arial" w:hAnsi="Arial"/>
                <w:sz w:val="16"/>
                <w:szCs w:val="16"/>
                <w:color w:val="auto"/>
              </w:rPr>
              <w:t>6,819</w:t>
            </w:r>
          </w:p>
        </w:tc>
        <w:tc>
          <w:tcPr>
            <w:tcW w:w="32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4,021</w:t>
            </w:r>
          </w:p>
        </w:tc>
        <w:tc>
          <w:tcPr>
            <w:tcW w:w="20" w:type="dxa"/>
            <w:vAlign w:val="bottom"/>
          </w:tcPr>
          <w:p>
            <w:pPr>
              <w:spacing w:after="0"/>
              <w:rPr>
                <w:sz w:val="17"/>
                <w:szCs w:val="17"/>
                <w:color w:val="auto"/>
              </w:rPr>
            </w:pPr>
          </w:p>
        </w:tc>
      </w:tr>
      <w:tr>
        <w:trPr>
          <w:trHeight w:val="200"/>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Shareholder notes receivable</w:t>
            </w:r>
          </w:p>
        </w:tc>
        <w:tc>
          <w:tcPr>
            <w:tcW w:w="1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(4)</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r>
      <w:tr>
        <w:trPr>
          <w:trHeight w:val="200"/>
        </w:trPr>
        <w:tc>
          <w:tcPr>
            <w:tcW w:w="3700" w:type="dxa"/>
            <w:vAlign w:val="bottom"/>
          </w:tcPr>
          <w:p>
            <w:pPr>
              <w:spacing w:after="0"/>
              <w:rPr>
                <w:sz w:val="20"/>
                <w:szCs w:val="20"/>
                <w:color w:val="auto"/>
              </w:rPr>
            </w:pPr>
            <w:r>
              <w:rPr>
                <w:rFonts w:ascii="Arial" w:cs="Arial" w:eastAsia="Arial" w:hAnsi="Arial"/>
                <w:sz w:val="16"/>
                <w:szCs w:val="16"/>
                <w:color w:val="auto"/>
              </w:rPr>
              <w:t>Total shareholders’ equity</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31,035</w:t>
            </w:r>
          </w:p>
        </w:tc>
        <w:tc>
          <w:tcPr>
            <w:tcW w:w="340" w:type="dxa"/>
            <w:vAlign w:val="bottom"/>
          </w:tcPr>
          <w:p>
            <w:pPr>
              <w:spacing w:after="0"/>
              <w:rPr>
                <w:sz w:val="17"/>
                <w:szCs w:val="17"/>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17,970</w:t>
            </w:r>
          </w:p>
        </w:tc>
        <w:tc>
          <w:tcPr>
            <w:tcW w:w="200" w:type="dxa"/>
            <w:vAlign w:val="bottom"/>
          </w:tcPr>
          <w:p>
            <w:pPr>
              <w:spacing w:after="0"/>
              <w:rPr>
                <w:sz w:val="17"/>
                <w:szCs w:val="17"/>
                <w:color w:val="auto"/>
              </w:rPr>
            </w:pPr>
          </w:p>
        </w:tc>
        <w:tc>
          <w:tcPr>
            <w:tcW w:w="1040" w:type="dxa"/>
            <w:vAlign w:val="bottom"/>
          </w:tcPr>
          <w:p>
            <w:pPr>
              <w:jc w:val="right"/>
              <w:ind w:right="47"/>
              <w:spacing w:after="0"/>
              <w:rPr>
                <w:sz w:val="20"/>
                <w:szCs w:val="20"/>
                <w:color w:val="auto"/>
              </w:rPr>
            </w:pPr>
            <w:r>
              <w:rPr>
                <w:rFonts w:ascii="Arial" w:cs="Arial" w:eastAsia="Arial" w:hAnsi="Arial"/>
                <w:sz w:val="16"/>
                <w:szCs w:val="16"/>
                <w:color w:val="auto"/>
              </w:rPr>
              <w:t>23,424</w:t>
            </w:r>
          </w:p>
        </w:tc>
        <w:tc>
          <w:tcPr>
            <w:tcW w:w="340" w:type="dxa"/>
            <w:vAlign w:val="bottom"/>
          </w:tcPr>
          <w:p>
            <w:pPr>
              <w:spacing w:after="0"/>
              <w:rPr>
                <w:sz w:val="17"/>
                <w:szCs w:val="17"/>
                <w:color w:val="auto"/>
              </w:rPr>
            </w:pPr>
          </w:p>
        </w:tc>
        <w:tc>
          <w:tcPr>
            <w:tcW w:w="920" w:type="dxa"/>
            <w:vAlign w:val="bottom"/>
          </w:tcPr>
          <w:p>
            <w:pPr>
              <w:jc w:val="right"/>
              <w:ind w:right="84"/>
              <w:spacing w:after="0"/>
              <w:rPr>
                <w:sz w:val="20"/>
                <w:szCs w:val="20"/>
                <w:color w:val="auto"/>
              </w:rPr>
            </w:pPr>
            <w:r>
              <w:rPr>
                <w:rFonts w:ascii="Arial" w:cs="Arial" w:eastAsia="Arial" w:hAnsi="Arial"/>
                <w:sz w:val="16"/>
                <w:szCs w:val="16"/>
                <w:color w:val="auto"/>
              </w:rPr>
              <w:t>35,450</w:t>
            </w:r>
          </w:p>
        </w:tc>
        <w:tc>
          <w:tcPr>
            <w:tcW w:w="32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45,983</w:t>
            </w:r>
          </w:p>
        </w:tc>
        <w:tc>
          <w:tcPr>
            <w:tcW w:w="20" w:type="dxa"/>
            <w:vAlign w:val="bottom"/>
          </w:tcPr>
          <w:p>
            <w:pPr>
              <w:spacing w:after="0"/>
              <w:rPr>
                <w:sz w:val="17"/>
                <w:szCs w:val="17"/>
                <w:color w:val="auto"/>
              </w:rPr>
            </w:pPr>
          </w:p>
        </w:tc>
      </w:tr>
      <w:tr>
        <w:trPr>
          <w:trHeight w:val="587"/>
        </w:trPr>
        <w:tc>
          <w:tcPr>
            <w:tcW w:w="3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544"/>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9"/>
        </w:trPr>
        <w:tc>
          <w:tcPr>
            <w:tcW w:w="37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-6985</wp:posOffset>
            </wp:positionV>
            <wp:extent cx="762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762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6"/>
          </w:cols>
          <w:pgMar w:left="314" w:top="409" w:right="299" w:bottom="1440" w:gutter="0" w:footer="0" w:header="0"/>
        </w:sectPr>
      </w:pPr>
    </w:p>
    <w:bookmarkStart w:id="31" w:name="page32"/>
    <w:bookmarkEnd w:id="31"/>
    <w:p>
      <w:pPr>
        <w:spacing w:after="0"/>
        <w:tabs>
          <w:tab w:leader="none" w:pos="7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02" w:lineRule="exact"/>
        <w:rPr>
          <w:sz w:val="20"/>
          <w:szCs w:val="20"/>
          <w:color w:val="auto"/>
        </w:rPr>
      </w:pPr>
    </w:p>
    <w:p>
      <w:pPr>
        <w:jc w:val="both"/>
        <w:ind w:right="20" w:firstLine="500"/>
        <w:spacing w:after="0" w:line="382"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together with our audited consolidated financial statements and related notes included in this Annual Report on Form 10-K for the fiscal year ended March 31, 2020. See also “Forward-Looking Statements” and Item 1A “Risk Factors”.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02" w:lineRule="exact"/>
        <w:rPr>
          <w:sz w:val="20"/>
          <w:szCs w:val="20"/>
          <w:color w:val="auto"/>
        </w:rPr>
      </w:pPr>
    </w:p>
    <w:p>
      <w:pPr>
        <w:jc w:val="both"/>
        <w:ind w:firstLine="500"/>
        <w:spacing w:after="0" w:line="274" w:lineRule="auto"/>
        <w:rPr>
          <w:sz w:val="20"/>
          <w:szCs w:val="20"/>
          <w:color w:val="auto"/>
        </w:rPr>
      </w:pPr>
      <w:r>
        <w:rPr>
          <w:rFonts w:ascii="Arial" w:cs="Arial" w:eastAsia="Arial" w:hAnsi="Arial"/>
          <w:sz w:val="15"/>
          <w:szCs w:val="15"/>
          <w:color w:val="auto"/>
        </w:rPr>
        <w:t>We provide state-of-the-art LED lighting, wireless Internet of Things (“IoT”) enabled control solutions, and energy project management. We research, design, develop, manufacture, market, sell, install,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54" w:lineRule="exact"/>
        <w:rPr>
          <w:sz w:val="20"/>
          <w:szCs w:val="20"/>
          <w:color w:val="auto"/>
        </w:rPr>
      </w:pPr>
    </w:p>
    <w:p>
      <w:pPr>
        <w:jc w:val="both"/>
        <w:ind w:firstLine="500"/>
        <w:spacing w:after="0" w:line="329" w:lineRule="auto"/>
        <w:rPr>
          <w:sz w:val="20"/>
          <w:szCs w:val="20"/>
          <w:color w:val="auto"/>
        </w:rPr>
      </w:pPr>
      <w:r>
        <w:rPr>
          <w:rFonts w:ascii="Arial" w:cs="Arial" w:eastAsia="Arial" w:hAnsi="Arial"/>
          <w:sz w:val="13"/>
          <w:szCs w:val="13"/>
          <w:color w:val="auto"/>
        </w:rPr>
        <w:t>Our lighting products consist primarily of light emitting diode ("LED") lighting fixtures, many of which include IoT enabled control systems. Our principal customers include large national account end-users, Federal and State government facilities, large regional account end-users, electrical distributors, electrical contractors and energy service companies ("ESCOs"). Currently, substantially all of our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22"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We have experienced recent success offering our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67"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We believe the market for LED lighting products and related controls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67" w:lineRule="exact"/>
        <w:rPr>
          <w:sz w:val="20"/>
          <w:szCs w:val="20"/>
          <w:color w:val="auto"/>
        </w:rPr>
      </w:pPr>
    </w:p>
    <w:p>
      <w:pPr>
        <w:jc w:val="both"/>
        <w:ind w:firstLine="500"/>
        <w:spacing w:after="0" w:line="310" w:lineRule="auto"/>
        <w:rPr>
          <w:sz w:val="20"/>
          <w:szCs w:val="20"/>
          <w:color w:val="auto"/>
        </w:rPr>
      </w:pPr>
      <w:r>
        <w:rPr>
          <w:rFonts w:ascii="Arial" w:cs="Arial" w:eastAsia="Arial" w:hAnsi="Arial"/>
          <w:sz w:val="13"/>
          <w:szCs w:val="13"/>
          <w:color w:val="auto"/>
        </w:rPr>
        <w:t>In fiscal 2020, we began to successfully capitalize on our capability of being a full service, turn-key provider of LED lighting and controls systems with design, build, installation and project management services, including being awarded a very large project for a major national account. As a result of this success, we have begun to evolve our business strategy to focus on further expanding the nature and scope of our products and services offered to our customers. This further expansion of our products and services includes pursuing projects to develop recurring revenue streams, including providing lighting and electrical maintenance services and utilizing control sensor technology to collect data and assisting customers in the digitization of this data, along with other potential services. We also plan to pursue the expansion of our IoT, “smart-building” and “connected ceiling” and other related technology, software and controls products and services that we offer to our customers. We currently plan on investing significant time, resources and capital into expanding our offerings in these areas with no expectation that they will result in us realizing material revenue in the near term and without any assurance they will succeed or be profitable. In fact, it is likely that these efforts will reduce our profitability, at least in the near term as we invest resources and incur expenses to develop these offerings. While we intend to pursue these expansion strategies organically, we also are actively exploring potential business acquisitions which would more quickly add these types of expanded and different capabilities to our product and services offerings. It is possible that one or more of such potential acquisitions, if successfully completed, could significantly change, and potentially transform, the nature and extent of our business.</w:t>
      </w:r>
    </w:p>
    <w:p>
      <w:pPr>
        <w:spacing w:after="0" w:line="328" w:lineRule="exact"/>
        <w:rPr>
          <w:sz w:val="20"/>
          <w:szCs w:val="20"/>
          <w:color w:val="auto"/>
        </w:rPr>
      </w:pPr>
    </w:p>
    <w:p>
      <w:pPr>
        <w:jc w:val="both"/>
        <w:ind w:firstLine="500"/>
        <w:spacing w:after="0" w:line="249" w:lineRule="auto"/>
        <w:rPr>
          <w:sz w:val="20"/>
          <w:szCs w:val="20"/>
          <w:color w:val="auto"/>
        </w:rPr>
      </w:pPr>
      <w:r>
        <w:rPr>
          <w:rFonts w:ascii="Arial" w:cs="Arial" w:eastAsia="Arial" w:hAnsi="Arial"/>
          <w:sz w:val="16"/>
          <w:szCs w:val="16"/>
          <w:color w:val="auto"/>
        </w:rPr>
        <w:t>We generally do not have long-term contracts with our customers that provide us with recurring revenue from period to period and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For example, while we received a master retrofit agreement in January 2020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2" w:name="page33"/>
    <w:bookmarkEnd w:id="32"/>
    <w:p>
      <w:pPr>
        <w:jc w:val="both"/>
        <w:spacing w:after="0" w:line="274" w:lineRule="auto"/>
        <w:rPr>
          <w:sz w:val="20"/>
          <w:szCs w:val="20"/>
          <w:color w:val="auto"/>
        </w:rPr>
      </w:pPr>
      <w:r>
        <w:rPr>
          <w:rFonts w:ascii="Arial" w:cs="Arial" w:eastAsia="Arial" w:hAnsi="Arial"/>
          <w:sz w:val="15"/>
          <w:szCs w:val="15"/>
          <w:color w:val="auto"/>
        </w:rPr>
        <w:t>for approximately $18-20 million in revenue from our largest customer, due to the closure of its facilities to external activities because of the COVID-19 pandemic, this customer deferred retrofit installations related to the project during March 2020, thereby resulting in the deferral of our realization of expected revenue during our fiscal 2020 fourth quarter.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54"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67"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57"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Our fiscal year ends on March 31. We refer to our just completed fiscal year, which ended on March 31, 2020, as "fiscal 2020", and our prior fiscal years which ended on March 31, 2019 and March 31, 2018 as "fiscal 2019" and “fiscal 2018”, respectively. Our fiscal first quarter of each fiscal year ends on June 30, our fiscal second quarter ends on September 30, our fiscal third quarter ends on December 31 and our fiscal fourth quarter ends on March 31.</w:t>
      </w:r>
    </w:p>
    <w:p>
      <w:pPr>
        <w:spacing w:after="0" w:line="167"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Engineered Systems Division ("OES"), and Orion Distribution Services Division ("ODS"), and Orion U.S. Markets Division (“USM”).</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Major Developments in Fiscal 2020</w:t>
      </w:r>
    </w:p>
    <w:p>
      <w:pPr>
        <w:spacing w:after="0" w:line="102" w:lineRule="exact"/>
        <w:rPr>
          <w:sz w:val="20"/>
          <w:szCs w:val="20"/>
          <w:color w:val="auto"/>
        </w:rPr>
      </w:pPr>
    </w:p>
    <w:p>
      <w:pPr>
        <w:jc w:val="both"/>
        <w:ind w:firstLine="500"/>
        <w:spacing w:after="0" w:line="269" w:lineRule="auto"/>
        <w:rPr>
          <w:sz w:val="20"/>
          <w:szCs w:val="20"/>
          <w:color w:val="auto"/>
        </w:rPr>
      </w:pPr>
      <w:r>
        <w:rPr>
          <w:rFonts w:ascii="Arial" w:cs="Arial" w:eastAsia="Arial" w:hAnsi="Arial"/>
          <w:sz w:val="15"/>
          <w:szCs w:val="15"/>
          <w:color w:val="auto"/>
        </w:rPr>
        <w:t>During fiscal 2020, we executed on a series of master contracts for a major national account customer with our state-of-the-art LED lighting systems and wireless IoT enabled control solutions at locations nationwide. This one national account customer represented 74.1% of our total revenue in fiscal 2020 and was the primary driver for our growth over the prior year period. During March 2020, this customer suspended our installations at a significant number of locations that were scheduled for installation during our fiscal 2020 fourth quarter and our fiscal 2021 first quarter. Although circumstances may change, further installations at this customer’s locations are currently not expected to recommence until calendar year 2021. We expect further revenue opportunity with this national account customer in fiscal 2021 and beyond; however, due to the COVID-19 pandemic, the timing, and volume of revenue, including our ability to realize these potential revenue opportunities is uncertain.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 and Fiscal 2021 Outlook</w:t>
      </w:r>
    </w:p>
    <w:p>
      <w:pPr>
        <w:spacing w:after="0" w:line="102"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The COVID-19 pandemic has disrupted business, trade, commerce, financial and credit markets, in the U.S. and globally. Our business has been adversely impacted by measures taken by government entities and others to control the spread of the virus beginning in March 2020. As an essential business, we provide products and services to ensure energy and lighting infrastructure and we therefore continue to operate throughout the pandemic. Nonetheless, we did experience a curtailment of activity in the last few weeks of our 2020 fiscal year.</w:t>
      </w:r>
    </w:p>
    <w:p>
      <w:pPr>
        <w:spacing w:after="0" w:line="74" w:lineRule="exact"/>
        <w:rPr>
          <w:sz w:val="20"/>
          <w:szCs w:val="20"/>
          <w:color w:val="auto"/>
        </w:rPr>
      </w:pPr>
    </w:p>
    <w:p>
      <w:pPr>
        <w:jc w:val="both"/>
        <w:ind w:firstLine="500"/>
        <w:spacing w:after="0" w:line="267" w:lineRule="auto"/>
        <w:rPr>
          <w:sz w:val="20"/>
          <w:szCs w:val="20"/>
          <w:color w:val="auto"/>
        </w:rPr>
      </w:pPr>
      <w:r>
        <w:rPr>
          <w:rFonts w:ascii="Arial" w:cs="Arial" w:eastAsia="Arial" w:hAnsi="Arial"/>
          <w:sz w:val="15"/>
          <w:szCs w:val="15"/>
          <w:color w:val="auto"/>
        </w:rPr>
        <w:t>As part of our recent response to the impacts of the COVID-19, we have taken a number of cost reduction and cash conservation measures, including reducing headcount. While restrictions have begun to lessen in certain jurisdictions during our fiscal 2021 first quarter, stay-at-home or lockdown orders remain in effect in others, with employees asked to work remotely if possible. Some customers and projects are in areas where travel restrictions have been imposed, certain customers have either closed or reduced on-site activities, and timelines for the completion of several projects have been delayed, extended or terminated. These modifications to our business practices, including any future actions we take, may cause us to experience reductions in productivity and disruptions to our business routines. In addition, we are required to make substantial working capital expenditures and advance inventory purchases that we may not be able to recoup if the agreements or a substantial volume of purchase orders under the agreements are delayed or terminated as a result of COVID-19. As of the date of this report, it is not possible to predict the overall impact the COVID-19 pandemic will have on the Company's business, liquidity, capital resources or financial results, although we expect that the economic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33" w:name="page34"/>
    <w:bookmarkEnd w:id="33"/>
    <w:p>
      <w:pPr>
        <w:jc w:val="both"/>
        <w:spacing w:after="0" w:line="342" w:lineRule="auto"/>
        <w:rPr>
          <w:sz w:val="20"/>
          <w:szCs w:val="20"/>
          <w:color w:val="auto"/>
        </w:rPr>
      </w:pPr>
      <w:r>
        <w:rPr>
          <w:rFonts w:ascii="Arial" w:cs="Arial" w:eastAsia="Arial" w:hAnsi="Arial"/>
          <w:sz w:val="13"/>
          <w:szCs w:val="13"/>
          <w:color w:val="auto"/>
        </w:rPr>
        <w:t>and regulatory impacts of COVID-19 will significantly reduce our revenue and profitability in at least the first half of fiscal 2021. If the COVID-19 pandemic becomes more pronounced in our markets or experiences a resurgence in markets recovering from the spread of COVID-19, or if another significant natural disaster or pandemic were to occur in the future, our operations in areas impacted by such events could experience further adverse financial impacts due to market changes and other resulting events and circumstances.</w:t>
      </w:r>
    </w:p>
    <w:p>
      <w:pPr>
        <w:spacing w:after="0" w:line="20" w:lineRule="exact"/>
        <w:rPr>
          <w:sz w:val="20"/>
          <w:szCs w:val="20"/>
          <w:color w:val="auto"/>
        </w:rPr>
      </w:pPr>
    </w:p>
    <w:p>
      <w:pPr>
        <w:jc w:val="both"/>
        <w:ind w:right="20" w:firstLine="500"/>
        <w:spacing w:after="0" w:line="252" w:lineRule="auto"/>
        <w:rPr>
          <w:sz w:val="20"/>
          <w:szCs w:val="20"/>
          <w:color w:val="auto"/>
        </w:rPr>
      </w:pPr>
      <w:r>
        <w:rPr>
          <w:rFonts w:ascii="Arial" w:cs="Arial" w:eastAsia="Arial" w:hAnsi="Arial"/>
          <w:sz w:val="16"/>
          <w:szCs w:val="16"/>
          <w:color w:val="auto"/>
        </w:rPr>
        <w:t>The impact of COVID-19 has caused significant uncertainty and volatility in the credit markets. We rely on the credit markets to provide us with liquidity to operate and grow our businesses beyond the liquidity that operating cash flows provide. If our access to capital were to become significantly constrained or if costs of capital increased significantly due the impact of COVID-19, including volatility in the capital markets, a reduction in our credit ratings or other factors, then our financial condition, results of operations and cash flows could be adversely affected.</w:t>
      </w:r>
    </w:p>
    <w:p>
      <w:pPr>
        <w:spacing w:after="0" w:line="74" w:lineRule="exact"/>
        <w:rPr>
          <w:sz w:val="20"/>
          <w:szCs w:val="20"/>
          <w:color w:val="auto"/>
        </w:rPr>
      </w:pPr>
    </w:p>
    <w:p>
      <w:pPr>
        <w:jc w:val="both"/>
        <w:ind w:right="20" w:firstLine="500"/>
        <w:spacing w:after="0" w:line="382" w:lineRule="auto"/>
        <w:rPr>
          <w:sz w:val="20"/>
          <w:szCs w:val="20"/>
          <w:color w:val="auto"/>
        </w:rPr>
      </w:pPr>
      <w:r>
        <w:rPr>
          <w:rFonts w:ascii="Arial" w:cs="Arial" w:eastAsia="Arial" w:hAnsi="Arial"/>
          <w:sz w:val="13"/>
          <w:szCs w:val="13"/>
          <w:color w:val="auto"/>
        </w:rPr>
        <w:t>In addition to the managing the adverse financial impact of the COVID-19 pandemic, our ability to achieve our desired revenue growth and profitability goals depends on our ability to effectively execute on the following key strategic initiatives. We may identify strategic acquisition candidates that would help support these initiatives.</w:t>
      </w:r>
    </w:p>
    <w:p>
      <w:pPr>
        <w:spacing w:after="0" w:line="89" w:lineRule="exact"/>
        <w:rPr>
          <w:sz w:val="20"/>
          <w:szCs w:val="20"/>
          <w:color w:val="auto"/>
        </w:rPr>
      </w:pPr>
    </w:p>
    <w:p>
      <w:pPr>
        <w:jc w:val="both"/>
        <w:ind w:firstLine="500"/>
        <w:spacing w:after="0" w:line="315" w:lineRule="auto"/>
        <w:rPr>
          <w:sz w:val="20"/>
          <w:szCs w:val="20"/>
          <w:color w:val="auto"/>
        </w:rPr>
      </w:pPr>
      <w:r>
        <w:rPr>
          <w:rFonts w:ascii="Arial" w:cs="Arial" w:eastAsia="Arial" w:hAnsi="Arial"/>
          <w:sz w:val="13"/>
          <w:szCs w:val="13"/>
          <w:i w:val="1"/>
          <w:iCs w:val="1"/>
          <w:color w:val="auto"/>
        </w:rPr>
        <w:t>Focus on executing and marketing our turnkey LED retrofit capabilities to large national account customers</w:t>
      </w:r>
      <w:r>
        <w:rPr>
          <w:rFonts w:ascii="Arial" w:cs="Arial" w:eastAsia="Arial" w:hAnsi="Arial"/>
          <w:sz w:val="13"/>
          <w:szCs w:val="13"/>
          <w:color w:val="auto"/>
        </w:rPr>
        <w:t>. We believe one of our competitive advantages is our ability</w:t>
      </w:r>
      <w:r>
        <w:rPr>
          <w:rFonts w:ascii="Arial" w:cs="Arial" w:eastAsia="Arial" w:hAnsi="Arial"/>
          <w:sz w:val="13"/>
          <w:szCs w:val="13"/>
          <w:i w:val="1"/>
          <w:iCs w:val="1"/>
          <w:color w:val="auto"/>
        </w:rPr>
        <w:t xml:space="preserve"> </w:t>
      </w:r>
      <w:r>
        <w:rPr>
          <w:rFonts w:ascii="Arial" w:cs="Arial" w:eastAsia="Arial" w:hAnsi="Arial"/>
          <w:sz w:val="13"/>
          <w:szCs w:val="13"/>
          <w:color w:val="auto"/>
        </w:rPr>
        <w:t>to deliver full turnkey LED lighting project capabilities. These turnkey services were the principal reason we achieved significant revenue growth in fiscal 2020 as we executed on our commitment to retrofit multiple locations for a major national account customer. Our success in the national account market segment centers on our turnkey design, engineering, manufacturing and project management capabilities, which represent a very clear competitive advantage for us among large enterprises seeking to benefit from the illumination benefits and energy savings of LED lighting across locations nationwide. Few LED lighting providers are organized to serve every step of a custom retrofit project in a comprehensive, non-disruptive and timely fashion, from custom fixture design and initial site surveys to final installations. Incrementally, we are also able to help customers deploy state-of-the-art control systems that provide even greater long-term value from their lighting system investments.</w:t>
      </w:r>
    </w:p>
    <w:p>
      <w:pPr>
        <w:spacing w:after="0" w:line="133" w:lineRule="exact"/>
        <w:rPr>
          <w:sz w:val="20"/>
          <w:szCs w:val="20"/>
          <w:color w:val="auto"/>
        </w:rPr>
      </w:pPr>
    </w:p>
    <w:p>
      <w:pPr>
        <w:jc w:val="both"/>
        <w:ind w:firstLine="500"/>
        <w:spacing w:after="0" w:line="274" w:lineRule="auto"/>
        <w:rPr>
          <w:sz w:val="20"/>
          <w:szCs w:val="20"/>
          <w:color w:val="auto"/>
        </w:rPr>
      </w:pPr>
      <w:r>
        <w:rPr>
          <w:rFonts w:ascii="Arial" w:cs="Arial" w:eastAsia="Arial" w:hAnsi="Arial"/>
          <w:sz w:val="15"/>
          <w:szCs w:val="15"/>
          <w:color w:val="auto"/>
        </w:rPr>
        <w:t>Looking forward, we are focused on continuing to successfully execute on existing national account opportunities while also actively pursuing new national account opportunities that leverage our customized, comprehensive turnkey project solutions, and expanding our addressable market with high-quality, basic lighting systems to meet the needs of value-oriented customer segments served by our other market channels. Given our unique value proposition, capabilities and focus on customer service, we are optimistic about our business prospects and working to build sales momentum with existing and new customers.</w:t>
      </w:r>
    </w:p>
    <w:p>
      <w:pPr>
        <w:spacing w:after="0" w:line="154"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5"/>
          <w:szCs w:val="15"/>
          <w:i w:val="1"/>
          <w:iCs w:val="1"/>
          <w:color w:val="auto"/>
        </w:rPr>
        <w:t xml:space="preserve">Continued Product Innovation. </w:t>
      </w:r>
      <w:r>
        <w:rPr>
          <w:rFonts w:ascii="Arial" w:cs="Arial" w:eastAsia="Arial" w:hAnsi="Arial"/>
          <w:sz w:val="15"/>
          <w:szCs w:val="15"/>
          <w:color w:val="auto"/>
        </w:rPr>
        <w:t>We continue to innovate, developing lighting fixtures and features that address specific customer requirements, while also working to</w:t>
      </w:r>
      <w:r>
        <w:rPr>
          <w:rFonts w:ascii="Arial" w:cs="Arial" w:eastAsia="Arial" w:hAnsi="Arial"/>
          <w:sz w:val="15"/>
          <w:szCs w:val="15"/>
          <w:i w:val="1"/>
          <w:iCs w:val="1"/>
          <w:color w:val="auto"/>
        </w:rPr>
        <w:t xml:space="preserve"> </w:t>
      </w:r>
      <w:r>
        <w:rPr>
          <w:rFonts w:ascii="Arial" w:cs="Arial" w:eastAsia="Arial" w:hAnsi="Arial"/>
          <w:sz w:val="15"/>
          <w:szCs w:val="15"/>
          <w:color w:val="auto"/>
        </w:rPr>
        <w:t>maintain a leadership position in energy efficiency, smart product design and installation benefits. For interior building applications, we have recently launched an antimicrobial troffer fixture which supports the suppression of bacteria, mold, fungi, and mildew, and are currently developing an air circulation troffer to support improved air circulation. We also continue to deepen our capabilities in the integration of smart lighting controls. Our goal is to provide state-of-the-art lighting products with modular plug-and-play designs to enable lighting system customization from basic controls to advanced IoT capabilities.</w:t>
      </w:r>
    </w:p>
    <w:p>
      <w:pPr>
        <w:spacing w:after="0" w:line="156" w:lineRule="exact"/>
        <w:rPr>
          <w:sz w:val="20"/>
          <w:szCs w:val="20"/>
          <w:color w:val="auto"/>
        </w:rPr>
      </w:pPr>
    </w:p>
    <w:p>
      <w:pPr>
        <w:jc w:val="both"/>
        <w:ind w:firstLine="500"/>
        <w:spacing w:after="0" w:line="318" w:lineRule="auto"/>
        <w:rPr>
          <w:sz w:val="20"/>
          <w:szCs w:val="20"/>
          <w:color w:val="auto"/>
        </w:rPr>
      </w:pPr>
      <w:r>
        <w:rPr>
          <w:rFonts w:ascii="Arial" w:cs="Arial" w:eastAsia="Arial" w:hAnsi="Arial"/>
          <w:sz w:val="13"/>
          <w:szCs w:val="13"/>
          <w:i w:val="1"/>
          <w:iCs w:val="1"/>
          <w:color w:val="auto"/>
        </w:rPr>
        <w:t xml:space="preserve">Leverage of Orion’s Smart Lighting Systems to Support Internet of Things Applications. </w:t>
      </w:r>
      <w:r>
        <w:rPr>
          <w:rFonts w:ascii="Arial" w:cs="Arial" w:eastAsia="Arial" w:hAnsi="Arial"/>
          <w:sz w:val="13"/>
          <w:szCs w:val="13"/>
          <w:color w:val="auto"/>
        </w:rPr>
        <w:t>We believe we are ideally positioned to help customers to efficiently deploy new</w:t>
      </w:r>
      <w:r>
        <w:rPr>
          <w:rFonts w:ascii="Arial" w:cs="Arial" w:eastAsia="Arial" w:hAnsi="Arial"/>
          <w:sz w:val="13"/>
          <w:szCs w:val="13"/>
          <w:i w:val="1"/>
          <w:iCs w:val="1"/>
          <w:color w:val="auto"/>
        </w:rPr>
        <w:t xml:space="preserve"> </w:t>
      </w:r>
      <w:r>
        <w:rPr>
          <w:rFonts w:ascii="Arial" w:cs="Arial" w:eastAsia="Arial" w:hAnsi="Arial"/>
          <w:sz w:val="13"/>
          <w:szCs w:val="13"/>
          <w:color w:val="auto"/>
        </w:rPr>
        <w:t>IoT controls and applications by leveraging the “Smart Ceiling” capabilities of their Orion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 We plan to pursue the expansion of our IoT, “smart-building” and “connected ceiling” and other related technology, software and controls products and services that we offer to our customers. While we intend to pursue these expansion strategies organically, we also are actively exploring potential business acquisitions which would more quickly add these types of expanded and different capabilities to our product and services offerings.</w:t>
      </w:r>
    </w:p>
    <w:p>
      <w:pPr>
        <w:spacing w:after="0" w:line="129" w:lineRule="exact"/>
        <w:rPr>
          <w:sz w:val="20"/>
          <w:szCs w:val="20"/>
          <w:color w:val="auto"/>
        </w:rPr>
      </w:pPr>
    </w:p>
    <w:p>
      <w:pPr>
        <w:jc w:val="both"/>
        <w:ind w:firstLine="500"/>
        <w:spacing w:after="0" w:line="342" w:lineRule="auto"/>
        <w:rPr>
          <w:sz w:val="20"/>
          <w:szCs w:val="20"/>
          <w:color w:val="auto"/>
        </w:rPr>
      </w:pPr>
      <w:r>
        <w:rPr>
          <w:rFonts w:ascii="Arial" w:cs="Arial" w:eastAsia="Arial" w:hAnsi="Arial"/>
          <w:sz w:val="13"/>
          <w:szCs w:val="13"/>
          <w:i w:val="1"/>
          <w:iCs w:val="1"/>
          <w:color w:val="auto"/>
        </w:rPr>
        <w:t xml:space="preserve">Develop Maintenance Service Offerings. </w:t>
      </w:r>
      <w:r>
        <w:rPr>
          <w:rFonts w:ascii="Arial" w:cs="Arial" w:eastAsia="Arial" w:hAnsi="Arial"/>
          <w:sz w:val="13"/>
          <w:szCs w:val="13"/>
          <w:color w:val="auto"/>
        </w:rPr>
        <w:t>We believe we can leverage our construction management process expertise to develop a high-quality, quick-response, multi-location maintenance service offering. Our experience with large national customers and our large installed base of fixtures position us well to extend a maintenance offering to historical customers, as well as to new customers. Development of this recurring revenue stream is in the preliminary stage, but we believe there is significant market opportunity.</w:t>
      </w:r>
    </w:p>
    <w:p>
      <w:pPr>
        <w:spacing w:after="0" w:line="114"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i w:val="1"/>
          <w:iCs w:val="1"/>
          <w:color w:val="auto"/>
        </w:rPr>
        <w:t xml:space="preserve">Support success of our ESCO and agent-driven distribution sales channels. </w:t>
      </w:r>
      <w:r>
        <w:rPr>
          <w:rFonts w:ascii="Arial" w:cs="Arial" w:eastAsia="Arial" w:hAnsi="Arial"/>
          <w:sz w:val="16"/>
          <w:szCs w:val="16"/>
          <w:color w:val="auto"/>
        </w:rPr>
        <w:t>We continue to focus on building our relationships and product and sales support for our ESCO</w:t>
      </w:r>
      <w:r>
        <w:rPr>
          <w:rFonts w:ascii="Arial" w:cs="Arial" w:eastAsia="Arial" w:hAnsi="Arial"/>
          <w:sz w:val="16"/>
          <w:szCs w:val="16"/>
          <w:i w:val="1"/>
          <w:iCs w:val="1"/>
          <w:color w:val="auto"/>
        </w:rPr>
        <w:t xml:space="preserve"> </w:t>
      </w:r>
      <w:r>
        <w:rPr>
          <w:rFonts w:ascii="Arial" w:cs="Arial" w:eastAsia="Arial" w:hAnsi="Arial"/>
          <w:sz w:val="16"/>
          <w:szCs w:val="16"/>
          <w:color w:val="auto"/>
        </w:rPr>
        <w:t>and agent driven distribution channels. These efforts include an array of product and sales training efforts as well as the development of new products to cater to the unique needs of these sales channels.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Tariffs and Trade Policies</w:t>
      </w:r>
    </w:p>
    <w:p>
      <w:pPr>
        <w:spacing w:after="0" w:line="197" w:lineRule="exact"/>
        <w:rPr>
          <w:sz w:val="20"/>
          <w:szCs w:val="20"/>
          <w:color w:val="auto"/>
        </w:rPr>
      </w:pPr>
    </w:p>
    <w:p>
      <w:pPr>
        <w:jc w:val="both"/>
        <w:ind w:firstLine="500"/>
        <w:spacing w:after="0" w:line="318" w:lineRule="auto"/>
        <w:rPr>
          <w:sz w:val="20"/>
          <w:szCs w:val="20"/>
          <w:color w:val="auto"/>
        </w:rPr>
      </w:pPr>
      <w:r>
        <w:rPr>
          <w:rFonts w:ascii="Arial" w:cs="Arial" w:eastAsia="Arial" w:hAnsi="Arial"/>
          <w:sz w:val="13"/>
          <w:szCs w:val="13"/>
          <w:color w:val="auto"/>
        </w:rPr>
        <w:t>The United States government has been implementing various monetary, regulatory, and trade importation restraints, penalties, and tariffs. Certain sourced finished products and certain of the components used in our products have been impacted by imposed tariffs on China imports. Our efforts to mitigate the impact of added costs resulting from these government actions include a variety of activities, such as sourcing from non-tariff impacted countries and raising prices. If we are unable to successfully mitigate the impacts of these tariffs and other trade policies, our results of operations may be adversely affected. We believe that these mitigation activities will assist to offset added costs, and we currently believe that such tariffs will have a limited adverse financial effect on our results of operations. Any future policy changes that may be implemented could have a positive or negative consequence on our financial performance depending on how the changes would influence many factors, including business and consumer sentiment.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Fiscal 2020 versus Fiscal 2019</w:t>
      </w:r>
    </w:p>
    <w:p>
      <w:pPr>
        <w:spacing w:after="0" w:line="102"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ind w:left="840"/>
              <w:spacing w:after="0"/>
              <w:rPr>
                <w:sz w:val="20"/>
                <w:szCs w:val="20"/>
                <w:color w:val="auto"/>
              </w:rPr>
            </w:pPr>
            <w:r>
              <w:rPr>
                <w:rFonts w:ascii="Arial" w:cs="Arial" w:eastAsia="Arial" w:hAnsi="Arial"/>
                <w:sz w:val="13"/>
                <w:szCs w:val="13"/>
                <w:b w:val="1"/>
                <w:bCs w:val="1"/>
                <w:color w:val="auto"/>
                <w:w w:val="93"/>
              </w:rPr>
              <w:t>Fiscal Year Ended March 31,</w:t>
            </w: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03"/>
              <w:spacing w:after="0" w:line="133"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04"/>
              <w:spacing w:after="0" w:line="133"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1"/>
                <w:szCs w:val="11"/>
                <w:color w:val="auto"/>
              </w:rPr>
            </w:pPr>
          </w:p>
        </w:tc>
        <w:tc>
          <w:tcPr>
            <w:tcW w:w="1180" w:type="dxa"/>
            <w:vAlign w:val="bottom"/>
            <w:vMerge w:val="restart"/>
          </w:tcPr>
          <w:p>
            <w:pPr>
              <w:jc w:val="right"/>
              <w:ind w:right="563"/>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284"/>
              <w:spacing w:after="0" w:line="133" w:lineRule="exact"/>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1"/>
                <w:szCs w:val="11"/>
                <w:color w:val="auto"/>
              </w:rPr>
            </w:pPr>
          </w:p>
        </w:tc>
        <w:tc>
          <w:tcPr>
            <w:tcW w:w="1200" w:type="dxa"/>
            <w:vAlign w:val="bottom"/>
            <w:tcBorders>
              <w:bottom w:val="single" w:sz="8" w:color="auto"/>
            </w:tcBorders>
          </w:tcPr>
          <w:p>
            <w:pPr>
              <w:jc w:val="center"/>
              <w:ind w:right="144"/>
              <w:spacing w:after="0" w:line="133" w:lineRule="exact"/>
              <w:rPr>
                <w:sz w:val="20"/>
                <w:szCs w:val="20"/>
                <w:color w:val="auto"/>
              </w:rPr>
            </w:pPr>
            <w:r>
              <w:rPr>
                <w:rFonts w:ascii="Arial" w:cs="Arial" w:eastAsia="Arial" w:hAnsi="Arial"/>
                <w:sz w:val="13"/>
                <w:szCs w:val="13"/>
                <w:b w:val="1"/>
                <w:bCs w:val="1"/>
                <w:color w:val="auto"/>
                <w:w w:val="89"/>
              </w:rPr>
              <w:t>2019</w:t>
            </w: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center"/>
              <w:ind w:right="284"/>
              <w:spacing w:after="0" w:line="113" w:lineRule="exact"/>
              <w:rPr>
                <w:sz w:val="20"/>
                <w:szCs w:val="20"/>
                <w:color w:val="auto"/>
              </w:rPr>
            </w:pPr>
            <w:r>
              <w:rPr>
                <w:rFonts w:ascii="Arial" w:cs="Arial" w:eastAsia="Arial" w:hAnsi="Arial"/>
                <w:sz w:val="13"/>
                <w:szCs w:val="13"/>
                <w:b w:val="1"/>
                <w:bCs w:val="1"/>
                <w:color w:val="auto"/>
                <w:w w:val="94"/>
              </w:rPr>
              <w:t>% of</w:t>
            </w:r>
          </w:p>
        </w:tc>
        <w:tc>
          <w:tcPr>
            <w:tcW w:w="120" w:type="dxa"/>
            <w:vAlign w:val="bottom"/>
          </w:tcPr>
          <w:p>
            <w:pPr>
              <w:spacing w:after="0"/>
              <w:rPr>
                <w:sz w:val="9"/>
                <w:szCs w:val="9"/>
                <w:color w:val="auto"/>
              </w:rPr>
            </w:pPr>
          </w:p>
        </w:tc>
        <w:tc>
          <w:tcPr>
            <w:tcW w:w="1200" w:type="dxa"/>
            <w:vAlign w:val="bottom"/>
          </w:tcPr>
          <w:p>
            <w:pPr>
              <w:jc w:val="center"/>
              <w:ind w:right="144"/>
              <w:spacing w:after="0" w:line="113" w:lineRule="exact"/>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303"/>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460" w:type="dxa"/>
            <w:vAlign w:val="bottom"/>
            <w:gridSpan w:val="3"/>
          </w:tcPr>
          <w:p>
            <w:pPr>
              <w:ind w:left="280"/>
              <w:spacing w:after="0"/>
              <w:rPr>
                <w:sz w:val="20"/>
                <w:szCs w:val="20"/>
                <w:color w:val="auto"/>
              </w:rPr>
            </w:pPr>
            <w:r>
              <w:rPr>
                <w:rFonts w:ascii="Arial" w:cs="Arial" w:eastAsia="Arial" w:hAnsi="Arial"/>
                <w:sz w:val="13"/>
                <w:szCs w:val="13"/>
                <w:b w:val="1"/>
                <w:bCs w:val="1"/>
                <w:color w:val="auto"/>
              </w:rPr>
              <w:t>Change</w:t>
            </w:r>
          </w:p>
        </w:tc>
        <w:tc>
          <w:tcPr>
            <w:tcW w:w="11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4"/>
              </w:rPr>
              <w:t>Revenue</w:t>
            </w:r>
          </w:p>
        </w:tc>
        <w:tc>
          <w:tcPr>
            <w:tcW w:w="1200" w:type="dxa"/>
            <w:vAlign w:val="bottom"/>
          </w:tcPr>
          <w:p>
            <w:pPr>
              <w:jc w:val="center"/>
              <w:ind w:right="144"/>
              <w:spacing w:after="0"/>
              <w:rPr>
                <w:sz w:val="20"/>
                <w:szCs w:val="20"/>
                <w:color w:val="auto"/>
              </w:rPr>
            </w:pPr>
            <w:r>
              <w:rPr>
                <w:rFonts w:ascii="Arial" w:cs="Arial" w:eastAsia="Arial" w:hAnsi="Arial"/>
                <w:sz w:val="13"/>
                <w:szCs w:val="13"/>
                <w:b w:val="1"/>
                <w:bCs w:val="1"/>
                <w:color w:val="auto"/>
                <w:w w:val="84"/>
              </w:rPr>
              <w:t>Revenue</w:t>
            </w:r>
          </w:p>
        </w:tc>
        <w:tc>
          <w:tcPr>
            <w:tcW w:w="0" w:type="dxa"/>
            <w:vAlign w:val="bottom"/>
          </w:tcPr>
          <w:p>
            <w:pPr>
              <w:spacing w:after="0"/>
              <w:rPr>
                <w:sz w:val="1"/>
                <w:szCs w:val="1"/>
                <w:color w:val="auto"/>
              </w:rPr>
            </w:pPr>
          </w:p>
        </w:tc>
      </w:tr>
      <w:tr>
        <w:trPr>
          <w:trHeight w:val="192"/>
        </w:trPr>
        <w:tc>
          <w:tcPr>
            <w:tcW w:w="4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Product revenue</w:t>
            </w:r>
          </w:p>
        </w:tc>
        <w:tc>
          <w:tcPr>
            <w:tcW w:w="8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113,352</w:t>
            </w: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56,261</w:t>
            </w:r>
          </w:p>
        </w:tc>
        <w:tc>
          <w:tcPr>
            <w:tcW w:w="120" w:type="dxa"/>
            <w:vAlign w:val="bottom"/>
            <w:tcBorders>
              <w:top w:val="single" w:sz="8" w:color="CFF0FC"/>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101.5%</w:t>
            </w:r>
          </w:p>
        </w:tc>
        <w:tc>
          <w:tcPr>
            <w:tcW w:w="1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Borders>
              <w:top w:val="single" w:sz="8" w:color="CFF0FC"/>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00"/>
        </w:trPr>
        <w:tc>
          <w:tcPr>
            <w:tcW w:w="41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Service revenue</w:t>
            </w:r>
          </w:p>
        </w:tc>
        <w:tc>
          <w:tcPr>
            <w:tcW w:w="8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37,489</w:t>
            </w: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9,493</w:t>
            </w:r>
          </w:p>
        </w:tc>
        <w:tc>
          <w:tcPr>
            <w:tcW w:w="12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294.9%</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92"/>
        </w:trPr>
        <w:tc>
          <w:tcPr>
            <w:tcW w:w="4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revenue</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150,841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65,754</w:t>
            </w: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0"/>
        </w:trPr>
        <w:tc>
          <w:tcPr>
            <w:tcW w:w="4140" w:type="dxa"/>
            <w:vAlign w:val="bottom"/>
            <w:gridSpan w:val="2"/>
          </w:tcPr>
          <w:p>
            <w:pPr>
              <w:spacing w:after="0"/>
              <w:rPr>
                <w:sz w:val="20"/>
                <w:szCs w:val="20"/>
                <w:color w:val="auto"/>
              </w:rPr>
            </w:pPr>
            <w:r>
              <w:rPr>
                <w:rFonts w:ascii="Arial" w:cs="Arial" w:eastAsia="Arial" w:hAnsi="Arial"/>
                <w:sz w:val="16"/>
                <w:szCs w:val="16"/>
                <w:color w:val="auto"/>
              </w:rPr>
              <w:t>Cost of product revenue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83,588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44,111</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00"/>
        </w:trPr>
        <w:tc>
          <w:tcPr>
            <w:tcW w:w="4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Cost of service revenue</w:t>
            </w:r>
          </w:p>
        </w:tc>
        <w:tc>
          <w:tcPr>
            <w:tcW w:w="8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30,130</w:t>
            </w: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7,091</w:t>
            </w:r>
          </w:p>
        </w:tc>
        <w:tc>
          <w:tcPr>
            <w:tcW w:w="120" w:type="dxa"/>
            <w:vAlign w:val="bottom"/>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324.9%</w:t>
            </w:r>
          </w:p>
        </w:tc>
        <w:tc>
          <w:tcPr>
            <w:tcW w:w="1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2"/>
        </w:trPr>
        <w:tc>
          <w:tcPr>
            <w:tcW w:w="41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Total cost of revenue</w:t>
            </w:r>
          </w:p>
        </w:tc>
        <w:tc>
          <w:tcPr>
            <w:tcW w:w="88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113,718</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51,202</w:t>
            </w:r>
          </w:p>
        </w:tc>
        <w:tc>
          <w:tcPr>
            <w:tcW w:w="120" w:type="dxa"/>
            <w:vAlign w:val="bottom"/>
            <w:tcBorders>
              <w:bottom w:val="single" w:sz="8" w:color="CFF0FC"/>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w:t>
            </w:r>
          </w:p>
        </w:tc>
        <w:tc>
          <w:tcPr>
            <w:tcW w:w="1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FF0FC"/>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192"/>
        </w:trPr>
        <w:tc>
          <w:tcPr>
            <w:tcW w:w="4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Gross profit</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37,123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14,552</w:t>
            </w: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155.1%</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00"/>
        </w:trPr>
        <w:tc>
          <w:tcPr>
            <w:tcW w:w="4140" w:type="dxa"/>
            <w:vAlign w:val="bottom"/>
            <w:gridSpan w:val="2"/>
          </w:tcPr>
          <w:p>
            <w:pPr>
              <w:spacing w:after="0"/>
              <w:rPr>
                <w:sz w:val="20"/>
                <w:szCs w:val="20"/>
                <w:color w:val="auto"/>
              </w:rPr>
            </w:pPr>
            <w:r>
              <w:rPr>
                <w:rFonts w:ascii="Arial" w:cs="Arial" w:eastAsia="Arial" w:hAnsi="Arial"/>
                <w:sz w:val="16"/>
                <w:szCs w:val="16"/>
                <w:color w:val="auto"/>
              </w:rPr>
              <w:t>General and administrative expenses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11,184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10,231</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0"/>
        </w:trPr>
        <w:tc>
          <w:tcPr>
            <w:tcW w:w="4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Sales and marketing expenses</w:t>
            </w: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11,113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9,104</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0"/>
        </w:trPr>
        <w:tc>
          <w:tcPr>
            <w:tcW w:w="41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Research and development expenses</w:t>
            </w:r>
          </w:p>
        </w:tc>
        <w:tc>
          <w:tcPr>
            <w:tcW w:w="8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1,716</w:t>
            </w: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1,374</w:t>
            </w:r>
          </w:p>
        </w:tc>
        <w:tc>
          <w:tcPr>
            <w:tcW w:w="12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2"/>
        </w:trPr>
        <w:tc>
          <w:tcPr>
            <w:tcW w:w="4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(loss) from operations</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13,110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(6,157)</w:t>
            </w: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23"/>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0"/>
        </w:trPr>
        <w:tc>
          <w:tcPr>
            <w:tcW w:w="4140" w:type="dxa"/>
            <w:vAlign w:val="bottom"/>
            <w:gridSpan w:val="2"/>
          </w:tcPr>
          <w:p>
            <w:pPr>
              <w:spacing w:after="0"/>
              <w:rPr>
                <w:sz w:val="20"/>
                <w:szCs w:val="20"/>
                <w:color w:val="auto"/>
              </w:rPr>
            </w:pPr>
            <w:r>
              <w:rPr>
                <w:rFonts w:ascii="Arial" w:cs="Arial" w:eastAsia="Arial" w:hAnsi="Arial"/>
                <w:sz w:val="16"/>
                <w:szCs w:val="16"/>
                <w:color w:val="auto"/>
              </w:rPr>
              <w:t>Other income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0"/>
        </w:trPr>
        <w:tc>
          <w:tcPr>
            <w:tcW w:w="4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0"/>
        </w:trPr>
        <w:tc>
          <w:tcPr>
            <w:tcW w:w="4140" w:type="dxa"/>
            <w:vAlign w:val="bottom"/>
            <w:gridSpan w:val="2"/>
          </w:tcPr>
          <w:p>
            <w:pPr>
              <w:spacing w:after="0"/>
              <w:rPr>
                <w:sz w:val="20"/>
                <w:szCs w:val="20"/>
                <w:color w:val="auto"/>
              </w:rPr>
            </w:pPr>
            <w:r>
              <w:rPr>
                <w:rFonts w:ascii="Arial" w:cs="Arial" w:eastAsia="Arial" w:hAnsi="Arial"/>
                <w:sz w:val="16"/>
                <w:szCs w:val="16"/>
                <w:color w:val="auto"/>
              </w:rPr>
              <w:t>Amortization of debt issue costs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0"/>
        </w:trPr>
        <w:tc>
          <w:tcPr>
            <w:tcW w:w="4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8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(54.5)%</w:t>
            </w:r>
          </w:p>
        </w:tc>
        <w:tc>
          <w:tcPr>
            <w:tcW w:w="1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2"/>
        </w:trPr>
        <w:tc>
          <w:tcPr>
            <w:tcW w:w="4140" w:type="dxa"/>
            <w:vAlign w:val="bottom"/>
            <w:gridSpan w:val="2"/>
          </w:tcPr>
          <w:p>
            <w:pPr>
              <w:spacing w:after="0"/>
              <w:rPr>
                <w:sz w:val="20"/>
                <w:szCs w:val="20"/>
                <w:color w:val="auto"/>
              </w:rPr>
            </w:pPr>
            <w:r>
              <w:rPr>
                <w:rFonts w:ascii="Arial" w:cs="Arial" w:eastAsia="Arial" w:hAnsi="Arial"/>
                <w:sz w:val="16"/>
                <w:szCs w:val="16"/>
                <w:color w:val="auto"/>
              </w:rPr>
              <w:t>Income (loss) before income tax</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12,621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(6,660)</w:t>
            </w:r>
          </w:p>
        </w:tc>
        <w:tc>
          <w:tcPr>
            <w:tcW w:w="120" w:type="dxa"/>
            <w:vAlign w:val="bottom"/>
          </w:tcPr>
          <w:p>
            <w:pPr>
              <w:spacing w:after="0"/>
              <w:rPr>
                <w:sz w:val="16"/>
                <w:szCs w:val="16"/>
                <w:color w:val="auto"/>
              </w:rPr>
            </w:pPr>
          </w:p>
        </w:tc>
        <w:tc>
          <w:tcPr>
            <w:tcW w:w="1180" w:type="dxa"/>
            <w:vAlign w:val="bottom"/>
          </w:tcPr>
          <w:p>
            <w:pPr>
              <w:jc w:val="right"/>
              <w:ind w:right="123"/>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0"/>
        </w:trPr>
        <w:tc>
          <w:tcPr>
            <w:tcW w:w="4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tax expense (benefit)</w:t>
            </w: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ind w:right="480"/>
              <w:spacing w:after="0"/>
              <w:rPr>
                <w:sz w:val="20"/>
                <w:szCs w:val="20"/>
                <w:color w:val="auto"/>
              </w:rPr>
            </w:pPr>
            <w:r>
              <w:rPr>
                <w:rFonts w:ascii="Arial" w:cs="Arial" w:eastAsia="Arial" w:hAnsi="Arial"/>
                <w:sz w:val="16"/>
                <w:szCs w:val="16"/>
                <w:color w:val="auto"/>
              </w:rPr>
              <w:t>NM</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2"/>
        </w:trPr>
        <w:tc>
          <w:tcPr>
            <w:tcW w:w="4140" w:type="dxa"/>
            <w:vAlign w:val="bottom"/>
            <w:gridSpan w:val="2"/>
          </w:tcPr>
          <w:p>
            <w:pPr>
              <w:spacing w:after="0"/>
              <w:rPr>
                <w:sz w:val="20"/>
                <w:szCs w:val="20"/>
                <w:color w:val="auto"/>
              </w:rPr>
            </w:pPr>
            <w:r>
              <w:rPr>
                <w:rFonts w:ascii="Arial" w:cs="Arial" w:eastAsia="Arial" w:hAnsi="Arial"/>
                <w:sz w:val="16"/>
                <w:szCs w:val="16"/>
                <w:color w:val="auto"/>
              </w:rPr>
              <w:t>Net income (loss) and comprehensive income (loss)</w:t>
            </w:r>
          </w:p>
        </w:tc>
        <w:tc>
          <w:tcPr>
            <w:tcW w:w="8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12,462</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(6,674)</w:t>
            </w:r>
          </w:p>
        </w:tc>
        <w:tc>
          <w:tcPr>
            <w:tcW w:w="1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6"/>
                <w:szCs w:val="16"/>
                <w:color w:val="auto"/>
              </w:rPr>
              <w:t>*</w:t>
            </w:r>
          </w:p>
        </w:tc>
        <w:tc>
          <w:tcPr>
            <w:tcW w:w="3780" w:type="dxa"/>
            <w:vAlign w:val="bottom"/>
            <w:vMerge w:val="restart"/>
          </w:tcPr>
          <w:p>
            <w:pPr>
              <w:ind w:left="280"/>
              <w:spacing w:after="0"/>
              <w:rPr>
                <w:sz w:val="20"/>
                <w:szCs w:val="20"/>
                <w:color w:val="auto"/>
              </w:rPr>
            </w:pPr>
            <w:r>
              <w:rPr>
                <w:rFonts w:ascii="Arial" w:cs="Arial" w:eastAsia="Arial" w:hAnsi="Arial"/>
                <w:sz w:val="16"/>
                <w:szCs w:val="16"/>
                <w:color w:val="auto"/>
              </w:rPr>
              <w:t>NM = Not Meaningful</w:t>
            </w: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360" w:type="dxa"/>
            <w:vAlign w:val="bottom"/>
            <w:vMerge w:val="continue"/>
          </w:tcPr>
          <w:p>
            <w:pPr>
              <w:spacing w:after="0"/>
              <w:rPr>
                <w:sz w:val="24"/>
                <w:szCs w:val="24"/>
                <w:color w:val="auto"/>
              </w:rPr>
            </w:pPr>
          </w:p>
        </w:tc>
        <w:tc>
          <w:tcPr>
            <w:tcW w:w="37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500"/>
        <w:spacing w:after="0" w:line="250"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increased by 101.5%, or $57.1 million, for fiscal 2020 versus fiscal 2019. This increase in product revenue was primarily a result of higher sales</w:t>
      </w:r>
      <w:r>
        <w:rPr>
          <w:rFonts w:ascii="Arial" w:cs="Arial" w:eastAsia="Arial" w:hAnsi="Arial"/>
          <w:sz w:val="16"/>
          <w:szCs w:val="16"/>
          <w:i w:val="1"/>
          <w:iCs w:val="1"/>
          <w:color w:val="auto"/>
        </w:rPr>
        <w:t xml:space="preserve"> </w:t>
      </w:r>
      <w:r>
        <w:rPr>
          <w:rFonts w:ascii="Arial" w:cs="Arial" w:eastAsia="Arial" w:hAnsi="Arial"/>
          <w:sz w:val="16"/>
          <w:szCs w:val="16"/>
          <w:color w:val="auto"/>
        </w:rPr>
        <w:t>volume through our national account channel, and almost exclusively as a result of a major retrofit project for multiple locations for one of our national account customers. Service revenue increased by 294.9%, or $28.0 million, due to higher sales volume through our national account channel for the major retrofit project for one customer and the timing of those project installations. In fiscal 2020, sales to this one national account customer represented 74.1% of our total revenue. Total revenue increased by 129.4%, or $85.1 million, due to the items discussed above.</w:t>
      </w:r>
    </w:p>
    <w:p>
      <w:pPr>
        <w:spacing w:after="0" w:line="171" w:lineRule="exact"/>
        <w:rPr>
          <w:sz w:val="20"/>
          <w:szCs w:val="20"/>
          <w:color w:val="auto"/>
        </w:rPr>
      </w:pPr>
    </w:p>
    <w:p>
      <w:pPr>
        <w:jc w:val="both"/>
        <w:ind w:right="20" w:firstLine="500"/>
        <w:spacing w:after="0" w:line="342" w:lineRule="auto"/>
        <w:rPr>
          <w:sz w:val="20"/>
          <w:szCs w:val="20"/>
          <w:color w:val="auto"/>
        </w:rPr>
      </w:pPr>
      <w:r>
        <w:rPr>
          <w:rFonts w:ascii="Arial" w:cs="Arial" w:eastAsia="Arial" w:hAnsi="Arial"/>
          <w:sz w:val="13"/>
          <w:szCs w:val="13"/>
          <w:i w:val="1"/>
          <w:iCs w:val="1"/>
          <w:color w:val="auto"/>
        </w:rPr>
        <w:t xml:space="preserve">Cost of Revenue and Gross Margin. </w:t>
      </w:r>
      <w:r>
        <w:rPr>
          <w:rFonts w:ascii="Arial" w:cs="Arial" w:eastAsia="Arial" w:hAnsi="Arial"/>
          <w:sz w:val="13"/>
          <w:szCs w:val="13"/>
          <w:color w:val="auto"/>
        </w:rPr>
        <w:t>Cost of product revenue increased by 89.5%, or $39.5 million, in fiscal 2020 versus the comparable period in fiscal 2019 primarily due</w:t>
      </w:r>
      <w:r>
        <w:rPr>
          <w:rFonts w:ascii="Arial" w:cs="Arial" w:eastAsia="Arial" w:hAnsi="Arial"/>
          <w:sz w:val="13"/>
          <w:szCs w:val="13"/>
          <w:i w:val="1"/>
          <w:iCs w:val="1"/>
          <w:color w:val="auto"/>
        </w:rPr>
        <w:t xml:space="preserve"> </w:t>
      </w:r>
      <w:r>
        <w:rPr>
          <w:rFonts w:ascii="Arial" w:cs="Arial" w:eastAsia="Arial" w:hAnsi="Arial"/>
          <w:sz w:val="13"/>
          <w:szCs w:val="13"/>
          <w:color w:val="auto"/>
        </w:rPr>
        <w:t>to the corresponding increase in sales. Cost of service revenue increased by 324.9%, or $23.0 million, in fiscal 2020 versus fiscal 2019 primarily due to the corresponding increase in service revenue. Gross margin increased from 22.1% of revenue in fiscal 2019 to 24.6% in fiscal 2020, due to our higher sales levels covering fixed costs.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99" w:right="319" w:bottom="1440" w:gutter="0" w:footer="0" w:header="0"/>
        </w:sectPr>
      </w:pPr>
    </w:p>
    <w:bookmarkStart w:id="35" w:name="page36"/>
    <w:bookmarkEnd w:id="35"/>
    <w:p>
      <w:pPr>
        <w:ind w:left="500"/>
        <w:spacing w:after="0"/>
        <w:rPr>
          <w:sz w:val="20"/>
          <w:szCs w:val="20"/>
          <w:color w:val="auto"/>
        </w:rPr>
      </w:pPr>
      <w:r>
        <w:rPr>
          <w:rFonts w:ascii="Arial" w:cs="Arial" w:eastAsia="Arial" w:hAnsi="Arial"/>
          <w:sz w:val="16"/>
          <w:szCs w:val="16"/>
          <w:i w:val="1"/>
          <w:iCs w:val="1"/>
          <w:color w:val="auto"/>
        </w:rPr>
        <w:t>Operating Expenses</w:t>
      </w:r>
    </w:p>
    <w:p>
      <w:pPr>
        <w:spacing w:after="0" w:line="98" w:lineRule="exact"/>
        <w:rPr>
          <w:sz w:val="20"/>
          <w:szCs w:val="20"/>
          <w:color w:val="auto"/>
        </w:rPr>
      </w:pPr>
    </w:p>
    <w:p>
      <w:pPr>
        <w:ind w:firstLine="500"/>
        <w:spacing w:after="0" w:line="266"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9.3%, or $1.0 million, in fiscal 2020 compared to fiscal 2019, primarily due to higher bonus</w:t>
      </w:r>
      <w:r>
        <w:rPr>
          <w:rFonts w:ascii="Arial" w:cs="Arial" w:eastAsia="Arial" w:hAnsi="Arial"/>
          <w:sz w:val="16"/>
          <w:szCs w:val="16"/>
          <w:i w:val="1"/>
          <w:iCs w:val="1"/>
          <w:color w:val="auto"/>
        </w:rPr>
        <w:t xml:space="preserve"> </w:t>
      </w:r>
      <w:r>
        <w:rPr>
          <w:rFonts w:ascii="Arial" w:cs="Arial" w:eastAsia="Arial" w:hAnsi="Arial"/>
          <w:sz w:val="16"/>
          <w:szCs w:val="16"/>
          <w:color w:val="auto"/>
        </w:rPr>
        <w:t>and employment costs.</w:t>
      </w:r>
    </w:p>
    <w:p>
      <w:pPr>
        <w:spacing w:after="0" w:line="157" w:lineRule="exact"/>
        <w:rPr>
          <w:sz w:val="20"/>
          <w:szCs w:val="20"/>
          <w:color w:val="auto"/>
        </w:rPr>
      </w:pPr>
    </w:p>
    <w:p>
      <w:pPr>
        <w:ind w:right="20" w:firstLine="500"/>
        <w:spacing w:after="0" w:line="266"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Our sales and marketing expenses increased 22.1%, or $2.0 million, in fiscal 2020 compared to fiscal 2019. The increase year over year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an increase in commission expense on higher sales and higher employment costs.</w:t>
      </w:r>
    </w:p>
    <w:p>
      <w:pPr>
        <w:spacing w:after="0" w:line="157" w:lineRule="exact"/>
        <w:rPr>
          <w:sz w:val="20"/>
          <w:szCs w:val="20"/>
          <w:color w:val="auto"/>
        </w:rPr>
      </w:pPr>
    </w:p>
    <w:p>
      <w:pPr>
        <w:ind w:firstLine="500"/>
        <w:spacing w:after="0" w:line="26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by 24.9%, or $0.3 million in fiscal 2020 compared to fiscal 2019 primarily due 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costs.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in fiscal 2020 and fiscal 2019 represented product royalties received from licensing agreements for our patents.</w:t>
      </w:r>
    </w:p>
    <w:p>
      <w:pPr>
        <w:spacing w:after="0" w:line="193" w:lineRule="exact"/>
        <w:rPr>
          <w:sz w:val="20"/>
          <w:szCs w:val="20"/>
          <w:color w:val="auto"/>
        </w:rPr>
      </w:pPr>
    </w:p>
    <w:p>
      <w:pPr>
        <w:ind w:right="20" w:firstLine="500"/>
        <w:spacing w:after="0" w:line="266"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 fiscal 2020 decreased by 43.4%, or $0.2 million, from fiscal 2019. The decrease in interest expense was due to fewer sales of</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w:t>
      </w:r>
    </w:p>
    <w:p>
      <w:pPr>
        <w:spacing w:after="0" w:line="157" w:lineRule="exact"/>
        <w:rPr>
          <w:sz w:val="20"/>
          <w:szCs w:val="20"/>
          <w:color w:val="auto"/>
        </w:rPr>
      </w:pPr>
    </w:p>
    <w:p>
      <w:pPr>
        <w:ind w:right="20" w:firstLine="500"/>
        <w:spacing w:after="0" w:line="266" w:lineRule="auto"/>
        <w:rPr>
          <w:sz w:val="20"/>
          <w:szCs w:val="20"/>
          <w:color w:val="auto"/>
        </w:rPr>
      </w:pPr>
      <w:r>
        <w:rPr>
          <w:rFonts w:ascii="Arial" w:cs="Arial" w:eastAsia="Arial" w:hAnsi="Arial"/>
          <w:sz w:val="16"/>
          <w:szCs w:val="16"/>
          <w:i w:val="1"/>
          <w:iCs w:val="1"/>
          <w:color w:val="auto"/>
        </w:rPr>
        <w:t xml:space="preserve">Amortization of debt issue costs. </w:t>
      </w:r>
      <w:r>
        <w:rPr>
          <w:rFonts w:ascii="Arial" w:cs="Arial" w:eastAsia="Arial" w:hAnsi="Arial"/>
          <w:sz w:val="16"/>
          <w:szCs w:val="16"/>
          <w:color w:val="auto"/>
        </w:rPr>
        <w:t>Amortization of debt issue costs in fiscal 2020 increased 140.6%, or $0.1 million from fiscal 2019. The increase was due to the timing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of our credit agreement.</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in fiscal 2020 remained relatively flat compared to fiscal 2019. Interest income relates to interest earned on sweep bank accounts.</w:t>
      </w:r>
    </w:p>
    <w:p>
      <w:pPr>
        <w:spacing w:after="0" w:line="227" w:lineRule="exact"/>
        <w:rPr>
          <w:sz w:val="20"/>
          <w:szCs w:val="20"/>
          <w:color w:val="auto"/>
        </w:rPr>
      </w:pPr>
    </w:p>
    <w:p>
      <w:pPr>
        <w:ind w:right="20" w:firstLine="500"/>
        <w:spacing w:after="0" w:line="26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 expense in fiscal 2020 increased by 1,000.0%, or $0.1 million, from fiscal 2019. Both periods include income tax expense for state tax</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The increase in expense was driven by fiscal 2020 book income.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Results of Operations: Fiscal 2019 versus Fiscal 2018</w:t>
      </w:r>
    </w:p>
    <w:p>
      <w:pPr>
        <w:spacing w:after="0" w:line="102"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ind w:left="840"/>
              <w:spacing w:after="0"/>
              <w:rPr>
                <w:sz w:val="20"/>
                <w:szCs w:val="20"/>
                <w:color w:val="auto"/>
              </w:rPr>
            </w:pPr>
            <w:r>
              <w:rPr>
                <w:rFonts w:ascii="Arial" w:cs="Arial" w:eastAsia="Arial" w:hAnsi="Arial"/>
                <w:sz w:val="13"/>
                <w:szCs w:val="13"/>
                <w:b w:val="1"/>
                <w:bCs w:val="1"/>
                <w:color w:val="auto"/>
                <w:w w:val="93"/>
              </w:rPr>
              <w:t>Fiscal Year Ended March 31,</w:t>
            </w: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03"/>
              <w:spacing w:after="0" w:line="133"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04"/>
              <w:spacing w:after="0" w:line="133"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1"/>
                <w:szCs w:val="11"/>
                <w:color w:val="auto"/>
              </w:rPr>
            </w:pPr>
          </w:p>
        </w:tc>
        <w:tc>
          <w:tcPr>
            <w:tcW w:w="1180" w:type="dxa"/>
            <w:vAlign w:val="bottom"/>
            <w:vMerge w:val="restart"/>
          </w:tcPr>
          <w:p>
            <w:pPr>
              <w:jc w:val="right"/>
              <w:ind w:right="563"/>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284"/>
              <w:spacing w:after="0" w:line="133" w:lineRule="exact"/>
              <w:rPr>
                <w:sz w:val="20"/>
                <w:szCs w:val="20"/>
                <w:color w:val="auto"/>
              </w:rPr>
            </w:pPr>
            <w:r>
              <w:rPr>
                <w:rFonts w:ascii="Arial" w:cs="Arial" w:eastAsia="Arial" w:hAnsi="Arial"/>
                <w:sz w:val="13"/>
                <w:szCs w:val="13"/>
                <w:b w:val="1"/>
                <w:bCs w:val="1"/>
                <w:color w:val="auto"/>
                <w:w w:val="89"/>
              </w:rPr>
              <w:t>2019</w:t>
            </w:r>
          </w:p>
        </w:tc>
        <w:tc>
          <w:tcPr>
            <w:tcW w:w="120" w:type="dxa"/>
            <w:vAlign w:val="bottom"/>
          </w:tcPr>
          <w:p>
            <w:pPr>
              <w:spacing w:after="0"/>
              <w:rPr>
                <w:sz w:val="11"/>
                <w:szCs w:val="11"/>
                <w:color w:val="auto"/>
              </w:rPr>
            </w:pPr>
          </w:p>
        </w:tc>
        <w:tc>
          <w:tcPr>
            <w:tcW w:w="1200" w:type="dxa"/>
            <w:vAlign w:val="bottom"/>
            <w:tcBorders>
              <w:bottom w:val="single" w:sz="8" w:color="auto"/>
            </w:tcBorders>
          </w:tcPr>
          <w:p>
            <w:pPr>
              <w:jc w:val="center"/>
              <w:ind w:right="144"/>
              <w:spacing w:after="0" w:line="133" w:lineRule="exact"/>
              <w:rPr>
                <w:sz w:val="20"/>
                <w:szCs w:val="20"/>
                <w:color w:val="auto"/>
              </w:rPr>
            </w:pPr>
            <w:r>
              <w:rPr>
                <w:rFonts w:ascii="Arial" w:cs="Arial" w:eastAsia="Arial" w:hAnsi="Arial"/>
                <w:sz w:val="13"/>
                <w:szCs w:val="13"/>
                <w:b w:val="1"/>
                <w:bCs w:val="1"/>
                <w:color w:val="auto"/>
                <w:w w:val="89"/>
              </w:rPr>
              <w:t>2018</w:t>
            </w:r>
          </w:p>
        </w:tc>
        <w:tc>
          <w:tcPr>
            <w:tcW w:w="0" w:type="dxa"/>
            <w:vAlign w:val="bottom"/>
          </w:tcPr>
          <w:p>
            <w:pPr>
              <w:spacing w:after="0"/>
              <w:rPr>
                <w:sz w:val="1"/>
                <w:szCs w:val="1"/>
                <w:color w:val="auto"/>
              </w:rPr>
            </w:pPr>
          </w:p>
        </w:tc>
      </w:tr>
      <w:tr>
        <w:trPr>
          <w:trHeight w:val="113"/>
        </w:trPr>
        <w:tc>
          <w:tcPr>
            <w:tcW w:w="36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center"/>
              <w:ind w:right="284"/>
              <w:spacing w:after="0" w:line="113" w:lineRule="exact"/>
              <w:rPr>
                <w:sz w:val="20"/>
                <w:szCs w:val="20"/>
                <w:color w:val="auto"/>
              </w:rPr>
            </w:pPr>
            <w:r>
              <w:rPr>
                <w:rFonts w:ascii="Arial" w:cs="Arial" w:eastAsia="Arial" w:hAnsi="Arial"/>
                <w:sz w:val="13"/>
                <w:szCs w:val="13"/>
                <w:b w:val="1"/>
                <w:bCs w:val="1"/>
                <w:color w:val="auto"/>
                <w:w w:val="94"/>
              </w:rPr>
              <w:t>% of</w:t>
            </w:r>
          </w:p>
        </w:tc>
        <w:tc>
          <w:tcPr>
            <w:tcW w:w="120" w:type="dxa"/>
            <w:vAlign w:val="bottom"/>
          </w:tcPr>
          <w:p>
            <w:pPr>
              <w:spacing w:after="0"/>
              <w:rPr>
                <w:sz w:val="9"/>
                <w:szCs w:val="9"/>
                <w:color w:val="auto"/>
              </w:rPr>
            </w:pPr>
          </w:p>
        </w:tc>
        <w:tc>
          <w:tcPr>
            <w:tcW w:w="1200" w:type="dxa"/>
            <w:vAlign w:val="bottom"/>
          </w:tcPr>
          <w:p>
            <w:pPr>
              <w:jc w:val="center"/>
              <w:ind w:right="144"/>
              <w:spacing w:after="0" w:line="113" w:lineRule="exact"/>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303"/>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460" w:type="dxa"/>
            <w:vAlign w:val="bottom"/>
            <w:gridSpan w:val="3"/>
          </w:tcPr>
          <w:p>
            <w:pPr>
              <w:ind w:left="280"/>
              <w:spacing w:after="0"/>
              <w:rPr>
                <w:sz w:val="20"/>
                <w:szCs w:val="20"/>
                <w:color w:val="auto"/>
              </w:rPr>
            </w:pPr>
            <w:r>
              <w:rPr>
                <w:rFonts w:ascii="Arial" w:cs="Arial" w:eastAsia="Arial" w:hAnsi="Arial"/>
                <w:sz w:val="13"/>
                <w:szCs w:val="13"/>
                <w:b w:val="1"/>
                <w:bCs w:val="1"/>
                <w:color w:val="auto"/>
              </w:rPr>
              <w:t>Change</w:t>
            </w:r>
          </w:p>
        </w:tc>
        <w:tc>
          <w:tcPr>
            <w:tcW w:w="11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4"/>
              </w:rPr>
              <w:t>Revenue</w:t>
            </w:r>
          </w:p>
        </w:tc>
        <w:tc>
          <w:tcPr>
            <w:tcW w:w="1200" w:type="dxa"/>
            <w:vAlign w:val="bottom"/>
          </w:tcPr>
          <w:p>
            <w:pPr>
              <w:jc w:val="center"/>
              <w:ind w:right="144"/>
              <w:spacing w:after="0"/>
              <w:rPr>
                <w:sz w:val="20"/>
                <w:szCs w:val="20"/>
                <w:color w:val="auto"/>
              </w:rPr>
            </w:pPr>
            <w:r>
              <w:rPr>
                <w:rFonts w:ascii="Arial" w:cs="Arial" w:eastAsia="Arial" w:hAnsi="Arial"/>
                <w:sz w:val="13"/>
                <w:szCs w:val="13"/>
                <w:b w:val="1"/>
                <w:bCs w:val="1"/>
                <w:color w:val="auto"/>
                <w:w w:val="84"/>
              </w:rPr>
              <w:t>Revenue</w:t>
            </w:r>
          </w:p>
        </w:tc>
        <w:tc>
          <w:tcPr>
            <w:tcW w:w="0" w:type="dxa"/>
            <w:vAlign w:val="bottom"/>
          </w:tcPr>
          <w:p>
            <w:pPr>
              <w:spacing w:after="0"/>
              <w:rPr>
                <w:sz w:val="1"/>
                <w:szCs w:val="1"/>
                <w:color w:val="auto"/>
              </w:rPr>
            </w:pPr>
          </w:p>
        </w:tc>
      </w:tr>
      <w:tr>
        <w:trPr>
          <w:trHeight w:val="192"/>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Product revenue</w:t>
            </w:r>
          </w:p>
        </w:tc>
        <w:tc>
          <w:tcPr>
            <w:tcW w:w="13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56,261</w:t>
            </w: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55,595</w:t>
            </w:r>
          </w:p>
        </w:tc>
        <w:tc>
          <w:tcPr>
            <w:tcW w:w="120" w:type="dxa"/>
            <w:vAlign w:val="bottom"/>
            <w:tcBorders>
              <w:top w:val="single" w:sz="8" w:color="CFF0FC"/>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120" w:type="dxa"/>
            <w:vAlign w:val="bottom"/>
            <w:tcBorders>
              <w:top w:val="single" w:sz="8" w:color="CFF0FC"/>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00"/>
        </w:trPr>
        <w:tc>
          <w:tcPr>
            <w:tcW w:w="3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revenue</w:t>
            </w:r>
          </w:p>
        </w:tc>
        <w:tc>
          <w:tcPr>
            <w:tcW w:w="13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9,493</w:t>
            </w: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4,705</w:t>
            </w:r>
          </w:p>
        </w:tc>
        <w:tc>
          <w:tcPr>
            <w:tcW w:w="12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92"/>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Total revenue</w:t>
            </w: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65,754</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60,300</w:t>
            </w: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0"/>
        </w:trPr>
        <w:tc>
          <w:tcPr>
            <w:tcW w:w="366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44,111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41,415</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00"/>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Cost of service revenue</w:t>
            </w:r>
          </w:p>
        </w:tc>
        <w:tc>
          <w:tcPr>
            <w:tcW w:w="136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7,091</w:t>
            </w: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4,213</w:t>
            </w:r>
          </w:p>
        </w:tc>
        <w:tc>
          <w:tcPr>
            <w:tcW w:w="120" w:type="dxa"/>
            <w:vAlign w:val="bottom"/>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68.3%</w:t>
            </w:r>
          </w:p>
        </w:tc>
        <w:tc>
          <w:tcPr>
            <w:tcW w:w="1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cost of revenue</w:t>
            </w:r>
          </w:p>
        </w:tc>
        <w:tc>
          <w:tcPr>
            <w:tcW w:w="13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51,202</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45,628</w:t>
            </w:r>
          </w:p>
        </w:tc>
        <w:tc>
          <w:tcPr>
            <w:tcW w:w="120" w:type="dxa"/>
            <w:vAlign w:val="bottom"/>
            <w:tcBorders>
              <w:bottom w:val="single" w:sz="8" w:color="CFF0FC"/>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120" w:type="dxa"/>
            <w:vAlign w:val="bottom"/>
            <w:tcBorders>
              <w:bottom w:val="single" w:sz="8" w:color="CFF0FC"/>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192"/>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14,552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14,672</w:t>
            </w: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0"/>
        </w:trPr>
        <w:tc>
          <w:tcPr>
            <w:tcW w:w="36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10,231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13,159</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00"/>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Impairment of assets</w:t>
            </w: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710</w:t>
            </w:r>
          </w:p>
        </w:tc>
        <w:tc>
          <w:tcPr>
            <w:tcW w:w="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ind w:left="720"/>
              <w:spacing w:after="0"/>
              <w:rPr>
                <w:sz w:val="20"/>
                <w:szCs w:val="20"/>
                <w:color w:val="auto"/>
              </w:rPr>
            </w:pPr>
            <w:r>
              <w:rPr>
                <w:rFonts w:ascii="Arial" w:cs="Arial" w:eastAsia="Arial" w:hAnsi="Arial"/>
                <w:sz w:val="16"/>
                <w:szCs w:val="16"/>
                <w:color w:val="auto"/>
              </w:rPr>
              <w:t>NM</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0"/>
        </w:trPr>
        <w:tc>
          <w:tcPr>
            <w:tcW w:w="366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9,104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11,879</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0"/>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36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1,374</w:t>
            </w: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1,905</w:t>
            </w:r>
          </w:p>
        </w:tc>
        <w:tc>
          <w:tcPr>
            <w:tcW w:w="120" w:type="dxa"/>
            <w:vAlign w:val="bottom"/>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20"/>
                <w:szCs w:val="20"/>
                <w:color w:val="auto"/>
              </w:rPr>
            </w:pPr>
            <w:r>
              <w:rPr>
                <w:rFonts w:ascii="Arial" w:cs="Arial" w:eastAsia="Arial" w:hAnsi="Arial"/>
                <w:sz w:val="16"/>
                <w:szCs w:val="16"/>
                <w:color w:val="auto"/>
              </w:rPr>
              <w:t>Loss from operations</w:t>
            </w: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(12,981)</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0"/>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Other income</w:t>
            </w: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0"/>
        </w:trPr>
        <w:tc>
          <w:tcPr>
            <w:tcW w:w="3660" w:type="dxa"/>
            <w:vAlign w:val="bottom"/>
          </w:tcPr>
          <w:p>
            <w:pPr>
              <w:spacing w:after="0"/>
              <w:rPr>
                <w:sz w:val="20"/>
                <w:szCs w:val="20"/>
                <w:color w:val="auto"/>
              </w:rPr>
            </w:pPr>
            <w:r>
              <w:rPr>
                <w:rFonts w:ascii="Arial" w:cs="Arial" w:eastAsia="Arial" w:hAnsi="Arial"/>
                <w:sz w:val="16"/>
                <w:szCs w:val="16"/>
                <w:color w:val="auto"/>
              </w:rPr>
              <w:t>Interest expense</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0"/>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debt issue costs</w:t>
            </w: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0"/>
        </w:trPr>
        <w:tc>
          <w:tcPr>
            <w:tcW w:w="3660" w:type="dxa"/>
            <w:vAlign w:val="bottom"/>
          </w:tcPr>
          <w:p>
            <w:pPr>
              <w:spacing w:after="0"/>
              <w:rPr>
                <w:sz w:val="20"/>
                <w:szCs w:val="20"/>
                <w:color w:val="auto"/>
              </w:rPr>
            </w:pPr>
            <w:r>
              <w:rPr>
                <w:rFonts w:ascii="Arial" w:cs="Arial" w:eastAsia="Arial" w:hAnsi="Arial"/>
                <w:sz w:val="16"/>
                <w:szCs w:val="16"/>
                <w:color w:val="auto"/>
              </w:rPr>
              <w:t>Interest income</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Loss before income tax</w:t>
            </w:r>
          </w:p>
        </w:tc>
        <w:tc>
          <w:tcPr>
            <w:tcW w:w="13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(6,660)</w:t>
            </w: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(13,143)</w:t>
            </w:r>
          </w:p>
        </w:tc>
        <w:tc>
          <w:tcPr>
            <w:tcW w:w="120" w:type="dxa"/>
            <w:vAlign w:val="bottom"/>
            <w:tcBorders>
              <w:top w:val="single" w:sz="8" w:color="CFF0FC"/>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top w:val="single" w:sz="8" w:color="CFF0FC"/>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00"/>
        </w:trPr>
        <w:tc>
          <w:tcPr>
            <w:tcW w:w="3660" w:type="dxa"/>
            <w:vAlign w:val="bottom"/>
          </w:tcPr>
          <w:p>
            <w:pPr>
              <w:spacing w:after="0"/>
              <w:rPr>
                <w:sz w:val="20"/>
                <w:szCs w:val="20"/>
                <w:color w:val="auto"/>
              </w:rPr>
            </w:pPr>
            <w:r>
              <w:rPr>
                <w:rFonts w:ascii="Arial" w:cs="Arial" w:eastAsia="Arial" w:hAnsi="Arial"/>
                <w:sz w:val="16"/>
                <w:szCs w:val="16"/>
                <w:color w:val="auto"/>
              </w:rPr>
              <w:t>Income tax benefit</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460" w:type="dxa"/>
            <w:vAlign w:val="bottom"/>
            <w:gridSpan w:val="3"/>
          </w:tcPr>
          <w:p>
            <w:pPr>
              <w:ind w:left="720"/>
              <w:spacing w:after="0"/>
              <w:rPr>
                <w:sz w:val="20"/>
                <w:szCs w:val="20"/>
                <w:color w:val="auto"/>
              </w:rPr>
            </w:pPr>
            <w:r>
              <w:rPr>
                <w:rFonts w:ascii="Arial" w:cs="Arial" w:eastAsia="Arial" w:hAnsi="Arial"/>
                <w:sz w:val="16"/>
                <w:szCs w:val="16"/>
                <w:color w:val="auto"/>
              </w:rPr>
              <w:t>NM</w:t>
            </w:r>
          </w:p>
        </w:tc>
        <w:tc>
          <w:tcPr>
            <w:tcW w:w="114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2"/>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and comprehensive loss</w:t>
            </w:r>
          </w:p>
        </w:tc>
        <w:tc>
          <w:tcPr>
            <w:tcW w:w="136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(6,674)</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(13,128)</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spacing w:after="0"/>
              <w:rPr>
                <w:sz w:val="16"/>
                <w:szCs w:val="16"/>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Product revenue increased by 1.2%, or $0.7 million, for fiscal 2019 versus fiscal 2018. The increase in product revenue was primarily a result of higher sales</w:t>
      </w:r>
      <w:r>
        <w:rPr>
          <w:rFonts w:ascii="Arial" w:cs="Arial" w:eastAsia="Arial" w:hAnsi="Arial"/>
          <w:sz w:val="15"/>
          <w:szCs w:val="15"/>
          <w:i w:val="1"/>
          <w:iCs w:val="1"/>
          <w:color w:val="auto"/>
        </w:rPr>
        <w:t xml:space="preserve"> </w:t>
      </w:r>
      <w:r>
        <w:rPr>
          <w:rFonts w:ascii="Arial" w:cs="Arial" w:eastAsia="Arial" w:hAnsi="Arial"/>
          <w:sz w:val="15"/>
          <w:szCs w:val="15"/>
          <w:color w:val="auto"/>
        </w:rPr>
        <w:t>volume through our national account channel, and primarily the result of a major retrofit project for multiple locations for one of our national account customers. Service revenue increased by 101.8%, or $4.8 million, primarily due to higher sales volume through our national account channel and the timing of project installations. Total revenue increased by 9.0%, or $5.5 million, due to the items discussed above. Excluding the impact of the adoption of ASC 606, Product revenue increased by 5.1%, or $2.9 million, Service revenue increased by 56.2%, or $2.6 million, and Total revenue increased by 9.1%, or $5.5 million, compared to fiscal year 2018.</w:t>
      </w:r>
    </w:p>
    <w:p>
      <w:pPr>
        <w:spacing w:after="0" w:line="156" w:lineRule="exact"/>
        <w:rPr>
          <w:sz w:val="20"/>
          <w:szCs w:val="20"/>
          <w:color w:val="auto"/>
        </w:rPr>
      </w:pPr>
    </w:p>
    <w:p>
      <w:pPr>
        <w:jc w:val="both"/>
        <w:ind w:right="20" w:firstLine="500"/>
        <w:spacing w:after="0" w:line="252"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Cost of product revenue increased by 6.5%, or $2.7 million, in fiscal 2019 versus the fiscal 2018 primarily due to the increase in sales.</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service revenue by increased 68.3%, or $2.9 million, in fiscal 2019 versus fiscal 2018 primarily due to the increase in service revenue. Gross margin decreased from 24.3% of revenue in fiscal 2018 to 22.1% in fiscal 2019, primarily due to our product mix on higher sales to one large national account customer. Excluding the impact of the adoption of ASC 606, gross margin for fiscal 2019 was 24.4%.</w:t>
      </w:r>
    </w:p>
    <w:p>
      <w:pPr>
        <w:spacing w:after="0" w:line="26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Operating Expenses</w:t>
      </w:r>
    </w:p>
    <w:p>
      <w:pPr>
        <w:spacing w:after="0" w:line="98" w:lineRule="exact"/>
        <w:rPr>
          <w:sz w:val="20"/>
          <w:szCs w:val="20"/>
          <w:color w:val="auto"/>
        </w:rPr>
      </w:pPr>
    </w:p>
    <w:p>
      <w:pPr>
        <w:jc w:val="both"/>
        <w:ind w:firstLine="500"/>
        <w:spacing w:after="0" w:line="280" w:lineRule="auto"/>
        <w:rPr>
          <w:sz w:val="20"/>
          <w:szCs w:val="20"/>
          <w:color w:val="auto"/>
        </w:rPr>
      </w:pPr>
      <w:r>
        <w:rPr>
          <w:rFonts w:ascii="Arial" w:cs="Arial" w:eastAsia="Arial" w:hAnsi="Arial"/>
          <w:sz w:val="15"/>
          <w:szCs w:val="15"/>
          <w:i w:val="1"/>
          <w:iCs w:val="1"/>
          <w:color w:val="auto"/>
        </w:rPr>
        <w:t xml:space="preserve">General and Administrative. </w:t>
      </w:r>
      <w:r>
        <w:rPr>
          <w:rFonts w:ascii="Arial" w:cs="Arial" w:eastAsia="Arial" w:hAnsi="Arial"/>
          <w:sz w:val="15"/>
          <w:szCs w:val="15"/>
          <w:color w:val="auto"/>
        </w:rPr>
        <w:t>General and Administrative. General and administrative expenses decreased by 22.3%, or $2.9 million, in fiscal 2019 compared to fiscal</w:t>
      </w:r>
      <w:r>
        <w:rPr>
          <w:rFonts w:ascii="Arial" w:cs="Arial" w:eastAsia="Arial" w:hAnsi="Arial"/>
          <w:sz w:val="15"/>
          <w:szCs w:val="15"/>
          <w:i w:val="1"/>
          <w:iCs w:val="1"/>
          <w:color w:val="auto"/>
        </w:rPr>
        <w:t xml:space="preserve"> </w:t>
      </w:r>
      <w:r>
        <w:rPr>
          <w:rFonts w:ascii="Arial" w:cs="Arial" w:eastAsia="Arial" w:hAnsi="Arial"/>
          <w:sz w:val="15"/>
          <w:szCs w:val="15"/>
          <w:color w:val="auto"/>
        </w:rPr>
        <w:t>2018, primarily due to $1.8 million in employee separation costs incurred in fiscal 2018, offset by the release of a $1.4 million loss contingency accrual, which did not recur in fiscal 2019, as well as reduced employee costs and consulting expense as a result of our prior year cost reduction plan.</w:t>
      </w:r>
    </w:p>
    <w:p>
      <w:pPr>
        <w:spacing w:after="0" w:line="149"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i w:val="1"/>
          <w:iCs w:val="1"/>
          <w:color w:val="auto"/>
        </w:rPr>
        <w:t xml:space="preserve">Impairment of assets. </w:t>
      </w:r>
      <w:r>
        <w:rPr>
          <w:rFonts w:ascii="Arial" w:cs="Arial" w:eastAsia="Arial" w:hAnsi="Arial"/>
          <w:sz w:val="16"/>
          <w:szCs w:val="16"/>
          <w:color w:val="auto"/>
        </w:rPr>
        <w:t>No impairment charge was recorded in fiscal 2019. During fiscal 2018, we performed a review of our definite and indefinite-lived tangible and</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for impairment. In conjunction with this review, we determined that the carrying value of our Harris trade name intangible asset exceeded its fair value. As a result, we recorded an impairment charge of $0.7 million in fiscal 2018.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37" w:name="page38"/>
    <w:bookmarkEnd w:id="37"/>
    <w:p>
      <w:pPr>
        <w:jc w:val="both"/>
        <w:ind w:firstLine="500"/>
        <w:spacing w:after="0" w:line="280"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Our sales and marketing expenses decreased by 23.4%, or $2.8 million, in fiscal 2019 compared to fiscal 2018. Excluding the impact of the adoption</w:t>
      </w:r>
      <w:r>
        <w:rPr>
          <w:rFonts w:ascii="Arial" w:cs="Arial" w:eastAsia="Arial" w:hAnsi="Arial"/>
          <w:sz w:val="15"/>
          <w:szCs w:val="15"/>
          <w:i w:val="1"/>
          <w:iCs w:val="1"/>
          <w:color w:val="auto"/>
        </w:rPr>
        <w:t xml:space="preserve"> </w:t>
      </w:r>
      <w:r>
        <w:rPr>
          <w:rFonts w:ascii="Arial" w:cs="Arial" w:eastAsia="Arial" w:hAnsi="Arial"/>
          <w:sz w:val="15"/>
          <w:szCs w:val="15"/>
          <w:color w:val="auto"/>
        </w:rPr>
        <w:t>of ASC 606, Sales and marketing expenses decreased by 11.1%, or $1.3 million, in fiscal 2019 compared to fiscal 2018. The decrease year over year was primarily due to reduced employee costs due to the impact of our prior year cost reduction plan, and lower travel and entertainment and marketing expenses.</w:t>
      </w:r>
    </w:p>
    <w:p>
      <w:pPr>
        <w:spacing w:after="0" w:line="149" w:lineRule="exact"/>
        <w:rPr>
          <w:sz w:val="20"/>
          <w:szCs w:val="20"/>
          <w:color w:val="auto"/>
        </w:rPr>
      </w:pPr>
    </w:p>
    <w:p>
      <w:pPr>
        <w:jc w:val="both"/>
        <w:ind w:right="20" w:firstLine="500"/>
        <w:spacing w:after="0" w:line="382"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expenses decreased by 27.9%, or $0.5 million in fiscal 2019 compared to fiscal 2018 primarily due to lower</w:t>
      </w:r>
      <w:r>
        <w:rPr>
          <w:rFonts w:ascii="Arial" w:cs="Arial" w:eastAsia="Arial" w:hAnsi="Arial"/>
          <w:sz w:val="13"/>
          <w:szCs w:val="13"/>
          <w:i w:val="1"/>
          <w:iCs w:val="1"/>
          <w:color w:val="auto"/>
        </w:rPr>
        <w:t xml:space="preserve"> </w:t>
      </w:r>
      <w:r>
        <w:rPr>
          <w:rFonts w:ascii="Arial" w:cs="Arial" w:eastAsia="Arial" w:hAnsi="Arial"/>
          <w:sz w:val="13"/>
          <w:szCs w:val="13"/>
          <w:color w:val="auto"/>
        </w:rPr>
        <w:t>employee costs as a result of our prior year cost reduction plan, as well as a decrease in testing costs based on timing of new product rollouts and reduced consulting expenses.</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in fiscal 2019 and fiscal 2018 represented product royalties received from licensing agreements for our patents.</w:t>
      </w:r>
    </w:p>
    <w:p>
      <w:pPr>
        <w:spacing w:after="0" w:line="193"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 fiscal 2019 increased by 48.0%, or $0.2 million, from fiscal 2018. The increase in interest expense was due to increased third party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costs related to the sale of receivables.</w:t>
      </w:r>
    </w:p>
    <w:p>
      <w:pPr>
        <w:spacing w:after="0" w:line="157"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i w:val="1"/>
          <w:iCs w:val="1"/>
          <w:color w:val="auto"/>
        </w:rPr>
        <w:t xml:space="preserve">Amortization of debt issue costs. </w:t>
      </w:r>
      <w:r>
        <w:rPr>
          <w:rFonts w:ascii="Arial" w:cs="Arial" w:eastAsia="Arial" w:hAnsi="Arial"/>
          <w:sz w:val="16"/>
          <w:szCs w:val="16"/>
          <w:color w:val="auto"/>
        </w:rPr>
        <w:t>Amortization of debt issue costs in fiscal 2019 increased by 9.8%, or $9 thousand from fiscal 2018. The increase was due to the execution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new revolving credit facility.</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in fiscal 2019 remained relatively flat compared to fiscal 2018. Interest income relates to interest earned on sweep bank accounts.</w:t>
      </w:r>
    </w:p>
    <w:p>
      <w:pPr>
        <w:spacing w:after="0" w:line="227"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 expense in fiscal 2019 increased immaterially from fiscal 2018. Both periods include income tax expense for minimum state tax liabilities.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2018 we received refunds from previously filed tax returns. In both periods, the impact of the Tax Cuts and Jobs Act on tax expense was immaterial due to the valuation allowance.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Orion Engineered Systems Division</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OES segment develops and sells lighting products and provides construction and engineering services for our commercial lighting and energy management systems.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OES provides turnkey solutions for large national accounts, governments, municipalities and schools.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our OES segment operating results (dollars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9"/>
              </w:rPr>
              <w:t>Fiscal Year Ended March 31,</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33"/>
        </w:trPr>
        <w:tc>
          <w:tcPr>
            <w:tcW w:w="4000" w:type="dxa"/>
            <w:vAlign w:val="bottom"/>
            <w:tcBorders>
              <w:bottom w:val="single" w:sz="8" w:color="CFF0FC"/>
            </w:tcBorders>
          </w:tcPr>
          <w:p>
            <w:pPr>
              <w:spacing w:after="0"/>
              <w:rPr>
                <w:sz w:val="11"/>
                <w:szCs w:val="11"/>
                <w:color w:val="auto"/>
              </w:rPr>
            </w:pPr>
          </w:p>
        </w:tc>
        <w:tc>
          <w:tcPr>
            <w:tcW w:w="248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66"/>
              <w:spacing w:after="0" w:line="133"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66"/>
              <w:spacing w:after="0" w:line="133" w:lineRule="exact"/>
              <w:rPr>
                <w:sz w:val="20"/>
                <w:szCs w:val="20"/>
                <w:color w:val="auto"/>
              </w:rPr>
            </w:pPr>
            <w:r>
              <w:rPr>
                <w:rFonts w:ascii="Arial" w:cs="Arial" w:eastAsia="Arial" w:hAnsi="Arial"/>
                <w:sz w:val="13"/>
                <w:szCs w:val="13"/>
                <w:b w:val="1"/>
                <w:bCs w:val="1"/>
                <w:color w:val="auto"/>
              </w:rPr>
              <w:t>2018</w:t>
            </w:r>
          </w:p>
        </w:tc>
      </w:tr>
      <w:tr>
        <w:trPr>
          <w:trHeight w:val="192"/>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24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6"/>
              </w:rPr>
              <w:t>122,744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146"/>
              <w:spacing w:after="0"/>
              <w:rPr>
                <w:sz w:val="20"/>
                <w:szCs w:val="20"/>
                <w:color w:val="auto"/>
              </w:rPr>
            </w:pPr>
            <w:r>
              <w:rPr>
                <w:rFonts w:ascii="Arial" w:cs="Arial" w:eastAsia="Arial" w:hAnsi="Arial"/>
                <w:sz w:val="16"/>
                <w:szCs w:val="16"/>
                <w:color w:val="auto"/>
              </w:rPr>
              <w:t>30,925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146"/>
              <w:spacing w:after="0"/>
              <w:rPr>
                <w:sz w:val="20"/>
                <w:szCs w:val="20"/>
                <w:color w:val="auto"/>
              </w:rPr>
            </w:pPr>
            <w:r>
              <w:rPr>
                <w:rFonts w:ascii="Arial" w:cs="Arial" w:eastAsia="Arial" w:hAnsi="Arial"/>
                <w:sz w:val="16"/>
                <w:szCs w:val="16"/>
                <w:color w:val="auto"/>
              </w:rPr>
              <w:t>23,827</w:t>
            </w:r>
          </w:p>
        </w:tc>
      </w:tr>
      <w:tr>
        <w:trPr>
          <w:trHeight w:val="200"/>
        </w:trPr>
        <w:tc>
          <w:tcPr>
            <w:tcW w:w="4000" w:type="dxa"/>
            <w:vAlign w:val="bottom"/>
          </w:tcPr>
          <w:p>
            <w:pPr>
              <w:spacing w:after="0"/>
              <w:rPr>
                <w:sz w:val="20"/>
                <w:szCs w:val="20"/>
                <w:color w:val="auto"/>
              </w:rPr>
            </w:pPr>
            <w:r>
              <w:rPr>
                <w:rFonts w:ascii="Arial" w:cs="Arial" w:eastAsia="Arial" w:hAnsi="Arial"/>
                <w:sz w:val="16"/>
                <w:szCs w:val="16"/>
                <w:color w:val="auto"/>
              </w:rPr>
              <w:t>Operating income (loss)</w:t>
            </w:r>
          </w:p>
        </w:tc>
        <w:tc>
          <w:tcPr>
            <w:tcW w:w="3260" w:type="dxa"/>
            <w:vAlign w:val="bottom"/>
            <w:gridSpan w:val="2"/>
          </w:tcPr>
          <w:p>
            <w:pPr>
              <w:jc w:val="right"/>
              <w:ind w:right="63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16,164</w:t>
            </w:r>
          </w:p>
        </w:tc>
        <w:tc>
          <w:tcPr>
            <w:tcW w:w="44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6"/>
              <w:spacing w:after="0"/>
              <w:rPr>
                <w:sz w:val="20"/>
                <w:szCs w:val="20"/>
                <w:color w:val="auto"/>
              </w:rPr>
            </w:pPr>
            <w:r>
              <w:rPr>
                <w:rFonts w:ascii="Arial" w:cs="Arial" w:eastAsia="Arial" w:hAnsi="Arial"/>
                <w:sz w:val="16"/>
                <w:szCs w:val="16"/>
                <w:color w:val="auto"/>
              </w:rPr>
              <w:t>(1,237)</w:t>
            </w:r>
          </w:p>
        </w:tc>
        <w:tc>
          <w:tcPr>
            <w:tcW w:w="44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6"/>
              <w:spacing w:after="0"/>
              <w:rPr>
                <w:sz w:val="20"/>
                <w:szCs w:val="20"/>
                <w:color w:val="auto"/>
              </w:rPr>
            </w:pPr>
            <w:r>
              <w:rPr>
                <w:rFonts w:ascii="Arial" w:cs="Arial" w:eastAsia="Arial" w:hAnsi="Arial"/>
                <w:sz w:val="16"/>
                <w:szCs w:val="16"/>
                <w:color w:val="auto"/>
              </w:rPr>
              <w:t>(3,792)</w:t>
            </w:r>
          </w:p>
        </w:tc>
      </w:tr>
      <w:tr>
        <w:trPr>
          <w:trHeight w:val="200"/>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Operating margin</w:t>
            </w:r>
          </w:p>
        </w:tc>
        <w:tc>
          <w:tcPr>
            <w:tcW w:w="24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r>
    </w:tbl>
    <w:p>
      <w:pPr>
        <w:spacing w:after="0" w:line="29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Fiscal 2020 Compared to Fiscal 2019</w:t>
      </w:r>
    </w:p>
    <w:p>
      <w:pPr>
        <w:spacing w:after="0" w:line="98"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OES revenue increased in fiscal 2020 by 296.9%, or $91.8 million, compared to fiscal 2019 almost exclusively as the result of a major retrofit project for multiple locations for one of our national account customers.</w:t>
      </w:r>
    </w:p>
    <w:p>
      <w:pPr>
        <w:spacing w:after="0" w:line="157"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OES operating income in fiscal 2020 was $16.2 million, which improved from a net loss position of $(1.2) million in fiscal 2019. The improvement in the segment’s operating income was the result of increased sales covering fixed costs.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Fiscal 2019 Compared to Fiscal 2018</w:t>
      </w:r>
    </w:p>
    <w:p>
      <w:pPr>
        <w:spacing w:after="0" w:line="98"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OES revenue increased in fiscal 2019 by 29.8%, or $7.1 million, compared to fiscal 2018 primarily as a result of the increase in volume of turnkey projects, specifically to one large national account customer, which continued in fiscal 2020.</w:t>
      </w:r>
    </w:p>
    <w:p>
      <w:pPr>
        <w:spacing w:after="0" w:line="157"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OES operating loss in fiscal 2019 was $1.2 million, an improvement of $2.6 million from fiscal 2018. The improvement in the segment’s operating loss was the result of increased sales, the benefit of lower corporate allocated costs due to the impact of cost reduction initiatives, and a non-recurring asset impairment charge of $0.5 million in fiscal 2018.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Orion Distribution Services Division</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ODS segment focuses on selling lighting products through manufacturer representative agencies and a network of broadline North American distributors.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our ODS segment operating results (dollars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3"/>
                <w:szCs w:val="13"/>
                <w:b w:val="1"/>
                <w:bCs w:val="1"/>
                <w:color w:val="auto"/>
                <w:w w:val="88"/>
              </w:rPr>
              <w:t>Fiscal Year Ended March 31,</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33"/>
        </w:trPr>
        <w:tc>
          <w:tcPr>
            <w:tcW w:w="6420" w:type="dxa"/>
            <w:vAlign w:val="bottom"/>
            <w:tcBorders>
              <w:bottom w:val="single" w:sz="8" w:color="CFF0FC"/>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2020</w:t>
            </w: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66"/>
              <w:spacing w:after="0" w:line="133"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66"/>
              <w:spacing w:after="0" w:line="133" w:lineRule="exact"/>
              <w:rPr>
                <w:sz w:val="20"/>
                <w:szCs w:val="20"/>
                <w:color w:val="auto"/>
              </w:rPr>
            </w:pPr>
            <w:r>
              <w:rPr>
                <w:rFonts w:ascii="Arial" w:cs="Arial" w:eastAsia="Arial" w:hAnsi="Arial"/>
                <w:sz w:val="13"/>
                <w:szCs w:val="13"/>
                <w:b w:val="1"/>
                <w:bCs w:val="1"/>
                <w:color w:val="auto"/>
              </w:rPr>
              <w:t>2018</w:t>
            </w:r>
          </w:p>
        </w:tc>
      </w:tr>
      <w:tr>
        <w:trPr>
          <w:trHeight w:val="192"/>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820" w:type="dxa"/>
            <w:vAlign w:val="bottom"/>
            <w:shd w:val="clear" w:color="auto" w:fill="CFF0FC"/>
          </w:tcPr>
          <w:p>
            <w:pPr>
              <w:jc w:val="right"/>
              <w:ind w:right="67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w w:val="93"/>
              </w:rPr>
              <w:t>15,087</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146"/>
              <w:spacing w:after="0"/>
              <w:rPr>
                <w:sz w:val="20"/>
                <w:szCs w:val="20"/>
                <w:color w:val="auto"/>
              </w:rPr>
            </w:pPr>
            <w:r>
              <w:rPr>
                <w:rFonts w:ascii="Arial" w:cs="Arial" w:eastAsia="Arial" w:hAnsi="Arial"/>
                <w:sz w:val="16"/>
                <w:szCs w:val="16"/>
                <w:color w:val="auto"/>
              </w:rPr>
              <w:t>24,173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146"/>
              <w:spacing w:after="0"/>
              <w:rPr>
                <w:sz w:val="20"/>
                <w:szCs w:val="20"/>
                <w:color w:val="auto"/>
              </w:rPr>
            </w:pPr>
            <w:r>
              <w:rPr>
                <w:rFonts w:ascii="Arial" w:cs="Arial" w:eastAsia="Arial" w:hAnsi="Arial"/>
                <w:sz w:val="16"/>
                <w:szCs w:val="16"/>
                <w:color w:val="auto"/>
              </w:rPr>
              <w:t>27,906</w:t>
            </w:r>
          </w:p>
        </w:tc>
      </w:tr>
      <w:tr>
        <w:trPr>
          <w:trHeight w:val="200"/>
        </w:trPr>
        <w:tc>
          <w:tcPr>
            <w:tcW w:w="6420" w:type="dxa"/>
            <w:vAlign w:val="bottom"/>
          </w:tcPr>
          <w:p>
            <w:pPr>
              <w:spacing w:after="0"/>
              <w:rPr>
                <w:sz w:val="20"/>
                <w:szCs w:val="20"/>
                <w:color w:val="auto"/>
              </w:rPr>
            </w:pPr>
            <w:r>
              <w:rPr>
                <w:rFonts w:ascii="Arial" w:cs="Arial" w:eastAsia="Arial" w:hAnsi="Arial"/>
                <w:sz w:val="16"/>
                <w:szCs w:val="16"/>
                <w:color w:val="auto"/>
              </w:rPr>
              <w:t>Operating loss</w:t>
            </w:r>
          </w:p>
        </w:tc>
        <w:tc>
          <w:tcPr>
            <w:tcW w:w="820" w:type="dxa"/>
            <w:vAlign w:val="bottom"/>
          </w:tcPr>
          <w:p>
            <w:pPr>
              <w:jc w:val="right"/>
              <w:ind w:right="67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82"/>
              <w:spacing w:after="0"/>
              <w:rPr>
                <w:sz w:val="20"/>
                <w:szCs w:val="20"/>
                <w:color w:val="auto"/>
              </w:rPr>
            </w:pPr>
            <w:r>
              <w:rPr>
                <w:rFonts w:ascii="Arial" w:cs="Arial" w:eastAsia="Arial" w:hAnsi="Arial"/>
                <w:sz w:val="16"/>
                <w:szCs w:val="16"/>
                <w:color w:val="auto"/>
              </w:rPr>
              <w:t>(852)</w:t>
            </w:r>
          </w:p>
        </w:tc>
        <w:tc>
          <w:tcPr>
            <w:tcW w:w="44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6"/>
              <w:spacing w:after="0"/>
              <w:rPr>
                <w:sz w:val="20"/>
                <w:szCs w:val="20"/>
                <w:color w:val="auto"/>
              </w:rPr>
            </w:pPr>
            <w:r>
              <w:rPr>
                <w:rFonts w:ascii="Arial" w:cs="Arial" w:eastAsia="Arial" w:hAnsi="Arial"/>
                <w:sz w:val="16"/>
                <w:szCs w:val="16"/>
                <w:color w:val="auto"/>
              </w:rPr>
              <w:t>(1,742)</w:t>
            </w:r>
          </w:p>
        </w:tc>
        <w:tc>
          <w:tcPr>
            <w:tcW w:w="44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6"/>
              <w:spacing w:after="0"/>
              <w:rPr>
                <w:sz w:val="20"/>
                <w:szCs w:val="20"/>
                <w:color w:val="auto"/>
              </w:rPr>
            </w:pPr>
            <w:r>
              <w:rPr>
                <w:rFonts w:ascii="Arial" w:cs="Arial" w:eastAsia="Arial" w:hAnsi="Arial"/>
                <w:sz w:val="16"/>
                <w:szCs w:val="16"/>
                <w:color w:val="auto"/>
              </w:rPr>
              <w:t>(325)</w:t>
            </w:r>
          </w:p>
        </w:tc>
      </w:tr>
      <w:tr>
        <w:trPr>
          <w:trHeight w:val="200"/>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Operating margin</w:t>
            </w:r>
          </w:p>
        </w:tc>
        <w:tc>
          <w:tcPr>
            <w:tcW w:w="8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r>
    </w:tbl>
    <w:p>
      <w:pPr>
        <w:spacing w:after="0" w:line="29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Fiscal 2020 Compared to Fiscal 2019</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ODS revenue decreased in fiscal 2020 by 37.6%, or $9.1 million, compared to fiscal 2019, primarily due to a decrease in sales volume through our distribution channel.</w:t>
      </w:r>
    </w:p>
    <w:p>
      <w:pPr>
        <w:spacing w:after="0" w:line="227"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ODS operating loss in fiscal 2020 was $(0.9) million, an improvement of $0.9 million from fiscal 2019. The decrease in segment operating loss was primarily due to lower operating costs on lower employment expenses and commissions.</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Fiscal 2019 Compared to Fiscal 2018</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3"/>
          <w:szCs w:val="13"/>
          <w:color w:val="auto"/>
        </w:rPr>
        <w:t>ODS revenue decreased in fiscal 2019 by 13.4%, or $3.7 million, compared to fiscal 2018, primarily due to a decrease in sales volume through our distribution channel.</w:t>
      </w:r>
    </w:p>
    <w:p>
      <w:pPr>
        <w:spacing w:after="0" w:line="227"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ODS operating loss in fiscal 2019 was $(1.7) million, an increased loss of $1.4 million from fiscal 2018. The increase in segment operating loss was primarily due to decreased sale.</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Orion U.S. Markets Division</w:t>
      </w:r>
    </w:p>
    <w:p>
      <w:pPr>
        <w:spacing w:after="0" w:line="102"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The USM segment sells commercial lighting systems and energy management systems to the wholesale contractor markets. USM customers are primarily comprised of ESCOs.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our USM segment operating results (dollars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3"/>
                <w:szCs w:val="13"/>
                <w:b w:val="1"/>
                <w:bCs w:val="1"/>
                <w:color w:val="auto"/>
                <w:w w:val="88"/>
              </w:rPr>
              <w:t>Fiscal Year Ended March 31,</w:t>
            </w:r>
          </w:p>
        </w:tc>
        <w:tc>
          <w:tcPr>
            <w:tcW w:w="4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r>
      <w:tr>
        <w:trPr>
          <w:trHeight w:val="133"/>
        </w:trPr>
        <w:tc>
          <w:tcPr>
            <w:tcW w:w="650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2020</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jc w:val="right"/>
              <w:ind w:right="666"/>
              <w:spacing w:after="0" w:line="133" w:lineRule="exact"/>
              <w:rPr>
                <w:sz w:val="20"/>
                <w:szCs w:val="20"/>
                <w:color w:val="auto"/>
              </w:rPr>
            </w:pPr>
            <w:r>
              <w:rPr>
                <w:rFonts w:ascii="Arial" w:cs="Arial" w:eastAsia="Arial" w:hAnsi="Arial"/>
                <w:sz w:val="13"/>
                <w:szCs w:val="13"/>
                <w:b w:val="1"/>
                <w:bCs w:val="1"/>
                <w:color w:val="auto"/>
              </w:rPr>
              <w:t>2019</w:t>
            </w:r>
          </w:p>
        </w:tc>
        <w:tc>
          <w:tcPr>
            <w:tcW w:w="400" w:type="dxa"/>
            <w:vAlign w:val="bottom"/>
          </w:tcPr>
          <w:p>
            <w:pPr>
              <w:spacing w:after="0"/>
              <w:rPr>
                <w:sz w:val="11"/>
                <w:szCs w:val="11"/>
                <w:color w:val="auto"/>
              </w:rPr>
            </w:pPr>
          </w:p>
        </w:tc>
        <w:tc>
          <w:tcPr>
            <w:tcW w:w="1220" w:type="dxa"/>
            <w:vAlign w:val="bottom"/>
          </w:tcPr>
          <w:p>
            <w:pPr>
              <w:jc w:val="right"/>
              <w:ind w:right="666"/>
              <w:spacing w:after="0" w:line="133" w:lineRule="exact"/>
              <w:rPr>
                <w:sz w:val="20"/>
                <w:szCs w:val="20"/>
                <w:color w:val="auto"/>
              </w:rPr>
            </w:pPr>
            <w:r>
              <w:rPr>
                <w:rFonts w:ascii="Arial" w:cs="Arial" w:eastAsia="Arial" w:hAnsi="Arial"/>
                <w:sz w:val="13"/>
                <w:szCs w:val="13"/>
                <w:b w:val="1"/>
                <w:bCs w:val="1"/>
                <w:color w:val="auto"/>
              </w:rPr>
              <w:t>2018</w:t>
            </w:r>
          </w:p>
        </w:tc>
      </w:tr>
      <w:tr>
        <w:trPr>
          <w:trHeight w:val="200"/>
        </w:trPr>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820" w:type="dxa"/>
            <w:vAlign w:val="bottom"/>
            <w:shd w:val="clear" w:color="auto" w:fill="CFF0FC"/>
          </w:tcPr>
          <w:p>
            <w:pPr>
              <w:jc w:val="right"/>
              <w:ind w:right="67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93"/>
              </w:rPr>
              <w:t>13,010</w:t>
            </w:r>
          </w:p>
        </w:tc>
        <w:tc>
          <w:tcPr>
            <w:tcW w:w="460" w:type="dxa"/>
            <w:vAlign w:val="bottom"/>
            <w:shd w:val="clear" w:color="auto" w:fill="CFF0FC"/>
          </w:tcPr>
          <w:p>
            <w:pPr>
              <w:jc w:val="right"/>
              <w:ind w:right="147"/>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46"/>
              <w:spacing w:after="0"/>
              <w:rPr>
                <w:sz w:val="20"/>
                <w:szCs w:val="20"/>
                <w:color w:val="auto"/>
              </w:rPr>
            </w:pPr>
            <w:r>
              <w:rPr>
                <w:rFonts w:ascii="Arial" w:cs="Arial" w:eastAsia="Arial" w:hAnsi="Arial"/>
                <w:sz w:val="16"/>
                <w:szCs w:val="16"/>
                <w:color w:val="auto"/>
              </w:rPr>
              <w:t>10,656</w:t>
            </w:r>
          </w:p>
        </w:tc>
        <w:tc>
          <w:tcPr>
            <w:tcW w:w="40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46"/>
              <w:spacing w:after="0"/>
              <w:rPr>
                <w:sz w:val="20"/>
                <w:szCs w:val="20"/>
                <w:color w:val="auto"/>
              </w:rPr>
            </w:pPr>
            <w:r>
              <w:rPr>
                <w:rFonts w:ascii="Arial" w:cs="Arial" w:eastAsia="Arial" w:hAnsi="Arial"/>
                <w:sz w:val="16"/>
                <w:szCs w:val="16"/>
                <w:color w:val="auto"/>
              </w:rPr>
              <w:t>8,567</w:t>
            </w:r>
          </w:p>
        </w:tc>
      </w:tr>
      <w:tr>
        <w:trPr>
          <w:trHeight w:val="200"/>
        </w:trPr>
        <w:tc>
          <w:tcPr>
            <w:tcW w:w="6500" w:type="dxa"/>
            <w:vAlign w:val="bottom"/>
          </w:tcPr>
          <w:p>
            <w:pPr>
              <w:spacing w:after="0"/>
              <w:rPr>
                <w:sz w:val="20"/>
                <w:szCs w:val="20"/>
                <w:color w:val="auto"/>
              </w:rPr>
            </w:pPr>
            <w:r>
              <w:rPr>
                <w:rFonts w:ascii="Arial" w:cs="Arial" w:eastAsia="Arial" w:hAnsi="Arial"/>
                <w:sz w:val="16"/>
                <w:szCs w:val="16"/>
                <w:color w:val="auto"/>
              </w:rPr>
              <w:t>Operating income (loss)</w:t>
            </w:r>
          </w:p>
        </w:tc>
        <w:tc>
          <w:tcPr>
            <w:tcW w:w="820" w:type="dxa"/>
            <w:vAlign w:val="bottom"/>
          </w:tcPr>
          <w:p>
            <w:pPr>
              <w:jc w:val="right"/>
              <w:ind w:right="67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2,447</w:t>
            </w:r>
          </w:p>
        </w:tc>
        <w:tc>
          <w:tcPr>
            <w:tcW w:w="460" w:type="dxa"/>
            <w:vAlign w:val="bottom"/>
          </w:tcPr>
          <w:p>
            <w:pPr>
              <w:jc w:val="right"/>
              <w:ind w:right="147"/>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46"/>
              <w:spacing w:after="0"/>
              <w:rPr>
                <w:sz w:val="20"/>
                <w:szCs w:val="20"/>
                <w:color w:val="auto"/>
              </w:rPr>
            </w:pPr>
            <w:r>
              <w:rPr>
                <w:rFonts w:ascii="Arial" w:cs="Arial" w:eastAsia="Arial" w:hAnsi="Arial"/>
                <w:sz w:val="16"/>
                <w:szCs w:val="16"/>
                <w:color w:val="auto"/>
              </w:rPr>
              <w:t>1,132</w:t>
            </w:r>
          </w:p>
        </w:tc>
        <w:tc>
          <w:tcPr>
            <w:tcW w:w="40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6"/>
              <w:spacing w:after="0"/>
              <w:rPr>
                <w:sz w:val="20"/>
                <w:szCs w:val="20"/>
                <w:color w:val="auto"/>
              </w:rPr>
            </w:pPr>
            <w:r>
              <w:rPr>
                <w:rFonts w:ascii="Arial" w:cs="Arial" w:eastAsia="Arial" w:hAnsi="Arial"/>
                <w:sz w:val="16"/>
                <w:szCs w:val="16"/>
                <w:color w:val="auto"/>
              </w:rPr>
              <w:t>(3,123)</w:t>
            </w:r>
          </w:p>
        </w:tc>
      </w:tr>
      <w:tr>
        <w:trPr>
          <w:trHeight w:val="200"/>
        </w:trPr>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Operating margin</w:t>
            </w:r>
          </w:p>
        </w:tc>
        <w:tc>
          <w:tcPr>
            <w:tcW w:w="8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10.6%</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w:t>
            </w:r>
          </w:p>
        </w:tc>
      </w:tr>
    </w:tbl>
    <w:p>
      <w:pPr>
        <w:spacing w:after="0" w:line="29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Fiscal 2020 Compared to Fiscal 2019</w:t>
      </w:r>
    </w:p>
    <w:p>
      <w:pPr>
        <w:spacing w:after="0" w:line="98"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USM revenue increased in fiscal 2020 by 22.1%, or $2.4 million, compared to fiscal 2019, primarily due to an increase in sales volume as a result of our reengagement in the sales channel.</w:t>
      </w:r>
    </w:p>
    <w:p>
      <w:pPr>
        <w:spacing w:after="0" w:line="157"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USM operating income in fiscal 2020 was $2.4 million, an increase of $1.3 million from fiscal 2019. The improvement was primarily due to better coverage of costs on higher sales.</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Fiscal 2019 Compared to Fiscal 2018</w:t>
      </w:r>
    </w:p>
    <w:p>
      <w:pPr>
        <w:spacing w:after="0" w:line="193"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USM revenue increased in fiscal 2019 by 24.3%, or $2.1 million, compared to fiscal 2018, primarily due to an increase in sales volume as a result of our reengagement in the sales channel.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39" w:name="page40"/>
    <w:bookmarkEnd w:id="39"/>
    <w:p>
      <w:pPr>
        <w:jc w:val="both"/>
        <w:ind w:right="20" w:firstLine="500"/>
        <w:spacing w:after="0" w:line="266" w:lineRule="auto"/>
        <w:rPr>
          <w:sz w:val="20"/>
          <w:szCs w:val="20"/>
          <w:color w:val="auto"/>
        </w:rPr>
      </w:pPr>
      <w:r>
        <w:rPr>
          <w:rFonts w:ascii="Arial" w:cs="Arial" w:eastAsia="Arial" w:hAnsi="Arial"/>
          <w:sz w:val="16"/>
          <w:szCs w:val="16"/>
          <w:color w:val="auto"/>
        </w:rPr>
        <w:t>USM operating income in fiscal 2019 was $1.1 million, an improvement of $4.3 million over the operating loss in fiscal 2018. The improvement was primarily due to better operating leverage on lower allocated corporate costs, as well as a non-recurring asset impairment charge of $0.2 million in fiscal 2018.</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98"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We had $28.8 million in cash and cash equivalents as of March 31, 2020, compared to $8.7 million at March 31, 2019. Our cash position increased primarily as a result of our increased net income and the timing of working capital changes.</w:t>
      </w:r>
    </w:p>
    <w:p>
      <w:pPr>
        <w:spacing w:after="0" w:line="157" w:lineRule="exact"/>
        <w:rPr>
          <w:sz w:val="20"/>
          <w:szCs w:val="20"/>
          <w:color w:val="auto"/>
        </w:rPr>
      </w:pPr>
    </w:p>
    <w:p>
      <w:pPr>
        <w:jc w:val="both"/>
        <w:ind w:right="20" w:firstLine="500"/>
        <w:spacing w:after="0" w:line="322" w:lineRule="auto"/>
        <w:rPr>
          <w:sz w:val="20"/>
          <w:szCs w:val="20"/>
          <w:color w:val="auto"/>
        </w:rPr>
      </w:pPr>
      <w:r>
        <w:rPr>
          <w:rFonts w:ascii="Arial" w:cs="Arial" w:eastAsia="Arial" w:hAnsi="Arial"/>
          <w:sz w:val="13"/>
          <w:szCs w:val="13"/>
          <w:color w:val="auto"/>
        </w:rPr>
        <w:t>On October 26, 2018, we entered into a secured revolving Business Financing Agreement with Western Alliance Bank, as lender (the “Credit Agreement”). The Credit Agreement, as amended, provides for a revolving credit facility (the “Credit Facility”) that matures on October 26, 2021. Borrowings under the Credit Facility are limited to $20.15 million subject to a borrowing base requirement based on eligible receivables and inventory. The Credit Agreement includes a $2.0 million sublimit for the issuance of letters of credit. As of March 31, 2020, our borrowing base was $11.2 million, and we had $10.0 million in borrowings outstanding which were included in non-current liabilities in the accompanying Consolidated Balance Sheets. As of March 31, 2020, we had no outstanding letters of credit leaving total additional borrowing availability of $1.2 million.</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Additional information on our New Credit Agreement can be found in the “Indebtedness” section located below.</w:t>
      </w:r>
    </w:p>
    <w:p>
      <w:pPr>
        <w:spacing w:after="0" w:line="193" w:lineRule="exact"/>
        <w:rPr>
          <w:sz w:val="20"/>
          <w:szCs w:val="20"/>
          <w:color w:val="auto"/>
        </w:rPr>
      </w:pPr>
    </w:p>
    <w:p>
      <w:pPr>
        <w:jc w:val="both"/>
        <w:ind w:right="20" w:firstLine="500"/>
        <w:spacing w:after="0" w:line="329" w:lineRule="auto"/>
        <w:rPr>
          <w:sz w:val="20"/>
          <w:szCs w:val="20"/>
          <w:color w:val="auto"/>
        </w:rPr>
      </w:pPr>
      <w:r>
        <w:rPr>
          <w:rFonts w:ascii="Arial" w:cs="Arial" w:eastAsia="Arial" w:hAnsi="Arial"/>
          <w:sz w:val="13"/>
          <w:szCs w:val="13"/>
          <w:color w:val="auto"/>
        </w:rPr>
        <w:t>In March 2020, we filed a universal shelf registration statement with the Securities and Exchange Commission. Under our shelf registration statement, we currently have the flexibility to publicly offer and sell from time to time up to $100.0 million of debt and/or equity securities. The filing of the shelf registration statement may help facilitate our ability to raise public equity or debt capital to expand existing businesses, fund potential acquisitions, invest in other growth opportunities, repay existing debt, or for other general corporate purposes. The COVID-19 pandemic has had a negative near-term impact on the capital markets and may impact the Company’s ability to access this capital.</w:t>
      </w:r>
    </w:p>
    <w:p>
      <w:pPr>
        <w:spacing w:after="0" w:line="122" w:lineRule="exact"/>
        <w:rPr>
          <w:sz w:val="20"/>
          <w:szCs w:val="20"/>
          <w:color w:val="auto"/>
        </w:rPr>
      </w:pPr>
    </w:p>
    <w:p>
      <w:pPr>
        <w:jc w:val="both"/>
        <w:ind w:right="40" w:firstLine="500"/>
        <w:spacing w:after="0" w:line="266" w:lineRule="auto"/>
        <w:rPr>
          <w:sz w:val="20"/>
          <w:szCs w:val="20"/>
          <w:color w:val="auto"/>
        </w:rPr>
      </w:pPr>
      <w:r>
        <w:rPr>
          <w:rFonts w:ascii="Arial" w:cs="Arial" w:eastAsia="Arial" w:hAnsi="Arial"/>
          <w:sz w:val="16"/>
          <w:szCs w:val="16"/>
          <w:color w:val="auto"/>
        </w:rPr>
        <w:t>We also are exploring various alternative sources of liquidity, including the sale or mortgage of our tech center office building, to help ensure that we will have the best allocation of investing capital to satisfy our working capital needs.</w:t>
      </w:r>
    </w:p>
    <w:p>
      <w:pPr>
        <w:spacing w:after="0" w:line="157" w:lineRule="exact"/>
        <w:rPr>
          <w:sz w:val="20"/>
          <w:szCs w:val="20"/>
          <w:color w:val="auto"/>
        </w:rPr>
      </w:pPr>
    </w:p>
    <w:p>
      <w:pPr>
        <w:jc w:val="both"/>
        <w:ind w:right="20" w:firstLine="500"/>
        <w:spacing w:after="0" w:line="318" w:lineRule="auto"/>
        <w:rPr>
          <w:sz w:val="20"/>
          <w:szCs w:val="20"/>
          <w:color w:val="auto"/>
        </w:rPr>
      </w:pPr>
      <w:r>
        <w:rPr>
          <w:rFonts w:ascii="Arial" w:cs="Arial" w:eastAsia="Arial" w:hAnsi="Arial"/>
          <w:sz w:val="13"/>
          <w:szCs w:val="13"/>
          <w:color w:val="auto"/>
        </w:rPr>
        <w:t>Our future liquidity needs and forecasted cash flows are dependent upon many factors, including our relative revenue, gross margins, cash management practices, cost containment, working capital management, capital expenditures. Further, as discussed in the “Risk Factors,” we expect our forecasted cash flows, particularly during the first half of fiscal 2021, to be materially adversely impacted by the COVID-19 pandemic, the magnitude and period of impact of which is uncertain. While we believe that we will likely have adequate available cash and equivalents and credit availability under our Credit Agreement to satisfy our currently anticipated working capital and liquidity requirements during the next 12 months based on our current cash flow forecast, there can be no assurance to that effect. If we experience significant liquidity constraints, we may be required to issue equity or debt securities, reduce our sales efforts, implement additional cost savings initiatives or undertake other efforts to conserve our cash.</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our cash flows for our fiscal 2020, fiscal 2019 and fiscal 2018: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8"/>
              </w:rPr>
              <w:t>Fiscal Year Ended March 31,</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227"/>
              <w:spacing w:after="0" w:line="133" w:lineRule="exact"/>
              <w:rPr>
                <w:sz w:val="20"/>
                <w:szCs w:val="20"/>
                <w:color w:val="auto"/>
              </w:rPr>
            </w:pPr>
            <w:r>
              <w:rPr>
                <w:rFonts w:ascii="Arial" w:cs="Arial" w:eastAsia="Arial" w:hAnsi="Arial"/>
                <w:sz w:val="13"/>
                <w:szCs w:val="13"/>
                <w:b w:val="1"/>
                <w:bCs w:val="1"/>
                <w:color w:val="auto"/>
                <w:w w:val="89"/>
              </w:rPr>
              <w:t>2019</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5"/>
              <w:spacing w:after="0" w:line="133" w:lineRule="exact"/>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360"/>
              <w:spacing w:after="0" w:line="133" w:lineRule="exact"/>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Operating activities</w:t>
            </w:r>
          </w:p>
        </w:tc>
        <w:tc>
          <w:tcPr>
            <w:tcW w:w="3200" w:type="dxa"/>
            <w:vAlign w:val="bottom"/>
            <w:gridSpan w:val="2"/>
            <w:shd w:val="clear" w:color="auto" w:fill="CFF0FC"/>
          </w:tcPr>
          <w:p>
            <w:pPr>
              <w:jc w:val="right"/>
              <w:ind w:right="672"/>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93"/>
              </w:rPr>
              <w:t>20,343</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(5,058)</w:t>
            </w:r>
          </w:p>
        </w:tc>
        <w:tc>
          <w:tcPr>
            <w:tcW w:w="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6"/>
                <w:szCs w:val="16"/>
                <w:color w:val="auto"/>
              </w:rPr>
              <w:t>Investing activities</w:t>
            </w:r>
          </w:p>
        </w:tc>
        <w:tc>
          <w:tcPr>
            <w:tcW w:w="2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(936)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Financing activities</w:t>
            </w:r>
          </w:p>
        </w:tc>
        <w:tc>
          <w:tcPr>
            <w:tcW w:w="2380" w:type="dxa"/>
            <w:vAlign w:val="bottom"/>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615</w:t>
            </w:r>
          </w:p>
        </w:tc>
        <w:tc>
          <w:tcPr>
            <w:tcW w:w="16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color w:val="auto"/>
              </w:rPr>
              <w:t>4,812</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20"/>
                <w:szCs w:val="20"/>
                <w:color w:val="auto"/>
              </w:rPr>
            </w:pPr>
            <w:r>
              <w:rPr>
                <w:rFonts w:ascii="Arial" w:cs="Arial" w:eastAsia="Arial" w:hAnsi="Arial"/>
                <w:sz w:val="16"/>
                <w:szCs w:val="16"/>
                <w:color w:val="auto"/>
              </w:rPr>
              <w:t>Increase (decrease) in cash and cash equivalents</w:t>
            </w:r>
          </w:p>
        </w:tc>
        <w:tc>
          <w:tcPr>
            <w:tcW w:w="2380" w:type="dxa"/>
            <w:vAlign w:val="bottom"/>
          </w:tcPr>
          <w:p>
            <w:pPr>
              <w:spacing w:after="0"/>
              <w:rPr>
                <w:sz w:val="16"/>
                <w:szCs w:val="16"/>
                <w:color w:val="auto"/>
              </w:rPr>
            </w:pPr>
          </w:p>
        </w:tc>
        <w:tc>
          <w:tcPr>
            <w:tcW w:w="820" w:type="dxa"/>
            <w:vAlign w:val="bottom"/>
            <w:tcBorders>
              <w:bottom w:val="single" w:sz="8" w:color="auto"/>
            </w:tcBorders>
          </w:tcPr>
          <w:p>
            <w:pPr>
              <w:jc w:val="right"/>
              <w:ind w:right="67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93"/>
              </w:rPr>
              <w:t>20,022</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380" w:type="dxa"/>
            <w:vAlign w:val="bottom"/>
            <w:vMerge w:val="restart"/>
          </w:tcPr>
          <w:p>
            <w:pPr>
              <w:jc w:val="right"/>
              <w:ind w:right="882"/>
              <w:spacing w:after="0"/>
              <w:rPr>
                <w:sz w:val="20"/>
                <w:szCs w:val="20"/>
                <w:color w:val="auto"/>
              </w:rPr>
            </w:pPr>
            <w:r>
              <w:rPr>
                <w:rFonts w:ascii="Arial" w:cs="Arial" w:eastAsia="Arial" w:hAnsi="Arial"/>
                <w:sz w:val="16"/>
                <w:szCs w:val="16"/>
                <w:color w:val="auto"/>
              </w:rPr>
              <w:t>41</w:t>
            </w: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42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28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-6985</wp:posOffset>
            </wp:positionV>
            <wp:extent cx="762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504" w:right="299" w:bottom="1440" w:gutter="0" w:footer="0" w:header="0"/>
        </w:sectPr>
      </w:pPr>
    </w:p>
    <w:bookmarkStart w:id="40" w:name="page41"/>
    <w:bookmarkEnd w:id="40"/>
    <w:p>
      <w:pPr>
        <w:jc w:val="both"/>
        <w:ind w:firstLine="500"/>
        <w:spacing w:after="0" w:line="299" w:lineRule="auto"/>
        <w:rPr>
          <w:sz w:val="20"/>
          <w:szCs w:val="20"/>
          <w:color w:val="auto"/>
        </w:rPr>
      </w:pPr>
      <w:r>
        <w:rPr>
          <w:rFonts w:ascii="Arial" w:cs="Arial" w:eastAsia="Arial" w:hAnsi="Arial"/>
          <w:sz w:val="15"/>
          <w:szCs w:val="15"/>
          <w:i w:val="1"/>
          <w:iCs w:val="1"/>
          <w:color w:val="auto"/>
        </w:rPr>
        <w:t xml:space="preserve">Cash Flows Related to Operating Activities. </w:t>
      </w:r>
      <w:r>
        <w:rPr>
          <w:rFonts w:ascii="Arial" w:cs="Arial" w:eastAsia="Arial" w:hAnsi="Arial"/>
          <w:sz w:val="15"/>
          <w:szCs w:val="15"/>
          <w:color w:val="auto"/>
        </w:rPr>
        <w:t>Cash used in operating activities primarily consisted of a net income adjusted for certain non-cash items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depreciation and amortization, stock-based compensation expenses, provisions for reserves, and the effect of changes in working capital and other activities.</w:t>
      </w:r>
    </w:p>
    <w:p>
      <w:pPr>
        <w:spacing w:after="0" w:line="135" w:lineRule="exact"/>
        <w:rPr>
          <w:sz w:val="20"/>
          <w:szCs w:val="20"/>
          <w:color w:val="auto"/>
        </w:rPr>
      </w:pPr>
    </w:p>
    <w:p>
      <w:pPr>
        <w:jc w:val="both"/>
        <w:ind w:firstLine="500"/>
        <w:spacing w:after="0" w:line="250" w:lineRule="auto"/>
        <w:rPr>
          <w:sz w:val="20"/>
          <w:szCs w:val="20"/>
          <w:color w:val="auto"/>
        </w:rPr>
      </w:pPr>
      <w:r>
        <w:rPr>
          <w:rFonts w:ascii="Arial" w:cs="Arial" w:eastAsia="Arial" w:hAnsi="Arial"/>
          <w:sz w:val="16"/>
          <w:szCs w:val="16"/>
          <w:color w:val="auto"/>
        </w:rPr>
        <w:t>Cash provided by operating activities for fiscal 2020 was $20.3 million and consisted of a net income adjusted for non-cash expense items of $15.2 million and net cash provided by changes in operating assets and liabilities of $5.2 million. Cash used by changes in operating assets and liabilities consisted primarily of an increase in Inventory of $1.3 million due to delayed shipments at the end of the fiscal year as a result of COVID-19. Cash provided by changes in operating assets and liabilities included a decrease in Accounts receivable of $3.6 million due to the timing of billing and customer collections, a decrease in Revenue earned but not billed of $3.2 million due to timing on revenue recognition compared to invoicing.</w:t>
      </w:r>
    </w:p>
    <w:p>
      <w:pPr>
        <w:spacing w:after="0" w:line="171"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5"/>
          <w:szCs w:val="15"/>
          <w:color w:val="auto"/>
        </w:rPr>
        <w:t>Cash used in operating activities for fiscal 2019 was $5.1 million and consisted of a net loss adjusted for non-cash expense items of $4.1 million and net cash used in changes in operating assets and liabilities of $1.0 million. Cash used by changes in operating assets and liabilities consisted of an increase of $5.8 million in Accounts receivable due to the timing of billing and customer collections on comparatively higher fourth quarter sales, an increase in Inventory of $4.7 million due to higher backlog for anticipated first quarter fiscal 2020 sales, and an increase of $1.4 million in Revenue earned but not billed due to timing on revenue recognition compared to invoicing. Cash provided by changes in operating assets and liabilities included an increase of $8.9 million in Accounts payable based on timing of payments and an increase of $2.0 million in Accrued expenses and other primarily due to increased accrued project costs on higher installation volume.</w:t>
      </w:r>
    </w:p>
    <w:p>
      <w:pPr>
        <w:spacing w:after="0" w:line="158" w:lineRule="exact"/>
        <w:rPr>
          <w:sz w:val="20"/>
          <w:szCs w:val="20"/>
          <w:color w:val="auto"/>
        </w:rPr>
      </w:pPr>
    </w:p>
    <w:p>
      <w:pPr>
        <w:jc w:val="both"/>
        <w:ind w:right="20" w:firstLine="500"/>
        <w:spacing w:after="0" w:line="268" w:lineRule="auto"/>
        <w:rPr>
          <w:sz w:val="20"/>
          <w:szCs w:val="20"/>
          <w:color w:val="auto"/>
        </w:rPr>
      </w:pPr>
      <w:r>
        <w:rPr>
          <w:rFonts w:ascii="Arial" w:cs="Arial" w:eastAsia="Arial" w:hAnsi="Arial"/>
          <w:sz w:val="15"/>
          <w:szCs w:val="15"/>
          <w:color w:val="auto"/>
        </w:rPr>
        <w:t>Cash used in operating activities for fiscal 2018 was $4.4 million and consisted of a net loss adjusted for non-cash expense items of $8.0 million and net cash provided by changes in operating assets and liabilities of $3.6 million. Cash used by changes in operating assets and liabilities consisted of a decrease of $1.7 million in Accrued expenses and other primarily due to the timing of payment of commissions and lower accrued bonuses in the current fiscal year, a decrease of $0.1 million in Deferred revenue, current and long term due to the timing of project completion and a decrease of $0.1 million in Deferred contract costs due to the timing of project completions. Cash provided by changes in operating assets and liabilities included a decrease of $0.4 million in Accounts receivable due to the decline in sales and the timing of customer collections, a decrease in Inventory of $4.7 million as a result of increased focus on inventory management in consideration of the lower sales volume, a decrease of $0.5 million in Prepaid and other current assets primarily due to the timing of project billings, and a negligible decrease in accounts payable.</w:t>
      </w:r>
    </w:p>
    <w:p>
      <w:pPr>
        <w:spacing w:after="0" w:line="158"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i w:val="1"/>
          <w:iCs w:val="1"/>
          <w:color w:val="auto"/>
        </w:rPr>
        <w:t xml:space="preserve">Cash Flows Related to Investing Activities. </w:t>
      </w:r>
      <w:r>
        <w:rPr>
          <w:rFonts w:ascii="Arial" w:cs="Arial" w:eastAsia="Arial" w:hAnsi="Arial"/>
          <w:sz w:val="16"/>
          <w:szCs w:val="16"/>
          <w:color w:val="auto"/>
        </w:rPr>
        <w:t>Cash used in investing activities in fiscal 2020 was $0.9 million and consisted primarily of purchases of property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of $0.8 million.</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used in investing activities in fiscal 2019 was $0.4 million and consisted primarily of purchases of property and equipment of $0.4 million.</w:t>
      </w:r>
    </w:p>
    <w:p>
      <w:pPr>
        <w:spacing w:after="0" w:line="193"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Cash used in investing activities in fiscal 2018 was $0.6 million and consisted of purchases of property and equipment of $0.5 million and investment in patents and licenses of $0.1 million.</w:t>
      </w:r>
    </w:p>
    <w:p>
      <w:pPr>
        <w:spacing w:after="0" w:line="157" w:lineRule="exact"/>
        <w:rPr>
          <w:sz w:val="20"/>
          <w:szCs w:val="20"/>
          <w:color w:val="auto"/>
        </w:rPr>
      </w:pPr>
    </w:p>
    <w:p>
      <w:pPr>
        <w:jc w:val="both"/>
        <w:ind w:right="20" w:firstLine="500"/>
        <w:spacing w:after="0" w:line="299" w:lineRule="auto"/>
        <w:rPr>
          <w:sz w:val="20"/>
          <w:szCs w:val="20"/>
          <w:color w:val="auto"/>
        </w:rPr>
      </w:pPr>
      <w:r>
        <w:rPr>
          <w:rFonts w:ascii="Arial" w:cs="Arial" w:eastAsia="Arial" w:hAnsi="Arial"/>
          <w:sz w:val="15"/>
          <w:szCs w:val="15"/>
          <w:i w:val="1"/>
          <w:iCs w:val="1"/>
          <w:color w:val="auto"/>
        </w:rPr>
        <w:t xml:space="preserve">Cash Flows Related to Financing Activities. </w:t>
      </w:r>
      <w:r>
        <w:rPr>
          <w:rFonts w:ascii="Arial" w:cs="Arial" w:eastAsia="Arial" w:hAnsi="Arial"/>
          <w:sz w:val="15"/>
          <w:szCs w:val="15"/>
          <w:color w:val="auto"/>
        </w:rPr>
        <w:t>Cash provided by financing activities in fiscal 2020 was $0.6 million. This cash provided consisted primarily of net proceeds</w:t>
      </w:r>
      <w:r>
        <w:rPr>
          <w:rFonts w:ascii="Arial" w:cs="Arial" w:eastAsia="Arial" w:hAnsi="Arial"/>
          <w:sz w:val="15"/>
          <w:szCs w:val="15"/>
          <w:i w:val="1"/>
          <w:iCs w:val="1"/>
          <w:color w:val="auto"/>
        </w:rPr>
        <w:t xml:space="preserve"> </w:t>
      </w:r>
      <w:r>
        <w:rPr>
          <w:rFonts w:ascii="Arial" w:cs="Arial" w:eastAsia="Arial" w:hAnsi="Arial"/>
          <w:sz w:val="15"/>
          <w:szCs w:val="15"/>
          <w:color w:val="auto"/>
        </w:rPr>
        <w:t>of $0.8 million from our Credit Facility, offset by $0.1 million in debt issue costs due to the Credit Facility and $0.1 million of payment of long-term debt.</w:t>
      </w:r>
    </w:p>
    <w:p>
      <w:pPr>
        <w:spacing w:after="0" w:line="135"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Cash provided by financing activities in fiscal 2019 was $4.8 million. This cash provided consisted primarily of net proceeds of $5.3 million from our Credit Facility, offset by $0.4 million in debt issue costs due to the Credit Facility and $0.1 million of payment of long-term debt.</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used in financing activities in fiscal 2018 was $2.9 million and was due almost entirely to the net repayment of our prior revolving credit facility.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i w:val="1"/>
          <w:iCs w:val="1"/>
          <w:color w:val="auto"/>
        </w:rPr>
        <w:t>Working Capital</w:t>
      </w:r>
    </w:p>
    <w:p>
      <w:pPr>
        <w:spacing w:after="0" w:line="98" w:lineRule="exact"/>
        <w:rPr>
          <w:sz w:val="20"/>
          <w:szCs w:val="20"/>
          <w:color w:val="auto"/>
        </w:rPr>
      </w:pPr>
    </w:p>
    <w:p>
      <w:pPr>
        <w:jc w:val="both"/>
        <w:ind w:right="20" w:firstLine="500"/>
        <w:spacing w:after="0" w:line="249" w:lineRule="auto"/>
        <w:rPr>
          <w:sz w:val="20"/>
          <w:szCs w:val="20"/>
          <w:color w:val="auto"/>
        </w:rPr>
      </w:pPr>
      <w:r>
        <w:rPr>
          <w:rFonts w:ascii="Arial" w:cs="Arial" w:eastAsia="Arial" w:hAnsi="Arial"/>
          <w:sz w:val="16"/>
          <w:szCs w:val="16"/>
          <w:color w:val="auto"/>
        </w:rPr>
        <w:t>Our net working capital as of March 31, 2020 was $27.8 million, consisting of $55.0 million in current assets and $27.2 million in current liabilities. Our net working capital as of March 31, 2019 was $14.0 million, consisting of $41.4 million in current assets and $27.3 million in current liabilities. Our Cash and cash equivalents, net balance increased by $20.0 million from the fiscal 2019 year-end due primarily to increased net income and working capital changes. Our current Accounts receivable, net balance decreased by $4.4 million from the fiscal 2019 year-end due to the timing of billing and customer collections. Our Revenue earned but not billed balance decreased by $3.1 million from the fiscal 2019 year-end due to the timing of billing. Our Inventories, net increased $1.1 million from the fiscal 2019 year-end due to higher backlog as of March 31, 2020 as a result of delayed shipments as impacted by COVID-19.</w:t>
      </w:r>
    </w:p>
    <w:p>
      <w:pPr>
        <w:spacing w:after="0" w:line="172" w:lineRule="exact"/>
        <w:rPr>
          <w:sz w:val="20"/>
          <w:szCs w:val="20"/>
          <w:color w:val="auto"/>
        </w:rPr>
      </w:pPr>
    </w:p>
    <w:p>
      <w:pPr>
        <w:jc w:val="both"/>
        <w:ind w:firstLine="500"/>
        <w:spacing w:after="0" w:line="248" w:lineRule="auto"/>
        <w:rPr>
          <w:sz w:val="20"/>
          <w:szCs w:val="20"/>
          <w:color w:val="auto"/>
        </w:rPr>
      </w:pPr>
      <w:r>
        <w:rPr>
          <w:rFonts w:ascii="Arial" w:cs="Arial" w:eastAsia="Arial" w:hAnsi="Arial"/>
          <w:sz w:val="16"/>
          <w:szCs w:val="16"/>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 In addition, in order to provide quality and timely service under our multi-location master retrofit agreements we are required to make substantial working capital expenditures and advance inventory purchases, including purchases to support the provision of products and services to our largest customer. As a result of our largest customer deferring retrofit installations in March 2020, we are working with the customer to come to an equitable accommodation with respect to our advance purchases. In late fiscal 2020 and early fiscal 2021, we also made increased pre-purchases of components for our products to help mitigate the impact of the COVID-19 pandemic on our supply chain.</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Indebtedness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Agreement</w:t>
      </w:r>
    </w:p>
    <w:p>
      <w:pPr>
        <w:spacing w:after="0" w:line="193" w:lineRule="exact"/>
        <w:rPr>
          <w:sz w:val="20"/>
          <w:szCs w:val="20"/>
          <w:color w:val="auto"/>
        </w:rPr>
      </w:pPr>
    </w:p>
    <w:p>
      <w:pPr>
        <w:jc w:val="both"/>
        <w:ind w:firstLine="500"/>
        <w:spacing w:after="0" w:line="265" w:lineRule="auto"/>
        <w:rPr>
          <w:sz w:val="20"/>
          <w:szCs w:val="20"/>
          <w:color w:val="auto"/>
        </w:rPr>
      </w:pPr>
      <w:r>
        <w:rPr>
          <w:rFonts w:ascii="Arial" w:cs="Arial" w:eastAsia="Arial" w:hAnsi="Arial"/>
          <w:sz w:val="15"/>
          <w:szCs w:val="15"/>
          <w:color w:val="auto"/>
        </w:rPr>
        <w:t>On October 26, 2018, we entered into the Credit Agreement. On June 3, 2019, we and certain of our subsidiaries entered into an amendment (the “First Amendment”) to the Credit Agreement, which increased the maximum borrowing base credit available for certain of the customer receivables included in our borrowing base and provided for a borrowing base credit of up to $3.0 million based on inventory, in each case, subject to certain conditions. On August 2, 2019, we and certain of our subsidiaries entered into a second amendment (the “Second Amendment”) to the Credit Agreement, which established a rent reserve in an amount equal to three months’ rent payable at any leased location where we maintain inventory included in our borrowing base and provided for a reduction of the borrowing base credit that we may receive for inventory if we default under the lease for any such location. As of the date of the Second Amendment, this rent reserve equaled $0.1 million. On November 21, 2019, we entered into a third amendment (the “Third Amendment”) to the Credit Agreement, which extended the maturity date from October 26, 2020 to October 26, 2021; increased the sublimit under the Credit Agreement for advances under business credit cards from $1.5 million to $3 million; created a new $2 million sublimit permitting entry into foreign currency forward contracts with the lender; expanded our ability to make capital expenditures and incur other debt from time to time; and permitted the lender to amend the financial covenant included in the Credit Agreement (which requires the maintenance of a certain amount of unrestricted cash on deposit with the lender at the end of each month) upon receipt of the our annual projections.</w:t>
      </w:r>
    </w:p>
    <w:p>
      <w:pPr>
        <w:spacing w:after="0" w:line="164" w:lineRule="exact"/>
        <w:rPr>
          <w:sz w:val="20"/>
          <w:szCs w:val="20"/>
          <w:color w:val="auto"/>
        </w:rPr>
      </w:pPr>
    </w:p>
    <w:p>
      <w:pPr>
        <w:jc w:val="both"/>
        <w:ind w:firstLine="500"/>
        <w:spacing w:after="0" w:line="274" w:lineRule="auto"/>
        <w:rPr>
          <w:sz w:val="20"/>
          <w:szCs w:val="20"/>
          <w:color w:val="auto"/>
        </w:rPr>
      </w:pPr>
      <w:r>
        <w:rPr>
          <w:rFonts w:ascii="Arial" w:cs="Arial" w:eastAsia="Arial" w:hAnsi="Arial"/>
          <w:sz w:val="15"/>
          <w:szCs w:val="15"/>
          <w:color w:val="auto"/>
        </w:rPr>
        <w:t>The Credit Agreement, as amended, provides for a Credit Facility that matures on October 26, 2021. Borrowings under the Credit Facility are currently limited to $20.15 million, subject to a borrowing base requirement based on eligible receivables and inventory. The Credit Agreement includes a $2.0 million sublimit for the issuance of letters of credit. As of March 31, 2020, our borrowing base was $11.2 million, and we had $10.0 million in borrowings outstanding which were included in non-current liabilities in the accompanying Consolidated Balance Sheets. We had no outstanding letters of credit leaving total borrowing availability of $1.2 million.</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Credit Agreement is secured by a security interest in substantially all of our and our subsidiaries’ personal property.</w:t>
      </w:r>
    </w:p>
    <w:p>
      <w:pPr>
        <w:spacing w:after="0" w:line="193"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Borrowings under the Credit Agreement generally bear interest at floating rates based upon the prime rate (but not less than 5.00% per year) plus an applicable margin determined by reference to our quick ratio (defined as the aggregate amount of unrestricted cash, unrestricted marketable securities and, with certain adjustments, receivables convertible into cash divided by the total current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42" w:name="page43"/>
    <w:bookmarkEnd w:id="42"/>
    <w:p>
      <w:pPr>
        <w:jc w:val="both"/>
        <w:ind w:left="6" w:right="20"/>
        <w:spacing w:after="0" w:line="382" w:lineRule="auto"/>
        <w:rPr>
          <w:sz w:val="20"/>
          <w:szCs w:val="20"/>
          <w:color w:val="auto"/>
        </w:rPr>
      </w:pPr>
      <w:r>
        <w:rPr>
          <w:rFonts w:ascii="Arial" w:cs="Arial" w:eastAsia="Arial" w:hAnsi="Arial"/>
          <w:sz w:val="13"/>
          <w:szCs w:val="13"/>
          <w:color w:val="auto"/>
        </w:rPr>
        <w:t>liabilities, including the obligations under the Credit Agreement). As of March 31, 2020, the applicable interest rate was 5.25%. Among other fees, we are required to pay an annual facility fee equal to 0.45% of the credit limit under the Credit Agreement, which was paid at commencement (October 26, 2018) and is due on each anniversary thereof.</w:t>
      </w:r>
    </w:p>
    <w:p>
      <w:pPr>
        <w:spacing w:after="0" w:line="89" w:lineRule="exact"/>
        <w:rPr>
          <w:sz w:val="20"/>
          <w:szCs w:val="20"/>
          <w:color w:val="auto"/>
        </w:rPr>
      </w:pPr>
    </w:p>
    <w:p>
      <w:pPr>
        <w:jc w:val="both"/>
        <w:ind w:left="6" w:right="20" w:firstLine="500"/>
        <w:spacing w:after="0" w:line="274" w:lineRule="auto"/>
        <w:rPr>
          <w:sz w:val="20"/>
          <w:szCs w:val="20"/>
          <w:color w:val="auto"/>
        </w:rPr>
      </w:pPr>
      <w:r>
        <w:rPr>
          <w:rFonts w:ascii="Arial" w:cs="Arial" w:eastAsia="Arial" w:hAnsi="Arial"/>
          <w:sz w:val="15"/>
          <w:szCs w:val="15"/>
          <w:color w:val="auto"/>
        </w:rPr>
        <w:t>The Credit Agreement requires us to maintain nine months’ of “RML” as of the end of each month. For purposes of the Credit Agreement, RML is defined as, as of the applicable determination date, unrestricted cash on deposit with the lender plus availability under the Credit Agreement divided by an amount equal to, for the applicable trailing three-month period, consolidated net profit before tax, plus depreciation expense, amortization expense and stock-based compensation, minus capital lease principal payments, tested as of the end of each month. As of March 31, 2020, we were in compliance with this RML requirement.</w:t>
      </w:r>
    </w:p>
    <w:p>
      <w:pPr>
        <w:spacing w:after="0" w:line="154" w:lineRule="exact"/>
        <w:rPr>
          <w:sz w:val="20"/>
          <w:szCs w:val="20"/>
          <w:color w:val="auto"/>
        </w:rPr>
      </w:pPr>
    </w:p>
    <w:p>
      <w:pPr>
        <w:jc w:val="both"/>
        <w:ind w:left="6" w:firstLine="500"/>
        <w:spacing w:after="0" w:line="271" w:lineRule="auto"/>
        <w:rPr>
          <w:sz w:val="20"/>
          <w:szCs w:val="20"/>
          <w:color w:val="auto"/>
        </w:rPr>
      </w:pPr>
      <w:r>
        <w:rPr>
          <w:rFonts w:ascii="Arial" w:cs="Arial" w:eastAsia="Arial" w:hAnsi="Arial"/>
          <w:sz w:val="15"/>
          <w:szCs w:val="15"/>
          <w:color w:val="auto"/>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Capital Spending</w:t>
      </w:r>
    </w:p>
    <w:p>
      <w:pPr>
        <w:spacing w:after="0" w:line="98" w:lineRule="exact"/>
        <w:rPr>
          <w:sz w:val="20"/>
          <w:szCs w:val="20"/>
          <w:color w:val="auto"/>
        </w:rPr>
      </w:pPr>
    </w:p>
    <w:p>
      <w:pPr>
        <w:jc w:val="both"/>
        <w:ind w:left="6" w:right="20" w:firstLine="500"/>
        <w:spacing w:after="0" w:line="322" w:lineRule="auto"/>
        <w:rPr>
          <w:sz w:val="20"/>
          <w:szCs w:val="20"/>
          <w:color w:val="auto"/>
        </w:rPr>
      </w:pPr>
      <w:r>
        <w:rPr>
          <w:rFonts w:ascii="Arial" w:cs="Arial" w:eastAsia="Arial" w:hAnsi="Arial"/>
          <w:sz w:val="13"/>
          <w:szCs w:val="13"/>
          <w:color w:val="auto"/>
        </w:rPr>
        <w:t>Our capital expenditures are primarily for general corporate purposes for our corporate headquarters and technology center, production equipment and tooling and for information technology systems. Our capital expenditures totaled $0.8 million in fiscal 2020, $0.5 million in fiscal 2019, and $0.5 million in fiscal 2018. Given the uncertain impact on financial results due to the COVID-19 pandemic, our estimate of forecasted capital expenditures in fiscal 2021 is uncertain. Our capital spending plans predominantly consist of investments related to new product development tooling and equipment and information technology systems. We expect to finance these capital expenditures primarily through our existing cash, equipment secured loans and leases, to the extent needed, long-term debt financing, or by using our Credit Facility.</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Contractual Obligations</w:t>
      </w:r>
    </w:p>
    <w:p>
      <w:pPr>
        <w:spacing w:after="0" w:line="102" w:lineRule="exact"/>
        <w:rPr>
          <w:sz w:val="20"/>
          <w:szCs w:val="20"/>
          <w:color w:val="auto"/>
        </w:rPr>
      </w:pPr>
    </w:p>
    <w:p>
      <w:pPr>
        <w:ind w:left="506"/>
        <w:spacing w:after="0"/>
        <w:rPr>
          <w:sz w:val="20"/>
          <w:szCs w:val="20"/>
          <w:color w:val="auto"/>
        </w:rPr>
      </w:pPr>
      <w:r>
        <w:rPr>
          <w:rFonts w:ascii="Arial" w:cs="Arial" w:eastAsia="Arial" w:hAnsi="Arial"/>
          <w:sz w:val="15"/>
          <w:szCs w:val="15"/>
          <w:color w:val="auto"/>
        </w:rPr>
        <w:t>Information regarding our known contractual obligations of the types described below as of March 31, 2020 is set forth in the following table (dollars in thousands):</w:t>
      </w:r>
    </w:p>
    <w:p>
      <w:pPr>
        <w:spacing w:after="0" w:line="291"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4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5"/>
              </w:rPr>
              <w:t>Payments Due By Period</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13"/>
        </w:trPr>
        <w:tc>
          <w:tcPr>
            <w:tcW w:w="4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ind w:right="206"/>
              <w:spacing w:after="0" w:line="113" w:lineRule="exact"/>
              <w:rPr>
                <w:sz w:val="20"/>
                <w:szCs w:val="20"/>
                <w:color w:val="auto"/>
              </w:rPr>
            </w:pPr>
            <w:r>
              <w:rPr>
                <w:rFonts w:ascii="Arial" w:cs="Arial" w:eastAsia="Arial" w:hAnsi="Arial"/>
                <w:sz w:val="13"/>
                <w:szCs w:val="13"/>
                <w:b w:val="1"/>
                <w:bCs w:val="1"/>
                <w:color w:val="auto"/>
                <w:w w:val="95"/>
              </w:rPr>
              <w:t>Less than</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jc w:val="right"/>
              <w:ind w:right="266"/>
              <w:spacing w:after="0" w:line="113" w:lineRule="exact"/>
              <w:rPr>
                <w:sz w:val="20"/>
                <w:szCs w:val="20"/>
                <w:color w:val="auto"/>
              </w:rPr>
            </w:pPr>
            <w:r>
              <w:rPr>
                <w:rFonts w:ascii="Arial" w:cs="Arial" w:eastAsia="Arial" w:hAnsi="Arial"/>
                <w:sz w:val="13"/>
                <w:szCs w:val="13"/>
                <w:b w:val="1"/>
                <w:bCs w:val="1"/>
                <w:color w:val="auto"/>
                <w:w w:val="99"/>
              </w:rPr>
              <w:t>More than</w:t>
            </w:r>
          </w:p>
        </w:tc>
      </w:tr>
      <w:tr>
        <w:trPr>
          <w:trHeight w:val="149"/>
        </w:trPr>
        <w:tc>
          <w:tcPr>
            <w:tcW w:w="4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6"/>
              <w:spacing w:after="0"/>
              <w:rPr>
                <w:sz w:val="20"/>
                <w:szCs w:val="20"/>
                <w:color w:val="auto"/>
              </w:rPr>
            </w:pPr>
            <w:r>
              <w:rPr>
                <w:rFonts w:ascii="Arial" w:cs="Arial" w:eastAsia="Arial" w:hAnsi="Arial"/>
                <w:sz w:val="13"/>
                <w:szCs w:val="13"/>
                <w:b w:val="1"/>
                <w:bCs w:val="1"/>
                <w:color w:val="auto"/>
              </w:rPr>
              <w:t>1 Year</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2"/>
              </w:rPr>
              <w:t>1-3 Years</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3-5 Years</w:t>
            </w: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5 Years</w:t>
            </w:r>
          </w:p>
        </w:tc>
      </w:tr>
      <w:tr>
        <w:trPr>
          <w:trHeight w:val="133"/>
        </w:trPr>
        <w:tc>
          <w:tcPr>
            <w:tcW w:w="4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84"/>
              </w:rPr>
              <w:t>(in thousands)</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0"/>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Bank debt obligations</w:t>
            </w:r>
          </w:p>
        </w:tc>
        <w:tc>
          <w:tcPr>
            <w:tcW w:w="1060" w:type="dxa"/>
            <w:vAlign w:val="bottom"/>
            <w:gridSpan w:val="2"/>
            <w:shd w:val="clear" w:color="auto" w:fill="CFF0FC"/>
          </w:tcPr>
          <w:p>
            <w:pPr>
              <w:jc w:val="right"/>
              <w:ind w:right="67"/>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10,013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10,013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w:t>
            </w:r>
          </w:p>
        </w:tc>
      </w:tr>
      <w:tr>
        <w:trPr>
          <w:trHeight w:val="200"/>
        </w:trPr>
        <w:tc>
          <w:tcPr>
            <w:tcW w:w="4380" w:type="dxa"/>
            <w:vAlign w:val="bottom"/>
          </w:tcPr>
          <w:p>
            <w:pPr>
              <w:spacing w:after="0"/>
              <w:rPr>
                <w:sz w:val="20"/>
                <w:szCs w:val="20"/>
                <w:color w:val="auto"/>
              </w:rPr>
            </w:pPr>
            <w:r>
              <w:rPr>
                <w:rFonts w:ascii="Arial" w:cs="Arial" w:eastAsia="Arial" w:hAnsi="Arial"/>
                <w:sz w:val="16"/>
                <w:szCs w:val="16"/>
                <w:color w:val="auto"/>
              </w:rPr>
              <w:t>Other debt obligations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6"/>
                <w:szCs w:val="16"/>
                <w:color w:val="auto"/>
              </w:rPr>
              <w:t>—</w:t>
            </w:r>
          </w:p>
        </w:tc>
      </w:tr>
      <w:tr>
        <w:trPr>
          <w:trHeight w:val="200"/>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Cash interest payments on debt</w:t>
            </w: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w:t>
            </w:r>
          </w:p>
        </w:tc>
      </w:tr>
      <w:tr>
        <w:trPr>
          <w:trHeight w:val="200"/>
        </w:trPr>
        <w:tc>
          <w:tcPr>
            <w:tcW w:w="4380" w:type="dxa"/>
            <w:vAlign w:val="bottom"/>
          </w:tcPr>
          <w:p>
            <w:pPr>
              <w:spacing w:after="0"/>
              <w:rPr>
                <w:sz w:val="20"/>
                <w:szCs w:val="20"/>
                <w:color w:val="auto"/>
              </w:rPr>
            </w:pPr>
            <w:r>
              <w:rPr>
                <w:rFonts w:ascii="Arial" w:cs="Arial" w:eastAsia="Arial" w:hAnsi="Arial"/>
                <w:sz w:val="16"/>
                <w:szCs w:val="16"/>
                <w:color w:val="auto"/>
              </w:rPr>
              <w:t>Lease obligations (1)</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4,137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1,368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1,449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6"/>
                <w:szCs w:val="16"/>
                <w:color w:val="auto"/>
              </w:rPr>
              <w:t>628</w:t>
            </w:r>
          </w:p>
        </w:tc>
      </w:tr>
      <w:tr>
        <w:trPr>
          <w:trHeight w:val="200"/>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Purchase order and capital expenditure commitments (2)</w:t>
            </w: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7,740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7,740</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w:t>
            </w:r>
          </w:p>
        </w:tc>
      </w:tr>
      <w:tr>
        <w:trPr>
          <w:trHeight w:val="192"/>
        </w:trPr>
        <w:tc>
          <w:tcPr>
            <w:tcW w:w="4380" w:type="dxa"/>
            <w:vAlign w:val="bottom"/>
          </w:tcPr>
          <w:p>
            <w:pPr>
              <w:spacing w:after="0"/>
              <w:rPr>
                <w:sz w:val="20"/>
                <w:szCs w:val="20"/>
                <w:color w:val="auto"/>
              </w:rPr>
            </w:pPr>
            <w:r>
              <w:rPr>
                <w:rFonts w:ascii="Arial" w:cs="Arial" w:eastAsia="Arial" w:hAnsi="Arial"/>
                <w:sz w:val="16"/>
                <w:szCs w:val="16"/>
                <w:color w:val="auto"/>
              </w:rPr>
              <w:t>Total</w:t>
            </w:r>
          </w:p>
        </w:tc>
        <w:tc>
          <w:tcPr>
            <w:tcW w:w="8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21,981</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8,470</w:t>
            </w:r>
          </w:p>
        </w:tc>
        <w:tc>
          <w:tcPr>
            <w:tcW w:w="6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color w:val="auto"/>
              </w:rPr>
              <w:t>11,414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1,469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color w:val="auto"/>
              </w:rPr>
              <w:t>628</w:t>
            </w:r>
          </w:p>
        </w:tc>
      </w:tr>
      <w:tr>
        <w:trPr>
          <w:trHeight w:val="20"/>
        </w:trPr>
        <w:tc>
          <w:tcPr>
            <w:tcW w:w="4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46" w:hanging="646"/>
        <w:spacing w:after="0"/>
        <w:tabs>
          <w:tab w:leader="none" w:pos="6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Does not reflect the contract modification signed in the first quarter of fiscal 2021 extending the Jacksonville lease another three years.</w:t>
      </w:r>
    </w:p>
    <w:p>
      <w:pPr>
        <w:spacing w:after="0" w:line="15" w:lineRule="exact"/>
        <w:rPr>
          <w:rFonts w:ascii="Arial" w:cs="Arial" w:eastAsia="Arial" w:hAnsi="Arial"/>
          <w:sz w:val="16"/>
          <w:szCs w:val="16"/>
          <w:color w:val="auto"/>
        </w:rPr>
      </w:pPr>
    </w:p>
    <w:p>
      <w:pPr>
        <w:ind w:left="646" w:hanging="646"/>
        <w:spacing w:after="0"/>
        <w:tabs>
          <w:tab w:leader="none" w:pos="646"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Reflects non-cancellable purchase commitments primarily for certain inventory items entered into in order to secure better pricing and ensure materials on hand.</w:t>
      </w:r>
    </w:p>
    <w:p>
      <w:pPr>
        <w:spacing w:after="0" w:line="28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Off-Balance Sheet Arrangements</w:t>
      </w:r>
    </w:p>
    <w:p>
      <w:pPr>
        <w:spacing w:after="0" w:line="102" w:lineRule="exact"/>
        <w:rPr>
          <w:sz w:val="20"/>
          <w:szCs w:val="20"/>
          <w:color w:val="auto"/>
        </w:rPr>
      </w:pPr>
    </w:p>
    <w:p>
      <w:pPr>
        <w:ind w:left="506"/>
        <w:spacing w:after="0"/>
        <w:rPr>
          <w:sz w:val="20"/>
          <w:szCs w:val="20"/>
          <w:color w:val="auto"/>
        </w:rPr>
      </w:pPr>
      <w:r>
        <w:rPr>
          <w:rFonts w:ascii="Arial" w:cs="Arial" w:eastAsia="Arial" w:hAnsi="Arial"/>
          <w:sz w:val="16"/>
          <w:szCs w:val="16"/>
          <w:color w:val="auto"/>
        </w:rPr>
        <w:t>We have no off-balance sheet arrangements.</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470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6"/>
          </w:cols>
          <w:pgMar w:left="314" w:top="503" w:right="31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Inflation</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results from operations have not been, and we do not expect them to be, materially affected by inflation.</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02" w:lineRule="exact"/>
        <w:rPr>
          <w:sz w:val="20"/>
          <w:szCs w:val="20"/>
          <w:color w:val="auto"/>
        </w:rPr>
      </w:pPr>
    </w:p>
    <w:p>
      <w:pPr>
        <w:jc w:val="both"/>
        <w:ind w:firstLine="500"/>
        <w:spacing w:after="0" w:line="269" w:lineRule="auto"/>
        <w:rPr>
          <w:sz w:val="20"/>
          <w:szCs w:val="20"/>
          <w:color w:val="auto"/>
        </w:rPr>
      </w:pPr>
      <w:r>
        <w:rPr>
          <w:rFonts w:ascii="Arial" w:cs="Arial" w:eastAsia="Arial" w:hAnsi="Arial"/>
          <w:sz w:val="15"/>
          <w:szCs w:val="15"/>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below.</w:t>
      </w:r>
    </w:p>
    <w:p>
      <w:pPr>
        <w:spacing w:after="0" w:line="158" w:lineRule="exact"/>
        <w:rPr>
          <w:sz w:val="20"/>
          <w:szCs w:val="20"/>
          <w:color w:val="auto"/>
        </w:rPr>
      </w:pPr>
    </w:p>
    <w:p>
      <w:pPr>
        <w:jc w:val="both"/>
        <w:ind w:firstLine="500"/>
        <w:spacing w:after="0" w:line="269" w:lineRule="auto"/>
        <w:rPr>
          <w:sz w:val="20"/>
          <w:szCs w:val="20"/>
          <w:color w:val="auto"/>
        </w:rPr>
      </w:pPr>
      <w:r>
        <w:rPr>
          <w:rFonts w:ascii="Arial" w:cs="Arial" w:eastAsia="Arial" w:hAnsi="Arial"/>
          <w:sz w:val="15"/>
          <w:szCs w:val="15"/>
          <w:i w:val="1"/>
          <w:iCs w:val="1"/>
          <w:color w:val="auto"/>
        </w:rPr>
        <w:t xml:space="preserve">Revenue Recognition. </w:t>
      </w:r>
      <w:r>
        <w:rPr>
          <w:rFonts w:ascii="Arial" w:cs="Arial" w:eastAsia="Arial" w:hAnsi="Arial"/>
          <w:sz w:val="15"/>
          <w:szCs w:val="15"/>
          <w:color w:val="auto"/>
        </w:rPr>
        <w:t>We generate revenue primarily by selling commercial lighting fixtures and components and by installing these fixtures in our customer’s facilities. We</w:t>
      </w:r>
      <w:r>
        <w:rPr>
          <w:rFonts w:ascii="Arial" w:cs="Arial" w:eastAsia="Arial" w:hAnsi="Arial"/>
          <w:sz w:val="15"/>
          <w:szCs w:val="15"/>
          <w:i w:val="1"/>
          <w:iCs w:val="1"/>
          <w:color w:val="auto"/>
        </w:rPr>
        <w:t xml:space="preserve"> </w:t>
      </w:r>
      <w:r>
        <w:rPr>
          <w:rFonts w:ascii="Arial" w:cs="Arial" w:eastAsia="Arial" w:hAnsi="Arial"/>
          <w:sz w:val="15"/>
          <w:szCs w:val="15"/>
          <w:color w:val="auto"/>
        </w:rPr>
        <w:t>recognize revenue in accordance with the guidance in “Revenue from Contracts with Customers” (Topic 606) (“ASC 606”) when control of the goods or services being provided (which we refer to as a performance obligation) is transferred to a customer at an amount that reflects the consideration we expect to receive in exchange for those goods or services. Prices are generally fixed at the time of order confirmation.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58" w:lineRule="exact"/>
        <w:rPr>
          <w:sz w:val="20"/>
          <w:szCs w:val="20"/>
          <w:color w:val="auto"/>
        </w:rPr>
      </w:pPr>
    </w:p>
    <w:p>
      <w:pPr>
        <w:jc w:val="both"/>
        <w:ind w:firstLine="500"/>
        <w:spacing w:after="0" w:line="329" w:lineRule="auto"/>
        <w:rPr>
          <w:sz w:val="20"/>
          <w:szCs w:val="20"/>
          <w:color w:val="auto"/>
        </w:rPr>
      </w:pPr>
      <w:r>
        <w:rPr>
          <w:rFonts w:ascii="Arial" w:cs="Arial" w:eastAsia="Arial" w:hAnsi="Arial"/>
          <w:sz w:val="13"/>
          <w:szCs w:val="13"/>
          <w:color w:val="auto"/>
        </w:rPr>
        <w:t>If there are multiple performance obligations in a single contract, the contract’s total sales price is allocated to each individual performance obligation based on their relative standalone selling price. A performance obligation’s standalone selling price is the price at which we would sell such promised good or service separately to a customer. We use an observable price to determine the stand-alone selling price for separate performance obligations or a cost-plus margin approach when one is not available. The cost-plus margin approach is used to determine the stand-alone selling price for the installation performance obligation and is based on average historical installation margin.</w:t>
      </w:r>
    </w:p>
    <w:p>
      <w:pPr>
        <w:spacing w:after="0" w:line="122"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Revenue derived from customer contracts which include only performance obligation(s) for the sale of lighting fixtures and components is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69"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Revenue from a customer contract which includes both the sale of fixtures and the installation of such fixtures (which we refer to as a turnkey project) is allocated between each lighting fixture and the installation performance obligation based on relative standalone selling prices.</w:t>
      </w:r>
    </w:p>
    <w:p>
      <w:pPr>
        <w:spacing w:after="0" w:line="157"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5"/>
          <w:szCs w:val="15"/>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our 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75" w:lineRule="exact"/>
        <w:rPr>
          <w:sz w:val="20"/>
          <w:szCs w:val="20"/>
          <w:color w:val="auto"/>
        </w:rPr>
      </w:pPr>
    </w:p>
    <w:p>
      <w:pPr>
        <w:ind w:left="860" w:hanging="372"/>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when there is a legal transfer of ownership;</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when the customer obtains physical possession of the products;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44" w:name="page45"/>
    <w:bookmarkEnd w:id="44"/>
    <w:p>
      <w:pPr>
        <w:ind w:left="866" w:hanging="372"/>
        <w:spacing w:after="0"/>
        <w:tabs>
          <w:tab w:leader="none" w:pos="8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when the customer starts to receive the benefit of the products;</w:t>
      </w:r>
    </w:p>
    <w:p>
      <w:pPr>
        <w:spacing w:after="0" w:line="98" w:lineRule="exact"/>
        <w:rPr>
          <w:rFonts w:ascii="Arial" w:cs="Arial" w:eastAsia="Arial" w:hAnsi="Arial"/>
          <w:sz w:val="16"/>
          <w:szCs w:val="16"/>
          <w:color w:val="auto"/>
        </w:rPr>
      </w:pPr>
    </w:p>
    <w:p>
      <w:pPr>
        <w:ind w:left="866" w:hanging="372"/>
        <w:spacing w:after="0"/>
        <w:tabs>
          <w:tab w:leader="none" w:pos="8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and duration of physical control that we maintain on the products after they are shipped to, and received at, the customer’s facility;</w:t>
      </w:r>
    </w:p>
    <w:p>
      <w:pPr>
        <w:spacing w:after="0" w:line="98" w:lineRule="exact"/>
        <w:rPr>
          <w:rFonts w:ascii="Arial" w:cs="Arial" w:eastAsia="Arial" w:hAnsi="Arial"/>
          <w:sz w:val="16"/>
          <w:szCs w:val="16"/>
          <w:color w:val="auto"/>
        </w:rPr>
      </w:pPr>
    </w:p>
    <w:p>
      <w:pPr>
        <w:ind w:left="866" w:hanging="372"/>
        <w:spacing w:after="0"/>
        <w:tabs>
          <w:tab w:leader="none" w:pos="8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whether we are required to maintain insurance on the lighting fixtures when they are in transit and after they are delivered to the customer’s facility;</w:t>
      </w:r>
    </w:p>
    <w:p>
      <w:pPr>
        <w:spacing w:after="0" w:line="98" w:lineRule="exact"/>
        <w:rPr>
          <w:rFonts w:ascii="Arial" w:cs="Arial" w:eastAsia="Arial" w:hAnsi="Arial"/>
          <w:sz w:val="16"/>
          <w:szCs w:val="16"/>
          <w:color w:val="auto"/>
        </w:rPr>
      </w:pPr>
    </w:p>
    <w:p>
      <w:pPr>
        <w:ind w:left="866" w:hanging="372"/>
        <w:spacing w:after="0"/>
        <w:tabs>
          <w:tab w:leader="none" w:pos="8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when each light fixture is physically installed and working correctly;</w:t>
      </w:r>
    </w:p>
    <w:p>
      <w:pPr>
        <w:spacing w:after="0" w:line="98" w:lineRule="exact"/>
        <w:rPr>
          <w:rFonts w:ascii="Arial" w:cs="Arial" w:eastAsia="Arial" w:hAnsi="Arial"/>
          <w:sz w:val="16"/>
          <w:szCs w:val="16"/>
          <w:color w:val="auto"/>
        </w:rPr>
      </w:pPr>
    </w:p>
    <w:p>
      <w:pPr>
        <w:ind w:left="866" w:hanging="372"/>
        <w:spacing w:after="0"/>
        <w:tabs>
          <w:tab w:leader="none" w:pos="8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when the customer formally accepts the product; and</w:t>
      </w:r>
    </w:p>
    <w:p>
      <w:pPr>
        <w:spacing w:after="0" w:line="98" w:lineRule="exact"/>
        <w:rPr>
          <w:rFonts w:ascii="Arial" w:cs="Arial" w:eastAsia="Arial" w:hAnsi="Arial"/>
          <w:sz w:val="16"/>
          <w:szCs w:val="16"/>
          <w:color w:val="auto"/>
        </w:rPr>
      </w:pPr>
    </w:p>
    <w:p>
      <w:pPr>
        <w:ind w:left="866" w:hanging="372"/>
        <w:spacing w:after="0"/>
        <w:tabs>
          <w:tab w:leader="none" w:pos="8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when we receive payment from the customer for the light fixtures.</w:t>
      </w:r>
    </w:p>
    <w:p>
      <w:pPr>
        <w:spacing w:after="0" w:line="193" w:lineRule="exact"/>
        <w:rPr>
          <w:sz w:val="20"/>
          <w:szCs w:val="20"/>
          <w:color w:val="auto"/>
        </w:rPr>
      </w:pPr>
    </w:p>
    <w:p>
      <w:pPr>
        <w:jc w:val="both"/>
        <w:ind w:left="6" w:firstLine="500"/>
        <w:spacing w:after="0" w:line="252" w:lineRule="auto"/>
        <w:rPr>
          <w:sz w:val="20"/>
          <w:szCs w:val="20"/>
          <w:color w:val="auto"/>
        </w:rPr>
      </w:pPr>
      <w:r>
        <w:rPr>
          <w:rFonts w:ascii="Arial" w:cs="Arial" w:eastAsia="Arial" w:hAnsi="Arial"/>
          <w:sz w:val="16"/>
          <w:szCs w:val="16"/>
          <w:color w:val="auto"/>
        </w:rPr>
        <w:t>Revenue from turnkey projects that is allocated to the single installation performance obligation is reflected in Service revenue. Service revenue is recorded over-time as we fulfill our obligation to install the light fixtures. We measure our performance toward fulfilling our performance obligations for installations using an output method that calculates the number of light fixtures completely removed and installed as of the measurement date in comparison to the total number of light fixtures to be removed and installed under the contract.</w:t>
      </w:r>
    </w:p>
    <w:p>
      <w:pPr>
        <w:spacing w:after="0" w:line="169" w:lineRule="exact"/>
        <w:rPr>
          <w:sz w:val="20"/>
          <w:szCs w:val="20"/>
          <w:color w:val="auto"/>
        </w:rPr>
      </w:pPr>
    </w:p>
    <w:p>
      <w:pPr>
        <w:jc w:val="both"/>
        <w:ind w:left="6" w:firstLine="500"/>
        <w:spacing w:after="0" w:line="342" w:lineRule="auto"/>
        <w:rPr>
          <w:sz w:val="20"/>
          <w:szCs w:val="20"/>
          <w:color w:val="auto"/>
        </w:rPr>
      </w:pPr>
      <w:r>
        <w:rPr>
          <w:rFonts w:ascii="Arial" w:cs="Arial" w:eastAsia="Arial" w:hAnsi="Arial"/>
          <w:sz w:val="13"/>
          <w:szCs w:val="13"/>
          <w:color w:val="auto"/>
        </w:rPr>
        <w:t>Most products are manufactured in accordance with our standard specifications. However, some products are manufactured to a customer’s specific requirements with no alternative use to us. In such cases, and when we have an enforceable right to payment, Product revenue is recorded on an over-time basis measured using an input methodology that calculates the costs incurred to date as compared to total expected costs. There was no over-time revenue related to custom products recognized in fiscal year 2020 or 2019.</w:t>
      </w:r>
    </w:p>
    <w:p>
      <w:pPr>
        <w:spacing w:after="0" w:line="114" w:lineRule="exact"/>
        <w:rPr>
          <w:sz w:val="20"/>
          <w:szCs w:val="20"/>
          <w:color w:val="auto"/>
        </w:rPr>
      </w:pPr>
    </w:p>
    <w:p>
      <w:pPr>
        <w:jc w:val="both"/>
        <w:ind w:left="6" w:firstLine="500"/>
        <w:spacing w:after="0" w:line="255" w:lineRule="auto"/>
        <w:rPr>
          <w:sz w:val="20"/>
          <w:szCs w:val="20"/>
          <w:color w:val="auto"/>
        </w:rPr>
      </w:pPr>
      <w:r>
        <w:rPr>
          <w:rFonts w:ascii="Arial" w:cs="Arial" w:eastAsia="Arial" w:hAnsi="Arial"/>
          <w:sz w:val="16"/>
          <w:szCs w:val="16"/>
          <w:color w:val="auto"/>
        </w:rPr>
        <w:t>We offer a financing program, called an Orion Throughput Agreement, or OTA, for a customer’s lease of our energy management systems. The OTA is structured as a sales-type lease and upon successful installation of the system and customer acknowledgment that the system is operating as specified, revenue is recognized at our net investment in the lease, which typically is the net present value of the future cash flows.</w:t>
      </w:r>
    </w:p>
    <w:p>
      <w:pPr>
        <w:spacing w:after="0" w:line="167" w:lineRule="exact"/>
        <w:rPr>
          <w:sz w:val="20"/>
          <w:szCs w:val="20"/>
          <w:color w:val="auto"/>
        </w:rPr>
      </w:pPr>
    </w:p>
    <w:p>
      <w:pPr>
        <w:jc w:val="both"/>
        <w:ind w:left="6" w:right="20" w:firstLine="500"/>
        <w:spacing w:after="0" w:line="311" w:lineRule="auto"/>
        <w:rPr>
          <w:sz w:val="20"/>
          <w:szCs w:val="20"/>
          <w:color w:val="auto"/>
        </w:rPr>
      </w:pPr>
      <w:r>
        <w:rPr>
          <w:rFonts w:ascii="Arial" w:cs="Arial" w:eastAsia="Arial" w:hAnsi="Arial"/>
          <w:sz w:val="13"/>
          <w:szCs w:val="13"/>
          <w:color w:val="auto"/>
        </w:rPr>
        <w:t>We also record revenue in conjunction with several limited power purchase agreements (“PPAs”) still outstanding. Those PPAs are supply-side agreements for the generation of electricity. Our last PPA expires in 2031. Revenue associated with the sale of energy generated by the solar facilities under these PPAs is within the scope of ASC</w:t>
      </w:r>
    </w:p>
    <w:p>
      <w:pPr>
        <w:spacing w:after="0" w:line="1" w:lineRule="exact"/>
        <w:rPr>
          <w:sz w:val="20"/>
          <w:szCs w:val="20"/>
          <w:color w:val="auto"/>
        </w:rPr>
      </w:pPr>
    </w:p>
    <w:p>
      <w:pPr>
        <w:jc w:val="both"/>
        <w:ind w:left="6" w:hanging="6"/>
        <w:spacing w:after="0" w:line="246" w:lineRule="auto"/>
        <w:tabs>
          <w:tab w:leader="none" w:pos="327"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We also recognize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75" w:lineRule="exact"/>
        <w:rPr>
          <w:sz w:val="20"/>
          <w:szCs w:val="20"/>
          <w:color w:val="auto"/>
        </w:rPr>
      </w:pPr>
    </w:p>
    <w:p>
      <w:pPr>
        <w:jc w:val="both"/>
        <w:ind w:left="6" w:firstLine="500"/>
        <w:spacing w:after="0" w:line="249"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Inventories are stated at the lower of cost or net realizable value and include raw materials, work in process and finished goods. Items are removed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using the first-in, first-out method. Work in process inventories are comprised of raw materials that have been converted into components for final assembly. Inventory amounts include the cost to manufacture the item, such as the cost of raw materials and related freight, labor and other applied overhead costs. We review our inventory for obsolescence. If the net realizable value, which is based upon the estimated selling price, less estimated costs of completion, disposal, and transportation, falls below cost, then the inventory value is reduced to its net realizable value. Our inventory obsolescence reserves at March 31, 2020 were $2.4 million, or 14.3% of gross inventory, and $2.8 million, or 17.4% of gross inventory, at March 31, 2019.</w:t>
      </w:r>
    </w:p>
    <w:p>
      <w:pPr>
        <w:spacing w:after="0" w:line="172" w:lineRule="exact"/>
        <w:rPr>
          <w:sz w:val="20"/>
          <w:szCs w:val="20"/>
          <w:color w:val="auto"/>
        </w:rPr>
      </w:pPr>
    </w:p>
    <w:p>
      <w:pPr>
        <w:jc w:val="both"/>
        <w:ind w:left="6" w:firstLine="500"/>
        <w:spacing w:after="0" w:line="271" w:lineRule="auto"/>
        <w:rPr>
          <w:sz w:val="20"/>
          <w:szCs w:val="20"/>
          <w:color w:val="auto"/>
        </w:rPr>
      </w:pPr>
      <w:r>
        <w:rPr>
          <w:rFonts w:ascii="Arial" w:cs="Arial" w:eastAsia="Arial" w:hAnsi="Arial"/>
          <w:sz w:val="15"/>
          <w:szCs w:val="15"/>
          <w:i w:val="1"/>
          <w:iCs w:val="1"/>
          <w:color w:val="auto"/>
        </w:rPr>
        <w:t xml:space="preserve">Allowance for Doubtful Accounts. </w:t>
      </w:r>
      <w:r>
        <w:rPr>
          <w:rFonts w:ascii="Arial" w:cs="Arial" w:eastAsia="Arial" w:hAnsi="Arial"/>
          <w:sz w:val="15"/>
          <w:szCs w:val="15"/>
          <w:color w:val="auto"/>
        </w:rPr>
        <w:t>We perform ongoing evaluations of our customers and continuously monitor collections and payments and estimate an allowance for</w:t>
      </w:r>
      <w:r>
        <w:rPr>
          <w:rFonts w:ascii="Arial" w:cs="Arial" w:eastAsia="Arial" w:hAnsi="Arial"/>
          <w:sz w:val="15"/>
          <w:szCs w:val="15"/>
          <w:i w:val="1"/>
          <w:iCs w:val="1"/>
          <w:color w:val="auto"/>
        </w:rPr>
        <w:t xml:space="preserve"> </w:t>
      </w:r>
      <w:r>
        <w:rPr>
          <w:rFonts w:ascii="Arial" w:cs="Arial" w:eastAsia="Arial" w:hAnsi="Arial"/>
          <w:sz w:val="15"/>
          <w:szCs w:val="15"/>
          <w:color w:val="auto"/>
        </w:rPr>
        <w:t>doubtful accounts based upon the aging of the underlying receivables, our historical experience with write-offs and specific customer collection issues that we have identified. While such credit losses have historically been within our expectations, and we believe appropriate reserves have been established, we may not adequately predict future credit losses. If the financial condition of our customers were to deteriorate and result in an impairment of their ability to make payments, additional allowances might be required which would result in additional general and administrative expense in the period such</w:t>
      </w:r>
    </w:p>
    <w:p>
      <w:pPr>
        <w:spacing w:after="0" w:line="15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470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6"/>
          </w:cols>
          <w:pgMar w:left="314" w:top="409" w:right="319" w:bottom="1440" w:gutter="0" w:footer="0" w:header="0"/>
        </w:sectPr>
      </w:pPr>
    </w:p>
    <w:bookmarkStart w:id="45" w:name="page46"/>
    <w:bookmarkEnd w:id="45"/>
    <w:p>
      <w:pPr>
        <w:jc w:val="both"/>
        <w:ind w:right="20"/>
        <w:spacing w:after="0" w:line="266" w:lineRule="auto"/>
        <w:rPr>
          <w:sz w:val="20"/>
          <w:szCs w:val="20"/>
          <w:color w:val="auto"/>
        </w:rPr>
      </w:pPr>
      <w:r>
        <w:rPr>
          <w:rFonts w:ascii="Arial" w:cs="Arial" w:eastAsia="Arial" w:hAnsi="Arial"/>
          <w:sz w:val="16"/>
          <w:szCs w:val="16"/>
          <w:color w:val="auto"/>
        </w:rPr>
        <w:t>determination is made. Our allowance for doubtful accounts was twenty-eight thousand dollars, or 0.3% of gross receivables, at March 31, 2020 and $0.2 million, or 1.4% of gross receivables, at March 31, 2019.</w:t>
      </w:r>
    </w:p>
    <w:p>
      <w:pPr>
        <w:spacing w:after="0" w:line="157" w:lineRule="exact"/>
        <w:rPr>
          <w:sz w:val="20"/>
          <w:szCs w:val="20"/>
          <w:color w:val="auto"/>
        </w:rPr>
      </w:pPr>
    </w:p>
    <w:p>
      <w:pPr>
        <w:jc w:val="both"/>
        <w:ind w:firstLine="500"/>
        <w:spacing w:after="0" w:line="313" w:lineRule="auto"/>
        <w:rPr>
          <w:sz w:val="20"/>
          <w:szCs w:val="20"/>
          <w:color w:val="auto"/>
        </w:rPr>
      </w:pPr>
      <w:r>
        <w:rPr>
          <w:rFonts w:ascii="Arial" w:cs="Arial" w:eastAsia="Arial" w:hAnsi="Arial"/>
          <w:sz w:val="13"/>
          <w:szCs w:val="13"/>
          <w:i w:val="1"/>
          <w:iCs w:val="1"/>
          <w:color w:val="auto"/>
        </w:rPr>
        <w:t xml:space="preserve">Recoverability of Long-Lived Assets. </w:t>
      </w:r>
      <w:r>
        <w:rPr>
          <w:rFonts w:ascii="Arial" w:cs="Arial" w:eastAsia="Arial" w:hAnsi="Arial"/>
          <w:sz w:val="13"/>
          <w:szCs w:val="13"/>
          <w:color w:val="auto"/>
        </w:rPr>
        <w:t>We evaluate long-lived assets such as property, equipment and definite lived intangible assets, such as patents, customer relationships,</w:t>
      </w:r>
      <w:r>
        <w:rPr>
          <w:rFonts w:ascii="Arial" w:cs="Arial" w:eastAsia="Arial" w:hAnsi="Arial"/>
          <w:sz w:val="13"/>
          <w:szCs w:val="13"/>
          <w:i w:val="1"/>
          <w:iCs w:val="1"/>
          <w:color w:val="auto"/>
        </w:rPr>
        <w:t xml:space="preserve"> </w:t>
      </w:r>
      <w:r>
        <w:rPr>
          <w:rFonts w:ascii="Arial" w:cs="Arial" w:eastAsia="Arial" w:hAnsi="Arial"/>
          <w:sz w:val="13"/>
          <w:szCs w:val="13"/>
          <w:color w:val="auto"/>
        </w:rPr>
        <w:t>developed technology, and non-competition agreements, for impairment whenever events or circumstances indicate that the carrying value of the assets recognized in our financial statements may not be recoverable. Factors that we consider include whether there has been a significant decrease in the market value of an asset, a significant change in the way an asset is being utilized, or a significant change, delay or departure in our strategy for that asset, or a significant change in the macroeconomic environment, such as the impact of the COVID-19 pandemic. Our assessment of the recoverability of long-lived assets involves significant judgment and estimation. These assessments reflect our assumptions, which, we believe, are consistent with the assumptions hypothetical marketplace participants use. Factors that we must estimate when performing recoverability and impairment tests include, among others, forecasted revenue, margin costs and the economic life of the asset. If impairment is indicated, we first determine if the total estimated future cash flows on an undiscounted basis are less than the carrying amounts of the asset or assets. If so, an impairment loss is measured and recognized.</w:t>
      </w:r>
    </w:p>
    <w:p>
      <w:pPr>
        <w:spacing w:after="0" w:line="135" w:lineRule="exact"/>
        <w:rPr>
          <w:sz w:val="20"/>
          <w:szCs w:val="20"/>
          <w:color w:val="auto"/>
        </w:rPr>
      </w:pPr>
    </w:p>
    <w:p>
      <w:pPr>
        <w:jc w:val="both"/>
        <w:ind w:firstLine="500"/>
        <w:spacing w:after="0" w:line="322" w:lineRule="auto"/>
        <w:rPr>
          <w:sz w:val="20"/>
          <w:szCs w:val="20"/>
          <w:color w:val="auto"/>
        </w:rPr>
      </w:pPr>
      <w:r>
        <w:rPr>
          <w:rFonts w:ascii="Arial" w:cs="Arial" w:eastAsia="Arial" w:hAnsi="Arial"/>
          <w:sz w:val="13"/>
          <w:szCs w:val="13"/>
          <w:color w:val="auto"/>
        </w:rPr>
        <w:t>As of March 31, 2020, due to the forecasted change in the macroeconomic conditions due to the COVID-19 pandemic, a triggering event occurred requiring us to evaluate our long-lived assets for impairment. Due to the central nature of our operations, our tangible and intangible definite-lived assets support our full operations, are utilized by all three of our reportable segments, and do not generate separately identifiable cash flows. As such, these assets together represent a single asset group. We performed the recoverability test for the asset group by comparing the carrying value to the group’s expected future undiscounted cash flows. We concluded that the undiscounted cash flows of the definite lived asset group exceeded the carrying value. As such the asset group was deemed recoverable and no impairment was recorded.</w:t>
      </w:r>
    </w:p>
    <w:p>
      <w:pPr>
        <w:spacing w:after="0" w:line="127" w:lineRule="exact"/>
        <w:rPr>
          <w:sz w:val="20"/>
          <w:szCs w:val="20"/>
          <w:color w:val="auto"/>
        </w:rPr>
      </w:pPr>
    </w:p>
    <w:p>
      <w:pPr>
        <w:jc w:val="both"/>
        <w:ind w:right="20" w:firstLine="500"/>
        <w:spacing w:after="0" w:line="271" w:lineRule="auto"/>
        <w:rPr>
          <w:sz w:val="20"/>
          <w:szCs w:val="20"/>
          <w:color w:val="auto"/>
        </w:rPr>
      </w:pPr>
      <w:r>
        <w:rPr>
          <w:rFonts w:ascii="Arial" w:cs="Arial" w:eastAsia="Arial" w:hAnsi="Arial"/>
          <w:sz w:val="15"/>
          <w:szCs w:val="15"/>
          <w:color w:val="auto"/>
        </w:rPr>
        <w:t>During the second quarter of fiscal 2019, we listed our corporate office building in Manitowoc, Wisconsin for sale or lease to increase liquidity through the divestiture of a non-core asset. Because of the uncertainty of a sale of our building, management concluded that the sale is not probable within the next twelve months, therefore the building continues to be classified as held for use as of March 31, 2020. The building is included in our long-lived asset group, which was evaluated for impairment during the second quarter of fiscal 2020; the asset group was deemed recoverable and no impairment was recorded. However, as the building is currently listed for below its net book value, the sale of our building could result in a non-cash impairment charge in future reporting periods.</w:t>
      </w:r>
    </w:p>
    <w:p>
      <w:pPr>
        <w:spacing w:after="0" w:line="156"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Our impairment loss calculations require that we apply judgment in identifying asset groups, estimating future cash flows, determining asset fair values, and estimating asset’s useful lives. To make these judgments, we may use internal discounted cash flow estimates, quoted market prices, when available, and independent appraisals, as appropriate, to determine fair value.</w:t>
      </w:r>
    </w:p>
    <w:p>
      <w:pPr>
        <w:spacing w:after="0" w:line="167"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If actual results are not consistent with our assumptions and judgments used in estimating future cash flows and asset fair values, we may be required to recognize future impairment losses which could be material to our results of operations.</w:t>
      </w:r>
    </w:p>
    <w:p>
      <w:pPr>
        <w:spacing w:after="0" w:line="157"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5"/>
          <w:szCs w:val="15"/>
          <w:i w:val="1"/>
          <w:iCs w:val="1"/>
          <w:color w:val="auto"/>
        </w:rPr>
        <w:t xml:space="preserve">Indefinite Lived Intangible Assets. </w:t>
      </w:r>
      <w:r>
        <w:rPr>
          <w:rFonts w:ascii="Arial" w:cs="Arial" w:eastAsia="Arial" w:hAnsi="Arial"/>
          <w:sz w:val="15"/>
          <w:szCs w:val="15"/>
          <w:color w:val="auto"/>
        </w:rPr>
        <w:t>We test indefinite lived intangible assets for impairment at least annually on the first day of our fiscal fourth quarter, or when indications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of potential impairment exist. We monitor for the existence of potential impairment indicators throughout the fiscal year. Our annual impairment test may begin with a qualitative test to determine whether it is more likely than not that an indefinite lived intangible asset's carrying value is greater than its fair value. If our qualitative assessment reveals that asset impairment is more likely than not, we perform a quantitative impairment test by comparing the fair value of the indefinite lived intangible asset to its carrying value. Alternatively, we may bypass the qualitative test and initiate impairment testing with the quantitative impairment test.</w:t>
      </w:r>
    </w:p>
    <w:p>
      <w:pPr>
        <w:spacing w:after="0" w:line="156" w:lineRule="exact"/>
        <w:rPr>
          <w:sz w:val="20"/>
          <w:szCs w:val="20"/>
          <w:color w:val="auto"/>
        </w:rPr>
      </w:pPr>
    </w:p>
    <w:p>
      <w:pPr>
        <w:jc w:val="both"/>
        <w:ind w:right="20" w:firstLine="500"/>
        <w:spacing w:after="0" w:line="252" w:lineRule="auto"/>
        <w:rPr>
          <w:sz w:val="20"/>
          <w:szCs w:val="20"/>
          <w:color w:val="auto"/>
        </w:rPr>
      </w:pPr>
      <w:r>
        <w:rPr>
          <w:rFonts w:ascii="Arial" w:cs="Arial" w:eastAsia="Arial" w:hAnsi="Arial"/>
          <w:sz w:val="16"/>
          <w:szCs w:val="16"/>
          <w:color w:val="auto"/>
        </w:rPr>
        <w:t>We performed a qualitative assessment in conjunction with our annual impairment test of our indefinite lived intangible assets as of January 1, 2020. This qualitative assessment considered our operating results for the first nine months of fiscal 2019 in comparison to prior years as well as its anticipated fourth quarter results and fiscal 2020 plan. As a result of the conditions that existed as of the assessment date, an asset impairment was not deemed to be more likely than not and a quantitative analysis was not required.</w:t>
      </w:r>
    </w:p>
    <w:p>
      <w:pPr>
        <w:spacing w:after="0" w:line="169"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We currently issue restricted stock awards to our employees, executive officers and directors. Prior to fiscal 2015, we also issued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these individuals. We apply the provisions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to these restricted stock and stock option awards which requires us to expense the estimated fair value of the awards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46" w:name="page47"/>
    <w:bookmarkEnd w:id="46"/>
    <w:p>
      <w:pPr>
        <w:jc w:val="both"/>
        <w:ind w:right="20"/>
        <w:spacing w:after="0" w:line="266" w:lineRule="auto"/>
        <w:rPr>
          <w:sz w:val="20"/>
          <w:szCs w:val="20"/>
          <w:color w:val="auto"/>
        </w:rPr>
      </w:pPr>
      <w:r>
        <w:rPr>
          <w:rFonts w:ascii="Arial" w:cs="Arial" w:eastAsia="Arial" w:hAnsi="Arial"/>
          <w:sz w:val="16"/>
          <w:szCs w:val="16"/>
          <w:color w:val="auto"/>
        </w:rPr>
        <w:t>based on the fair value of the award on the date of grant. Compensation costs for equity incentives are recognized in earnings, on a straight-line basis over the requisite service period.</w:t>
      </w:r>
    </w:p>
    <w:p>
      <w:pPr>
        <w:spacing w:after="0" w:line="157" w:lineRule="exact"/>
        <w:rPr>
          <w:sz w:val="20"/>
          <w:szCs w:val="20"/>
          <w:color w:val="auto"/>
        </w:rPr>
      </w:pPr>
    </w:p>
    <w:p>
      <w:pPr>
        <w:jc w:val="both"/>
        <w:ind w:firstLine="500"/>
        <w:spacing w:after="0" w:line="249"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our consolidated financial statements, we are required to determine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72" w:lineRule="exact"/>
        <w:rPr>
          <w:sz w:val="20"/>
          <w:szCs w:val="20"/>
          <w:color w:val="auto"/>
        </w:rPr>
      </w:pPr>
    </w:p>
    <w:p>
      <w:pPr>
        <w:jc w:val="both"/>
        <w:ind w:firstLine="500"/>
        <w:spacing w:after="0" w:line="329" w:lineRule="auto"/>
        <w:rPr>
          <w:sz w:val="20"/>
          <w:szCs w:val="20"/>
          <w:color w:val="auto"/>
        </w:rPr>
      </w:pPr>
      <w:r>
        <w:rPr>
          <w:rFonts w:ascii="Arial" w:cs="Arial" w:eastAsia="Arial" w:hAnsi="Arial"/>
          <w:sz w:val="13"/>
          <w:szCs w:val="13"/>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For fiscal 2020, 2019, and 2018 we have recorded a full valuation allowance against our net federal and net state deferred tax assets due to our cumulative three-year taxable losses. In making these determinations, we considered all available positive and negative evidence, including projected future taxable income, tax planning strategies, recent financial performance and ownership changes.</w:t>
      </w:r>
    </w:p>
    <w:p>
      <w:pPr>
        <w:spacing w:after="0" w:line="122"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69"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As of March 31, 2020, we had net operating loss carryforwards of approximately $75.3 million for federal tax purposes and $61.7 million for state tax purposes. As of the prior fiscal year, this amount is inclusive of the entire loss carryforward on the filed returns.</w:t>
      </w:r>
    </w:p>
    <w:p>
      <w:pPr>
        <w:spacing w:after="0" w:line="157" w:lineRule="exact"/>
        <w:rPr>
          <w:sz w:val="20"/>
          <w:szCs w:val="20"/>
          <w:color w:val="auto"/>
        </w:rPr>
      </w:pPr>
    </w:p>
    <w:p>
      <w:pPr>
        <w:jc w:val="both"/>
        <w:ind w:right="20" w:firstLine="500"/>
        <w:spacing w:after="0" w:line="252" w:lineRule="auto"/>
        <w:rPr>
          <w:sz w:val="20"/>
          <w:szCs w:val="20"/>
          <w:color w:val="auto"/>
        </w:rPr>
      </w:pPr>
      <w:r>
        <w:rPr>
          <w:rFonts w:ascii="Arial" w:cs="Arial" w:eastAsia="Arial" w:hAnsi="Arial"/>
          <w:sz w:val="16"/>
          <w:szCs w:val="16"/>
          <w:color w:val="auto"/>
        </w:rPr>
        <w:t>We also had federal tax credit carryforwards of $1.3 million and state tax credit carryforwards of $0.8 million, which are fully reserved for as part of our valuation allowance. Of these tax attributes, $8.5 million of the federal and state net operating loss carryforwards are not subject to time restrictions on use but may only be used to offset 80% of future adjusted taxable income. The $128.5 federal and state net operating loss and tax credit carryforwards will begin to expire in varying amounts between 2024 and 2040.</w:t>
      </w:r>
    </w:p>
    <w:p>
      <w:pPr>
        <w:spacing w:after="0" w:line="169"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We recognize penalties and interest related to uncertain tax liabilities in income tax expense. Penalties and interest were immaterial as of the date of adoption and are included in unrecognized tax benefits.</w:t>
      </w:r>
    </w:p>
    <w:p>
      <w:pPr>
        <w:spacing w:after="0" w:line="157"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5"/>
          <w:szCs w:val="15"/>
          <w:color w:val="auto"/>
        </w:rPr>
        <w:t>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Accounting Standards Codification ("ASC") 740, Income Taxes.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2020, the balance of gross unrecognized tax benefits was approximately $0.3 million, of which $0.2 million would reduce our effective tax rate if recognized. We believe that our estimates and judgments discussed herein are reasonable, however, actual results could differ, which could result in gains or losses that could be material.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02"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See Note 3 –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247"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 About Market Risk</w:t>
      </w:r>
    </w:p>
    <w:p>
      <w:pPr>
        <w:spacing w:after="0" w:line="102"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 xml:space="preserve">Inflation. </w:t>
      </w:r>
      <w:r>
        <w:rPr>
          <w:rFonts w:ascii="Arial" w:cs="Arial" w:eastAsia="Arial" w:hAnsi="Arial"/>
          <w:sz w:val="16"/>
          <w:szCs w:val="16"/>
          <w:color w:val="auto"/>
        </w:rPr>
        <w:t>Our results from operations have not historically been, and we do not expect them to be, materially affected by inflation.</w:t>
      </w:r>
    </w:p>
    <w:p>
      <w:pPr>
        <w:spacing w:after="0" w:line="193"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i w:val="1"/>
          <w:iCs w:val="1"/>
          <w:color w:val="auto"/>
        </w:rPr>
        <w:t xml:space="preserve">Foreign Exchange Risk. </w:t>
      </w:r>
      <w:r>
        <w:rPr>
          <w:rFonts w:ascii="Arial" w:cs="Arial" w:eastAsia="Arial" w:hAnsi="Arial"/>
          <w:sz w:val="16"/>
          <w:szCs w:val="16"/>
          <w:color w:val="auto"/>
        </w:rPr>
        <w:t>We face minimal exposure to adverse movements in foreign currency exchange rates. Our foreign currency losses for all reporting periods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nominal.</w:t>
      </w:r>
    </w:p>
    <w:p>
      <w:pPr>
        <w:spacing w:after="0" w:line="157" w:lineRule="exact"/>
        <w:rPr>
          <w:sz w:val="20"/>
          <w:szCs w:val="20"/>
          <w:color w:val="auto"/>
        </w:rPr>
      </w:pPr>
    </w:p>
    <w:p>
      <w:pPr>
        <w:jc w:val="both"/>
        <w:ind w:right="20" w:firstLine="500"/>
        <w:spacing w:after="0" w:line="252"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Our investments consist primarily of investments in money market funds. While the instruments we hold are subject to changes in the financial 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issuer of such securities, we do not believe that we are subject to any material risks arising from changes in interest rates, foreign currency exchange rates, 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69"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As of March 31, 2020, $10.0 million of our $10.1 million of outstanding debt was at floating interest rates. An increase of 1.0% in the prime rate would result in an increase in our interest expense of approximately $0.1 million.</w:t>
      </w:r>
    </w:p>
    <w:p>
      <w:pPr>
        <w:spacing w:after="0" w:line="157" w:lineRule="exact"/>
        <w:rPr>
          <w:sz w:val="20"/>
          <w:szCs w:val="20"/>
          <w:color w:val="auto"/>
        </w:rPr>
      </w:pPr>
    </w:p>
    <w:p>
      <w:pPr>
        <w:jc w:val="both"/>
        <w:ind w:firstLine="500"/>
        <w:spacing w:after="0" w:line="342" w:lineRule="auto"/>
        <w:rPr>
          <w:sz w:val="20"/>
          <w:szCs w:val="20"/>
          <w:color w:val="auto"/>
        </w:rPr>
      </w:pPr>
      <w:r>
        <w:rPr>
          <w:rFonts w:ascii="Arial" w:cs="Arial" w:eastAsia="Arial" w:hAnsi="Arial"/>
          <w:sz w:val="13"/>
          <w:szCs w:val="13"/>
          <w:i w:val="1"/>
          <w:iCs w:val="1"/>
          <w:color w:val="auto"/>
        </w:rPr>
        <w:t xml:space="preserve">Commodity Price Risk. </w:t>
      </w:r>
      <w:r>
        <w:rPr>
          <w:rFonts w:ascii="Arial" w:cs="Arial" w:eastAsia="Arial" w:hAnsi="Arial"/>
          <w:sz w:val="13"/>
          <w:szCs w:val="13"/>
          <w:color w:val="auto"/>
        </w:rPr>
        <w:t>We are exposed to certain commodity price risks associated with our purchases of raw materials, most significantly our aluminum purchases. A</w:t>
      </w:r>
      <w:r>
        <w:rPr>
          <w:rFonts w:ascii="Arial" w:cs="Arial" w:eastAsia="Arial" w:hAnsi="Arial"/>
          <w:sz w:val="13"/>
          <w:szCs w:val="13"/>
          <w:i w:val="1"/>
          <w:iCs w:val="1"/>
          <w:color w:val="auto"/>
        </w:rPr>
        <w:t xml:space="preserve"> </w:t>
      </w:r>
      <w:r>
        <w:rPr>
          <w:rFonts w:ascii="Arial" w:cs="Arial" w:eastAsia="Arial" w:hAnsi="Arial"/>
          <w:sz w:val="13"/>
          <w:szCs w:val="13"/>
          <w:color w:val="auto"/>
        </w:rPr>
        <w:t>hypothetical 20% increase in aluminum prices would have had a negative impact of $0.7 million on our net income in fiscal 2020. We have not experienced any material adverse impacts from commodity price risk due to the COVID-19 pandemic; however, as of the date of this report, we are not able to predict the future impact of COVID-19 on this risk.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48" w:name="page49"/>
    <w:bookmarkEnd w:id="48"/>
    <w:p>
      <w:pPr>
        <w:spacing w:after="0"/>
        <w:tabs>
          <w:tab w:leader="none" w:pos="72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8"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120" w:type="dxa"/>
            <w:vAlign w:val="bottom"/>
          </w:tcPr>
          <w:p>
            <w:pPr>
              <w:jc w:val="right"/>
              <w:ind w:right="377"/>
              <w:spacing w:after="0"/>
              <w:rPr>
                <w:sz w:val="20"/>
                <w:szCs w:val="20"/>
                <w:color w:val="auto"/>
              </w:rPr>
            </w:pPr>
            <w:r>
              <w:rPr>
                <w:rFonts w:ascii="Arial" w:cs="Arial" w:eastAsia="Arial" w:hAnsi="Arial"/>
                <w:sz w:val="13"/>
                <w:szCs w:val="13"/>
                <w:b w:val="1"/>
                <w:bCs w:val="1"/>
                <w:color w:val="auto"/>
              </w:rPr>
              <w:t>Page</w:t>
            </w:r>
          </w:p>
        </w:tc>
        <w:tc>
          <w:tcPr>
            <w:tcW w:w="20" w:type="dxa"/>
            <w:vAlign w:val="bottom"/>
          </w:tcPr>
          <w:p>
            <w:pPr>
              <w:spacing w:after="0"/>
              <w:rPr>
                <w:sz w:val="13"/>
                <w:szCs w:val="13"/>
                <w:color w:val="auto"/>
              </w:rPr>
            </w:pPr>
          </w:p>
        </w:tc>
      </w:tr>
      <w:tr>
        <w:trPr>
          <w:trHeight w:val="167"/>
        </w:trPr>
        <w:tc>
          <w:tcPr>
            <w:tcW w:w="49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1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4"/>
                <w:szCs w:val="14"/>
                <w:color w:val="auto"/>
              </w:rPr>
            </w:pPr>
          </w:p>
        </w:tc>
      </w:tr>
      <w:tr>
        <w:trPr>
          <w:trHeight w:val="220"/>
        </w:trPr>
        <w:tc>
          <w:tcPr>
            <w:tcW w:w="4920" w:type="dxa"/>
            <w:vAlign w:val="bottom"/>
          </w:tcPr>
          <w:p>
            <w:pPr>
              <w:ind w:left="40"/>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Reports of Independent Registered Public Accounting Firms</w:t>
              </w:r>
            </w:hyperlink>
          </w:p>
        </w:tc>
        <w:tc>
          <w:tcPr>
            <w:tcW w:w="634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9"/>
                <w:szCs w:val="19"/>
                <w:color w:val="auto"/>
              </w:rPr>
            </w:pPr>
          </w:p>
        </w:tc>
      </w:tr>
      <w:tr>
        <w:trPr>
          <w:trHeight w:val="247"/>
        </w:trPr>
        <w:tc>
          <w:tcPr>
            <w:tcW w:w="4920" w:type="dxa"/>
            <w:vAlign w:val="bottom"/>
          </w:tcPr>
          <w:p>
            <w:pPr>
              <w:ind w:left="40"/>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Consolidated Balance Sheets</w:t>
              </w:r>
            </w:hyperlink>
          </w:p>
        </w:tc>
        <w:tc>
          <w:tcPr>
            <w:tcW w:w="634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21"/>
                <w:szCs w:val="21"/>
                <w:color w:val="auto"/>
              </w:rPr>
            </w:pPr>
          </w:p>
        </w:tc>
      </w:tr>
      <w:tr>
        <w:trPr>
          <w:trHeight w:val="247"/>
        </w:trPr>
        <w:tc>
          <w:tcPr>
            <w:tcW w:w="4920" w:type="dxa"/>
            <w:vAlign w:val="bottom"/>
          </w:tcPr>
          <w:p>
            <w:pPr>
              <w:ind w:left="4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Consolidated Statements of Operations and Comprehensive Income</w:t>
              </w:r>
            </w:hyperlink>
          </w:p>
        </w:tc>
        <w:tc>
          <w:tcPr>
            <w:tcW w:w="634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21"/>
                <w:szCs w:val="21"/>
                <w:color w:val="auto"/>
              </w:rPr>
            </w:pPr>
          </w:p>
        </w:tc>
      </w:tr>
      <w:tr>
        <w:trPr>
          <w:trHeight w:val="247"/>
        </w:trPr>
        <w:tc>
          <w:tcPr>
            <w:tcW w:w="4920" w:type="dxa"/>
            <w:vAlign w:val="bottom"/>
          </w:tcPr>
          <w:p>
            <w:pPr>
              <w:ind w:left="40"/>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Consolidated Statements of Shareholders’ Equity</w:t>
              </w:r>
            </w:hyperlink>
          </w:p>
        </w:tc>
        <w:tc>
          <w:tcPr>
            <w:tcW w:w="634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21"/>
                <w:szCs w:val="21"/>
                <w:color w:val="auto"/>
              </w:rPr>
            </w:pPr>
          </w:p>
        </w:tc>
      </w:tr>
      <w:tr>
        <w:trPr>
          <w:trHeight w:val="247"/>
        </w:trPr>
        <w:tc>
          <w:tcPr>
            <w:tcW w:w="4920" w:type="dxa"/>
            <w:vAlign w:val="bottom"/>
          </w:tcPr>
          <w:p>
            <w:pPr>
              <w:ind w:left="40"/>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Consolidated Statements of Cash Flows</w:t>
              </w:r>
            </w:hyperlink>
          </w:p>
        </w:tc>
        <w:tc>
          <w:tcPr>
            <w:tcW w:w="634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21"/>
                <w:szCs w:val="21"/>
                <w:color w:val="auto"/>
              </w:rPr>
            </w:pPr>
          </w:p>
        </w:tc>
      </w:tr>
      <w:tr>
        <w:trPr>
          <w:trHeight w:val="247"/>
        </w:trPr>
        <w:tc>
          <w:tcPr>
            <w:tcW w:w="4920" w:type="dxa"/>
            <w:vAlign w:val="bottom"/>
          </w:tcPr>
          <w:p>
            <w:pPr>
              <w:ind w:left="4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Notes to Consolidated Financial Statements</w:t>
              </w:r>
            </w:hyperlink>
          </w:p>
        </w:tc>
        <w:tc>
          <w:tcPr>
            <w:tcW w:w="634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21"/>
                <w:szCs w:val="21"/>
                <w:color w:val="auto"/>
              </w:rPr>
            </w:pPr>
          </w:p>
        </w:tc>
      </w:tr>
      <w:tr>
        <w:trPr>
          <w:trHeight w:val="400"/>
        </w:trPr>
        <w:tc>
          <w:tcPr>
            <w:tcW w:w="4920" w:type="dxa"/>
            <w:vAlign w:val="bottom"/>
          </w:tcPr>
          <w:p>
            <w:pPr>
              <w:spacing w:after="0"/>
              <w:rPr>
                <w:sz w:val="24"/>
                <w:szCs w:val="24"/>
                <w:color w:val="auto"/>
              </w:rPr>
            </w:pPr>
          </w:p>
        </w:tc>
        <w:tc>
          <w:tcPr>
            <w:tcW w:w="5220" w:type="dxa"/>
            <w:vAlign w:val="bottom"/>
          </w:tcPr>
          <w:p>
            <w:pPr>
              <w:jc w:val="right"/>
              <w:ind w:right="4362"/>
              <w:spacing w:after="0"/>
              <w:rPr>
                <w:sz w:val="20"/>
                <w:szCs w:val="20"/>
                <w:color w:val="auto"/>
              </w:rPr>
            </w:pPr>
            <w:r>
              <w:rPr>
                <w:rFonts w:ascii="Arial" w:cs="Arial" w:eastAsia="Arial" w:hAnsi="Arial"/>
                <w:sz w:val="16"/>
                <w:szCs w:val="16"/>
                <w:color w:val="auto"/>
              </w:rPr>
              <w:t>50</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9"/>
        </w:trPr>
        <w:tc>
          <w:tcPr>
            <w:tcW w:w="4920" w:type="dxa"/>
            <w:vAlign w:val="bottom"/>
            <w:tcBorders>
              <w:bottom w:val="single" w:sz="8" w:color="9A9A9A"/>
            </w:tcBorders>
          </w:tcPr>
          <w:p>
            <w:pPr>
              <w:spacing w:after="0"/>
              <w:rPr>
                <w:sz w:val="8"/>
                <w:szCs w:val="8"/>
                <w:color w:val="auto"/>
              </w:rPr>
            </w:pPr>
          </w:p>
        </w:tc>
        <w:tc>
          <w:tcPr>
            <w:tcW w:w="5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-6985</wp:posOffset>
            </wp:positionV>
            <wp:extent cx="762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1" w:right="299" w:bottom="144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Board of Directors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Orion Energy Systems, Inc.</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Manitowoc, Wisconsin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audited the accompanying consolidated balance sheets of Orion Energy Systems, Inc. (the “Company”) as of March 31, 2020 and 2019, the related consolidated statements of operations, shareholders’ equity, and cash flows for each of the three years in the period ended March 31, 2020, and the related notes (collectively referred to as the “consolidated financial statements”). In our opinion, the consolidated financial statements present fairly, in all material respects, the financial position of the Company at March 31, 2020 and 2019, and the results of its operations and its cash flows for each of the three years in the period ended March 31, 2020,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Emphasis of Matter – COVID-19</w:t>
      </w:r>
    </w:p>
    <w:p>
      <w:pPr>
        <w:spacing w:after="0" w:line="19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more fully described in Note 2 to the consolidated financial statements, the Company has been negatively impacted by the outbreak of a novel coronavirus (COVID-19), which was declared a global pandemic by the World Health Organization in March 2020.</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 BDO USA, LLP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2012.</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June 5, 2020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50" w:name="page51"/>
    <w:bookmarkEnd w:id="50"/>
    <w:p>
      <w:pPr>
        <w:jc w:val="center"/>
        <w:ind w:right="40"/>
        <w:spacing w:after="0"/>
        <w:rPr>
          <w:sz w:val="20"/>
          <w:szCs w:val="20"/>
          <w:color w:val="auto"/>
        </w:rPr>
      </w:pPr>
      <w:r>
        <w:rPr>
          <w:rFonts w:ascii="Arial" w:cs="Arial" w:eastAsia="Arial" w:hAnsi="Arial"/>
          <w:sz w:val="16"/>
          <w:szCs w:val="16"/>
          <w:b w:val="1"/>
          <w:bCs w:val="1"/>
          <w:color w:val="auto"/>
        </w:rPr>
        <w:t>ORION ENERGY SYSTEMS, INC. AND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3"/>
                <w:szCs w:val="13"/>
                <w:b w:val="1"/>
                <w:bCs w:val="1"/>
                <w:color w:val="auto"/>
              </w:rPr>
              <w:t>March 31,</w:t>
            </w:r>
          </w:p>
        </w:tc>
        <w:tc>
          <w:tcPr>
            <w:tcW w:w="12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80" w:type="dxa"/>
            <w:vAlign w:val="bottom"/>
            <w:tcBorders>
              <w:bottom w:val="single" w:sz="8" w:color="CFF0FC"/>
            </w:tcBorders>
          </w:tcPr>
          <w:p>
            <w:pPr>
              <w:spacing w:after="0"/>
              <w:rPr>
                <w:sz w:val="11"/>
                <w:szCs w:val="11"/>
                <w:color w:val="auto"/>
              </w:rPr>
            </w:pPr>
          </w:p>
        </w:tc>
        <w:tc>
          <w:tcPr>
            <w:tcW w:w="2760" w:type="dxa"/>
            <w:vAlign w:val="bottom"/>
            <w:tcBorders>
              <w:bottom w:val="single" w:sz="8" w:color="CFF0FC"/>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2020</w:t>
            </w: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702"/>
              <w:spacing w:after="0" w:line="133" w:lineRule="exact"/>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7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720" w:type="dxa"/>
            <w:vAlign w:val="bottom"/>
            <w:gridSpan w:val="2"/>
          </w:tcPr>
          <w:p>
            <w:pPr>
              <w:jc w:val="right"/>
              <w:ind w:right="81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28,751</w:t>
            </w:r>
          </w:p>
        </w:tc>
        <w:tc>
          <w:tcPr>
            <w:tcW w:w="180" w:type="dxa"/>
            <w:vAlign w:val="bottom"/>
          </w:tcPr>
          <w:p>
            <w:pPr>
              <w:spacing w:after="0"/>
              <w:rPr>
                <w:sz w:val="17"/>
                <w:szCs w:val="17"/>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8,729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 net</w:t>
            </w:r>
          </w:p>
        </w:tc>
        <w:tc>
          <w:tcPr>
            <w:tcW w:w="27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10,427</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14,804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Revenue earned but not billed</w:t>
            </w:r>
          </w:p>
        </w:tc>
        <w:tc>
          <w:tcPr>
            <w:tcW w:w="2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560</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3,746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Inventories, net</w:t>
            </w:r>
          </w:p>
        </w:tc>
        <w:tc>
          <w:tcPr>
            <w:tcW w:w="27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14,507</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Prepaid expenses and other current assets</w:t>
            </w:r>
          </w:p>
        </w:tc>
        <w:tc>
          <w:tcPr>
            <w:tcW w:w="276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723</w:t>
            </w:r>
          </w:p>
        </w:tc>
        <w:tc>
          <w:tcPr>
            <w:tcW w:w="1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current assets</w:t>
            </w:r>
          </w:p>
        </w:tc>
        <w:tc>
          <w:tcPr>
            <w:tcW w:w="27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54,968</w:t>
            </w: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41,377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11,817</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12,010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Other intangible assets, net</w:t>
            </w:r>
          </w:p>
        </w:tc>
        <w:tc>
          <w:tcPr>
            <w:tcW w:w="27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2,216</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2,469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Long-term accounts receivable</w:t>
            </w:r>
          </w:p>
        </w:tc>
        <w:tc>
          <w:tcPr>
            <w:tcW w:w="2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760</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2760" w:type="dxa"/>
            <w:vAlign w:val="bottom"/>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2,802</w:t>
            </w:r>
          </w:p>
        </w:tc>
        <w:tc>
          <w:tcPr>
            <w:tcW w:w="1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9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Total assets</w:t>
            </w:r>
          </w:p>
        </w:tc>
        <w:tc>
          <w:tcPr>
            <w:tcW w:w="276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right"/>
              <w:ind w:right="811"/>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72,563</w:t>
            </w:r>
          </w:p>
        </w:tc>
        <w:tc>
          <w:tcPr>
            <w:tcW w:w="18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56,021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980" w:type="dxa"/>
            <w:vAlign w:val="bottom"/>
            <w:shd w:val="clear" w:color="auto" w:fill="CFF0FC"/>
          </w:tcPr>
          <w:p>
            <w:pPr>
              <w:spacing w:after="0" w:line="175" w:lineRule="exact"/>
              <w:rPr>
                <w:sz w:val="20"/>
                <w:szCs w:val="20"/>
                <w:color w:val="auto"/>
              </w:rPr>
            </w:pPr>
            <w:r>
              <w:rPr>
                <w:rFonts w:ascii="Arial" w:cs="Arial" w:eastAsia="Arial" w:hAnsi="Arial"/>
                <w:sz w:val="16"/>
                <w:szCs w:val="16"/>
                <w:b w:val="1"/>
                <w:bCs w:val="1"/>
                <w:color w:val="auto"/>
              </w:rPr>
              <w:t>Liabilities and Shareholders’ Equity</w:t>
            </w:r>
          </w:p>
        </w:tc>
        <w:tc>
          <w:tcPr>
            <w:tcW w:w="27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Accounts payable</w:t>
            </w:r>
          </w:p>
        </w:tc>
        <w:tc>
          <w:tcPr>
            <w:tcW w:w="3720" w:type="dxa"/>
            <w:vAlign w:val="bottom"/>
            <w:gridSpan w:val="2"/>
          </w:tcPr>
          <w:p>
            <w:pPr>
              <w:jc w:val="right"/>
              <w:ind w:right="81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19,834</w:t>
            </w:r>
          </w:p>
        </w:tc>
        <w:tc>
          <w:tcPr>
            <w:tcW w:w="180" w:type="dxa"/>
            <w:vAlign w:val="bottom"/>
          </w:tcPr>
          <w:p>
            <w:pPr>
              <w:spacing w:after="0"/>
              <w:rPr>
                <w:sz w:val="17"/>
                <w:szCs w:val="17"/>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19,706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Accrued expenses and other</w:t>
            </w:r>
          </w:p>
        </w:tc>
        <w:tc>
          <w:tcPr>
            <w:tcW w:w="27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7,228</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Deferred revenue, current</w:t>
            </w:r>
          </w:p>
        </w:tc>
        <w:tc>
          <w:tcPr>
            <w:tcW w:w="2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Current maturities of long-term debt</w:t>
            </w:r>
          </w:p>
        </w:tc>
        <w:tc>
          <w:tcPr>
            <w:tcW w:w="2760" w:type="dxa"/>
            <w:vAlign w:val="bottom"/>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98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2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27,204</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27,335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Revolving credit facility</w:t>
            </w:r>
          </w:p>
        </w:tc>
        <w:tc>
          <w:tcPr>
            <w:tcW w:w="27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10,013</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9,202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Long-term debt, less current maturities</w:t>
            </w:r>
          </w:p>
        </w:tc>
        <w:tc>
          <w:tcPr>
            <w:tcW w:w="2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 long-term</w:t>
            </w:r>
          </w:p>
        </w:tc>
        <w:tc>
          <w:tcPr>
            <w:tcW w:w="27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715</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liabilities</w:t>
            </w:r>
          </w:p>
        </w:tc>
        <w:tc>
          <w:tcPr>
            <w:tcW w:w="276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3,546</w:t>
            </w:r>
          </w:p>
        </w:tc>
        <w:tc>
          <w:tcPr>
            <w:tcW w:w="1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2760" w:type="dxa"/>
            <w:vAlign w:val="bottom"/>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41,528</w:t>
            </w:r>
          </w:p>
        </w:tc>
        <w:tc>
          <w:tcPr>
            <w:tcW w:w="180" w:type="dxa"/>
            <w:vAlign w:val="bottom"/>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38,051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980" w:type="dxa"/>
            <w:vAlign w:val="bottom"/>
          </w:tcPr>
          <w:p>
            <w:pPr>
              <w:spacing w:after="0"/>
              <w:rPr>
                <w:sz w:val="20"/>
                <w:szCs w:val="20"/>
                <w:color w:val="auto"/>
              </w:rPr>
            </w:pPr>
            <w:r>
              <w:rPr>
                <w:rFonts w:ascii="Arial" w:cs="Arial" w:eastAsia="Arial" w:hAnsi="Arial"/>
                <w:sz w:val="16"/>
                <w:szCs w:val="16"/>
                <w:color w:val="auto"/>
              </w:rPr>
              <w:t>Commitments and contingencies (Note 15)</w:t>
            </w:r>
          </w:p>
        </w:tc>
        <w:tc>
          <w:tcPr>
            <w:tcW w:w="2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Shareholders’ equity:</w:t>
            </w:r>
          </w:p>
        </w:tc>
        <w:tc>
          <w:tcPr>
            <w:tcW w:w="27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980" w:type="dxa"/>
            <w:vAlign w:val="bottom"/>
          </w:tcPr>
          <w:p>
            <w:pPr>
              <w:spacing w:after="0"/>
              <w:rPr>
                <w:sz w:val="20"/>
                <w:szCs w:val="20"/>
                <w:color w:val="auto"/>
              </w:rPr>
            </w:pPr>
            <w:r>
              <w:rPr>
                <w:rFonts w:ascii="Arial" w:cs="Arial" w:eastAsia="Arial" w:hAnsi="Arial"/>
                <w:sz w:val="16"/>
                <w:szCs w:val="16"/>
                <w:color w:val="auto"/>
                <w:w w:val="97"/>
              </w:rPr>
              <w:t>Preferred stock, $0.01 par value: Shares authorized: 30,000,000 shares</w:t>
            </w:r>
          </w:p>
        </w:tc>
        <w:tc>
          <w:tcPr>
            <w:tcW w:w="2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tcPr>
          <w:p>
            <w:pPr>
              <w:ind w:left="120"/>
              <w:spacing w:after="0"/>
              <w:rPr>
                <w:sz w:val="20"/>
                <w:szCs w:val="20"/>
                <w:color w:val="auto"/>
              </w:rPr>
            </w:pPr>
            <w:r>
              <w:rPr>
                <w:rFonts w:ascii="Arial" w:cs="Arial" w:eastAsia="Arial" w:hAnsi="Arial"/>
                <w:sz w:val="16"/>
                <w:szCs w:val="16"/>
                <w:color w:val="auto"/>
              </w:rPr>
              <w:t>at March 31, 2020 and 2019; no shares issued and outstanding at</w:t>
            </w:r>
          </w:p>
        </w:tc>
        <w:tc>
          <w:tcPr>
            <w:tcW w:w="2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80" w:type="dxa"/>
            <w:vAlign w:val="bottom"/>
          </w:tcPr>
          <w:p>
            <w:pPr>
              <w:ind w:left="120"/>
              <w:spacing w:after="0"/>
              <w:rPr>
                <w:sz w:val="20"/>
                <w:szCs w:val="20"/>
                <w:color w:val="auto"/>
              </w:rPr>
            </w:pPr>
            <w:r>
              <w:rPr>
                <w:rFonts w:ascii="Arial" w:cs="Arial" w:eastAsia="Arial" w:hAnsi="Arial"/>
                <w:sz w:val="16"/>
                <w:szCs w:val="16"/>
                <w:color w:val="auto"/>
              </w:rPr>
              <w:t>March 31, 2020 and 2019</w:t>
            </w:r>
          </w:p>
        </w:tc>
        <w:tc>
          <w:tcPr>
            <w:tcW w:w="2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Common stock, no par value: Shares authorized: 200,000,000 at</w:t>
            </w:r>
          </w:p>
        </w:tc>
        <w:tc>
          <w:tcPr>
            <w:tcW w:w="27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March 31, 2020 and 2019; shares issued: 39,729,569 and</w:t>
            </w:r>
          </w:p>
        </w:tc>
        <w:tc>
          <w:tcPr>
            <w:tcW w:w="27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39,037,969 at March 31, 2020 and 2019; shares outstanding:</w:t>
            </w:r>
          </w:p>
        </w:tc>
        <w:tc>
          <w:tcPr>
            <w:tcW w:w="27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30,265,997 and 29,600,158 at March 31, 2020 and 2019</w:t>
            </w:r>
          </w:p>
        </w:tc>
        <w:tc>
          <w:tcPr>
            <w:tcW w:w="27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w w:val="96"/>
              </w:rPr>
              <w:t>156,503</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155,828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Treasury stock: 9,463,572 and 9,437,811 common shares at</w:t>
            </w:r>
          </w:p>
        </w:tc>
        <w:tc>
          <w:tcPr>
            <w:tcW w:w="27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March 31, 2020 and 2019</w:t>
            </w:r>
          </w:p>
        </w:tc>
        <w:tc>
          <w:tcPr>
            <w:tcW w:w="27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(36,163)</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Retained deficit</w:t>
            </w:r>
          </w:p>
        </w:tc>
        <w:tc>
          <w:tcPr>
            <w:tcW w:w="276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(89,305)</w:t>
            </w:r>
          </w:p>
        </w:tc>
        <w:tc>
          <w:tcPr>
            <w:tcW w:w="1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shareholders’ equity</w:t>
            </w:r>
          </w:p>
        </w:tc>
        <w:tc>
          <w:tcPr>
            <w:tcW w:w="2760" w:type="dxa"/>
            <w:vAlign w:val="bottom"/>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31,035</w:t>
            </w:r>
          </w:p>
        </w:tc>
        <w:tc>
          <w:tcPr>
            <w:tcW w:w="180" w:type="dxa"/>
            <w:vAlign w:val="bottom"/>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17,970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8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2760" w:type="dxa"/>
            <w:vAlign w:val="bottom"/>
          </w:tcPr>
          <w:p>
            <w:pPr>
              <w:spacing w:after="0"/>
              <w:rPr>
                <w:sz w:val="16"/>
                <w:szCs w:val="16"/>
                <w:color w:val="auto"/>
              </w:rPr>
            </w:pPr>
          </w:p>
        </w:tc>
        <w:tc>
          <w:tcPr>
            <w:tcW w:w="960" w:type="dxa"/>
            <w:vAlign w:val="bottom"/>
            <w:tcBorders>
              <w:bottom w:val="single" w:sz="8" w:color="auto"/>
            </w:tcBorders>
          </w:tcPr>
          <w:p>
            <w:pPr>
              <w:jc w:val="right"/>
              <w:ind w:right="811"/>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72,563</w:t>
            </w:r>
          </w:p>
        </w:tc>
        <w:tc>
          <w:tcPr>
            <w:tcW w:w="180" w:type="dxa"/>
            <w:vAlign w:val="bottom"/>
          </w:tcPr>
          <w:p>
            <w:pPr>
              <w:spacing w:after="0"/>
              <w:rPr>
                <w:sz w:val="16"/>
                <w:szCs w:val="16"/>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56,021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760" w:type="dxa"/>
            <w:vAlign w:val="bottom"/>
            <w:vMerge w:val="restart"/>
          </w:tcPr>
          <w:p>
            <w:pPr>
              <w:jc w:val="right"/>
              <w:ind w:right="1962"/>
              <w:spacing w:after="0"/>
              <w:rPr>
                <w:sz w:val="20"/>
                <w:szCs w:val="20"/>
                <w:color w:val="auto"/>
              </w:rPr>
            </w:pPr>
            <w:r>
              <w:rPr>
                <w:rFonts w:ascii="Arial" w:cs="Arial" w:eastAsia="Arial" w:hAnsi="Arial"/>
                <w:sz w:val="16"/>
                <w:szCs w:val="16"/>
                <w:color w:val="auto"/>
              </w:rPr>
              <w:t>52</w:t>
            </w: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49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98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-6985</wp:posOffset>
            </wp:positionV>
            <wp:extent cx="762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1" w:right="299" w:bottom="1440" w:gutter="0" w:footer="0" w:header="0"/>
        </w:sectPr>
      </w:pPr>
    </w:p>
    <w:bookmarkStart w:id="51" w:name="page52"/>
    <w:bookmarkEnd w:id="51"/>
    <w:p>
      <w:pPr>
        <w:jc w:val="center"/>
        <w:ind w:right="40"/>
        <w:spacing w:after="0"/>
        <w:rPr>
          <w:sz w:val="20"/>
          <w:szCs w:val="20"/>
          <w:color w:val="auto"/>
        </w:rPr>
      </w:pPr>
      <w:r>
        <w:rPr>
          <w:rFonts w:ascii="Arial" w:cs="Arial" w:eastAsia="Arial" w:hAnsi="Arial"/>
          <w:sz w:val="16"/>
          <w:szCs w:val="16"/>
          <w:b w:val="1"/>
          <w:bCs w:val="1"/>
          <w:color w:val="auto"/>
        </w:rPr>
        <w:t>ORION ENERGY SYSTEMS, INC. AND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1"/>
              </w:rPr>
              <w:t>Fiscal Year Ended March 31,</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80" w:type="dxa"/>
            <w:vAlign w:val="bottom"/>
            <w:tcBorders>
              <w:bottom w:val="single" w:sz="8" w:color="CFF0FC"/>
            </w:tcBorders>
          </w:tcPr>
          <w:p>
            <w:pPr>
              <w:spacing w:after="0"/>
              <w:rPr>
                <w:sz w:val="11"/>
                <w:szCs w:val="11"/>
                <w:color w:val="auto"/>
              </w:rPr>
            </w:pPr>
          </w:p>
        </w:tc>
        <w:tc>
          <w:tcPr>
            <w:tcW w:w="168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2"/>
              <w:spacing w:after="0" w:line="133"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2"/>
              <w:spacing w:after="0" w:line="133"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2"/>
              <w:spacing w:after="0" w:line="133" w:lineRule="exact"/>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Product revenue</w:t>
            </w:r>
          </w:p>
        </w:tc>
        <w:tc>
          <w:tcPr>
            <w:tcW w:w="16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113,352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56,261</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55,595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revenue</w:t>
            </w:r>
          </w:p>
        </w:tc>
        <w:tc>
          <w:tcPr>
            <w:tcW w:w="16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37,489</w:t>
            </w: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9,493</w:t>
            </w: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4,705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revenue</w:t>
            </w:r>
          </w:p>
        </w:tc>
        <w:tc>
          <w:tcPr>
            <w:tcW w:w="16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150,841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65,754</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60,300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83,588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44,111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41,415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Cost of service revenue</w:t>
            </w:r>
          </w:p>
        </w:tc>
        <w:tc>
          <w:tcPr>
            <w:tcW w:w="16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30,130</w:t>
            </w:r>
          </w:p>
        </w:tc>
        <w:tc>
          <w:tcPr>
            <w:tcW w:w="1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7,091</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4,213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9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Total cost of revenue</w:t>
            </w:r>
          </w:p>
        </w:tc>
        <w:tc>
          <w:tcPr>
            <w:tcW w:w="16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113,718</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51,202</w:t>
            </w:r>
          </w:p>
        </w:tc>
        <w:tc>
          <w:tcPr>
            <w:tcW w:w="8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45,628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Gross profit</w:t>
            </w:r>
          </w:p>
        </w:tc>
        <w:tc>
          <w:tcPr>
            <w:tcW w:w="16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37,123</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14,552</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14,672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Operating expenses:</w:t>
            </w: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11,184</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10,231</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Impairment of intangible assets</w:t>
            </w: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w:t>
            </w:r>
          </w:p>
        </w:tc>
        <w:tc>
          <w:tcPr>
            <w:tcW w:w="1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11,113</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9,104</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11,879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Research and development</w:t>
            </w:r>
          </w:p>
        </w:tc>
        <w:tc>
          <w:tcPr>
            <w:tcW w:w="16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1,716</w:t>
            </w: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1,374</w:t>
            </w: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operating expenses</w:t>
            </w:r>
          </w:p>
        </w:tc>
        <w:tc>
          <w:tcPr>
            <w:tcW w:w="168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24,013</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20,709</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27,653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20"/>
                <w:szCs w:val="20"/>
                <w:color w:val="auto"/>
              </w:rPr>
            </w:pPr>
            <w:r>
              <w:rPr>
                <w:rFonts w:ascii="Arial" w:cs="Arial" w:eastAsia="Arial" w:hAnsi="Arial"/>
                <w:sz w:val="16"/>
                <w:szCs w:val="16"/>
                <w:color w:val="auto"/>
              </w:rPr>
              <w:t>Income (loss) from operations</w:t>
            </w: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13,110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(6,157)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Other income</w:t>
            </w: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Amortization of debt issue costs</w:t>
            </w: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6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5</w:t>
            </w:r>
          </w:p>
        </w:tc>
        <w:tc>
          <w:tcPr>
            <w:tcW w:w="1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9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Total other expense</w:t>
            </w:r>
          </w:p>
        </w:tc>
        <w:tc>
          <w:tcPr>
            <w:tcW w:w="16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8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Income (loss) before income tax</w:t>
            </w:r>
          </w:p>
        </w:tc>
        <w:tc>
          <w:tcPr>
            <w:tcW w:w="16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12,621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(6,660)</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 (benefit)</w:t>
            </w:r>
          </w:p>
        </w:tc>
        <w:tc>
          <w:tcPr>
            <w:tcW w:w="16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159</w:t>
            </w: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income (loss)</w:t>
            </w:r>
          </w:p>
        </w:tc>
        <w:tc>
          <w:tcPr>
            <w:tcW w:w="16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12,462</w:t>
            </w: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(6,674)</w:t>
            </w:r>
          </w:p>
        </w:tc>
        <w:tc>
          <w:tcPr>
            <w:tcW w:w="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6"/>
                <w:szCs w:val="16"/>
                <w:color w:val="auto"/>
                <w:w w:val="98"/>
              </w:rPr>
              <w:t>Basic net income (loss) per share attributable to common shareholders</w:t>
            </w: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ind w:right="42"/>
              <w:spacing w:after="0" w:line="175" w:lineRule="exact"/>
              <w:rPr>
                <w:sz w:val="20"/>
                <w:szCs w:val="20"/>
                <w:color w:val="auto"/>
              </w:rPr>
            </w:pPr>
            <w:r>
              <w:rPr>
                <w:rFonts w:ascii="Arial" w:cs="Arial" w:eastAsia="Arial" w:hAnsi="Arial"/>
                <w:sz w:val="16"/>
                <w:szCs w:val="16"/>
                <w:color w:val="auto"/>
              </w:rPr>
              <w:t>0.41</w:t>
            </w:r>
          </w:p>
        </w:tc>
        <w:tc>
          <w:tcPr>
            <w:tcW w:w="160" w:type="dxa"/>
            <w:vAlign w:val="bottom"/>
          </w:tcPr>
          <w:p>
            <w:pPr>
              <w:spacing w:after="0"/>
              <w:rPr>
                <w:sz w:val="15"/>
                <w:szCs w:val="15"/>
                <w:color w:val="auto"/>
              </w:rPr>
            </w:pPr>
          </w:p>
        </w:tc>
        <w:tc>
          <w:tcPr>
            <w:tcW w:w="30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(0.23)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(0.46)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common shares outstanding</w:t>
            </w:r>
          </w:p>
        </w:tc>
        <w:tc>
          <w:tcPr>
            <w:tcW w:w="1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30,104,552</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29,429,540</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28,783,830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Diluted net income (loss) per share</w:t>
            </w:r>
          </w:p>
        </w:tc>
        <w:tc>
          <w:tcPr>
            <w:tcW w:w="198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0.40</w:t>
            </w:r>
          </w:p>
        </w:tc>
        <w:tc>
          <w:tcPr>
            <w:tcW w:w="460" w:type="dxa"/>
            <w:vAlign w:val="bottom"/>
            <w:gridSpan w:val="2"/>
          </w:tcPr>
          <w:p>
            <w:pPr>
              <w:jc w:val="right"/>
              <w:ind w:right="19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(0.23)</w:t>
            </w:r>
          </w:p>
        </w:tc>
        <w:tc>
          <w:tcPr>
            <w:tcW w:w="80" w:type="dxa"/>
            <w:vAlign w:val="bottom"/>
          </w:tcPr>
          <w:p>
            <w:pPr>
              <w:spacing w:after="0"/>
              <w:rPr>
                <w:sz w:val="17"/>
                <w:szCs w:val="17"/>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common shares and share equivalents</w:t>
            </w:r>
          </w:p>
        </w:tc>
        <w:tc>
          <w:tcPr>
            <w:tcW w:w="16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outstanding</w:t>
            </w:r>
          </w:p>
        </w:tc>
        <w:tc>
          <w:tcPr>
            <w:tcW w:w="1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30,964,777</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29,429,540</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28,783,830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7"/>
        </w:trPr>
        <w:tc>
          <w:tcPr>
            <w:tcW w:w="4980" w:type="dxa"/>
            <w:vAlign w:val="bottom"/>
          </w:tcPr>
          <w:p>
            <w:pPr>
              <w:spacing w:after="0"/>
              <w:rPr>
                <w:sz w:val="24"/>
                <w:szCs w:val="24"/>
                <w:color w:val="auto"/>
              </w:rPr>
            </w:pPr>
          </w:p>
        </w:tc>
        <w:tc>
          <w:tcPr>
            <w:tcW w:w="1680" w:type="dxa"/>
            <w:vAlign w:val="bottom"/>
          </w:tcPr>
          <w:p>
            <w:pPr>
              <w:jc w:val="right"/>
              <w:ind w:right="882"/>
              <w:spacing w:after="0"/>
              <w:rPr>
                <w:sz w:val="20"/>
                <w:szCs w:val="20"/>
                <w:color w:val="auto"/>
              </w:rPr>
            </w:pPr>
            <w:r>
              <w:rPr>
                <w:rFonts w:ascii="Arial" w:cs="Arial" w:eastAsia="Arial" w:hAnsi="Arial"/>
                <w:sz w:val="16"/>
                <w:szCs w:val="16"/>
                <w:color w:val="auto"/>
              </w:rPr>
              <w:t>53</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9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-6985</wp:posOffset>
            </wp:positionV>
            <wp:extent cx="762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1" w:right="299" w:bottom="1440" w:gutter="0" w:footer="0" w:header="0"/>
        </w:sectPr>
      </w:pPr>
    </w:p>
    <w:bookmarkStart w:id="52" w:name="page53"/>
    <w:bookmarkEnd w:id="52"/>
    <w:p>
      <w:pPr>
        <w:jc w:val="center"/>
        <w:ind w:right="40"/>
        <w:spacing w:after="0"/>
        <w:rPr>
          <w:sz w:val="20"/>
          <w:szCs w:val="20"/>
          <w:color w:val="auto"/>
        </w:rPr>
      </w:pPr>
      <w:r>
        <w:rPr>
          <w:rFonts w:ascii="Arial" w:cs="Arial" w:eastAsia="Arial" w:hAnsi="Arial"/>
          <w:sz w:val="16"/>
          <w:szCs w:val="16"/>
          <w:b w:val="1"/>
          <w:bCs w:val="1"/>
          <w:color w:val="auto"/>
        </w:rPr>
        <w:t>ORION ENERGY SYSTEMS, INC. AND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STATEMENTS OF SHAREHOLDERS’ EQUITY</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3"/>
                <w:szCs w:val="13"/>
                <w:b w:val="1"/>
                <w:bCs w:val="1"/>
                <w:color w:val="auto"/>
              </w:rPr>
              <w:t>Shareholders’ Equity</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2360" w:type="dxa"/>
            <w:vAlign w:val="bottom"/>
            <w:gridSpan w:val="5"/>
          </w:tcPr>
          <w:p>
            <w:pPr>
              <w:ind w:left="660"/>
              <w:spacing w:after="0" w:line="133" w:lineRule="exact"/>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center"/>
              <w:ind w:right="144"/>
              <w:spacing w:after="0"/>
              <w:rPr>
                <w:sz w:val="20"/>
                <w:szCs w:val="20"/>
                <w:color w:val="auto"/>
              </w:rPr>
            </w:pPr>
            <w:r>
              <w:rPr>
                <w:rFonts w:ascii="Arial" w:cs="Arial" w:eastAsia="Arial" w:hAnsi="Arial"/>
                <w:sz w:val="13"/>
                <w:szCs w:val="13"/>
                <w:b w:val="1"/>
                <w:bCs w:val="1"/>
                <w:color w:val="auto"/>
                <w:w w:val="86"/>
              </w:rPr>
              <w:t>Shareholder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center"/>
              <w:ind w:right="204"/>
              <w:spacing w:after="0"/>
              <w:rPr>
                <w:sz w:val="20"/>
                <w:szCs w:val="20"/>
                <w:color w:val="auto"/>
              </w:rPr>
            </w:pPr>
            <w:r>
              <w:rPr>
                <w:rFonts w:ascii="Arial" w:cs="Arial" w:eastAsia="Arial" w:hAnsi="Arial"/>
                <w:sz w:val="13"/>
                <w:szCs w:val="13"/>
                <w:b w:val="1"/>
                <w:bCs w:val="1"/>
                <w:color w:val="auto"/>
                <w:w w:val="87"/>
              </w:rPr>
              <w:t>Retained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center"/>
              <w:ind w:right="124"/>
              <w:spacing w:after="0"/>
              <w:rPr>
                <w:sz w:val="20"/>
                <w:szCs w:val="20"/>
                <w:color w:val="auto"/>
              </w:rPr>
            </w:pPr>
            <w:r>
              <w:rPr>
                <w:rFonts w:ascii="Arial" w:cs="Arial" w:eastAsia="Arial" w:hAnsi="Arial"/>
                <w:sz w:val="13"/>
                <w:szCs w:val="13"/>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28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104"/>
              <w:spacing w:after="0" w:line="113"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300"/>
              <w:spacing w:after="0" w:line="129"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900" w:type="dxa"/>
            <w:vAlign w:val="bottom"/>
          </w:tcPr>
          <w:p>
            <w:pPr>
              <w:jc w:val="right"/>
              <w:ind w:right="264"/>
              <w:spacing w:after="0" w:line="129" w:lineRule="exact"/>
              <w:rPr>
                <w:sz w:val="20"/>
                <w:szCs w:val="20"/>
                <w:color w:val="auto"/>
              </w:rPr>
            </w:pPr>
            <w:r>
              <w:rPr>
                <w:rFonts w:ascii="Arial" w:cs="Arial" w:eastAsia="Arial" w:hAnsi="Arial"/>
                <w:sz w:val="13"/>
                <w:szCs w:val="13"/>
                <w:b w:val="1"/>
                <w:bCs w:val="1"/>
                <w:color w:val="auto"/>
                <w:w w:val="98"/>
              </w:rPr>
              <w:t>Treasury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44"/>
              <w:spacing w:after="0" w:line="129" w:lineRule="exact"/>
              <w:rPr>
                <w:sz w:val="20"/>
                <w:szCs w:val="20"/>
                <w:color w:val="auto"/>
              </w:rPr>
            </w:pPr>
            <w:r>
              <w:rPr>
                <w:rFonts w:ascii="Arial" w:cs="Arial" w:eastAsia="Arial" w:hAnsi="Arial"/>
                <w:sz w:val="13"/>
                <w:szCs w:val="13"/>
                <w:b w:val="1"/>
                <w:bCs w:val="1"/>
                <w:color w:val="auto"/>
                <w:w w:val="82"/>
              </w:rPr>
              <w:t>Notes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204"/>
              <w:spacing w:after="0" w:line="129" w:lineRule="exact"/>
              <w:rPr>
                <w:sz w:val="20"/>
                <w:szCs w:val="20"/>
                <w:color w:val="auto"/>
              </w:rPr>
            </w:pPr>
            <w:r>
              <w:rPr>
                <w:rFonts w:ascii="Arial" w:cs="Arial" w:eastAsia="Arial" w:hAnsi="Arial"/>
                <w:sz w:val="13"/>
                <w:szCs w:val="13"/>
                <w:b w:val="1"/>
                <w:bCs w:val="1"/>
                <w:color w:val="auto"/>
                <w:w w:val="86"/>
              </w:rPr>
              <w:t>Earnings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44"/>
              <w:spacing w:after="0" w:line="129" w:lineRule="exact"/>
              <w:rPr>
                <w:sz w:val="20"/>
                <w:szCs w:val="20"/>
                <w:color w:val="auto"/>
              </w:rPr>
            </w:pPr>
            <w:r>
              <w:rPr>
                <w:rFonts w:ascii="Arial" w:cs="Arial" w:eastAsia="Arial" w:hAnsi="Arial"/>
                <w:sz w:val="13"/>
                <w:szCs w:val="13"/>
                <w:b w:val="1"/>
                <w:bCs w:val="1"/>
                <w:color w:val="auto"/>
                <w:w w:val="85"/>
              </w:rPr>
              <w:t>Shareholders’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1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2"/>
                <w:szCs w:val="12"/>
                <w:color w:val="auto"/>
              </w:rPr>
            </w:pPr>
          </w:p>
        </w:tc>
        <w:tc>
          <w:tcPr>
            <w:tcW w:w="900" w:type="dxa"/>
            <w:vAlign w:val="bottom"/>
          </w:tcPr>
          <w:p>
            <w:pPr>
              <w:jc w:val="right"/>
              <w:ind w:right="364"/>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44"/>
              <w:spacing w:after="0"/>
              <w:rPr>
                <w:sz w:val="20"/>
                <w:szCs w:val="20"/>
                <w:color w:val="auto"/>
              </w:rPr>
            </w:pPr>
            <w:r>
              <w:rPr>
                <w:rFonts w:ascii="Arial" w:cs="Arial" w:eastAsia="Arial" w:hAnsi="Arial"/>
                <w:sz w:val="13"/>
                <w:szCs w:val="13"/>
                <w:b w:val="1"/>
                <w:bCs w:val="1"/>
                <w:color w:val="auto"/>
                <w:w w:val="85"/>
              </w:rPr>
              <w:t>Receivable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204"/>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24"/>
              <w:spacing w:after="0"/>
              <w:rPr>
                <w:sz w:val="20"/>
                <w:szCs w:val="20"/>
                <w:color w:val="auto"/>
              </w:rPr>
            </w:pPr>
            <w:r>
              <w:rPr>
                <w:rFonts w:ascii="Arial" w:cs="Arial" w:eastAsia="Arial" w:hAnsi="Arial"/>
                <w:sz w:val="13"/>
                <w:szCs w:val="13"/>
                <w:b w:val="1"/>
                <w:bCs w:val="1"/>
                <w:color w:val="auto"/>
                <w:w w:val="90"/>
              </w:rPr>
              <w:t>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March 31, 2017</w:t>
            </w:r>
          </w:p>
        </w:tc>
        <w:tc>
          <w:tcPr>
            <w:tcW w:w="106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28,317,490</w:t>
            </w: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153,901</w:t>
            </w:r>
          </w:p>
        </w:tc>
        <w:tc>
          <w:tcPr>
            <w:tcW w:w="1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(36,081)</w:t>
            </w: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(82,366)</w:t>
            </w: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35,450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6"/>
                <w:szCs w:val="16"/>
                <w:color w:val="auto"/>
              </w:rPr>
              <w:t>Issuance of stock for services</w:t>
            </w: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24,747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Shares issued under Employee Stock Purchase</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Plan</w:t>
            </w:r>
          </w:p>
        </w:tc>
        <w:tc>
          <w:tcPr>
            <w:tcW w:w="106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10,057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612,601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1,102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Employee tax withholdings on stock-based</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(10,482)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6"/>
                <w:szCs w:val="16"/>
                <w:color w:val="auto"/>
              </w:rPr>
              <w:t>Collections on stockholder notes</w:t>
            </w:r>
          </w:p>
        </w:tc>
        <w:tc>
          <w:tcPr>
            <w:tcW w:w="1060" w:type="dxa"/>
            <w:vAlign w:val="bottom"/>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20"/>
                <w:szCs w:val="20"/>
                <w:color w:val="auto"/>
              </w:rPr>
            </w:pPr>
            <w:r>
              <w:rPr>
                <w:rFonts w:ascii="Arial" w:cs="Arial" w:eastAsia="Arial" w:hAnsi="Arial"/>
                <w:sz w:val="16"/>
                <w:szCs w:val="16"/>
                <w:color w:val="auto"/>
              </w:rPr>
              <w:t>Balance, March 31, 2018</w:t>
            </w:r>
          </w:p>
        </w:tc>
        <w:tc>
          <w:tcPr>
            <w:tcW w:w="10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28,953,183</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155,003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(36,085)</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(95,494)</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23,424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Shares issued under Employee Stock Purchase</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Plan</w:t>
            </w:r>
          </w:p>
        </w:tc>
        <w:tc>
          <w:tcPr>
            <w:tcW w:w="106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4,642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653,394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825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Employee tax withholdings on stock-based</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(11,061)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20"/>
                <w:szCs w:val="20"/>
                <w:color w:val="auto"/>
              </w:rPr>
            </w:pPr>
            <w:r>
              <w:rPr>
                <w:rFonts w:ascii="Arial" w:cs="Arial" w:eastAsia="Arial" w:hAnsi="Arial"/>
                <w:sz w:val="16"/>
                <w:szCs w:val="16"/>
                <w:color w:val="auto"/>
                <w:w w:val="94"/>
              </w:rPr>
              <w:t>Cumulative effect of accounting change due to adoption of ASC</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6"/>
                <w:szCs w:val="16"/>
                <w:color w:val="auto"/>
              </w:rPr>
              <w:t>606</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401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20"/>
                <w:szCs w:val="20"/>
                <w:color w:val="auto"/>
              </w:rPr>
            </w:pPr>
            <w:r>
              <w:rPr>
                <w:rFonts w:ascii="Arial" w:cs="Arial" w:eastAsia="Arial" w:hAnsi="Arial"/>
                <w:sz w:val="16"/>
                <w:szCs w:val="16"/>
                <w:color w:val="auto"/>
              </w:rPr>
              <w:t>Balance, March 31, 2019</w:t>
            </w:r>
          </w:p>
        </w:tc>
        <w:tc>
          <w:tcPr>
            <w:tcW w:w="10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29,600,158</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155,828</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(36,091)</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(101,767)</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17,970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 and warrants for cash</w:t>
            </w:r>
          </w:p>
        </w:tc>
        <w:tc>
          <w:tcPr>
            <w:tcW w:w="106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22,362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20"/>
                <w:szCs w:val="20"/>
                <w:color w:val="auto"/>
              </w:rPr>
            </w:pPr>
            <w:r>
              <w:rPr>
                <w:rFonts w:ascii="Arial" w:cs="Arial" w:eastAsia="Arial" w:hAnsi="Arial"/>
                <w:sz w:val="16"/>
                <w:szCs w:val="16"/>
                <w:color w:val="auto"/>
              </w:rPr>
              <w:t>Shares issued under Employee Stock Purchase</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6"/>
                <w:szCs w:val="16"/>
                <w:color w:val="auto"/>
              </w:rPr>
              <w:t>Plan</w:t>
            </w: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2,361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669,238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20"/>
                <w:szCs w:val="20"/>
                <w:color w:val="auto"/>
              </w:rPr>
            </w:pPr>
            <w:r>
              <w:rPr>
                <w:rFonts w:ascii="Arial" w:cs="Arial" w:eastAsia="Arial" w:hAnsi="Arial"/>
                <w:sz w:val="16"/>
                <w:szCs w:val="16"/>
                <w:color w:val="auto"/>
              </w:rPr>
              <w:t>Employee tax withholdings on stock-based</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1060" w:type="dxa"/>
            <w:vAlign w:val="bottom"/>
          </w:tcPr>
          <w:p>
            <w:pPr>
              <w:jc w:val="right"/>
              <w:spacing w:after="0"/>
              <w:rPr>
                <w:sz w:val="20"/>
                <w:szCs w:val="20"/>
                <w:color w:val="auto"/>
              </w:rPr>
            </w:pPr>
            <w:r>
              <w:rPr>
                <w:rFonts w:ascii="Arial" w:cs="Arial" w:eastAsia="Arial" w:hAnsi="Arial"/>
                <w:sz w:val="16"/>
                <w:szCs w:val="16"/>
                <w:color w:val="auto"/>
              </w:rPr>
              <w:t>(28,122)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12,462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12,462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20"/>
                <w:szCs w:val="20"/>
                <w:color w:val="auto"/>
              </w:rPr>
            </w:pPr>
            <w:r>
              <w:rPr>
                <w:rFonts w:ascii="Arial" w:cs="Arial" w:eastAsia="Arial" w:hAnsi="Arial"/>
                <w:sz w:val="16"/>
                <w:szCs w:val="16"/>
                <w:color w:val="auto"/>
              </w:rPr>
              <w:t>Balance, March 31, 2020</w:t>
            </w:r>
          </w:p>
        </w:tc>
        <w:tc>
          <w:tcPr>
            <w:tcW w:w="10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30,265,997</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156,503</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(36,163)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(89,305)</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31,035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4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744"/>
              <w:spacing w:after="0"/>
              <w:rPr>
                <w:sz w:val="20"/>
                <w:szCs w:val="20"/>
                <w:color w:val="auto"/>
              </w:rPr>
            </w:pPr>
            <w:r>
              <w:rPr>
                <w:rFonts w:ascii="Arial" w:cs="Arial" w:eastAsia="Arial" w:hAnsi="Arial"/>
                <w:sz w:val="16"/>
                <w:szCs w:val="16"/>
                <w:color w:val="auto"/>
                <w:w w:val="78"/>
              </w:rPr>
              <w:t>54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-6985</wp:posOffset>
            </wp:positionV>
            <wp:extent cx="762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1" w:right="299" w:bottom="1440" w:gutter="0" w:footer="0" w:header="0"/>
        </w:sectPr>
      </w:pPr>
    </w:p>
    <w:bookmarkStart w:id="53" w:name="page54"/>
    <w:bookmarkEnd w:id="53"/>
    <w:p>
      <w:pPr>
        <w:jc w:val="center"/>
        <w:ind w:right="40"/>
        <w:spacing w:after="0"/>
        <w:rPr>
          <w:sz w:val="20"/>
          <w:szCs w:val="20"/>
          <w:color w:val="auto"/>
        </w:rPr>
      </w:pPr>
      <w:r>
        <w:rPr>
          <w:rFonts w:ascii="Arial" w:cs="Arial" w:eastAsia="Arial" w:hAnsi="Arial"/>
          <w:sz w:val="16"/>
          <w:szCs w:val="16"/>
          <w:b w:val="1"/>
          <w:bCs w:val="1"/>
          <w:color w:val="auto"/>
        </w:rPr>
        <w:t>ORION ENERGY SYSTEMS, INC. AND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1"/>
              </w:rPr>
              <w:t>Fiscal Year Ended March 31,</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260" w:type="dxa"/>
            <w:vAlign w:val="bottom"/>
            <w:tcBorders>
              <w:bottom w:val="single" w:sz="8" w:color="CFF0FC"/>
            </w:tcBorders>
          </w:tcPr>
          <w:p>
            <w:pPr>
              <w:spacing w:after="0"/>
              <w:rPr>
                <w:sz w:val="11"/>
                <w:szCs w:val="11"/>
                <w:color w:val="auto"/>
              </w:rPr>
            </w:pPr>
          </w:p>
        </w:tc>
        <w:tc>
          <w:tcPr>
            <w:tcW w:w="1400" w:type="dxa"/>
            <w:vAlign w:val="bottom"/>
            <w:tcBorders>
              <w:bottom w:val="single" w:sz="8" w:color="CFF0FC"/>
            </w:tcBorders>
          </w:tcPr>
          <w:p>
            <w:pPr>
              <w:spacing w:after="0"/>
              <w:rPr>
                <w:sz w:val="11"/>
                <w:szCs w:val="11"/>
                <w:color w:val="auto"/>
              </w:rPr>
            </w:pP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2020</w:t>
            </w: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2"/>
              <w:spacing w:after="0" w:line="133"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2"/>
              <w:spacing w:after="0" w:line="133" w:lineRule="exact"/>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4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2200" w:type="dxa"/>
            <w:vAlign w:val="bottom"/>
            <w:gridSpan w:val="2"/>
          </w:tcPr>
          <w:p>
            <w:pPr>
              <w:jc w:val="right"/>
              <w:ind w:right="65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2"/>
              <w:spacing w:after="0"/>
              <w:rPr>
                <w:sz w:val="20"/>
                <w:szCs w:val="20"/>
                <w:color w:val="auto"/>
              </w:rPr>
            </w:pPr>
            <w:r>
              <w:rPr>
                <w:rFonts w:ascii="Arial" w:cs="Arial" w:eastAsia="Arial" w:hAnsi="Arial"/>
                <w:sz w:val="16"/>
                <w:szCs w:val="16"/>
                <w:color w:val="auto"/>
                <w:w w:val="98"/>
              </w:rPr>
              <w:t>12,462</w:t>
            </w:r>
          </w:p>
        </w:tc>
        <w:tc>
          <w:tcPr>
            <w:tcW w:w="460" w:type="dxa"/>
            <w:vAlign w:val="bottom"/>
            <w:gridSpan w:val="2"/>
          </w:tcPr>
          <w:p>
            <w:pPr>
              <w:jc w:val="right"/>
              <w:ind w:right="19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(6,674)</w:t>
            </w:r>
          </w:p>
        </w:tc>
        <w:tc>
          <w:tcPr>
            <w:tcW w:w="80" w:type="dxa"/>
            <w:vAlign w:val="bottom"/>
          </w:tcPr>
          <w:p>
            <w:pPr>
              <w:spacing w:after="0"/>
              <w:rPr>
                <w:sz w:val="17"/>
                <w:szCs w:val="17"/>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(loss) to net cash provided by</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320"/>
              <w:spacing w:after="0"/>
              <w:rPr>
                <w:sz w:val="20"/>
                <w:szCs w:val="20"/>
                <w:color w:val="auto"/>
              </w:rPr>
            </w:pPr>
            <w:r>
              <w:rPr>
                <w:rFonts w:ascii="Arial" w:cs="Arial" w:eastAsia="Arial" w:hAnsi="Arial"/>
                <w:sz w:val="16"/>
                <w:szCs w:val="16"/>
                <w:color w:val="auto"/>
              </w:rPr>
              <w:t>(used in) operating activities:</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Depreciation</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1,203</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1,339</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420"/>
              <w:spacing w:after="0"/>
              <w:rPr>
                <w:sz w:val="20"/>
                <w:szCs w:val="20"/>
                <w:color w:val="auto"/>
              </w:rPr>
            </w:pPr>
            <w:r>
              <w:rPr>
                <w:rFonts w:ascii="Arial" w:cs="Arial" w:eastAsia="Arial" w:hAnsi="Arial"/>
                <w:sz w:val="16"/>
                <w:szCs w:val="16"/>
                <w:color w:val="auto"/>
              </w:rPr>
              <w:t>Amortization of intangible assets</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359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444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Stock-based compensation</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618</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825</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420"/>
              <w:spacing w:after="0"/>
              <w:rPr>
                <w:sz w:val="20"/>
                <w:szCs w:val="20"/>
                <w:color w:val="auto"/>
              </w:rPr>
            </w:pPr>
            <w:r>
              <w:rPr>
                <w:rFonts w:ascii="Arial" w:cs="Arial" w:eastAsia="Arial" w:hAnsi="Arial"/>
                <w:sz w:val="16"/>
                <w:szCs w:val="16"/>
                <w:color w:val="auto"/>
              </w:rPr>
              <w:t>Amortization of debt issue costs</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243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Impairment of intangible assets</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420"/>
              <w:spacing w:after="0"/>
              <w:rPr>
                <w:sz w:val="20"/>
                <w:szCs w:val="20"/>
                <w:color w:val="auto"/>
              </w:rPr>
            </w:pPr>
            <w:r>
              <w:rPr>
                <w:rFonts w:ascii="Arial" w:cs="Arial" w:eastAsia="Arial" w:hAnsi="Arial"/>
                <w:sz w:val="16"/>
                <w:szCs w:val="16"/>
                <w:color w:val="auto"/>
              </w:rPr>
              <w:t>Loss on sale of property and equipment</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Provision for inventory reserves</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205</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420"/>
              <w:spacing w:after="0"/>
              <w:rPr>
                <w:sz w:val="20"/>
                <w:szCs w:val="20"/>
                <w:color w:val="auto"/>
              </w:rPr>
            </w:pPr>
            <w:r>
              <w:rPr>
                <w:rFonts w:ascii="Arial" w:cs="Arial" w:eastAsia="Arial" w:hAnsi="Arial"/>
                <w:sz w:val="16"/>
                <w:szCs w:val="16"/>
                <w:color w:val="auto"/>
              </w:rPr>
              <w:t>Provision for bad debts</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57</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57</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receivable</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3,616</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(5,840)</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420"/>
              <w:spacing w:after="0"/>
              <w:rPr>
                <w:sz w:val="20"/>
                <w:szCs w:val="20"/>
                <w:color w:val="auto"/>
              </w:rPr>
            </w:pPr>
            <w:r>
              <w:rPr>
                <w:rFonts w:ascii="Arial" w:cs="Arial" w:eastAsia="Arial" w:hAnsi="Arial"/>
                <w:sz w:val="16"/>
                <w:szCs w:val="16"/>
                <w:color w:val="auto"/>
              </w:rPr>
              <w:t>Revenue earned but not billed</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3,186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(1,390)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Inventories</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(4,689)</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4,706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420"/>
              <w:spacing w:after="0"/>
              <w:rPr>
                <w:sz w:val="20"/>
                <w:szCs w:val="20"/>
                <w:color w:val="auto"/>
              </w:rPr>
            </w:pPr>
            <w:r>
              <w:rPr>
                <w:rFonts w:ascii="Arial" w:cs="Arial" w:eastAsia="Arial" w:hAnsi="Arial"/>
                <w:sz w:val="16"/>
                <w:szCs w:val="16"/>
                <w:color w:val="auto"/>
              </w:rPr>
              <w:t>Deferred contract costs</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Prepaid expenses and other assets</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66</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68</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8,916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Accrued expenses and other liabilities</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1,975</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Deferred revenue, current and long-term</w:t>
            </w:r>
          </w:p>
        </w:tc>
        <w:tc>
          <w:tcPr>
            <w:tcW w:w="140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60" w:type="dxa"/>
            <w:vAlign w:val="bottom"/>
            <w:shd w:val="clear" w:color="auto" w:fill="CFF0FC"/>
          </w:tcPr>
          <w:p>
            <w:pPr>
              <w:ind w:left="20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4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98"/>
              </w:rPr>
              <w:t>20,343</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(5,058)</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26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Purchase of property and equipment</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(814)</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100"/>
              <w:spacing w:after="0"/>
              <w:rPr>
                <w:sz w:val="20"/>
                <w:szCs w:val="20"/>
                <w:color w:val="auto"/>
              </w:rPr>
            </w:pPr>
            <w:r>
              <w:rPr>
                <w:rFonts w:ascii="Arial" w:cs="Arial" w:eastAsia="Arial" w:hAnsi="Arial"/>
                <w:sz w:val="16"/>
                <w:szCs w:val="16"/>
                <w:color w:val="auto"/>
              </w:rPr>
              <w:t>Additions to patents and licenses</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Proceeds from sales of property, plant and equipment</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60" w:type="dxa"/>
            <w:vAlign w:val="bottom"/>
          </w:tcPr>
          <w:p>
            <w:pPr>
              <w:ind w:left="200"/>
              <w:spacing w:after="0"/>
              <w:rPr>
                <w:sz w:val="20"/>
                <w:szCs w:val="20"/>
                <w:color w:val="auto"/>
              </w:rPr>
            </w:pPr>
            <w:r>
              <w:rPr>
                <w:rFonts w:ascii="Arial" w:cs="Arial" w:eastAsia="Arial" w:hAnsi="Arial"/>
                <w:sz w:val="16"/>
                <w:szCs w:val="16"/>
                <w:b w:val="1"/>
                <w:bCs w:val="1"/>
                <w:color w:val="auto"/>
              </w:rPr>
              <w:t>Net cash used in investing activities</w:t>
            </w:r>
          </w:p>
        </w:tc>
        <w:tc>
          <w:tcPr>
            <w:tcW w:w="14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100"/>
              <w:spacing w:after="0"/>
              <w:rPr>
                <w:sz w:val="20"/>
                <w:szCs w:val="20"/>
                <w:color w:val="auto"/>
              </w:rPr>
            </w:pPr>
            <w:r>
              <w:rPr>
                <w:rFonts w:ascii="Arial" w:cs="Arial" w:eastAsia="Arial" w:hAnsi="Arial"/>
                <w:sz w:val="16"/>
                <w:szCs w:val="16"/>
                <w:color w:val="auto"/>
              </w:rPr>
              <w:t>Payment of long-term debt</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Proceeds from revolving credit facility</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98"/>
              </w:rPr>
              <w:t>74,100</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60,270</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68,734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100"/>
              <w:spacing w:after="0"/>
              <w:rPr>
                <w:sz w:val="20"/>
                <w:szCs w:val="20"/>
                <w:color w:val="auto"/>
              </w:rPr>
            </w:pPr>
            <w:r>
              <w:rPr>
                <w:rFonts w:ascii="Arial" w:cs="Arial" w:eastAsia="Arial" w:hAnsi="Arial"/>
                <w:sz w:val="16"/>
                <w:szCs w:val="16"/>
                <w:color w:val="auto"/>
              </w:rPr>
              <w:t>Payment of revolving credit facility</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0"/>
              </w:rPr>
              <w:t>(73,289)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(54,976)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(71,456)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Payments to settle employee tax withholdings on stock-based</w:t>
            </w:r>
          </w:p>
        </w:tc>
        <w:tc>
          <w:tcPr>
            <w:tcW w:w="14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compensation</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100"/>
              <w:spacing w:after="0"/>
              <w:rPr>
                <w:sz w:val="20"/>
                <w:szCs w:val="20"/>
                <w:color w:val="auto"/>
              </w:rPr>
            </w:pPr>
            <w:r>
              <w:rPr>
                <w:rFonts w:ascii="Arial" w:cs="Arial" w:eastAsia="Arial" w:hAnsi="Arial"/>
                <w:sz w:val="16"/>
                <w:szCs w:val="16"/>
                <w:color w:val="auto"/>
              </w:rPr>
              <w:t>Debt issue costs</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Net proceeds from employee equity exercises</w:t>
            </w:r>
          </w:p>
        </w:tc>
        <w:tc>
          <w:tcPr>
            <w:tcW w:w="1400" w:type="dxa"/>
            <w:vAlign w:val="bottom"/>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60" w:type="dxa"/>
            <w:vAlign w:val="bottom"/>
          </w:tcPr>
          <w:p>
            <w:pPr>
              <w:ind w:left="20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615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4,812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and cash equivalents</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98"/>
              </w:rPr>
              <w:t>20,022</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140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8,729</w:t>
            </w: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9,424</w:t>
            </w: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17,307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at end of period</w:t>
            </w:r>
          </w:p>
        </w:tc>
        <w:tc>
          <w:tcPr>
            <w:tcW w:w="14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65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98"/>
              </w:rPr>
              <w:t>28,751</w:t>
            </w: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8,729</w:t>
            </w:r>
          </w:p>
        </w:tc>
        <w:tc>
          <w:tcPr>
            <w:tcW w:w="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9,424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1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Cash paid for interest</w:t>
            </w:r>
          </w:p>
        </w:tc>
        <w:tc>
          <w:tcPr>
            <w:tcW w:w="2200" w:type="dxa"/>
            <w:vAlign w:val="bottom"/>
            <w:gridSpan w:val="2"/>
            <w:shd w:val="clear" w:color="auto" w:fill="CFF0FC"/>
          </w:tcPr>
          <w:p>
            <w:pPr>
              <w:jc w:val="right"/>
              <w:ind w:right="652"/>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100"/>
              <w:spacing w:after="0"/>
              <w:rPr>
                <w:sz w:val="20"/>
                <w:szCs w:val="20"/>
                <w:color w:val="auto"/>
              </w:rPr>
            </w:pPr>
            <w:r>
              <w:rPr>
                <w:rFonts w:ascii="Arial" w:cs="Arial" w:eastAsia="Arial" w:hAnsi="Arial"/>
                <w:sz w:val="16"/>
                <w:szCs w:val="16"/>
                <w:color w:val="auto"/>
              </w:rPr>
              <w:t>Cash (paid) received for income taxes</w:t>
            </w:r>
          </w:p>
        </w:tc>
        <w:tc>
          <w:tcPr>
            <w:tcW w:w="2200" w:type="dxa"/>
            <w:vAlign w:val="bottom"/>
            <w:gridSpan w:val="2"/>
          </w:tcPr>
          <w:p>
            <w:pPr>
              <w:jc w:val="right"/>
              <w:ind w:right="65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c>
          <w:tcPr>
            <w:tcW w:w="460" w:type="dxa"/>
            <w:vAlign w:val="bottom"/>
            <w:gridSpan w:val="2"/>
          </w:tcPr>
          <w:p>
            <w:pPr>
              <w:jc w:val="right"/>
              <w:ind w:right="19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5"/>
              </w:rPr>
              <w:t>Supplemental disclosure of non-cash investing and financing activities:</w:t>
            </w:r>
          </w:p>
        </w:tc>
        <w:tc>
          <w:tcPr>
            <w:tcW w:w="1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100"/>
              <w:spacing w:after="0"/>
              <w:rPr>
                <w:sz w:val="20"/>
                <w:szCs w:val="20"/>
                <w:color w:val="auto"/>
              </w:rPr>
            </w:pPr>
            <w:r>
              <w:rPr>
                <w:rFonts w:ascii="Arial" w:cs="Arial" w:eastAsia="Arial" w:hAnsi="Arial"/>
                <w:sz w:val="16"/>
                <w:szCs w:val="16"/>
                <w:color w:val="auto"/>
              </w:rPr>
              <w:t>Purchase of property, plant and equipment by issuing a debt</w:t>
            </w:r>
          </w:p>
        </w:tc>
        <w:tc>
          <w:tcPr>
            <w:tcW w:w="2200" w:type="dxa"/>
            <w:vAlign w:val="bottom"/>
            <w:gridSpan w:val="2"/>
          </w:tcPr>
          <w:p>
            <w:pPr>
              <w:jc w:val="right"/>
              <w:ind w:right="65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9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7"/>
                <w:szCs w:val="17"/>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2"/>
              </w:rPr>
              <w:t>Operating lease assets obtained in exchange for new operating lease liabilities</w:t>
            </w:r>
          </w:p>
        </w:tc>
        <w:tc>
          <w:tcPr>
            <w:tcW w:w="2200" w:type="dxa"/>
            <w:vAlign w:val="bottom"/>
            <w:gridSpan w:val="2"/>
            <w:shd w:val="clear" w:color="auto" w:fill="CFF0FC"/>
          </w:tcPr>
          <w:p>
            <w:pPr>
              <w:jc w:val="right"/>
              <w:ind w:right="652"/>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2,757</w:t>
            </w: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7"/>
        </w:trPr>
        <w:tc>
          <w:tcPr>
            <w:tcW w:w="5260" w:type="dxa"/>
            <w:vAlign w:val="bottom"/>
          </w:tcPr>
          <w:p>
            <w:pPr>
              <w:spacing w:after="0"/>
              <w:rPr>
                <w:sz w:val="24"/>
                <w:szCs w:val="24"/>
                <w:color w:val="auto"/>
              </w:rPr>
            </w:pPr>
          </w:p>
        </w:tc>
        <w:tc>
          <w:tcPr>
            <w:tcW w:w="1400" w:type="dxa"/>
            <w:vAlign w:val="bottom"/>
          </w:tcPr>
          <w:p>
            <w:pPr>
              <w:jc w:val="right"/>
              <w:ind w:right="882"/>
              <w:spacing w:after="0"/>
              <w:rPr>
                <w:sz w:val="20"/>
                <w:szCs w:val="20"/>
                <w:color w:val="auto"/>
              </w:rPr>
            </w:pPr>
            <w:r>
              <w:rPr>
                <w:rFonts w:ascii="Arial" w:cs="Arial" w:eastAsia="Arial" w:hAnsi="Arial"/>
                <w:sz w:val="16"/>
                <w:szCs w:val="16"/>
                <w:color w:val="auto"/>
              </w:rPr>
              <w:t>55</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52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-6985</wp:posOffset>
            </wp:positionV>
            <wp:extent cx="762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1" w:right="29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ORION ENERGY SYSTEMS, INC. AND SUBSIDIARIES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DESCRIPTION OF BUSINESS</w:t>
      </w:r>
    </w:p>
    <w:p>
      <w:pPr>
        <w:spacing w:after="0" w:line="102"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Orion’s corporate offices and leased primary manufacturing operations are located in Manitowoc, Wisconsin. Orion also leases office space in Jacksonville, Florida.</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IMPACT OF COVID-19</w:t>
      </w:r>
    </w:p>
    <w:p>
      <w:pPr>
        <w:spacing w:after="0" w:line="291"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5"/>
          <w:szCs w:val="15"/>
          <w:color w:val="auto"/>
        </w:rPr>
        <w:t>The COVID-19 pandemic has disrupted business, trade, commerce, financial and credit markets, in the U.S. and globally. Orion’s business has been adversely impacted by measures taken by government entities and others to control the spread of the virus beginning in March 2020, the last month of its fiscal 2020 year. As an essential business, Orion provides products and services to ensure energy and lighting infrastructure and Orion therefore continues to operate throughout the pandemic. Nonetheless, Orion did experience a material adverse effect from the COVID-19 pandemic due to the curtailment of activity in the last few weeks of the 2020 fiscal year and during the first quarter of fiscal 2021, including the delay of project installations for a major national account customer. Although circumstances may change, further installations at this customer’s locations are currently not expected to recommence until calendar year 2021.</w:t>
      </w:r>
    </w:p>
    <w:p>
      <w:pPr>
        <w:spacing w:after="0" w:line="252" w:lineRule="exact"/>
        <w:rPr>
          <w:sz w:val="20"/>
          <w:szCs w:val="20"/>
          <w:color w:val="auto"/>
        </w:rPr>
      </w:pPr>
    </w:p>
    <w:p>
      <w:pPr>
        <w:jc w:val="both"/>
        <w:ind w:firstLine="495"/>
        <w:spacing w:after="0" w:line="266" w:lineRule="auto"/>
        <w:rPr>
          <w:sz w:val="20"/>
          <w:szCs w:val="20"/>
          <w:color w:val="auto"/>
        </w:rPr>
      </w:pPr>
      <w:r>
        <w:rPr>
          <w:rFonts w:ascii="Arial" w:cs="Arial" w:eastAsia="Arial" w:hAnsi="Arial"/>
          <w:sz w:val="16"/>
          <w:szCs w:val="16"/>
          <w:color w:val="auto"/>
        </w:rPr>
        <w:t>As part of the Orion’s response to the impacts of the COVID-19, Orion has taken a number of cost reduction and cash conservation measures, including reducing headcount. See Note 20 – Restructuring Expense.</w:t>
      </w:r>
    </w:p>
    <w:p>
      <w:pPr>
        <w:spacing w:after="0" w:line="251" w:lineRule="exact"/>
        <w:rPr>
          <w:sz w:val="20"/>
          <w:szCs w:val="20"/>
          <w:color w:val="auto"/>
        </w:rPr>
      </w:pPr>
    </w:p>
    <w:p>
      <w:pPr>
        <w:jc w:val="both"/>
        <w:ind w:firstLine="495"/>
        <w:spacing w:after="0" w:line="268" w:lineRule="auto"/>
        <w:rPr>
          <w:sz w:val="20"/>
          <w:szCs w:val="20"/>
          <w:color w:val="auto"/>
        </w:rPr>
      </w:pPr>
      <w:r>
        <w:rPr>
          <w:rFonts w:ascii="Arial" w:cs="Arial" w:eastAsia="Arial" w:hAnsi="Arial"/>
          <w:sz w:val="15"/>
          <w:szCs w:val="15"/>
          <w:color w:val="auto"/>
        </w:rPr>
        <w:t>While restrictions have begun to lessen in certain jurisdictions during Orion’s fiscal 2021 first quarter, stay-at-home or lockdown orders remain in effect in others, with employees asked to work remotely if possible. Some customers and projects are in areas where travel restrictions have been imposed, certain customers have either closed or reduced on-site activities, and timelines for the completion of multiple projects have been extended. As of the date of this report, it is not possible to predict the overall impact the COVID-19 pandemic will have on Orion’s business, liquidity, capital resources or financial results. However, Orion does expect that the economic and regulatory impacts of COVID-19 will materially and adversely impact revenue and profitability in at least the first half of fiscal 2021. If there is prolonged adverse impact, the carrying values of Orion’s business, liquidity, capital resources, financial results, and the carrying values of Orion’s property, plant and equipment and intangible assets may be impacted negatively. Orion will continue to actively monitor the situation and may take further actions that alter business operations.</w:t>
      </w:r>
    </w:p>
    <w:p>
      <w:pPr>
        <w:spacing w:after="0" w:line="252"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6"/>
          <w:szCs w:val="16"/>
          <w:color w:val="auto"/>
        </w:rPr>
        <w:t>Due to the forecasted change in macroeconomic conditions due to the COVID-19 pandemic, as of March 31, 2020, a triggering event occurred requiring Orion to evaluate its long-lived assets for impairment. Orion performed the Step 1 recoverability test for the asset group, and the asset group was deemed recoverable. See Note 8 – Property and Equipment.</w:t>
      </w:r>
    </w:p>
    <w:p>
      <w:pPr>
        <w:spacing w:after="0" w:line="261" w:lineRule="exact"/>
        <w:rPr>
          <w:sz w:val="20"/>
          <w:szCs w:val="20"/>
          <w:color w:val="auto"/>
        </w:rPr>
      </w:pPr>
    </w:p>
    <w:p>
      <w:pPr>
        <w:jc w:val="both"/>
        <w:ind w:firstLine="495"/>
        <w:spacing w:after="0" w:line="280" w:lineRule="auto"/>
        <w:rPr>
          <w:sz w:val="20"/>
          <w:szCs w:val="20"/>
          <w:color w:val="auto"/>
        </w:rPr>
      </w:pPr>
      <w:r>
        <w:rPr>
          <w:rFonts w:ascii="Arial" w:cs="Arial" w:eastAsia="Arial" w:hAnsi="Arial"/>
          <w:sz w:val="15"/>
          <w:szCs w:val="15"/>
          <w:color w:val="auto"/>
        </w:rPr>
        <w:t>On March 27, 2020, the Coronavirus Aid, Relief, and Economic Security (CARES) Act was signed into law and includes certain income tax provisions relevant to businesses. The Company is required to recognize the effect on the consolidated financial statements in the period the law was enacted, which is the period ended March 31, 2020. For the fiscal year ended March 31, 2020, the CARES Act did not have a material impact on the Company’s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NOTE 3 — SUMMARY OF SIGNIFICANT ACCOUNTING POLICIES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98"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The consolidated financial statements include the accounts of Orion Energy Systems, Inc. and its wholly-owned subsidiaries. All significant intercompany transactions and balances have been eliminated in consolidation.</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98" w:lineRule="exact"/>
        <w:rPr>
          <w:sz w:val="20"/>
          <w:szCs w:val="20"/>
          <w:color w:val="auto"/>
        </w:rPr>
      </w:pPr>
    </w:p>
    <w:p>
      <w:pPr>
        <w:jc w:val="both"/>
        <w:ind w:firstLine="500"/>
        <w:spacing w:after="0" w:line="329"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allowance for doubtful accounts, accruals for warranty and loss contingencies, income taxes, impairment analyses, and certain equity transactions. Accordingly, actual results could differ from those estimates.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Orion considers all highly liquid, short-term investments with original maturities of three months or less to be cash equivalents.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98"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5"/>
          <w:szCs w:val="15"/>
          <w:color w:val="auto"/>
        </w:rPr>
        <w:t>Orion’s financial instruments consist of cash and cash equivalents, accounts receivable, accounts payable, accrued expenses and other, revolving credit facility and long-term debt. The carrying amounts of Orion’s financial instruments approximate their respective fair values due to the relatively short-term nature of these instruments, or in the case of long-term debt and revolving credit facility, because of the interest rates currently available to Orion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1 — Valuations are based on unadjusted quoted prices in active markets for identical assets or liabilities.</w:t>
      </w:r>
    </w:p>
    <w:p>
      <w:pPr>
        <w:spacing w:after="0" w:line="193"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Level 3 — Valuations are based on prices or valuation techniques that require inputs that are both unobservable and significant to the overall fair value measurement.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Inputs reflect management's best estimate of what market participants would use in valuing the asset or liability at the measurement date.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Allowance for Doubtful Accounts</w:t>
      </w:r>
    </w:p>
    <w:p>
      <w:pPr>
        <w:spacing w:after="0" w:line="98"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Orion performs ongoing evaluations of its customers and continuously monitors collections and payments. Orion estimates an allowance for doubtful accounts based upon the aging of the underlying receivables, historical experience with write-offs and specific customer collection issues that have been identified. See Note 5 – Accounts Receivable for further discussion of the allowance for doubtful accounts.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i w:val="1"/>
          <w:iCs w:val="1"/>
          <w:color w:val="auto"/>
        </w:rPr>
        <w:t>Incentive Plan</w:t>
      </w:r>
    </w:p>
    <w:p>
      <w:pPr>
        <w:spacing w:after="0" w:line="98"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Orion’s compensation committee approved an Executive Fiscal Year 2020 Annual Cash Incentive Program. The program provided for performance cash bonus payments ranging from 50-100% of the fiscal 2020 base salaries of Orion’s named executive officers and other key employees. The program provided for bonuses to be paid out on the basis of achieving positive net income in fiscal 2020. Based upon the results for the year ended March 31, 2020, Orion accrued approximately $0.8 million of expense related to this plan.</w:t>
      </w:r>
    </w:p>
    <w:p>
      <w:pPr>
        <w:spacing w:after="0" w:line="169"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Orion’s compensation committee approved an Executive Fiscal Year 2019 Annual Cash Incentive Program. The program provided for performance cash bonus payments ranging from 50-100% of the fiscal 2019 base salaries of Orion’s named executive officers and other key employees. The program provided for bonuses to be paid out on the basis of achieving positive net income above $0.1 million in fiscal 2019. Based upon the results for the year ended March 31, 2019, Orion did not accrue any expense related to this plan.</w:t>
      </w:r>
    </w:p>
    <w:p>
      <w:pPr>
        <w:spacing w:after="0" w:line="169" w:lineRule="exact"/>
        <w:rPr>
          <w:sz w:val="20"/>
          <w:szCs w:val="20"/>
          <w:color w:val="auto"/>
        </w:rPr>
      </w:pPr>
    </w:p>
    <w:p>
      <w:pPr>
        <w:jc w:val="both"/>
        <w:ind w:firstLine="500"/>
        <w:spacing w:after="0" w:line="342" w:lineRule="auto"/>
        <w:rPr>
          <w:sz w:val="20"/>
          <w:szCs w:val="20"/>
          <w:color w:val="auto"/>
        </w:rPr>
      </w:pPr>
      <w:r>
        <w:rPr>
          <w:rFonts w:ascii="Arial" w:cs="Arial" w:eastAsia="Arial" w:hAnsi="Arial"/>
          <w:sz w:val="13"/>
          <w:szCs w:val="13"/>
          <w:color w:val="auto"/>
        </w:rPr>
        <w:t>Orion’s compensation committee approved an Executive Fiscal Year 2018 Annual Cash Incentive Program. The program provided for performance cash bonus payments ranging from 50-100% of the fiscal 2018 base salaries of Orion’s named executive officers and other key employees. The program provided for bonuses to be paid out on the basis of achieving positive EBITDA in fiscal 2018. Based upon the results for the year ended March 31, 2018, Orion did not accrue any expense related to this plan.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Periods prior to April 1, 2018</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Revenue was recognized in accordance with the revenue recognition requirements in “Revenue Recognition” (Topic 605) (“ASC 605”) when the following criteria were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met:</w:t>
      </w:r>
    </w:p>
    <w:p>
      <w:pPr>
        <w:spacing w:after="0" w:line="87" w:lineRule="exact"/>
        <w:rPr>
          <w:sz w:val="20"/>
          <w:szCs w:val="20"/>
          <w:color w:val="auto"/>
        </w:rPr>
      </w:pPr>
    </w:p>
    <w:p>
      <w:pPr>
        <w:ind w:left="860" w:hanging="372"/>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persuasive evidence of an arrangement exists;</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delivery has occurred and title has passed to the customer;</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sales price is fixed and determinable and no further obligation exists; and</w:t>
      </w:r>
    </w:p>
    <w:p>
      <w:pPr>
        <w:spacing w:after="0" w:line="98" w:lineRule="exact"/>
        <w:rPr>
          <w:rFonts w:ascii="Arial" w:cs="Arial" w:eastAsia="Arial" w:hAnsi="Arial"/>
          <w:sz w:val="16"/>
          <w:szCs w:val="16"/>
          <w:color w:val="auto"/>
        </w:rPr>
      </w:pPr>
    </w:p>
    <w:p>
      <w:pPr>
        <w:ind w:left="860" w:hanging="372"/>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collectability is reasonably assured.</w:t>
      </w:r>
    </w:p>
    <w:p>
      <w:pPr>
        <w:spacing w:after="0" w:line="193"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Revenue was recorded net of estimated provisions for returns, early payment discounts and rebates and other consideration paid to Orion’s customers. Revenues were presented net of sales tax and other sales related taxes.</w:t>
      </w:r>
    </w:p>
    <w:p>
      <w:pPr>
        <w:spacing w:after="0" w:line="157"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5"/>
          <w:szCs w:val="15"/>
          <w:color w:val="auto"/>
        </w:rPr>
        <w:t>For sales of Orion’s lighting and energy management technologies under multiple element arrangements, consisting of a combination of product sales and services, Orion determines revenue by allocating the total contract revenue to each element based on their relative selling prices in accordance with ASC 605-25, Revenue Recognition - Multiple Element Arrangements. In such circumstances, Orion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Orion determines estimated selling price is provided below).</w:t>
      </w:r>
    </w:p>
    <w:p>
      <w:pPr>
        <w:spacing w:after="0" w:line="156"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The nature of Orion’s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67"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To determine the selling price in multiple-element arrangements, Orion establishes the selling price for its energy management system products using management's best estimate of the selling price, as VSOE and TPE do not exist. Product revenue is recognized when title and risk of loss for the products transfers. For product revenue, management's best estimate of selling price is determined using a cost plus gross profit margin method.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57" w:name="page58"/>
    <w:bookmarkEnd w:id="57"/>
    <w:p>
      <w:pPr>
        <w:jc w:val="both"/>
        <w:ind w:firstLine="500"/>
        <w:spacing w:after="0" w:line="315" w:lineRule="auto"/>
        <w:rPr>
          <w:sz w:val="20"/>
          <w:szCs w:val="20"/>
          <w:color w:val="auto"/>
        </w:rPr>
      </w:pPr>
      <w:r>
        <w:rPr>
          <w:rFonts w:ascii="Arial" w:cs="Arial" w:eastAsia="Arial" w:hAnsi="Arial"/>
          <w:sz w:val="13"/>
          <w:szCs w:val="13"/>
          <w:color w:val="auto"/>
        </w:rPr>
        <w:t>In addition, Orion records in service revenue the selling price for its installation and recycling services using management’s best estimate of selling price, as VSOE and TPE do not exist. Service revenue is recognized when services are completed and customer acceptance has been received. Recycling services provided in connection with installation entail the disposal of the customer’s legacy lighting fixtures. Orion’s service revenues, other than for installation and recycling that are completed prior to delivery of the product, are included in product revenue using management’s best estimate of selling price, as VSOE and TPE do not exist. These services include comprehensive site assessment, site field verification, utility incentive and government subsidy management, engineering design, and project management. For these services, along with Orion's installation and recycling services, under a multiple-element arrangement, management’s best estimate of selling price is determined using a cost plus gross profit margin method with consideration given to other relevant economic conditions and trends, customer demand, pricing practices, and margin objectives. The determination of an estimated selling price is made through consultation with and approval by management, taking into account the preceding factors.</w:t>
      </w:r>
    </w:p>
    <w:p>
      <w:pPr>
        <w:spacing w:after="0" w:line="321" w:lineRule="exact"/>
        <w:rPr>
          <w:sz w:val="20"/>
          <w:szCs w:val="20"/>
          <w:color w:val="auto"/>
        </w:rPr>
      </w:pPr>
    </w:p>
    <w:p>
      <w:pPr>
        <w:jc w:val="both"/>
        <w:ind w:right="20" w:firstLine="500"/>
        <w:spacing w:after="0" w:line="280" w:lineRule="auto"/>
        <w:rPr>
          <w:sz w:val="20"/>
          <w:szCs w:val="20"/>
          <w:color w:val="auto"/>
        </w:rPr>
      </w:pPr>
      <w:r>
        <w:rPr>
          <w:rFonts w:ascii="Arial" w:cs="Arial" w:eastAsia="Arial" w:hAnsi="Arial"/>
          <w:sz w:val="15"/>
          <w:szCs w:val="15"/>
          <w:color w:val="auto"/>
        </w:rPr>
        <w:t>Deferred revenue relates to advance customer billings, investment tax grants received related to PPAs and long-term maintenance contracts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Period Commencing April 1, 2018</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Information</w:t>
      </w:r>
    </w:p>
    <w:p>
      <w:pPr>
        <w:spacing w:after="0" w:line="98" w:lineRule="exact"/>
        <w:rPr>
          <w:sz w:val="20"/>
          <w:szCs w:val="20"/>
          <w:color w:val="auto"/>
        </w:rPr>
      </w:pPr>
    </w:p>
    <w:p>
      <w:pPr>
        <w:jc w:val="both"/>
        <w:ind w:firstLine="500"/>
        <w:spacing w:after="0" w:line="269" w:lineRule="auto"/>
        <w:rPr>
          <w:sz w:val="20"/>
          <w:szCs w:val="20"/>
          <w:color w:val="auto"/>
        </w:rPr>
      </w:pPr>
      <w:r>
        <w:rPr>
          <w:rFonts w:ascii="Arial" w:cs="Arial" w:eastAsia="Arial" w:hAnsi="Arial"/>
          <w:sz w:val="15"/>
          <w:szCs w:val="15"/>
          <w:color w:val="auto"/>
        </w:rPr>
        <w:t>Orion generates revenues primarily by selling commercial lighting fixtures and components and by installing these fixtures in its customer’s facilities. Orion recognizes revenue in accordance with the guidance in “Revenue from Contracts with Customers” (Topic 606)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58" w:lineRule="exact"/>
        <w:rPr>
          <w:sz w:val="20"/>
          <w:szCs w:val="20"/>
          <w:color w:val="auto"/>
        </w:rPr>
      </w:pPr>
    </w:p>
    <w:p>
      <w:pPr>
        <w:jc w:val="both"/>
        <w:ind w:right="20" w:firstLine="500"/>
        <w:spacing w:after="0" w:line="329" w:lineRule="auto"/>
        <w:rPr>
          <w:sz w:val="20"/>
          <w:szCs w:val="20"/>
          <w:color w:val="auto"/>
        </w:rPr>
      </w:pPr>
      <w:r>
        <w:rPr>
          <w:rFonts w:ascii="Arial" w:cs="Arial" w:eastAsia="Arial" w:hAnsi="Arial"/>
          <w:sz w:val="13"/>
          <w:szCs w:val="13"/>
          <w:color w:val="auto"/>
        </w:rPr>
        <w:t>If there are multiple performance obligations in a single contract, the contract’s total sales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 cost-plus margin approach when one is not available. The cost-plus margin approach is used to determine the stand-alone selling price for the installation performance obligation and is based on average historical installation margin.</w:t>
      </w:r>
    </w:p>
    <w:p>
      <w:pPr>
        <w:spacing w:after="0" w:line="122"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Revenue derived from customer contracts which include only performance obligation(s) for the sale of lighting fixtures and components is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69"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Revenue from a customer contract which includes both the sale of fixtures and the installation of such fixtures (which Orion refers to as a turnkey project) is allocated between each lighting fixture and the installation performance obligation based on relative standalone selling prices.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58" w:name="page59"/>
    <w:bookmarkEnd w:id="58"/>
    <w:p>
      <w:pPr>
        <w:jc w:val="both"/>
        <w:ind w:left="6" w:firstLine="500"/>
        <w:spacing w:after="0" w:line="268" w:lineRule="auto"/>
        <w:rPr>
          <w:sz w:val="20"/>
          <w:szCs w:val="20"/>
          <w:color w:val="auto"/>
        </w:rPr>
      </w:pPr>
      <w:r>
        <w:rPr>
          <w:rFonts w:ascii="Arial" w:cs="Arial" w:eastAsia="Arial" w:hAnsi="Arial"/>
          <w:sz w:val="15"/>
          <w:szCs w:val="15"/>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75" w:lineRule="exact"/>
        <w:rPr>
          <w:sz w:val="20"/>
          <w:szCs w:val="20"/>
          <w:color w:val="auto"/>
        </w:rPr>
      </w:pPr>
    </w:p>
    <w:p>
      <w:pPr>
        <w:ind w:left="866" w:hanging="372"/>
        <w:spacing w:after="0"/>
        <w:tabs>
          <w:tab w:leader="none" w:pos="866"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when there is a legal transfer of ownership;</w:t>
      </w:r>
    </w:p>
    <w:p>
      <w:pPr>
        <w:spacing w:after="0" w:line="98" w:lineRule="exact"/>
        <w:rPr>
          <w:rFonts w:ascii="Arial" w:cs="Arial" w:eastAsia="Arial" w:hAnsi="Arial"/>
          <w:sz w:val="16"/>
          <w:szCs w:val="16"/>
          <w:color w:val="auto"/>
        </w:rPr>
      </w:pPr>
    </w:p>
    <w:p>
      <w:pPr>
        <w:ind w:left="866" w:hanging="372"/>
        <w:spacing w:after="0"/>
        <w:tabs>
          <w:tab w:leader="none" w:pos="866"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when the customer obtains physical possession of the products;</w:t>
      </w:r>
    </w:p>
    <w:p>
      <w:pPr>
        <w:spacing w:after="0" w:line="98" w:lineRule="exact"/>
        <w:rPr>
          <w:rFonts w:ascii="Arial" w:cs="Arial" w:eastAsia="Arial" w:hAnsi="Arial"/>
          <w:sz w:val="16"/>
          <w:szCs w:val="16"/>
          <w:color w:val="auto"/>
        </w:rPr>
      </w:pPr>
    </w:p>
    <w:p>
      <w:pPr>
        <w:ind w:left="866" w:hanging="372"/>
        <w:spacing w:after="0"/>
        <w:tabs>
          <w:tab w:leader="none" w:pos="866"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when the customer starts to receive the benefit of the products;</w:t>
      </w:r>
    </w:p>
    <w:p>
      <w:pPr>
        <w:spacing w:after="0" w:line="98" w:lineRule="exact"/>
        <w:rPr>
          <w:rFonts w:ascii="Arial" w:cs="Arial" w:eastAsia="Arial" w:hAnsi="Arial"/>
          <w:sz w:val="16"/>
          <w:szCs w:val="16"/>
          <w:color w:val="auto"/>
        </w:rPr>
      </w:pPr>
    </w:p>
    <w:p>
      <w:pPr>
        <w:ind w:left="866" w:hanging="372"/>
        <w:spacing w:after="0"/>
        <w:tabs>
          <w:tab w:leader="none" w:pos="86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and duration of physical control that Orion maintains on the products after they are shipped to, and received at, the customer’s facility;</w:t>
      </w:r>
    </w:p>
    <w:p>
      <w:pPr>
        <w:spacing w:after="0" w:line="98" w:lineRule="exact"/>
        <w:rPr>
          <w:rFonts w:ascii="Arial" w:cs="Arial" w:eastAsia="Arial" w:hAnsi="Arial"/>
          <w:sz w:val="16"/>
          <w:szCs w:val="16"/>
          <w:color w:val="auto"/>
        </w:rPr>
      </w:pPr>
    </w:p>
    <w:p>
      <w:pPr>
        <w:ind w:left="866" w:hanging="372"/>
        <w:spacing w:after="0"/>
        <w:tabs>
          <w:tab w:leader="none" w:pos="866" w:val="left"/>
        </w:tabs>
        <w:numPr>
          <w:ilvl w:val="0"/>
          <w:numId w:val="20"/>
        </w:numPr>
        <w:rPr>
          <w:rFonts w:ascii="Arial" w:cs="Arial" w:eastAsia="Arial" w:hAnsi="Arial"/>
          <w:sz w:val="15"/>
          <w:szCs w:val="15"/>
          <w:color w:val="auto"/>
        </w:rPr>
      </w:pPr>
      <w:r>
        <w:rPr>
          <w:rFonts w:ascii="Arial" w:cs="Arial" w:eastAsia="Arial" w:hAnsi="Arial"/>
          <w:sz w:val="15"/>
          <w:szCs w:val="15"/>
          <w:color w:val="auto"/>
        </w:rPr>
        <w:t>whether Orion is required to maintain insurance on the lighting fixtures when they are in transit and after they are delivered to the customer’s facility;</w:t>
      </w:r>
    </w:p>
    <w:p>
      <w:pPr>
        <w:spacing w:after="0" w:line="109" w:lineRule="exact"/>
        <w:rPr>
          <w:rFonts w:ascii="Arial" w:cs="Arial" w:eastAsia="Arial" w:hAnsi="Arial"/>
          <w:sz w:val="15"/>
          <w:szCs w:val="15"/>
          <w:color w:val="auto"/>
        </w:rPr>
      </w:pPr>
    </w:p>
    <w:p>
      <w:pPr>
        <w:ind w:left="866" w:hanging="372"/>
        <w:spacing w:after="0"/>
        <w:tabs>
          <w:tab w:leader="none" w:pos="866"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when each light fixture is physically installed and working correctly;</w:t>
      </w:r>
    </w:p>
    <w:p>
      <w:pPr>
        <w:spacing w:after="0" w:line="98" w:lineRule="exact"/>
        <w:rPr>
          <w:rFonts w:ascii="Arial" w:cs="Arial" w:eastAsia="Arial" w:hAnsi="Arial"/>
          <w:sz w:val="16"/>
          <w:szCs w:val="16"/>
          <w:color w:val="auto"/>
        </w:rPr>
      </w:pPr>
    </w:p>
    <w:p>
      <w:pPr>
        <w:ind w:left="866" w:hanging="372"/>
        <w:spacing w:after="0"/>
        <w:tabs>
          <w:tab w:leader="none" w:pos="866"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when the customer formally accepts the product; and</w:t>
      </w:r>
    </w:p>
    <w:p>
      <w:pPr>
        <w:spacing w:after="0" w:line="98" w:lineRule="exact"/>
        <w:rPr>
          <w:rFonts w:ascii="Arial" w:cs="Arial" w:eastAsia="Arial" w:hAnsi="Arial"/>
          <w:sz w:val="16"/>
          <w:szCs w:val="16"/>
          <w:color w:val="auto"/>
        </w:rPr>
      </w:pPr>
    </w:p>
    <w:p>
      <w:pPr>
        <w:ind w:left="866" w:hanging="372"/>
        <w:spacing w:after="0"/>
        <w:tabs>
          <w:tab w:leader="none" w:pos="866"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when Orion receives payment from the customer for the light fixtures.</w:t>
      </w:r>
    </w:p>
    <w:p>
      <w:pPr>
        <w:spacing w:after="0" w:line="193" w:lineRule="exact"/>
        <w:rPr>
          <w:sz w:val="20"/>
          <w:szCs w:val="20"/>
          <w:color w:val="auto"/>
        </w:rPr>
      </w:pPr>
    </w:p>
    <w:p>
      <w:pPr>
        <w:jc w:val="both"/>
        <w:ind w:left="6" w:right="20" w:firstLine="500"/>
        <w:spacing w:after="0" w:line="252" w:lineRule="auto"/>
        <w:rPr>
          <w:sz w:val="20"/>
          <w:szCs w:val="20"/>
          <w:color w:val="auto"/>
        </w:rPr>
      </w:pPr>
      <w:r>
        <w:rPr>
          <w:rFonts w:ascii="Arial" w:cs="Arial" w:eastAsia="Arial" w:hAnsi="Arial"/>
          <w:sz w:val="16"/>
          <w:szCs w:val="16"/>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removed and installed as of the measurement date in comparison to the total number of light fixtures to be removed and installed under the contract.</w:t>
      </w:r>
    </w:p>
    <w:p>
      <w:pPr>
        <w:spacing w:after="0" w:line="169" w:lineRule="exact"/>
        <w:rPr>
          <w:sz w:val="20"/>
          <w:szCs w:val="20"/>
          <w:color w:val="auto"/>
        </w:rPr>
      </w:pPr>
    </w:p>
    <w:p>
      <w:pPr>
        <w:jc w:val="both"/>
        <w:ind w:left="6" w:firstLine="500"/>
        <w:spacing w:after="0" w:line="252" w:lineRule="auto"/>
        <w:rPr>
          <w:sz w:val="20"/>
          <w:szCs w:val="20"/>
          <w:color w:val="auto"/>
        </w:rPr>
      </w:pPr>
      <w:r>
        <w:rPr>
          <w:rFonts w:ascii="Arial" w:cs="Arial" w:eastAsia="Arial" w:hAnsi="Arial"/>
          <w:sz w:val="16"/>
          <w:szCs w:val="16"/>
          <w:color w:val="auto"/>
        </w:rPr>
        <w:t>Most products are manufactured in accordance with Orion’s standard specifications. However, some products are manufactured to a customer’s specific requirements with no alternative use to Orion. In such cases, and when Orion has an enforceable right to payment, Product revenue is recorded on an over-time basis measured using an input methodology that calculates the costs incurred to date as compared to total expected costs. There was no over-time revenue related to custom products recognized in fiscal year 2020 or 2019.</w:t>
      </w:r>
    </w:p>
    <w:p>
      <w:pPr>
        <w:spacing w:after="0" w:line="169" w:lineRule="exact"/>
        <w:rPr>
          <w:sz w:val="20"/>
          <w:szCs w:val="20"/>
          <w:color w:val="auto"/>
        </w:rPr>
      </w:pPr>
    </w:p>
    <w:p>
      <w:pPr>
        <w:jc w:val="both"/>
        <w:ind w:left="6" w:right="20" w:firstLine="500"/>
        <w:spacing w:after="0" w:line="255" w:lineRule="auto"/>
        <w:rPr>
          <w:sz w:val="20"/>
          <w:szCs w:val="20"/>
          <w:color w:val="auto"/>
        </w:rPr>
      </w:pPr>
      <w:r>
        <w:rPr>
          <w:rFonts w:ascii="Arial" w:cs="Arial" w:eastAsia="Arial" w:hAnsi="Arial"/>
          <w:sz w:val="16"/>
          <w:szCs w:val="16"/>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167" w:lineRule="exact"/>
        <w:rPr>
          <w:sz w:val="20"/>
          <w:szCs w:val="20"/>
          <w:color w:val="auto"/>
        </w:rPr>
      </w:pPr>
    </w:p>
    <w:p>
      <w:pPr>
        <w:jc w:val="both"/>
        <w:ind w:left="6" w:right="20" w:firstLine="500"/>
        <w:spacing w:after="0" w:line="311" w:lineRule="auto"/>
        <w:rPr>
          <w:sz w:val="20"/>
          <w:szCs w:val="20"/>
          <w:color w:val="auto"/>
        </w:rPr>
      </w:pPr>
      <w:r>
        <w:rPr>
          <w:rFonts w:ascii="Arial" w:cs="Arial" w:eastAsia="Arial" w:hAnsi="Arial"/>
          <w:sz w:val="13"/>
          <w:szCs w:val="13"/>
          <w:color w:val="auto"/>
        </w:rPr>
        <w:t>Orion also records revenue in conjunction with several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w:t>
      </w:r>
    </w:p>
    <w:p>
      <w:pPr>
        <w:spacing w:after="0" w:line="1" w:lineRule="exact"/>
        <w:rPr>
          <w:sz w:val="20"/>
          <w:szCs w:val="20"/>
          <w:color w:val="auto"/>
        </w:rPr>
      </w:pPr>
    </w:p>
    <w:p>
      <w:pPr>
        <w:jc w:val="both"/>
        <w:ind w:left="6" w:hanging="6"/>
        <w:spacing w:after="0" w:line="246" w:lineRule="auto"/>
        <w:tabs>
          <w:tab w:leader="none" w:pos="327"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75" w:lineRule="exact"/>
        <w:rPr>
          <w:sz w:val="20"/>
          <w:szCs w:val="20"/>
          <w:color w:val="auto"/>
        </w:rPr>
      </w:pPr>
    </w:p>
    <w:p>
      <w:pPr>
        <w:ind w:left="6" w:right="20" w:firstLine="500"/>
        <w:spacing w:after="0" w:line="266" w:lineRule="auto"/>
        <w:rPr>
          <w:sz w:val="20"/>
          <w:szCs w:val="20"/>
          <w:color w:val="auto"/>
        </w:rPr>
      </w:pPr>
      <w:r>
        <w:rPr>
          <w:rFonts w:ascii="Arial" w:cs="Arial" w:eastAsia="Arial" w:hAnsi="Arial"/>
          <w:sz w:val="16"/>
          <w:szCs w:val="16"/>
          <w:color w:val="auto"/>
        </w:rPr>
        <w:t>When shipping and handling activities are performed after a customer obtains control of the product, Orion has elected to treat shipping and handling costs as an activity necessary to fulfill the performance obligation to transfer product to the customer and not as</w:t>
      </w:r>
    </w:p>
    <w:p>
      <w:pPr>
        <w:spacing w:after="0" w:line="15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470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6"/>
          </w:cols>
          <w:pgMar w:left="314" w:top="503" w:right="319" w:bottom="1440" w:gutter="0" w:footer="0" w:header="0"/>
        </w:sectPr>
      </w:pPr>
    </w:p>
    <w:bookmarkStart w:id="59" w:name="page60"/>
    <w:bookmarkEnd w:id="59"/>
    <w:p>
      <w:pPr>
        <w:jc w:val="both"/>
        <w:spacing w:after="0" w:line="266" w:lineRule="auto"/>
        <w:rPr>
          <w:sz w:val="20"/>
          <w:szCs w:val="20"/>
          <w:color w:val="auto"/>
        </w:rPr>
      </w:pPr>
      <w:r>
        <w:rPr>
          <w:rFonts w:ascii="Arial" w:cs="Arial" w:eastAsia="Arial" w:hAnsi="Arial"/>
          <w:sz w:val="16"/>
          <w:szCs w:val="16"/>
          <w:color w:val="auto"/>
        </w:rPr>
        <w:t>a separate performance obligation. Any shipping and handling costs charged to customers are recorded in Product revenue. Shipping and handling costs are accrued and included in Cost of product revenue.</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See Note 11 – Accrued Expenses and Other for a discussion of Orion’s accounting for the warranty it provides to customers for its products and services.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Sales taxes collected from customers and remitted to governmental authorities are accounted for on a net (excluded from revenues) basis.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Shipping and Handling Costs</w:t>
      </w:r>
    </w:p>
    <w:p>
      <w:pPr>
        <w:spacing w:after="0" w:line="98"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Orion records costs incurred in connection with shipping and handling of products as cost of product revenue. Amounts billed to customers in connection with these costs are included in product revenue.</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98"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Orion expenses research and development costs as incurred. Amounts are included in the Statement of Operations and Comprehensive Income on the line item Research and development.</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98" w:lineRule="exact"/>
        <w:rPr>
          <w:sz w:val="20"/>
          <w:szCs w:val="20"/>
          <w:color w:val="auto"/>
        </w:rPr>
      </w:pPr>
    </w:p>
    <w:p>
      <w:pPr>
        <w:jc w:val="both"/>
        <w:ind w:firstLine="500"/>
        <w:spacing w:after="0" w:line="250" w:lineRule="auto"/>
        <w:rPr>
          <w:sz w:val="20"/>
          <w:szCs w:val="20"/>
          <w:color w:val="auto"/>
        </w:rPr>
      </w:pPr>
      <w:r>
        <w:rPr>
          <w:rFonts w:ascii="Arial" w:cs="Arial" w:eastAsia="Arial" w:hAnsi="Arial"/>
          <w:sz w:val="16"/>
          <w:szCs w:val="16"/>
          <w:color w:val="auto"/>
        </w:rPr>
        <w:t>Orion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For the fiscal year ended March 31, 2020, Orion decreased its full valuation allowance by $3.2 million against its deferred tax assets due to the decrease in its deferred tax assets.</w:t>
      </w:r>
    </w:p>
    <w:p>
      <w:pPr>
        <w:spacing w:after="0" w:line="171" w:lineRule="exact"/>
        <w:rPr>
          <w:sz w:val="20"/>
          <w:szCs w:val="20"/>
          <w:color w:val="auto"/>
        </w:rPr>
      </w:pPr>
    </w:p>
    <w:p>
      <w:pPr>
        <w:jc w:val="both"/>
        <w:ind w:firstLine="500"/>
        <w:spacing w:after="0" w:line="329" w:lineRule="auto"/>
        <w:rPr>
          <w:sz w:val="20"/>
          <w:szCs w:val="20"/>
          <w:color w:val="auto"/>
        </w:rPr>
      </w:pPr>
      <w:r>
        <w:rPr>
          <w:rFonts w:ascii="Arial" w:cs="Arial" w:eastAsia="Arial" w:hAnsi="Arial"/>
          <w:sz w:val="13"/>
          <w:szCs w:val="13"/>
          <w:color w:val="auto"/>
        </w:rPr>
        <w:t xml:space="preserve">ASC 740, </w:t>
      </w:r>
      <w:r>
        <w:rPr>
          <w:rFonts w:ascii="Arial" w:cs="Arial" w:eastAsia="Arial" w:hAnsi="Arial"/>
          <w:sz w:val="13"/>
          <w:szCs w:val="13"/>
          <w:i w:val="1"/>
          <w:iCs w:val="1"/>
          <w:color w:val="auto"/>
        </w:rPr>
        <w:t>Income Taxes</w:t>
      </w:r>
      <w:r>
        <w:rPr>
          <w:rFonts w:ascii="Arial" w:cs="Arial" w:eastAsia="Arial" w:hAnsi="Arial"/>
          <w:sz w:val="13"/>
          <w:szCs w:val="13"/>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Based Compensation</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Orion’s share-based payments to employees are measured at fair value and are recognized against earnings, on a straight-line basis over the requisite service period.</w:t>
      </w:r>
    </w:p>
    <w:p>
      <w:pPr>
        <w:spacing w:after="0" w:line="227" w:lineRule="exact"/>
        <w:rPr>
          <w:sz w:val="20"/>
          <w:szCs w:val="20"/>
          <w:color w:val="auto"/>
        </w:rPr>
      </w:pPr>
    </w:p>
    <w:p>
      <w:pPr>
        <w:jc w:val="both"/>
        <w:ind w:firstLine="500"/>
        <w:spacing w:after="0" w:line="329" w:lineRule="auto"/>
        <w:rPr>
          <w:sz w:val="20"/>
          <w:szCs w:val="20"/>
          <w:color w:val="auto"/>
        </w:rPr>
      </w:pPr>
      <w:r>
        <w:rPr>
          <w:rFonts w:ascii="Arial" w:cs="Arial" w:eastAsia="Arial" w:hAnsi="Arial"/>
          <w:sz w:val="13"/>
          <w:szCs w:val="13"/>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As more fully described in Note 17 – Stock Options and Restricted Shares, Orion currently awards non-vested restricted stock (and in some cases, in conjunction with associated cash award accounted for as a liability) to employees, executive officers and directors. Orion did not issue any stock options during fiscal 2020, fiscal 2019 or fiscal 2018.</w:t>
      </w:r>
    </w:p>
    <w:p>
      <w:pPr>
        <w:spacing w:after="0" w:line="122"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Orion has not paid dividends in the past and does not plan to pay any dividends in the foreseeable future. Orion estimates its forfeiture rate of unvested stock awards based on historical experience.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98" w:lineRule="exact"/>
        <w:rPr>
          <w:sz w:val="20"/>
          <w:szCs w:val="20"/>
          <w:color w:val="auto"/>
        </w:rPr>
      </w:pPr>
    </w:p>
    <w:p>
      <w:pPr>
        <w:jc w:val="both"/>
        <w:ind w:firstLine="500"/>
        <w:spacing w:after="0" w:line="299" w:lineRule="auto"/>
        <w:rPr>
          <w:sz w:val="20"/>
          <w:szCs w:val="20"/>
          <w:color w:val="auto"/>
        </w:rPr>
      </w:pPr>
      <w:r>
        <w:rPr>
          <w:rFonts w:ascii="Arial" w:cs="Arial" w:eastAsia="Arial" w:hAnsi="Arial"/>
          <w:sz w:val="15"/>
          <w:szCs w:val="15"/>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35"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Orion purchases components necessary for its lighting products, including ballasts, lamps and LED components, from multiple suppliers. For fiscal 2020, one supplier account for 11.8% of total cost of revenue. For fiscal 2019, no supplier accounted for more than 10% of total cost of revenue.</w:t>
      </w:r>
    </w:p>
    <w:p>
      <w:pPr>
        <w:spacing w:after="0" w:line="157"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In fiscal 2020, one customer accounted for 74.1% of revenue. In fiscal 2019, one customer accounted for 20.7% of total revenue. In fiscal 2018, two customers accounted for 11.7% and 10.8% of total revenue.</w:t>
      </w:r>
    </w:p>
    <w:p>
      <w:pPr>
        <w:spacing w:after="0" w:line="157"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As of March 31, 2020, two customers accounted for 37.3% and 13.0% of accounts receivable, respectively, and as of March 31, 2019, one customer accounted for 56.2% of accounts receivable.</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Issued: Not Yet Adopted</w:t>
      </w:r>
    </w:p>
    <w:p>
      <w:pPr>
        <w:spacing w:after="0" w:line="291"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5"/>
          <w:szCs w:val="15"/>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is currently evaluating the impact of adoption of this standard on its consolidated statements of operations, cash flows, and the related footnote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Recently Adopted Standards</w:t>
      </w:r>
    </w:p>
    <w:p>
      <w:pPr>
        <w:spacing w:after="0" w:line="102"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5"/>
          <w:szCs w:val="15"/>
          <w:color w:val="auto"/>
        </w:rPr>
        <w:t>In April 2018, Orion adopted ASU 2014-09 and subsequent amendments, which is included in the Accounting Standards Codification as "Revenue from Contracts with Customers" (Topic 606) (“ASC 606”) and Sub-Topic 340-40 (“ASC 340-40”), using the modified retrospective approach. ASC 606 superseded the revenue recognition requirements in “Revenue Recognition” (Topic 605) ("ASC 605") and provides guidance on the accounting for other assets and deferred costs associated with contracts with customers. ASC 606 requires entities to recognize revenue when control of the promised goods or services is transferred to customers at an amount that reflects the consideration to which the entity expects to be entitled to in exchange for those goods or services. ASC 340-40 limits the circumstances that an entity can recognize an asset from the costs incurred to obtain or fulfill a contract that are not subject to the guidance in other portions in the Accounting Standards Codification, such as those related to inventory. The provisions of ASC 606 and ASC 340-40 require entities to use more judgments and estimates than under previous guidance when allocating the total consideration in a contract to the individual promises to customers (“performance obligations”) and determining when a performance obligation has been satisfied and revenue can be recognized. Orion’s adoption of ASC 606 did not have a material effect on Orion's financial statements. Orion has updated its processes and controls necessary for implementing ASC 606, including the increased footnote disclosure requirements.</w:t>
      </w:r>
    </w:p>
    <w:p>
      <w:pPr>
        <w:spacing w:after="0" w:line="159" w:lineRule="exact"/>
        <w:rPr>
          <w:sz w:val="20"/>
          <w:szCs w:val="20"/>
          <w:color w:val="auto"/>
        </w:rPr>
      </w:pPr>
    </w:p>
    <w:p>
      <w:pPr>
        <w:jc w:val="both"/>
        <w:ind w:firstLine="500"/>
        <w:spacing w:after="0" w:line="274" w:lineRule="auto"/>
        <w:rPr>
          <w:sz w:val="20"/>
          <w:szCs w:val="20"/>
          <w:color w:val="auto"/>
        </w:rPr>
      </w:pPr>
      <w:r>
        <w:rPr>
          <w:rFonts w:ascii="Arial" w:cs="Arial" w:eastAsia="Arial" w:hAnsi="Arial"/>
          <w:sz w:val="15"/>
          <w:szCs w:val="15"/>
          <w:color w:val="auto"/>
        </w:rPr>
        <w:t>In August 2016, the FASB issued ASU 2016-15, "Classification of Certain Cash Receipts and Cash Payments," which provided clarification and additional guidance as to the presentation and classification of certain cash receipts and cash payments in the statement of cash flows. This ASU provided guidance as to the classification of a number of transactions including: contingent consideration payments made after a business combination, proceeds from the settlement of insurance claims, proceeds from the settlement of corporate-owned life insurance policies, and distributions received from equity method investees. This new ASU was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61" w:name="page62"/>
    <w:bookmarkEnd w:id="61"/>
    <w:p>
      <w:pPr>
        <w:jc w:val="both"/>
        <w:spacing w:after="0" w:line="266" w:lineRule="auto"/>
        <w:rPr>
          <w:sz w:val="20"/>
          <w:szCs w:val="20"/>
          <w:color w:val="auto"/>
        </w:rPr>
      </w:pPr>
      <w:r>
        <w:rPr>
          <w:rFonts w:ascii="Arial" w:cs="Arial" w:eastAsia="Arial" w:hAnsi="Arial"/>
          <w:sz w:val="16"/>
          <w:szCs w:val="16"/>
          <w:color w:val="auto"/>
        </w:rPr>
        <w:t>effective for Orion beginning in the first quarter of fiscal 2019 and has been applied through retrospective adjustment to all periods presented. The adoption of this ASU did not have a material impact on Orion’s consolidated financial statements.</w:t>
      </w:r>
    </w:p>
    <w:p>
      <w:pPr>
        <w:spacing w:after="0" w:line="15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In May 2017, the FASB issued ASU 2017-09, “Compensation-Stock Compensation: Scope of Modification Accounting” which provides guidance about which changes to the terms or conditions of a share-based payment award would require an entity to apply modification accounting. The provisions of this ASU were effective for Orion beginning on April 1, 2018. The adoption of this ASU did not have a material impact on Orion’s consolidated financial statements.</w:t>
      </w:r>
    </w:p>
    <w:p>
      <w:pPr>
        <w:spacing w:after="0" w:line="167" w:lineRule="exact"/>
        <w:rPr>
          <w:sz w:val="20"/>
          <w:szCs w:val="20"/>
          <w:color w:val="auto"/>
        </w:rPr>
      </w:pPr>
    </w:p>
    <w:p>
      <w:pPr>
        <w:jc w:val="both"/>
        <w:ind w:firstLine="500"/>
        <w:spacing w:after="0" w:line="342" w:lineRule="auto"/>
        <w:rPr>
          <w:sz w:val="20"/>
          <w:szCs w:val="20"/>
          <w:color w:val="auto"/>
        </w:rPr>
      </w:pPr>
      <w:r>
        <w:rPr>
          <w:rFonts w:ascii="Arial" w:cs="Arial" w:eastAsia="Arial" w:hAnsi="Arial"/>
          <w:sz w:val="13"/>
          <w:szCs w:val="13"/>
          <w:color w:val="auto"/>
        </w:rPr>
        <w:t>In April 2019, Orion adopted Accounting Standards Update 2016-02, and subsequent amendments, which is included in the Accounting Standards Codification (“ASC”) as Topic 842, Leases (“ASC 842”), retrospectively through a cumulative-effect adjustment. Orion elected the package of practical expedients provided for in ASU 842, which among other things, allows companies to carry forward their historical lease classification. Previously, Orion followed the guidance set forth in ASC 840, Leases.</w:t>
      </w:r>
    </w:p>
    <w:p>
      <w:pPr>
        <w:spacing w:after="0" w:line="114" w:lineRule="exact"/>
        <w:rPr>
          <w:sz w:val="20"/>
          <w:szCs w:val="20"/>
          <w:color w:val="auto"/>
        </w:rPr>
      </w:pPr>
    </w:p>
    <w:p>
      <w:pPr>
        <w:jc w:val="both"/>
        <w:ind w:firstLine="500"/>
        <w:spacing w:after="0" w:line="250" w:lineRule="auto"/>
        <w:rPr>
          <w:sz w:val="20"/>
          <w:szCs w:val="20"/>
          <w:color w:val="auto"/>
        </w:rPr>
      </w:pPr>
      <w:r>
        <w:rPr>
          <w:rFonts w:ascii="Arial" w:cs="Arial" w:eastAsia="Arial" w:hAnsi="Arial"/>
          <w:sz w:val="16"/>
          <w:szCs w:val="16"/>
          <w:color w:val="auto"/>
        </w:rPr>
        <w:t>For Orion, the most significant difference between ASC 840 and ASC 842 is the requirement that lessees recognize right-of-use assets and liabilities on the balance sheet for the rights and obligations created by long-term operating leases. Previously, the financial impact associated with operating leases was recorded only in Orion’s statement of operations. Determining whether a contract includes a lease, and assessing whether the lease should be accounted for as a finance lease or an operating lease, is a matter of judgment based on whether the risks and rewards, as well as substantive control of the associated assets specified in the contract, have been transferred from the lessor to the lessee.</w:t>
      </w:r>
    </w:p>
    <w:p>
      <w:pPr>
        <w:spacing w:after="0" w:line="171"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Adoption of ASC 842 resulted in the recording of additional lease assets and lease liabilities of approximately $0.2 million as of April 1, 2019. There was no impact to retained earnings. The adoption of ASC 842 did not materially impact Orion’s consolidated results of operations and had no impact on Orion’s cash flows. Orion has updated its processes and controls necessary for implementing ASC 842, including the increased footnote disclosure requirements.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REVENUE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Accounting Policies</w:t>
      </w:r>
    </w:p>
    <w:p>
      <w:pPr>
        <w:spacing w:after="0" w:line="98"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Orion adopted ASC 606 and ASC 340-40 (the “new standards”) as of April 1, 2018 for contracts with customers that were not fully complete as of April 1, 2018 using the modified retrospective transition method. The cumulative effect of initially applying the new standards was recorded as a $0.4 million adjustment to the opening balance of retained deficit within Orion’s Consolidated Statement of Shareholders’ Equity.</w:t>
      </w:r>
    </w:p>
    <w:p>
      <w:pPr>
        <w:spacing w:after="0" w:line="167" w:lineRule="exact"/>
        <w:rPr>
          <w:sz w:val="20"/>
          <w:szCs w:val="20"/>
          <w:color w:val="auto"/>
        </w:rPr>
      </w:pPr>
    </w:p>
    <w:p>
      <w:pPr>
        <w:jc w:val="both"/>
        <w:ind w:firstLine="500"/>
        <w:spacing w:after="0" w:line="250" w:lineRule="auto"/>
        <w:rPr>
          <w:sz w:val="20"/>
          <w:szCs w:val="20"/>
          <w:color w:val="auto"/>
        </w:rPr>
      </w:pPr>
      <w:r>
        <w:rPr>
          <w:rFonts w:ascii="Arial" w:cs="Arial" w:eastAsia="Arial" w:hAnsi="Arial"/>
          <w:sz w:val="16"/>
          <w:szCs w:val="16"/>
          <w:color w:val="auto"/>
        </w:rPr>
        <w:t>The new standards are applied separately for each contract between Orion and a customer. While the impact of the new standards vary for each contract based on its specific terms, in general, the new standards result in Orion (a) delaying the recognition of some of its Product revenue from the point of shipment until a later date during the installation period, (b) recording Service revenue associated with installing lighting fixtures as such fixtures are installed instead of recording all Service revenue at the completion of the installation, and (c) recording costs associated with installing lighting fixtures as they are incurred instead of deferring such costs and recognizing them at the time Service revenue was recorded.</w:t>
      </w:r>
    </w:p>
    <w:p>
      <w:pPr>
        <w:spacing w:after="0" w:line="171" w:lineRule="exact"/>
        <w:rPr>
          <w:sz w:val="20"/>
          <w:szCs w:val="20"/>
          <w:color w:val="auto"/>
        </w:rPr>
      </w:pPr>
    </w:p>
    <w:p>
      <w:pPr>
        <w:jc w:val="both"/>
        <w:ind w:right="20" w:firstLine="500"/>
        <w:spacing w:after="0" w:line="252" w:lineRule="auto"/>
        <w:rPr>
          <w:sz w:val="20"/>
          <w:szCs w:val="20"/>
          <w:color w:val="auto"/>
        </w:rPr>
      </w:pPr>
      <w:r>
        <w:rPr>
          <w:rFonts w:ascii="Arial" w:cs="Arial" w:eastAsia="Arial" w:hAnsi="Arial"/>
          <w:sz w:val="16"/>
          <w:szCs w:val="16"/>
          <w:color w:val="auto"/>
        </w:rPr>
        <w:t>The adoption of the new standards also resulted in reclassifications (a) between Product revenue and Service revenue, and between Cost of service revenue and Sales and marketing expenses in Orion’s Consolidated Statements of Operations, and (b) between Accounts receivable, net, Revenue earned but not billed, Inventories, net, Deferred contract costs, Prepaid expenses and other current assets, Accounts payable, Accrued expenses and other, Deferred revenue, current, Deferred revenue, long-term, and Other long-term liabilities in Orion’s Consolidated Balance Sheets.</w:t>
      </w:r>
    </w:p>
    <w:p>
      <w:pPr>
        <w:spacing w:after="0" w:line="169"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In accordance with the modified retrospective transition method, the historical information within Orion’s financial statements has not been restated and continues to be reported under the accounting standard in effect for those periods. As a result, Orion has disclosed the accounting policies in effect prior to April 1, 2018, as well as the policies applied starting April 1, 2018.</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62" w:name="page63"/>
    <w:bookmarkEnd w:id="62"/>
    <w:p>
      <w:pPr>
        <w:jc w:val="both"/>
        <w:ind w:firstLine="560"/>
        <w:spacing w:after="0" w:line="318" w:lineRule="auto"/>
        <w:rPr>
          <w:sz w:val="20"/>
          <w:szCs w:val="20"/>
          <w:color w:val="auto"/>
        </w:rPr>
      </w:pPr>
      <w:r>
        <w:rPr>
          <w:rFonts w:ascii="Arial" w:cs="Arial" w:eastAsia="Arial" w:hAnsi="Arial"/>
          <w:sz w:val="13"/>
          <w:szCs w:val="13"/>
          <w:color w:val="auto"/>
        </w:rPr>
        <w:t>Orion generates revenues primarily by selling commercial LED lighting fixtures and components, including controls and integrated IoT capabilities, and by installing these fixtures in its customer’s facilities on a turnkey basis via a dedicated installation and support team. Orion recognizes revenue in accordance with the guidance in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82" w:lineRule="exact"/>
        <w:rPr>
          <w:sz w:val="20"/>
          <w:szCs w:val="20"/>
          <w:color w:val="auto"/>
        </w:rPr>
      </w:pPr>
    </w:p>
    <w:p>
      <w:pPr>
        <w:jc w:val="both"/>
        <w:ind w:right="20" w:firstLine="560"/>
        <w:spacing w:after="0" w:line="329" w:lineRule="auto"/>
        <w:rPr>
          <w:sz w:val="20"/>
          <w:szCs w:val="20"/>
          <w:color w:val="auto"/>
        </w:rPr>
      </w:pPr>
      <w:r>
        <w:rPr>
          <w:rFonts w:ascii="Arial" w:cs="Arial" w:eastAsia="Arial" w:hAnsi="Arial"/>
          <w:sz w:val="13"/>
          <w:szCs w:val="13"/>
          <w:color w:val="auto"/>
        </w:rPr>
        <w:t>If there are multiple performance obligations in a contract, the contract’s total sales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 cost-plus margin approach when one is not available. The cost-plus margin approach is used to determine the stand-alone selling price for the installation performance obligation and is based on average historical installation margin.</w:t>
      </w:r>
    </w:p>
    <w:p>
      <w:pPr>
        <w:spacing w:after="0" w:line="74" w:lineRule="exact"/>
        <w:rPr>
          <w:sz w:val="20"/>
          <w:szCs w:val="20"/>
          <w:color w:val="auto"/>
        </w:rPr>
      </w:pPr>
    </w:p>
    <w:p>
      <w:pPr>
        <w:jc w:val="both"/>
        <w:ind w:firstLine="560"/>
        <w:spacing w:after="0" w:line="252" w:lineRule="auto"/>
        <w:rPr>
          <w:sz w:val="20"/>
          <w:szCs w:val="20"/>
          <w:color w:val="auto"/>
        </w:rPr>
      </w:pPr>
      <w:r>
        <w:rPr>
          <w:rFonts w:ascii="Arial" w:cs="Arial" w:eastAsia="Arial" w:hAnsi="Arial"/>
          <w:sz w:val="16"/>
          <w:szCs w:val="16"/>
          <w:color w:val="auto"/>
        </w:rPr>
        <w:t>Revenue derived from customer contracts which include only performance obligation(s) for the sale of lighting fixtures and components is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21" w:lineRule="exact"/>
        <w:rPr>
          <w:sz w:val="20"/>
          <w:szCs w:val="20"/>
          <w:color w:val="auto"/>
        </w:rPr>
      </w:pPr>
    </w:p>
    <w:p>
      <w:pPr>
        <w:jc w:val="both"/>
        <w:ind w:right="20" w:firstLine="560"/>
        <w:spacing w:after="0" w:line="266" w:lineRule="auto"/>
        <w:rPr>
          <w:sz w:val="20"/>
          <w:szCs w:val="20"/>
          <w:color w:val="auto"/>
        </w:rPr>
      </w:pPr>
      <w:r>
        <w:rPr>
          <w:rFonts w:ascii="Arial" w:cs="Arial" w:eastAsia="Arial" w:hAnsi="Arial"/>
          <w:sz w:val="16"/>
          <w:szCs w:val="16"/>
          <w:color w:val="auto"/>
        </w:rPr>
        <w:t>Revenue from a customer contract which includes both the sale of fixtures and the installation of such fixtures (which Orion refers to as a turnkey project) is allocated between each lighting fixture and the installation performance obligation based on relative standalone selling prices.</w:t>
      </w:r>
    </w:p>
    <w:p>
      <w:pPr>
        <w:spacing w:after="0" w:line="110" w:lineRule="exact"/>
        <w:rPr>
          <w:sz w:val="20"/>
          <w:szCs w:val="20"/>
          <w:color w:val="auto"/>
        </w:rPr>
      </w:pPr>
    </w:p>
    <w:p>
      <w:pPr>
        <w:jc w:val="both"/>
        <w:ind w:firstLine="560"/>
        <w:spacing w:after="0" w:line="264" w:lineRule="auto"/>
        <w:rPr>
          <w:sz w:val="20"/>
          <w:szCs w:val="20"/>
          <w:color w:val="auto"/>
        </w:rPr>
      </w:pPr>
      <w:r>
        <w:rPr>
          <w:rFonts w:ascii="Arial" w:cs="Arial" w:eastAsia="Arial" w:hAnsi="Arial"/>
          <w:sz w:val="15"/>
          <w:szCs w:val="15"/>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1" w:lineRule="exact"/>
        <w:rPr>
          <w:sz w:val="20"/>
          <w:szCs w:val="20"/>
          <w:color w:val="auto"/>
        </w:rPr>
      </w:pPr>
    </w:p>
    <w:p>
      <w:pPr>
        <w:ind w:left="820" w:hanging="367"/>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when there is a legal transfer of ownership;</w:t>
      </w:r>
    </w:p>
    <w:p>
      <w:pPr>
        <w:spacing w:after="0" w:line="4" w:lineRule="exact"/>
        <w:rPr>
          <w:rFonts w:ascii="Arial" w:cs="Arial" w:eastAsia="Arial" w:hAnsi="Arial"/>
          <w:sz w:val="16"/>
          <w:szCs w:val="16"/>
          <w:color w:val="auto"/>
        </w:rPr>
      </w:pPr>
    </w:p>
    <w:p>
      <w:pPr>
        <w:ind w:left="820" w:hanging="367"/>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when the customer obtains physical possession of the products;</w:t>
      </w:r>
    </w:p>
    <w:p>
      <w:pPr>
        <w:spacing w:after="0" w:line="4" w:lineRule="exact"/>
        <w:rPr>
          <w:rFonts w:ascii="Arial" w:cs="Arial" w:eastAsia="Arial" w:hAnsi="Arial"/>
          <w:sz w:val="16"/>
          <w:szCs w:val="16"/>
          <w:color w:val="auto"/>
        </w:rPr>
      </w:pPr>
    </w:p>
    <w:p>
      <w:pPr>
        <w:ind w:left="820" w:hanging="367"/>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when the customer starts to receive the benefit of the products;</w:t>
      </w:r>
    </w:p>
    <w:p>
      <w:pPr>
        <w:spacing w:after="0" w:line="4" w:lineRule="exact"/>
        <w:rPr>
          <w:rFonts w:ascii="Arial" w:cs="Arial" w:eastAsia="Arial" w:hAnsi="Arial"/>
          <w:sz w:val="16"/>
          <w:szCs w:val="16"/>
          <w:color w:val="auto"/>
        </w:rPr>
      </w:pPr>
    </w:p>
    <w:p>
      <w:pPr>
        <w:ind w:left="820" w:hanging="367"/>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 and duration of physical control that Orion maintains on the products after they are shipped to, and received at, the customer’s facility;</w:t>
      </w:r>
    </w:p>
    <w:p>
      <w:pPr>
        <w:spacing w:after="0" w:line="4" w:lineRule="exact"/>
        <w:rPr>
          <w:rFonts w:ascii="Arial" w:cs="Arial" w:eastAsia="Arial" w:hAnsi="Arial"/>
          <w:sz w:val="16"/>
          <w:szCs w:val="16"/>
          <w:color w:val="auto"/>
        </w:rPr>
      </w:pPr>
    </w:p>
    <w:p>
      <w:pPr>
        <w:ind w:left="820" w:hanging="367"/>
        <w:spacing w:after="0"/>
        <w:tabs>
          <w:tab w:leader="none" w:pos="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whether Orion is required to maintain insurance on the lighting fixtures when they are in transit and after they are delivered to the customer’s facility;</w:t>
      </w:r>
    </w:p>
    <w:p>
      <w:pPr>
        <w:spacing w:after="0" w:line="15" w:lineRule="exact"/>
        <w:rPr>
          <w:rFonts w:ascii="Arial" w:cs="Arial" w:eastAsia="Arial" w:hAnsi="Arial"/>
          <w:sz w:val="15"/>
          <w:szCs w:val="15"/>
          <w:color w:val="auto"/>
        </w:rPr>
      </w:pPr>
    </w:p>
    <w:p>
      <w:pPr>
        <w:ind w:left="820" w:hanging="367"/>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when each light fixture is physically installed and working correctly;</w:t>
      </w:r>
    </w:p>
    <w:p>
      <w:pPr>
        <w:spacing w:after="0" w:line="4" w:lineRule="exact"/>
        <w:rPr>
          <w:rFonts w:ascii="Arial" w:cs="Arial" w:eastAsia="Arial" w:hAnsi="Arial"/>
          <w:sz w:val="16"/>
          <w:szCs w:val="16"/>
          <w:color w:val="auto"/>
        </w:rPr>
      </w:pPr>
    </w:p>
    <w:p>
      <w:pPr>
        <w:ind w:left="820" w:hanging="367"/>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when the customer formally accepts the product; and</w:t>
      </w:r>
    </w:p>
    <w:p>
      <w:pPr>
        <w:spacing w:after="0" w:line="4" w:lineRule="exact"/>
        <w:rPr>
          <w:rFonts w:ascii="Arial" w:cs="Arial" w:eastAsia="Arial" w:hAnsi="Arial"/>
          <w:sz w:val="16"/>
          <w:szCs w:val="16"/>
          <w:color w:val="auto"/>
        </w:rPr>
      </w:pPr>
    </w:p>
    <w:p>
      <w:pPr>
        <w:ind w:left="820" w:hanging="367"/>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when Orion receives payment from the customer for the light fixtures.</w:t>
      </w:r>
    </w:p>
    <w:p>
      <w:pPr>
        <w:spacing w:after="0" w:line="393" w:lineRule="exact"/>
        <w:rPr>
          <w:sz w:val="20"/>
          <w:szCs w:val="20"/>
          <w:color w:val="auto"/>
        </w:rPr>
      </w:pPr>
    </w:p>
    <w:p>
      <w:pPr>
        <w:jc w:val="both"/>
        <w:ind w:right="20" w:firstLine="560"/>
        <w:spacing w:after="0" w:line="252" w:lineRule="auto"/>
        <w:rPr>
          <w:sz w:val="20"/>
          <w:szCs w:val="20"/>
          <w:color w:val="auto"/>
        </w:rPr>
      </w:pPr>
      <w:r>
        <w:rPr>
          <w:rFonts w:ascii="Arial" w:cs="Arial" w:eastAsia="Arial" w:hAnsi="Arial"/>
          <w:sz w:val="16"/>
          <w:szCs w:val="16"/>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removed and installed as of the measurement date in comparison to the total number of light fixtures to be removed or installed under the contract.</w:t>
      </w:r>
    </w:p>
    <w:p>
      <w:pPr>
        <w:spacing w:after="0" w:line="121" w:lineRule="exact"/>
        <w:rPr>
          <w:sz w:val="20"/>
          <w:szCs w:val="20"/>
          <w:color w:val="auto"/>
        </w:rPr>
      </w:pPr>
    </w:p>
    <w:p>
      <w:pPr>
        <w:jc w:val="both"/>
        <w:ind w:right="20" w:firstLine="560"/>
        <w:spacing w:after="0" w:line="255" w:lineRule="auto"/>
        <w:rPr>
          <w:sz w:val="20"/>
          <w:szCs w:val="20"/>
          <w:color w:val="auto"/>
        </w:rPr>
      </w:pPr>
      <w:r>
        <w:rPr>
          <w:rFonts w:ascii="Arial" w:cs="Arial" w:eastAsia="Arial" w:hAnsi="Arial"/>
          <w:sz w:val="16"/>
          <w:szCs w:val="16"/>
          <w:color w:val="auto"/>
        </w:rPr>
        <w:t>Most products are manufactured in accordance with Orion’s standard specifications. However, some products are manufactured to a customer’s specific requirements with no alternative use to Orion. In such cases, and when Orion has an enforceable right to payment, Product revenue is recorded on an over-time basis measured using an input methodology that calculates the costs incurred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56" w:right="319" w:bottom="1440" w:gutter="0" w:footer="0" w:header="0"/>
        </w:sectPr>
      </w:pPr>
    </w:p>
    <w:bookmarkStart w:id="63" w:name="page64"/>
    <w:bookmarkEnd w:id="63"/>
    <w:p>
      <w:pPr>
        <w:ind w:left="6"/>
        <w:spacing w:after="0"/>
        <w:rPr>
          <w:sz w:val="20"/>
          <w:szCs w:val="20"/>
          <w:color w:val="auto"/>
        </w:rPr>
      </w:pPr>
      <w:r>
        <w:rPr>
          <w:rFonts w:ascii="Arial" w:cs="Arial" w:eastAsia="Arial" w:hAnsi="Arial"/>
          <w:sz w:val="13"/>
          <w:szCs w:val="13"/>
          <w:color w:val="auto"/>
        </w:rPr>
        <w:t>date as compared to total expected costs. There was no over-time revenue related to custom products recognized in the twelve months ended March 31, 2020 or March 31, 2019.</w:t>
      </w:r>
    </w:p>
    <w:p>
      <w:pPr>
        <w:spacing w:after="0" w:line="180" w:lineRule="exact"/>
        <w:rPr>
          <w:sz w:val="20"/>
          <w:szCs w:val="20"/>
          <w:color w:val="auto"/>
        </w:rPr>
      </w:pPr>
    </w:p>
    <w:p>
      <w:pPr>
        <w:ind w:left="6" w:right="20" w:firstLine="560"/>
        <w:spacing w:after="0" w:line="311" w:lineRule="auto"/>
        <w:rPr>
          <w:sz w:val="20"/>
          <w:szCs w:val="20"/>
          <w:color w:val="auto"/>
        </w:rPr>
      </w:pPr>
      <w:r>
        <w:rPr>
          <w:rFonts w:ascii="Arial" w:cs="Arial" w:eastAsia="Arial" w:hAnsi="Arial"/>
          <w:sz w:val="13"/>
          <w:szCs w:val="13"/>
          <w:color w:val="auto"/>
        </w:rPr>
        <w:t>Orion also records revenue in conjunction with several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w:t>
      </w:r>
    </w:p>
    <w:p>
      <w:pPr>
        <w:spacing w:after="0" w:line="1" w:lineRule="exact"/>
        <w:rPr>
          <w:sz w:val="20"/>
          <w:szCs w:val="20"/>
          <w:color w:val="auto"/>
        </w:rPr>
      </w:pPr>
    </w:p>
    <w:p>
      <w:pPr>
        <w:jc w:val="both"/>
        <w:ind w:left="6" w:hanging="6"/>
        <w:spacing w:after="0" w:line="246" w:lineRule="auto"/>
        <w:tabs>
          <w:tab w:leader="none" w:pos="327"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28" w:lineRule="exact"/>
        <w:rPr>
          <w:sz w:val="20"/>
          <w:szCs w:val="20"/>
          <w:color w:val="auto"/>
        </w:rPr>
      </w:pPr>
    </w:p>
    <w:p>
      <w:pPr>
        <w:jc w:val="both"/>
        <w:ind w:left="6" w:right="20" w:firstLine="560"/>
        <w:spacing w:after="0" w:line="280" w:lineRule="auto"/>
        <w:rPr>
          <w:sz w:val="20"/>
          <w:szCs w:val="20"/>
          <w:color w:val="auto"/>
        </w:rPr>
      </w:pPr>
      <w:r>
        <w:rPr>
          <w:rFonts w:ascii="Arial" w:cs="Arial" w:eastAsia="Arial" w:hAnsi="Arial"/>
          <w:sz w:val="15"/>
          <w:szCs w:val="15"/>
          <w:color w:val="auto"/>
        </w:rPr>
        <w:t>When shipping and handling activities are performed after a customer obtains control of the product, Orion has elected to treat shipping and handling costs as an activity necessary to fulfill the performance obligation to transfer product to the customer and not as a separate performance obligation. Any shipping and handling costs charged to customers are recorded in Product revenue. Shipping and handling costs are accrued and included in Cost of product revenue.</w:t>
      </w:r>
    </w:p>
    <w:p>
      <w:pPr>
        <w:spacing w:after="0" w:line="102" w:lineRule="exact"/>
        <w:rPr>
          <w:sz w:val="20"/>
          <w:szCs w:val="20"/>
          <w:color w:val="auto"/>
        </w:rPr>
      </w:pPr>
    </w:p>
    <w:p>
      <w:pPr>
        <w:ind w:left="566"/>
        <w:spacing w:after="0"/>
        <w:rPr>
          <w:sz w:val="20"/>
          <w:szCs w:val="20"/>
          <w:color w:val="auto"/>
        </w:rPr>
      </w:pPr>
      <w:r>
        <w:rPr>
          <w:rFonts w:ascii="Arial" w:cs="Arial" w:eastAsia="Arial" w:hAnsi="Arial"/>
          <w:sz w:val="15"/>
          <w:szCs w:val="15"/>
          <w:color w:val="auto"/>
        </w:rPr>
        <w:t>See Note 11 – Accrued Expenses and Other for a discussion of Orion’s accounting for the warranty it provides to customers for its products and services.</w:t>
      </w:r>
    </w:p>
    <w:p>
      <w:pPr>
        <w:spacing w:after="0" w:line="157" w:lineRule="exact"/>
        <w:rPr>
          <w:sz w:val="20"/>
          <w:szCs w:val="20"/>
          <w:color w:val="auto"/>
        </w:rPr>
      </w:pPr>
    </w:p>
    <w:p>
      <w:pPr>
        <w:ind w:left="566"/>
        <w:spacing w:after="0"/>
        <w:rPr>
          <w:sz w:val="20"/>
          <w:szCs w:val="20"/>
          <w:color w:val="auto"/>
        </w:rPr>
      </w:pPr>
      <w:r>
        <w:rPr>
          <w:rFonts w:ascii="Arial" w:cs="Arial" w:eastAsia="Arial" w:hAnsi="Arial"/>
          <w:sz w:val="16"/>
          <w:szCs w:val="16"/>
          <w:color w:val="auto"/>
        </w:rPr>
        <w:t>Sales taxes collected from customers and remitted to governmental authorities are accounted for on a net (excluded from revenues) basis.</w:t>
      </w:r>
    </w:p>
    <w:p>
      <w:pPr>
        <w:spacing w:after="0" w:line="322"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98" w:lineRule="exact"/>
        <w:rPr>
          <w:sz w:val="20"/>
          <w:szCs w:val="20"/>
          <w:color w:val="auto"/>
        </w:rPr>
      </w:pPr>
    </w:p>
    <w:p>
      <w:pPr>
        <w:jc w:val="both"/>
        <w:ind w:left="6" w:right="20" w:firstLine="500"/>
        <w:spacing w:after="0" w:line="266" w:lineRule="auto"/>
        <w:rPr>
          <w:sz w:val="20"/>
          <w:szCs w:val="20"/>
          <w:color w:val="auto"/>
        </w:rPr>
      </w:pPr>
      <w:r>
        <w:rPr>
          <w:rFonts w:ascii="Arial" w:cs="Arial" w:eastAsia="Arial" w:hAnsi="Arial"/>
          <w:sz w:val="16"/>
          <w:szCs w:val="16"/>
          <w:color w:val="auto"/>
        </w:rPr>
        <w:t>See Note 3 – Summary of Significant Accounting Policies for a discussion of Orion’s accounting policies in effect prior to April 1, 2018, as well as the policies applied starting April 1, 2018 related to revenue recognition.</w:t>
      </w:r>
    </w:p>
    <w:p>
      <w:pPr>
        <w:spacing w:after="0" w:line="251"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Contract Fulfillment Costs</w:t>
      </w:r>
    </w:p>
    <w:p>
      <w:pPr>
        <w:spacing w:after="0" w:line="98" w:lineRule="exact"/>
        <w:rPr>
          <w:sz w:val="20"/>
          <w:szCs w:val="20"/>
          <w:color w:val="auto"/>
        </w:rPr>
      </w:pPr>
    </w:p>
    <w:p>
      <w:pPr>
        <w:jc w:val="both"/>
        <w:ind w:left="6" w:right="20" w:firstLine="500"/>
        <w:spacing w:after="0" w:line="266" w:lineRule="auto"/>
        <w:rPr>
          <w:sz w:val="20"/>
          <w:szCs w:val="20"/>
          <w:color w:val="auto"/>
        </w:rPr>
      </w:pPr>
      <w:r>
        <w:rPr>
          <w:rFonts w:ascii="Arial" w:cs="Arial" w:eastAsia="Arial" w:hAnsi="Arial"/>
          <w:sz w:val="16"/>
          <w:szCs w:val="16"/>
          <w:color w:val="auto"/>
        </w:rPr>
        <w:t>Costs associated with product sales are accumulated in inventory as the fixtures are manufactured and are transferred to Cost of product revenue at the time revenue is recorded. See Note 6 – Inventories. Costs associated with installation sales are expensed as incurred.</w:t>
      </w:r>
    </w:p>
    <w:p>
      <w:pPr>
        <w:spacing w:after="0" w:line="275"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Disaggregation of Revenue</w:t>
      </w:r>
    </w:p>
    <w:p>
      <w:pPr>
        <w:spacing w:after="0" w:line="98" w:lineRule="exact"/>
        <w:rPr>
          <w:sz w:val="20"/>
          <w:szCs w:val="20"/>
          <w:color w:val="auto"/>
        </w:rPr>
      </w:pPr>
    </w:p>
    <w:p>
      <w:pPr>
        <w:jc w:val="both"/>
        <w:ind w:left="6" w:firstLine="500"/>
        <w:spacing w:after="0" w:line="250" w:lineRule="auto"/>
        <w:rPr>
          <w:sz w:val="20"/>
          <w:szCs w:val="20"/>
          <w:color w:val="auto"/>
        </w:rPr>
      </w:pPr>
      <w:r>
        <w:rPr>
          <w:rFonts w:ascii="Arial" w:cs="Arial" w:eastAsia="Arial" w:hAnsi="Arial"/>
          <w:sz w:val="16"/>
          <w:szCs w:val="16"/>
          <w:color w:val="auto"/>
        </w:rPr>
        <w:t>Orion’s Product revenue includes revenue from contracts with customers accounted for under the scope of ASC 606 and revenue which is accounted for under other guidance. For fiscal year 2020, Product revenue included $1.4 million derived from sales-type leases for light fixtures, $0.2 million derived from the sale of tax credits generated from Orion’s legacy operation for distributing solar energy, and $0.1 million derived from the amortization of federal grants received in 2010 and 2011 as reimbursement for a portion of the costs to construct the legacy solar facilities which are not under the scope of ASC 606. All remaining Product revenue, and all Service revenue, are derived from contracts with customers as defined in ASC 606.</w:t>
      </w:r>
    </w:p>
    <w:p>
      <w:pPr>
        <w:spacing w:after="0" w:line="171" w:lineRule="exact"/>
        <w:rPr>
          <w:sz w:val="20"/>
          <w:szCs w:val="20"/>
          <w:color w:val="auto"/>
        </w:rPr>
      </w:pPr>
    </w:p>
    <w:p>
      <w:pPr>
        <w:ind w:left="506"/>
        <w:spacing w:after="0"/>
        <w:rPr>
          <w:sz w:val="20"/>
          <w:szCs w:val="20"/>
          <w:color w:val="auto"/>
        </w:rPr>
      </w:pPr>
      <w:r>
        <w:rPr>
          <w:rFonts w:ascii="Arial" w:cs="Arial" w:eastAsia="Arial" w:hAnsi="Arial"/>
          <w:sz w:val="16"/>
          <w:szCs w:val="16"/>
          <w:color w:val="auto"/>
        </w:rPr>
        <w:t>The primary end-users of Orion’s lighting products and services are (a) the federal government, and (b) commercial or industrial companies.</w:t>
      </w:r>
    </w:p>
    <w:p>
      <w:pPr>
        <w:spacing w:after="0" w:line="193" w:lineRule="exact"/>
        <w:rPr>
          <w:sz w:val="20"/>
          <w:szCs w:val="20"/>
          <w:color w:val="auto"/>
        </w:rPr>
      </w:pPr>
    </w:p>
    <w:p>
      <w:pPr>
        <w:jc w:val="both"/>
        <w:ind w:left="6" w:right="20" w:firstLine="500"/>
        <w:spacing w:after="0" w:line="299" w:lineRule="auto"/>
        <w:rPr>
          <w:sz w:val="20"/>
          <w:szCs w:val="20"/>
          <w:color w:val="auto"/>
        </w:rPr>
      </w:pPr>
      <w:r>
        <w:rPr>
          <w:rFonts w:ascii="Arial" w:cs="Arial" w:eastAsia="Arial" w:hAnsi="Arial"/>
          <w:sz w:val="15"/>
          <w:szCs w:val="15"/>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Engineered Systems Division segment.</w:t>
      </w:r>
    </w:p>
    <w:p>
      <w:pPr>
        <w:spacing w:after="0" w:line="135" w:lineRule="exact"/>
        <w:rPr>
          <w:sz w:val="20"/>
          <w:szCs w:val="20"/>
          <w:color w:val="auto"/>
        </w:rPr>
      </w:pPr>
    </w:p>
    <w:p>
      <w:pPr>
        <w:jc w:val="both"/>
        <w:ind w:left="6" w:firstLine="500"/>
        <w:spacing w:after="0" w:line="255" w:lineRule="auto"/>
        <w:rPr>
          <w:sz w:val="20"/>
          <w:szCs w:val="20"/>
          <w:color w:val="auto"/>
        </w:rPr>
      </w:pPr>
      <w:r>
        <w:rPr>
          <w:rFonts w:ascii="Arial" w:cs="Arial" w:eastAsia="Arial" w:hAnsi="Arial"/>
          <w:sz w:val="16"/>
          <w:szCs w:val="16"/>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 dependent on the sales channel.</w:t>
      </w:r>
    </w:p>
    <w:p>
      <w:pPr>
        <w:spacing w:after="0" w:line="167" w:lineRule="exact"/>
        <w:rPr>
          <w:sz w:val="20"/>
          <w:szCs w:val="20"/>
          <w:color w:val="auto"/>
        </w:rPr>
      </w:pPr>
    </w:p>
    <w:p>
      <w:pPr>
        <w:ind w:left="506"/>
        <w:spacing w:after="0"/>
        <w:rPr>
          <w:sz w:val="20"/>
          <w:szCs w:val="20"/>
          <w:color w:val="auto"/>
        </w:rPr>
      </w:pPr>
      <w:r>
        <w:rPr>
          <w:rFonts w:ascii="Arial" w:cs="Arial" w:eastAsia="Arial" w:hAnsi="Arial"/>
          <w:sz w:val="16"/>
          <w:szCs w:val="16"/>
          <w:color w:val="auto"/>
        </w:rPr>
        <w:t>See Footnote 18 - Segment Data, for additional discussion concerning Orion’s reportable segments.</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470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6"/>
          </w:cols>
          <w:pgMar w:left="314" w:top="456" w:right="319" w:bottom="1440" w:gutter="0" w:footer="0" w:header="0"/>
        </w:sectPr>
      </w:pPr>
    </w:p>
    <w:bookmarkStart w:id="64" w:name="page65"/>
    <w:bookmarkEnd w:id="64"/>
    <w:p>
      <w:pPr>
        <w:ind w:left="500"/>
        <w:spacing w:after="0"/>
        <w:rPr>
          <w:sz w:val="20"/>
          <w:szCs w:val="20"/>
          <w:color w:val="auto"/>
        </w:rPr>
      </w:pPr>
      <w:r>
        <w:rPr>
          <w:rFonts w:ascii="Arial" w:cs="Arial" w:eastAsia="Arial" w:hAnsi="Arial"/>
          <w:sz w:val="16"/>
          <w:szCs w:val="16"/>
          <w:color w:val="auto"/>
        </w:rPr>
        <w:t>The following table provides detail of Orion’s total revenues for the year ended March 31, 2020 (dollars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1"/>
              </w:rPr>
              <w:t>Year Ended March 31, 2020</w:t>
            </w: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33"/>
        </w:trPr>
        <w:tc>
          <w:tcPr>
            <w:tcW w:w="4760" w:type="dxa"/>
            <w:vAlign w:val="bottom"/>
            <w:tcBorders>
              <w:bottom w:val="single" w:sz="8" w:color="CFF0FC"/>
            </w:tcBorders>
          </w:tcPr>
          <w:p>
            <w:pPr>
              <w:spacing w:after="0"/>
              <w:rPr>
                <w:sz w:val="11"/>
                <w:szCs w:val="11"/>
                <w:color w:val="auto"/>
              </w:rPr>
            </w:pPr>
          </w:p>
        </w:tc>
        <w:tc>
          <w:tcPr>
            <w:tcW w:w="192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84"/>
              <w:spacing w:after="0" w:line="133" w:lineRule="exact"/>
              <w:rPr>
                <w:sz w:val="20"/>
                <w:szCs w:val="20"/>
                <w:color w:val="auto"/>
              </w:rPr>
            </w:pPr>
            <w:r>
              <w:rPr>
                <w:rFonts w:ascii="Arial" w:cs="Arial" w:eastAsia="Arial" w:hAnsi="Arial"/>
                <w:sz w:val="13"/>
                <w:szCs w:val="13"/>
                <w:b w:val="1"/>
                <w:bCs w:val="1"/>
                <w:color w:val="auto"/>
              </w:rPr>
              <w:t>Product</w:t>
            </w:r>
          </w:p>
        </w:tc>
        <w:tc>
          <w:tcPr>
            <w:tcW w:w="16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84"/>
              <w:spacing w:after="0" w:line="133" w:lineRule="exact"/>
              <w:rPr>
                <w:sz w:val="20"/>
                <w:szCs w:val="20"/>
                <w:color w:val="auto"/>
              </w:rPr>
            </w:pPr>
            <w:r>
              <w:rPr>
                <w:rFonts w:ascii="Arial" w:cs="Arial" w:eastAsia="Arial" w:hAnsi="Arial"/>
                <w:sz w:val="13"/>
                <w:szCs w:val="13"/>
                <w:b w:val="1"/>
                <w:bCs w:val="1"/>
                <w:color w:val="auto"/>
              </w:rPr>
              <w:t>Services</w:t>
            </w:r>
          </w:p>
        </w:tc>
        <w:tc>
          <w:tcPr>
            <w:tcW w:w="16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4"/>
              <w:spacing w:after="0" w:line="133" w:lineRule="exact"/>
              <w:rPr>
                <w:sz w:val="20"/>
                <w:szCs w:val="20"/>
                <w:color w:val="auto"/>
              </w:rPr>
            </w:pPr>
            <w:r>
              <w:rPr>
                <w:rFonts w:ascii="Arial" w:cs="Arial" w:eastAsia="Arial" w:hAnsi="Arial"/>
                <w:sz w:val="13"/>
                <w:szCs w:val="13"/>
                <w:b w:val="1"/>
                <w:bCs w:val="1"/>
                <w:color w:val="auto"/>
              </w:rPr>
              <w:t>Total</w:t>
            </w:r>
          </w:p>
        </w:tc>
      </w:tr>
      <w:tr>
        <w:trPr>
          <w:trHeight w:val="192"/>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Revenue from contracts with customers:</w:t>
            </w:r>
          </w:p>
        </w:tc>
        <w:tc>
          <w:tcPr>
            <w:tcW w:w="1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200"/>
        </w:trPr>
        <w:tc>
          <w:tcPr>
            <w:tcW w:w="4760" w:type="dxa"/>
            <w:vAlign w:val="bottom"/>
          </w:tcPr>
          <w:p>
            <w:pPr>
              <w:spacing w:after="0"/>
              <w:rPr>
                <w:sz w:val="20"/>
                <w:szCs w:val="20"/>
                <w:color w:val="auto"/>
              </w:rPr>
            </w:pPr>
            <w:r>
              <w:rPr>
                <w:rFonts w:ascii="Arial" w:cs="Arial" w:eastAsia="Arial" w:hAnsi="Arial"/>
                <w:sz w:val="16"/>
                <w:szCs w:val="16"/>
                <w:color w:val="auto"/>
              </w:rPr>
              <w:t>Lighting revenues, by end user</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4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Federal government</w:t>
            </w:r>
          </w:p>
        </w:tc>
        <w:tc>
          <w:tcPr>
            <w:tcW w:w="218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922</w:t>
            </w:r>
          </w:p>
        </w:tc>
        <w:tc>
          <w:tcPr>
            <w:tcW w:w="400" w:type="dxa"/>
            <w:vAlign w:val="bottom"/>
            <w:gridSpan w:val="2"/>
            <w:shd w:val="clear" w:color="auto" w:fill="CFF0FC"/>
          </w:tcPr>
          <w:p>
            <w:pPr>
              <w:jc w:val="right"/>
              <w:ind w:right="87"/>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379</w:t>
            </w:r>
          </w:p>
        </w:tc>
        <w:tc>
          <w:tcPr>
            <w:tcW w:w="440" w:type="dxa"/>
            <w:vAlign w:val="bottom"/>
            <w:gridSpan w:val="2"/>
            <w:shd w:val="clear" w:color="auto" w:fill="CFF0FC"/>
          </w:tcPr>
          <w:p>
            <w:pPr>
              <w:jc w:val="right"/>
              <w:ind w:right="17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1,301</w:t>
            </w:r>
          </w:p>
        </w:tc>
      </w:tr>
      <w:tr>
        <w:trPr>
          <w:trHeight w:val="200"/>
        </w:trPr>
        <w:tc>
          <w:tcPr>
            <w:tcW w:w="47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Commercial and industrial</w:t>
            </w:r>
          </w:p>
        </w:tc>
        <w:tc>
          <w:tcPr>
            <w:tcW w:w="19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110,742</w:t>
            </w:r>
          </w:p>
        </w:tc>
        <w:tc>
          <w:tcPr>
            <w:tcW w:w="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37,110</w:t>
            </w:r>
          </w:p>
        </w:tc>
        <w:tc>
          <w:tcPr>
            <w:tcW w:w="1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147,852</w:t>
            </w:r>
          </w:p>
        </w:tc>
      </w:tr>
      <w:tr>
        <w:trPr>
          <w:trHeight w:val="192"/>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Total lighting</w:t>
            </w:r>
          </w:p>
        </w:tc>
        <w:tc>
          <w:tcPr>
            <w:tcW w:w="1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111,664</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37,489</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149,153</w:t>
            </w:r>
          </w:p>
        </w:tc>
      </w:tr>
      <w:tr>
        <w:trPr>
          <w:trHeight w:val="200"/>
        </w:trPr>
        <w:tc>
          <w:tcPr>
            <w:tcW w:w="47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Solar energy related revenues</w:t>
            </w:r>
          </w:p>
        </w:tc>
        <w:tc>
          <w:tcPr>
            <w:tcW w:w="19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56</w:t>
            </w:r>
          </w:p>
        </w:tc>
        <w:tc>
          <w:tcPr>
            <w:tcW w:w="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56</w:t>
            </w:r>
          </w:p>
        </w:tc>
      </w:tr>
      <w:tr>
        <w:trPr>
          <w:trHeight w:val="192"/>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Total revenues from contracts with customers</w:t>
            </w:r>
          </w:p>
        </w:tc>
        <w:tc>
          <w:tcPr>
            <w:tcW w:w="19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111,720</w:t>
            </w:r>
          </w:p>
        </w:tc>
        <w:tc>
          <w:tcPr>
            <w:tcW w:w="1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37,489</w:t>
            </w:r>
          </w:p>
        </w:tc>
        <w:tc>
          <w:tcPr>
            <w:tcW w:w="1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149,209</w:t>
            </w:r>
          </w:p>
        </w:tc>
      </w:tr>
      <w:tr>
        <w:trPr>
          <w:trHeight w:val="192"/>
        </w:trPr>
        <w:tc>
          <w:tcPr>
            <w:tcW w:w="4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Revenue accounted for under other guidance</w:t>
            </w:r>
          </w:p>
        </w:tc>
        <w:tc>
          <w:tcPr>
            <w:tcW w:w="19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1,632</w:t>
            </w:r>
          </w:p>
        </w:tc>
        <w:tc>
          <w:tcPr>
            <w:tcW w:w="1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1,632</w:t>
            </w:r>
          </w:p>
        </w:tc>
      </w:tr>
      <w:tr>
        <w:trPr>
          <w:trHeight w:val="192"/>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revenue</w:t>
            </w:r>
          </w:p>
        </w:tc>
        <w:tc>
          <w:tcPr>
            <w:tcW w:w="19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113,352</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37,489</w:t>
            </w:r>
          </w:p>
        </w:tc>
        <w:tc>
          <w:tcPr>
            <w:tcW w:w="1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150,841</w:t>
            </w:r>
          </w:p>
        </w:tc>
      </w:tr>
      <w:tr>
        <w:trPr>
          <w:trHeight w:val="20"/>
        </w:trPr>
        <w:tc>
          <w:tcPr>
            <w:tcW w:w="4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Considerations</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Customer payments for material only orders are due shortly after shipment.</w:t>
      </w:r>
    </w:p>
    <w:p>
      <w:pPr>
        <w:spacing w:after="0" w:line="193"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Turnkey projects where the end-user is a commercial or industrial company typically span between one week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67" w:lineRule="exact"/>
        <w:rPr>
          <w:sz w:val="20"/>
          <w:szCs w:val="20"/>
          <w:color w:val="auto"/>
        </w:rPr>
      </w:pPr>
    </w:p>
    <w:p>
      <w:pPr>
        <w:jc w:val="both"/>
        <w:ind w:right="20" w:firstLine="495"/>
        <w:spacing w:after="0" w:line="266" w:lineRule="auto"/>
        <w:rPr>
          <w:sz w:val="20"/>
          <w:szCs w:val="20"/>
          <w:color w:val="auto"/>
        </w:rPr>
      </w:pPr>
      <w:r>
        <w:rPr>
          <w:rFonts w:ascii="Arial" w:cs="Arial" w:eastAsia="Arial" w:hAnsi="Arial"/>
          <w:sz w:val="16"/>
          <w:szCs w:val="16"/>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57" w:lineRule="exact"/>
        <w:rPr>
          <w:sz w:val="20"/>
          <w:szCs w:val="20"/>
          <w:color w:val="auto"/>
        </w:rPr>
      </w:pPr>
    </w:p>
    <w:p>
      <w:pPr>
        <w:jc w:val="both"/>
        <w:ind w:firstLine="500"/>
        <w:spacing w:after="0" w:line="269" w:lineRule="auto"/>
        <w:rPr>
          <w:sz w:val="20"/>
          <w:szCs w:val="20"/>
          <w:color w:val="auto"/>
        </w:rPr>
      </w:pPr>
      <w:r>
        <w:rPr>
          <w:rFonts w:ascii="Arial" w:cs="Arial" w:eastAsia="Arial" w:hAnsi="Arial"/>
          <w:sz w:val="15"/>
          <w:szCs w:val="15"/>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the guidance for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58"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The payments associated with these transactions that are due during the twelve months subsequent to March 31, 2020 are included in Accounts receivable, net in Orion’s Consolidated Balance Sheets. The remaining amounts due that are associated with these transactions are included in Long-term accounts receivable in Orion’s Consolidated Balance Sheets.</w:t>
      </w:r>
    </w:p>
    <w:p>
      <w:pPr>
        <w:spacing w:after="0" w:line="167" w:lineRule="exact"/>
        <w:rPr>
          <w:sz w:val="20"/>
          <w:szCs w:val="20"/>
          <w:color w:val="auto"/>
        </w:rPr>
      </w:pPr>
    </w:p>
    <w:p>
      <w:pPr>
        <w:jc w:val="both"/>
        <w:ind w:right="20" w:firstLine="500"/>
        <w:spacing w:after="0" w:line="250" w:lineRule="auto"/>
        <w:rPr>
          <w:sz w:val="20"/>
          <w:szCs w:val="20"/>
          <w:color w:val="auto"/>
        </w:rPr>
      </w:pPr>
      <w:r>
        <w:rPr>
          <w:rFonts w:ascii="Arial" w:cs="Arial" w:eastAsia="Arial" w:hAnsi="Arial"/>
          <w:sz w:val="16"/>
          <w:szCs w:val="16"/>
          <w:color w:val="auto"/>
        </w:rPr>
        <w:t>The customer’s monthly payment obligation commences after completion of the turnkey project. Orion generally sells the receivable from the customer to an independent financial institution either during, or shortly after completion of, the installation period. Upon execution of the receivables purchase / sales agreement, all amounts due from the customer are included in Revenues earned but not billed on Orion’s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71"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The total amount received from the sales of these receivables during the twelve months ended March 31, 2020, and 2019 was $4.4 million and $6.9 million, respectively. Orion’s losses on these sales aggregated to $0.1 million and $0.3 million for the twelve months ended March 31, 2020, and 2019, respectively, and are included in Interest expense in the Consolidated Statements of Operations.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65" w:name="page66"/>
    <w:bookmarkEnd w:id="65"/>
    <w:p>
      <w:pPr>
        <w:spacing w:after="0"/>
        <w:rPr>
          <w:sz w:val="20"/>
          <w:szCs w:val="20"/>
          <w:color w:val="auto"/>
        </w:rPr>
      </w:pPr>
      <w:r>
        <w:rPr>
          <w:rFonts w:ascii="Arial" w:cs="Arial" w:eastAsia="Arial" w:hAnsi="Arial"/>
          <w:sz w:val="16"/>
          <w:szCs w:val="16"/>
          <w:i w:val="1"/>
          <w:iCs w:val="1"/>
          <w:color w:val="auto"/>
        </w:rPr>
        <w:t>Practical Expedients and Exemptions</w:t>
      </w:r>
    </w:p>
    <w:p>
      <w:pPr>
        <w:spacing w:after="0" w:line="98"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5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Orion’s performance obligations related to lighting fixtures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167"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Orion has also adopted the practical expedient that provides an exemption to the disclosure requirement of the value assigned to performance obligations associated with contracts that were not complete as of April 1, 2018.</w:t>
      </w:r>
    </w:p>
    <w:p>
      <w:pPr>
        <w:spacing w:after="0" w:line="157"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57"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Balances</w:t>
      </w:r>
    </w:p>
    <w:p>
      <w:pPr>
        <w:spacing w:after="0" w:line="98"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57"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Revenue earned but not billed represents revenue that has been recognized in advance of billing the customer, which is a common practice in Orion turnkey contracts. Once Orion has an unconditional right to consideration under a turnkey contract, Orion typically bills the customer accordingly and reclassifies the amount to Accounts receivable, net. Revenue earned but not billed as of March 31, 2020 and March 31, 2019 includes $39 thousand and $0.7 million, respectively, which was not derived from contracts with customers and therefore not classified as a contract asset as defined by the new standards.</w:t>
      </w:r>
    </w:p>
    <w:p>
      <w:pPr>
        <w:spacing w:after="0" w:line="169"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Long term accounts receivable as of March 31, 2020, includes $0.6 million of contract assets related to the service portion of the long-term financing agreement provided one customer.</w:t>
      </w:r>
    </w:p>
    <w:p>
      <w:pPr>
        <w:spacing w:after="0" w:line="157"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Deferred revenue, current as of March 31, 2020, includes $31 thousand of contract liabilities which represented consideration received from customers prior to the point that Orion has fulfilled the promises included in a performance obligation and recorded revenue.</w:t>
      </w:r>
    </w:p>
    <w:p>
      <w:pPr>
        <w:spacing w:after="0" w:line="157" w:lineRule="exact"/>
        <w:rPr>
          <w:sz w:val="20"/>
          <w:szCs w:val="20"/>
          <w:color w:val="auto"/>
        </w:rPr>
      </w:pPr>
    </w:p>
    <w:p>
      <w:pPr>
        <w:jc w:val="both"/>
        <w:ind w:right="20" w:firstLine="500"/>
        <w:spacing w:after="0" w:line="382" w:lineRule="auto"/>
        <w:rPr>
          <w:sz w:val="20"/>
          <w:szCs w:val="20"/>
          <w:color w:val="auto"/>
        </w:rPr>
      </w:pPr>
      <w:r>
        <w:rPr>
          <w:rFonts w:ascii="Arial" w:cs="Arial" w:eastAsia="Arial" w:hAnsi="Arial"/>
          <w:sz w:val="13"/>
          <w:szCs w:val="13"/>
          <w:color w:val="auto"/>
        </w:rPr>
        <w:t>Deferred revenue, long-term consists of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the new standards.</w:t>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following chart shows the balance of Orion’s receivables arising from contracts with customers, contract assets and contract liabilities as of March 31, 2020,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March 31, 2019, after the adoption of the new standards (dollars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 2020</w:t>
            </w:r>
          </w:p>
        </w:tc>
        <w:tc>
          <w:tcPr>
            <w:tcW w:w="220" w:type="dxa"/>
            <w:vAlign w:val="bottom"/>
          </w:tcPr>
          <w:p>
            <w:pPr>
              <w:spacing w:after="0"/>
              <w:rPr>
                <w:sz w:val="12"/>
                <w:szCs w:val="12"/>
                <w:color w:val="auto"/>
              </w:rPr>
            </w:pPr>
          </w:p>
        </w:tc>
        <w:tc>
          <w:tcPr>
            <w:tcW w:w="1460" w:type="dxa"/>
            <w:vAlign w:val="bottom"/>
          </w:tcPr>
          <w:p>
            <w:pPr>
              <w:jc w:val="right"/>
              <w:ind w:right="406"/>
              <w:spacing w:after="0"/>
              <w:rPr>
                <w:sz w:val="20"/>
                <w:szCs w:val="20"/>
                <w:color w:val="auto"/>
              </w:rPr>
            </w:pPr>
            <w:r>
              <w:rPr>
                <w:rFonts w:ascii="Arial" w:cs="Arial" w:eastAsia="Arial" w:hAnsi="Arial"/>
                <w:sz w:val="13"/>
                <w:szCs w:val="13"/>
                <w:b w:val="1"/>
                <w:bCs w:val="1"/>
                <w:color w:val="auto"/>
              </w:rPr>
              <w:t>March 31, 2019</w:t>
            </w:r>
          </w:p>
        </w:tc>
      </w:tr>
      <w:tr>
        <w:trPr>
          <w:trHeight w:val="192"/>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color w:val="auto"/>
              </w:rPr>
              <w:t>10,427</w:t>
            </w:r>
          </w:p>
        </w:tc>
        <w:tc>
          <w:tcPr>
            <w:tcW w:w="1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color w:val="auto"/>
              </w:rPr>
              <w:t>14,804</w:t>
            </w: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Contract assets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46"/>
              <w:spacing w:after="0"/>
              <w:rPr>
                <w:sz w:val="20"/>
                <w:szCs w:val="20"/>
                <w:color w:val="auto"/>
              </w:rPr>
            </w:pPr>
            <w:r>
              <w:rPr>
                <w:rFonts w:ascii="Arial" w:cs="Arial" w:eastAsia="Arial" w:hAnsi="Arial"/>
                <w:sz w:val="16"/>
                <w:szCs w:val="16"/>
                <w:color w:val="auto"/>
              </w:rPr>
              <w:t>1,082</w:t>
            </w:r>
          </w:p>
        </w:tc>
        <w:tc>
          <w:tcPr>
            <w:tcW w:w="18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46"/>
              <w:spacing w:after="0"/>
              <w:rPr>
                <w:sz w:val="20"/>
                <w:szCs w:val="20"/>
                <w:color w:val="auto"/>
              </w:rPr>
            </w:pPr>
            <w:r>
              <w:rPr>
                <w:rFonts w:ascii="Arial" w:cs="Arial" w:eastAsia="Arial" w:hAnsi="Arial"/>
                <w:sz w:val="16"/>
                <w:szCs w:val="16"/>
                <w:color w:val="auto"/>
              </w:rPr>
              <w:t>3,005</w:t>
            </w:r>
          </w:p>
        </w:tc>
      </w:tr>
      <w:tr>
        <w:trPr>
          <w:trHeight w:val="20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Contract liabilities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48</w:t>
            </w:r>
          </w:p>
        </w:tc>
      </w:tr>
    </w:tbl>
    <w:p>
      <w:pPr>
        <w:spacing w:after="0" w:line="211"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There were no significant changes in the contract assets outside of standard reclassifications to Accounts receivable, net upon billing. There were no significant changes to contract liabilities.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NOTE 5 — ACCOUNTS RECEIVABLE</w:t>
      </w:r>
    </w:p>
    <w:p>
      <w:pPr>
        <w:spacing w:after="0" w:line="102" w:lineRule="exact"/>
        <w:rPr>
          <w:sz w:val="20"/>
          <w:szCs w:val="20"/>
          <w:color w:val="auto"/>
        </w:rPr>
      </w:pPr>
    </w:p>
    <w:p>
      <w:pPr>
        <w:jc w:val="both"/>
        <w:ind w:firstLine="500"/>
        <w:spacing w:after="0" w:line="248" w:lineRule="auto"/>
        <w:rPr>
          <w:sz w:val="20"/>
          <w:szCs w:val="20"/>
          <w:color w:val="auto"/>
        </w:rPr>
      </w:pPr>
      <w:r>
        <w:rPr>
          <w:rFonts w:ascii="Arial" w:cs="Arial" w:eastAsia="Arial" w:hAnsi="Arial"/>
          <w:sz w:val="16"/>
          <w:szCs w:val="16"/>
          <w:color w:val="auto"/>
        </w:rPr>
        <w:t>Orion’s accounts receivable are due from companies in the commercial, governmental,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Orion expects to collect from outstanding balances. Orion provides for probable uncollectible amounts through a charge to earnings and a credit to an allowance for doubtful accounts based on its assessment of the current status of individual accounts. Balances that are still outstanding after Orion has used reasonable collection efforts are written off through a charge to the allowance for doubtful accounts and a credit to accounts receivable. Orion's accounts receivable and allowance for doubtful accounts balances were as follows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2020</w:t>
            </w: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06"/>
              <w:spacing w:after="0"/>
              <w:rPr>
                <w:sz w:val="20"/>
                <w:szCs w:val="20"/>
                <w:color w:val="auto"/>
              </w:rPr>
            </w:pPr>
            <w:r>
              <w:rPr>
                <w:rFonts w:ascii="Arial" w:cs="Arial" w:eastAsia="Arial" w:hAnsi="Arial"/>
                <w:sz w:val="13"/>
                <w:szCs w:val="13"/>
                <w:b w:val="1"/>
                <w:bCs w:val="1"/>
                <w:color w:val="auto"/>
              </w:rPr>
              <w:t>2019</w:t>
            </w:r>
          </w:p>
        </w:tc>
      </w:tr>
      <w:tr>
        <w:trPr>
          <w:trHeight w:val="192"/>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 gross</w:t>
            </w:r>
          </w:p>
        </w:tc>
        <w:tc>
          <w:tcPr>
            <w:tcW w:w="1000" w:type="dxa"/>
            <w:vAlign w:val="bottom"/>
            <w:shd w:val="clear" w:color="auto" w:fill="CFF0FC"/>
          </w:tcPr>
          <w:p>
            <w:pPr>
              <w:jc w:val="right"/>
              <w:ind w:right="851"/>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10,455</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15,011</w:t>
            </w:r>
          </w:p>
        </w:tc>
      </w:tr>
      <w:tr>
        <w:trPr>
          <w:trHeight w:val="200"/>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Allowance for doubtful accounts</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r>
      <w:tr>
        <w:trPr>
          <w:trHeight w:val="192"/>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Accounts receivable, net</w:t>
            </w:r>
          </w:p>
        </w:tc>
        <w:tc>
          <w:tcPr>
            <w:tcW w:w="1000" w:type="dxa"/>
            <w:vAlign w:val="bottom"/>
            <w:tcBorders>
              <w:bottom w:val="single" w:sz="8" w:color="auto"/>
            </w:tcBorders>
            <w:shd w:val="clear" w:color="auto" w:fill="CFF0FC"/>
          </w:tcPr>
          <w:p>
            <w:pPr>
              <w:jc w:val="right"/>
              <w:ind w:right="851"/>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10,427</w:t>
            </w:r>
          </w:p>
        </w:tc>
        <w:tc>
          <w:tcPr>
            <w:tcW w:w="1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color w:val="auto"/>
              </w:rPr>
              <w:t>14,804</w:t>
            </w: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INVENTORIES</w:t>
      </w:r>
    </w:p>
    <w:p>
      <w:pPr>
        <w:spacing w:after="0" w:line="102" w:lineRule="exact"/>
        <w:rPr>
          <w:sz w:val="20"/>
          <w:szCs w:val="20"/>
          <w:color w:val="auto"/>
        </w:rPr>
      </w:pPr>
    </w:p>
    <w:p>
      <w:pPr>
        <w:jc w:val="both"/>
        <w:ind w:firstLine="500"/>
        <w:spacing w:after="0" w:line="249" w:lineRule="auto"/>
        <w:rPr>
          <w:sz w:val="20"/>
          <w:szCs w:val="20"/>
          <w:color w:val="auto"/>
        </w:rPr>
      </w:pPr>
      <w:r>
        <w:rPr>
          <w:rFonts w:ascii="Arial" w:cs="Arial" w:eastAsia="Arial" w:hAnsi="Arial"/>
          <w:sz w:val="16"/>
          <w:szCs w:val="16"/>
          <w:color w:val="auto"/>
        </w:rPr>
        <w:t>Inventories consist of raw materials and components, such as drivers, metal sheet and coil stock and molded parts; work in process inventories, such as frames and reflectors; and finished goods, including completed fixtures and systems, and accessories. All inventories are stated at the lower of cost or net realizable value with cost determined using the first-in, first-out (FIFO) method. Orion reduces the carrying value of its inventories for differences between the cost and estimated net realizable value, taking into consideration usage in the preceding 9 to 12 months, expected demand, and other information indicating obsolescence. Orion records, as a charge to cost of product revenue, the amount required to reduce the carrying value of inventory to net realizable value. As of March 31, 2020 and 2019, Orion's inventory balances were as follows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3"/>
              </w:rPr>
              <w:t>Excess and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460"/>
              <w:spacing w:after="0" w:line="129" w:lineRule="exact"/>
              <w:rPr>
                <w:sz w:val="20"/>
                <w:szCs w:val="20"/>
                <w:color w:val="auto"/>
              </w:rPr>
            </w:pPr>
            <w:r>
              <w:rPr>
                <w:rFonts w:ascii="Arial" w:cs="Arial" w:eastAsia="Arial" w:hAnsi="Arial"/>
                <w:sz w:val="13"/>
                <w:szCs w:val="13"/>
                <w:b w:val="1"/>
                <w:bCs w:val="1"/>
                <w:color w:val="auto"/>
                <w:w w:val="81"/>
              </w:rPr>
              <w:t>Obsolescence</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Cost</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2"/>
              </w:rPr>
              <w:t>Reserve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603"/>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92"/>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As of March 31, 2020</w:t>
            </w:r>
          </w:p>
        </w:tc>
        <w:tc>
          <w:tcPr>
            <w:tcW w:w="8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20" w:type="dxa"/>
            <w:vAlign w:val="bottom"/>
          </w:tcPr>
          <w:p>
            <w:pPr>
              <w:ind w:left="200"/>
              <w:spacing w:after="0"/>
              <w:rPr>
                <w:sz w:val="20"/>
                <w:szCs w:val="20"/>
                <w:color w:val="auto"/>
              </w:rPr>
            </w:pPr>
            <w:r>
              <w:rPr>
                <w:rFonts w:ascii="Arial" w:cs="Arial" w:eastAsia="Arial" w:hAnsi="Arial"/>
                <w:sz w:val="16"/>
                <w:szCs w:val="16"/>
                <w:color w:val="auto"/>
              </w:rPr>
              <w:t>Raw materials and components</w:t>
            </w:r>
          </w:p>
        </w:tc>
        <w:tc>
          <w:tcPr>
            <w:tcW w:w="840" w:type="dxa"/>
            <w:vAlign w:val="bottom"/>
          </w:tcPr>
          <w:p>
            <w:pPr>
              <w:jc w:val="right"/>
              <w:ind w:right="689"/>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9,639</w:t>
            </w:r>
          </w:p>
        </w:tc>
        <w:tc>
          <w:tcPr>
            <w:tcW w:w="16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(1,244)</w:t>
            </w:r>
          </w:p>
        </w:tc>
        <w:tc>
          <w:tcPr>
            <w:tcW w:w="160" w:type="dxa"/>
            <w:vAlign w:val="bottom"/>
          </w:tcPr>
          <w:p>
            <w:pPr>
              <w:spacing w:after="0"/>
              <w:rPr>
                <w:sz w:val="17"/>
                <w:szCs w:val="17"/>
                <w:color w:val="auto"/>
              </w:rPr>
            </w:pP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8,395</w:t>
            </w:r>
          </w:p>
        </w:tc>
        <w:tc>
          <w:tcPr>
            <w:tcW w:w="0" w:type="dxa"/>
            <w:vAlign w:val="bottom"/>
          </w:tcPr>
          <w:p>
            <w:pPr>
              <w:spacing w:after="0"/>
              <w:rPr>
                <w:sz w:val="1"/>
                <w:szCs w:val="1"/>
                <w:color w:val="auto"/>
              </w:rPr>
            </w:pPr>
          </w:p>
        </w:tc>
      </w:tr>
      <w:tr>
        <w:trPr>
          <w:trHeight w:val="200"/>
        </w:trPr>
        <w:tc>
          <w:tcPr>
            <w:tcW w:w="6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Work in process</w:t>
            </w:r>
          </w:p>
        </w:tc>
        <w:tc>
          <w:tcPr>
            <w:tcW w:w="84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699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00"/>
        </w:trPr>
        <w:tc>
          <w:tcPr>
            <w:tcW w:w="662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Finished goods</w:t>
            </w: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6,598</w:t>
            </w:r>
          </w:p>
        </w:tc>
        <w:tc>
          <w:tcPr>
            <w:tcW w:w="1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1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5,718</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shd w:val="clear" w:color="auto" w:fill="CFF0FC"/>
          </w:tcPr>
          <w:p>
            <w:pPr>
              <w:jc w:val="right"/>
              <w:ind w:right="689"/>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93"/>
              </w:rPr>
              <w:t>16,936</w:t>
            </w: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(2,429)</w:t>
            </w:r>
          </w:p>
        </w:tc>
        <w:tc>
          <w:tcPr>
            <w:tcW w:w="1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14,507</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6"/>
                <w:szCs w:val="16"/>
                <w:color w:val="auto"/>
              </w:rPr>
              <w:t>As of March 31, 2019</w:t>
            </w: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Raw materials and components</w:t>
            </w:r>
          </w:p>
        </w:tc>
        <w:tc>
          <w:tcPr>
            <w:tcW w:w="840" w:type="dxa"/>
            <w:vAlign w:val="bottom"/>
            <w:shd w:val="clear" w:color="auto" w:fill="CFF0FC"/>
          </w:tcPr>
          <w:p>
            <w:pPr>
              <w:jc w:val="right"/>
              <w:ind w:right="689"/>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9,161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(1,393)</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9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7,768</w:t>
            </w:r>
          </w:p>
        </w:tc>
        <w:tc>
          <w:tcPr>
            <w:tcW w:w="0" w:type="dxa"/>
            <w:vAlign w:val="bottom"/>
          </w:tcPr>
          <w:p>
            <w:pPr>
              <w:spacing w:after="0"/>
              <w:rPr>
                <w:sz w:val="1"/>
                <w:szCs w:val="1"/>
                <w:color w:val="auto"/>
              </w:rPr>
            </w:pPr>
          </w:p>
        </w:tc>
      </w:tr>
      <w:tr>
        <w:trPr>
          <w:trHeight w:val="200"/>
        </w:trPr>
        <w:tc>
          <w:tcPr>
            <w:tcW w:w="6620" w:type="dxa"/>
            <w:vAlign w:val="bottom"/>
          </w:tcPr>
          <w:p>
            <w:pPr>
              <w:ind w:left="200"/>
              <w:spacing w:after="0"/>
              <w:rPr>
                <w:sz w:val="20"/>
                <w:szCs w:val="20"/>
                <w:color w:val="auto"/>
              </w:rPr>
            </w:pPr>
            <w:r>
              <w:rPr>
                <w:rFonts w:ascii="Arial" w:cs="Arial" w:eastAsia="Arial" w:hAnsi="Arial"/>
                <w:sz w:val="16"/>
                <w:szCs w:val="16"/>
                <w:color w:val="auto"/>
              </w:rPr>
              <w:t>Work in process</w:t>
            </w:r>
          </w:p>
        </w:tc>
        <w:tc>
          <w:tcPr>
            <w:tcW w:w="84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1,010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00"/>
        </w:trPr>
        <w:tc>
          <w:tcPr>
            <w:tcW w:w="6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Finished goods</w:t>
            </w:r>
          </w:p>
        </w:tc>
        <w:tc>
          <w:tcPr>
            <w:tcW w:w="8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6,056</w:t>
            </w:r>
          </w:p>
        </w:tc>
        <w:tc>
          <w:tcPr>
            <w:tcW w:w="16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(1,162)</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4,894</w:t>
            </w:r>
          </w:p>
        </w:tc>
        <w:tc>
          <w:tcPr>
            <w:tcW w:w="0" w:type="dxa"/>
            <w:vAlign w:val="bottom"/>
          </w:tcPr>
          <w:p>
            <w:pPr>
              <w:spacing w:after="0"/>
              <w:rPr>
                <w:sz w:val="1"/>
                <w:szCs w:val="1"/>
                <w:color w:val="auto"/>
              </w:rPr>
            </w:pPr>
          </w:p>
        </w:tc>
      </w:tr>
      <w:tr>
        <w:trPr>
          <w:trHeight w:val="192"/>
        </w:trPr>
        <w:tc>
          <w:tcPr>
            <w:tcW w:w="6620" w:type="dxa"/>
            <w:vAlign w:val="bottom"/>
          </w:tcPr>
          <w:p>
            <w:pPr>
              <w:ind w:left="42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93"/>
              </w:rPr>
              <w:t>16,227</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(2,824)</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13,403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Costs associated with the procurement and warehousing of inventories, such as inbound freight charges and purchasing and receiving costs, are also included in cost of product revenue.</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PREPAID EXPENSES AND OTHER CURRENT ASSETS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Prepaid expenses and other current assets consist primarily of prepaid subscription fees, prepaid insurance premiums, debt issue costs, and sales tax receivable.</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PROPERTY AND EQUIPMENT</w:t>
      </w:r>
    </w:p>
    <w:p>
      <w:pPr>
        <w:spacing w:after="0" w:line="102"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Property and equipment are stated at cost. Expenditures for additions and improvements are capitalized, while replacements, maintenance and repairs, which do not improve or extend the lives of the respective assets, are expensed as incurred. Properties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41" w:right="319" w:bottom="1440" w:gutter="0" w:footer="0" w:header="0"/>
        </w:sectPr>
      </w:pPr>
    </w:p>
    <w:bookmarkStart w:id="67" w:name="page68"/>
    <w:bookmarkEnd w:id="67"/>
    <w:p>
      <w:pPr>
        <w:spacing w:after="0"/>
        <w:rPr>
          <w:sz w:val="20"/>
          <w:szCs w:val="20"/>
          <w:color w:val="auto"/>
        </w:rPr>
      </w:pPr>
      <w:r>
        <w:rPr>
          <w:rFonts w:ascii="Arial" w:cs="Arial" w:eastAsia="Arial" w:hAnsi="Arial"/>
          <w:sz w:val="13"/>
          <w:szCs w:val="13"/>
          <w:color w:val="auto"/>
        </w:rPr>
        <w:t>equipment sold, or otherwise disposed of, are removed from the property and equipment accounts, with gains or losses on disposal credited or charged to income from operations.</w:t>
      </w:r>
    </w:p>
    <w:p>
      <w:pPr>
        <w:spacing w:after="0" w:line="133"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Orion periodically reviews the carrying values of property and equipment for impairment in accordance with ASC 360, Property, Plant and Equipment,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w:t>
      </w:r>
    </w:p>
    <w:p>
      <w:pPr>
        <w:spacing w:after="0" w:line="72" w:lineRule="exact"/>
        <w:rPr>
          <w:sz w:val="20"/>
          <w:szCs w:val="20"/>
          <w:color w:val="auto"/>
        </w:rPr>
      </w:pPr>
    </w:p>
    <w:p>
      <w:pPr>
        <w:jc w:val="both"/>
        <w:ind w:firstLine="500"/>
        <w:spacing w:after="0" w:line="322" w:lineRule="auto"/>
        <w:rPr>
          <w:sz w:val="20"/>
          <w:szCs w:val="20"/>
          <w:color w:val="auto"/>
        </w:rPr>
      </w:pPr>
      <w:r>
        <w:rPr>
          <w:rFonts w:ascii="Arial" w:cs="Arial" w:eastAsia="Arial" w:hAnsi="Arial"/>
          <w:sz w:val="13"/>
          <w:szCs w:val="13"/>
          <w:color w:val="auto"/>
        </w:rPr>
        <w:t>As of March 31, 2020, due to the forecasted change in the macroeconomic conditions due to the COVID-19 pandemic, a triggering event occurred requiring Orion to evaluate its long-lived assets for impairment. Due to the central nature of its operations, Orion’s tangible and intangible definite-lived assets support its full operations, are utilized by all three of its reportable segments, and do not generate separately identifiable cash flows. As such, these assets together represent a single asset group. Orion performed the recoverability test for the asset group by comparing its carrying value to the group’s expected future undiscounted cash flows. Orion concluded that the undiscounted cash flows of the long-lived asset group exceeded its carrying value. As such the asset group was deemed recoverable and no impairment was recorded.</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Property and equipment were comprised of the following (dollars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 2020</w:t>
            </w:r>
          </w:p>
        </w:tc>
        <w:tc>
          <w:tcPr>
            <w:tcW w:w="220" w:type="dxa"/>
            <w:vAlign w:val="bottom"/>
          </w:tcPr>
          <w:p>
            <w:pPr>
              <w:spacing w:after="0"/>
              <w:rPr>
                <w:sz w:val="13"/>
                <w:szCs w:val="13"/>
                <w:color w:val="auto"/>
              </w:rPr>
            </w:pPr>
          </w:p>
        </w:tc>
        <w:tc>
          <w:tcPr>
            <w:tcW w:w="1460" w:type="dxa"/>
            <w:vAlign w:val="bottom"/>
          </w:tcPr>
          <w:p>
            <w:pPr>
              <w:jc w:val="right"/>
              <w:ind w:right="403"/>
              <w:spacing w:after="0"/>
              <w:rPr>
                <w:sz w:val="20"/>
                <w:szCs w:val="20"/>
                <w:color w:val="auto"/>
              </w:rPr>
            </w:pPr>
            <w:r>
              <w:rPr>
                <w:rFonts w:ascii="Arial" w:cs="Arial" w:eastAsia="Arial" w:hAnsi="Arial"/>
                <w:sz w:val="13"/>
                <w:szCs w:val="13"/>
                <w:b w:val="1"/>
                <w:bCs w:val="1"/>
                <w:color w:val="auto"/>
              </w:rPr>
              <w:t>March 31, 2019</w:t>
            </w:r>
          </w:p>
        </w:tc>
      </w:tr>
      <w:tr>
        <w:trPr>
          <w:trHeight w:val="192"/>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Land and land improvements</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433</w:t>
            </w:r>
          </w:p>
        </w:tc>
        <w:tc>
          <w:tcPr>
            <w:tcW w:w="1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433</w:t>
            </w: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Buildings and building improvements</w:t>
            </w:r>
          </w:p>
        </w:tc>
        <w:tc>
          <w:tcPr>
            <w:tcW w:w="22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9,470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9,245</w:t>
            </w:r>
          </w:p>
        </w:tc>
      </w:tr>
      <w:tr>
        <w:trPr>
          <w:trHeight w:val="20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Furniture, fixtures and office equipment</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7,270</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7,238</w:t>
            </w: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Leasehold improvements</w:t>
            </w:r>
          </w:p>
        </w:tc>
        <w:tc>
          <w:tcPr>
            <w:tcW w:w="22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324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324</w:t>
            </w:r>
          </w:p>
        </w:tc>
      </w:tr>
      <w:tr>
        <w:trPr>
          <w:trHeight w:val="20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Equipment leased to customers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4,997</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4,997</w:t>
            </w: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Plant equipment</w:t>
            </w:r>
          </w:p>
        </w:tc>
        <w:tc>
          <w:tcPr>
            <w:tcW w:w="22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12,021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12,211</w:t>
            </w:r>
          </w:p>
        </w:tc>
      </w:tr>
      <w:tr>
        <w:trPr>
          <w:trHeight w:val="20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43</w:t>
            </w:r>
          </w:p>
        </w:tc>
      </w:tr>
      <w:tr>
        <w:trPr>
          <w:trHeight w:val="192"/>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34,530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34,491</w:t>
            </w:r>
          </w:p>
        </w:tc>
      </w:tr>
      <w:tr>
        <w:trPr>
          <w:trHeight w:val="20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(22,713)</w:t>
            </w:r>
          </w:p>
        </w:tc>
        <w:tc>
          <w:tcPr>
            <w:tcW w:w="1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(22,481)</w:t>
            </w:r>
          </w:p>
        </w:tc>
      </w:tr>
      <w:tr>
        <w:trPr>
          <w:trHeight w:val="192"/>
        </w:trPr>
        <w:tc>
          <w:tcPr>
            <w:tcW w:w="7740" w:type="dxa"/>
            <w:vAlign w:val="bottom"/>
          </w:tcPr>
          <w:p>
            <w:pPr>
              <w:spacing w:after="0"/>
              <w:rPr>
                <w:sz w:val="20"/>
                <w:szCs w:val="20"/>
                <w:color w:val="auto"/>
              </w:rPr>
            </w:pPr>
            <w:r>
              <w:rPr>
                <w:rFonts w:ascii="Arial" w:cs="Arial" w:eastAsia="Arial" w:hAnsi="Arial"/>
                <w:sz w:val="16"/>
                <w:szCs w:val="16"/>
                <w:color w:val="auto"/>
              </w:rPr>
              <w:t>Net property and equipment</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11,817</w:t>
            </w:r>
          </w:p>
        </w:tc>
        <w:tc>
          <w:tcPr>
            <w:tcW w:w="180" w:type="dxa"/>
            <w:vAlign w:val="bottom"/>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12,010</w:t>
            </w: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495"/>
        <w:spacing w:after="0" w:line="266" w:lineRule="auto"/>
        <w:rPr>
          <w:sz w:val="20"/>
          <w:szCs w:val="20"/>
          <w:color w:val="auto"/>
        </w:rPr>
      </w:pPr>
      <w:r>
        <w:rPr>
          <w:rFonts w:ascii="Arial" w:cs="Arial" w:eastAsia="Arial" w:hAnsi="Arial"/>
          <w:sz w:val="16"/>
          <w:szCs w:val="16"/>
          <w:color w:val="auto"/>
        </w:rPr>
        <w:t>Depreciation is recognized over the estimated useful lives of the respective assets, using the straight-line method. Orion recorded depreciation expense of $1.2 million, $1.3 million and $1.4 million for the years ended March 31, 2020, 2019 and 2018,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980" w:type="dxa"/>
            <w:vAlign w:val="bottom"/>
          </w:tcPr>
          <w:p>
            <w:pPr>
              <w:ind w:left="500"/>
              <w:spacing w:after="0"/>
              <w:rPr>
                <w:sz w:val="20"/>
                <w:szCs w:val="20"/>
                <w:color w:val="auto"/>
              </w:rPr>
            </w:pPr>
            <w:r>
              <w:rPr>
                <w:rFonts w:ascii="Arial" w:cs="Arial" w:eastAsia="Arial" w:hAnsi="Arial"/>
                <w:sz w:val="16"/>
                <w:szCs w:val="16"/>
                <w:color w:val="auto"/>
              </w:rPr>
              <w:t>Depreciable lives by asset category are as follows:</w:t>
            </w:r>
          </w:p>
        </w:tc>
        <w:tc>
          <w:tcPr>
            <w:tcW w:w="4280" w:type="dxa"/>
            <w:vAlign w:val="bottom"/>
          </w:tcPr>
          <w:p>
            <w:pPr>
              <w:spacing w:after="0"/>
              <w:rPr>
                <w:sz w:val="17"/>
                <w:szCs w:val="17"/>
                <w:color w:val="auto"/>
              </w:rPr>
            </w:pPr>
          </w:p>
        </w:tc>
      </w:tr>
      <w:tr>
        <w:trPr>
          <w:trHeight w:val="213"/>
        </w:trPr>
        <w:tc>
          <w:tcPr>
            <w:tcW w:w="698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200"/>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Land improvements</w:t>
            </w:r>
          </w:p>
        </w:tc>
        <w:tc>
          <w:tcPr>
            <w:tcW w:w="4280" w:type="dxa"/>
            <w:vAlign w:val="bottom"/>
            <w:shd w:val="clear" w:color="auto" w:fill="CFF0FC"/>
          </w:tcPr>
          <w:p>
            <w:pPr>
              <w:ind w:left="920"/>
              <w:spacing w:after="0"/>
              <w:rPr>
                <w:sz w:val="20"/>
                <w:szCs w:val="20"/>
                <w:color w:val="auto"/>
              </w:rPr>
            </w:pPr>
            <w:r>
              <w:rPr>
                <w:rFonts w:ascii="Arial" w:cs="Arial" w:eastAsia="Arial" w:hAnsi="Arial"/>
                <w:sz w:val="16"/>
                <w:szCs w:val="16"/>
                <w:color w:val="auto"/>
              </w:rPr>
              <w:t>10-15 years</w:t>
            </w:r>
          </w:p>
        </w:tc>
      </w:tr>
      <w:tr>
        <w:trPr>
          <w:trHeight w:val="200"/>
        </w:trPr>
        <w:tc>
          <w:tcPr>
            <w:tcW w:w="6980" w:type="dxa"/>
            <w:vAlign w:val="bottom"/>
          </w:tcPr>
          <w:p>
            <w:pPr>
              <w:spacing w:after="0"/>
              <w:rPr>
                <w:sz w:val="20"/>
                <w:szCs w:val="20"/>
                <w:color w:val="auto"/>
              </w:rPr>
            </w:pPr>
            <w:r>
              <w:rPr>
                <w:rFonts w:ascii="Arial" w:cs="Arial" w:eastAsia="Arial" w:hAnsi="Arial"/>
                <w:sz w:val="16"/>
                <w:szCs w:val="16"/>
                <w:color w:val="auto"/>
              </w:rPr>
              <w:t>Buildings and building improvements</w:t>
            </w:r>
          </w:p>
        </w:tc>
        <w:tc>
          <w:tcPr>
            <w:tcW w:w="4280" w:type="dxa"/>
            <w:vAlign w:val="bottom"/>
          </w:tcPr>
          <w:p>
            <w:pPr>
              <w:ind w:left="920"/>
              <w:spacing w:after="0"/>
              <w:rPr>
                <w:sz w:val="20"/>
                <w:szCs w:val="20"/>
                <w:color w:val="auto"/>
              </w:rPr>
            </w:pPr>
            <w:r>
              <w:rPr>
                <w:rFonts w:ascii="Arial" w:cs="Arial" w:eastAsia="Arial" w:hAnsi="Arial"/>
                <w:sz w:val="16"/>
                <w:szCs w:val="16"/>
                <w:color w:val="auto"/>
              </w:rPr>
              <w:t>10-39 years</w:t>
            </w:r>
          </w:p>
        </w:tc>
      </w:tr>
      <w:tr>
        <w:trPr>
          <w:trHeight w:val="200"/>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Furniture, fixtures and office equipment</w:t>
            </w:r>
          </w:p>
        </w:tc>
        <w:tc>
          <w:tcPr>
            <w:tcW w:w="4280" w:type="dxa"/>
            <w:vAlign w:val="bottom"/>
            <w:shd w:val="clear" w:color="auto" w:fill="CFF0FC"/>
          </w:tcPr>
          <w:p>
            <w:pPr>
              <w:ind w:left="920"/>
              <w:spacing w:after="0"/>
              <w:rPr>
                <w:sz w:val="20"/>
                <w:szCs w:val="20"/>
                <w:color w:val="auto"/>
              </w:rPr>
            </w:pPr>
            <w:r>
              <w:rPr>
                <w:rFonts w:ascii="Arial" w:cs="Arial" w:eastAsia="Arial" w:hAnsi="Arial"/>
                <w:sz w:val="16"/>
                <w:szCs w:val="16"/>
                <w:color w:val="auto"/>
              </w:rPr>
              <w:t>2-10 years</w:t>
            </w:r>
          </w:p>
        </w:tc>
      </w:tr>
      <w:tr>
        <w:trPr>
          <w:trHeight w:val="200"/>
        </w:trPr>
        <w:tc>
          <w:tcPr>
            <w:tcW w:w="6980" w:type="dxa"/>
            <w:vAlign w:val="bottom"/>
          </w:tcPr>
          <w:p>
            <w:pPr>
              <w:spacing w:after="0"/>
              <w:rPr>
                <w:sz w:val="20"/>
                <w:szCs w:val="20"/>
                <w:color w:val="auto"/>
              </w:rPr>
            </w:pPr>
            <w:r>
              <w:rPr>
                <w:rFonts w:ascii="Arial" w:cs="Arial" w:eastAsia="Arial" w:hAnsi="Arial"/>
                <w:sz w:val="16"/>
                <w:szCs w:val="16"/>
                <w:color w:val="auto"/>
              </w:rPr>
              <w:t>Leasehold improvements</w:t>
            </w:r>
          </w:p>
        </w:tc>
        <w:tc>
          <w:tcPr>
            <w:tcW w:w="4280" w:type="dxa"/>
            <w:vAlign w:val="bottom"/>
          </w:tcPr>
          <w:p>
            <w:pPr>
              <w:ind w:left="920"/>
              <w:spacing w:after="0"/>
              <w:rPr>
                <w:sz w:val="20"/>
                <w:szCs w:val="20"/>
                <w:color w:val="auto"/>
              </w:rPr>
            </w:pPr>
            <w:r>
              <w:rPr>
                <w:rFonts w:ascii="Arial" w:cs="Arial" w:eastAsia="Arial" w:hAnsi="Arial"/>
                <w:sz w:val="16"/>
                <w:szCs w:val="16"/>
                <w:color w:val="auto"/>
              </w:rPr>
              <w:t>Shorter of asset life or life of lease</w:t>
            </w:r>
          </w:p>
        </w:tc>
      </w:tr>
      <w:tr>
        <w:trPr>
          <w:trHeight w:val="200"/>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Equipment leased to customers under Power Purchase Agreements</w:t>
            </w:r>
          </w:p>
        </w:tc>
        <w:tc>
          <w:tcPr>
            <w:tcW w:w="4280" w:type="dxa"/>
            <w:vAlign w:val="bottom"/>
            <w:shd w:val="clear" w:color="auto" w:fill="CFF0FC"/>
          </w:tcPr>
          <w:p>
            <w:pPr>
              <w:ind w:left="920"/>
              <w:spacing w:after="0"/>
              <w:rPr>
                <w:sz w:val="20"/>
                <w:szCs w:val="20"/>
                <w:color w:val="auto"/>
              </w:rPr>
            </w:pPr>
            <w:r>
              <w:rPr>
                <w:rFonts w:ascii="Arial" w:cs="Arial" w:eastAsia="Arial" w:hAnsi="Arial"/>
                <w:sz w:val="16"/>
                <w:szCs w:val="16"/>
                <w:color w:val="auto"/>
              </w:rPr>
              <w:t>20 years</w:t>
            </w:r>
          </w:p>
        </w:tc>
      </w:tr>
      <w:tr>
        <w:trPr>
          <w:trHeight w:val="200"/>
        </w:trPr>
        <w:tc>
          <w:tcPr>
            <w:tcW w:w="6980" w:type="dxa"/>
            <w:vAlign w:val="bottom"/>
          </w:tcPr>
          <w:p>
            <w:pPr>
              <w:spacing w:after="0"/>
              <w:rPr>
                <w:sz w:val="20"/>
                <w:szCs w:val="20"/>
                <w:color w:val="auto"/>
              </w:rPr>
            </w:pPr>
            <w:r>
              <w:rPr>
                <w:rFonts w:ascii="Arial" w:cs="Arial" w:eastAsia="Arial" w:hAnsi="Arial"/>
                <w:sz w:val="16"/>
                <w:szCs w:val="16"/>
                <w:color w:val="auto"/>
              </w:rPr>
              <w:t>Plant equipment</w:t>
            </w:r>
          </w:p>
        </w:tc>
        <w:tc>
          <w:tcPr>
            <w:tcW w:w="4280" w:type="dxa"/>
            <w:vAlign w:val="bottom"/>
          </w:tcPr>
          <w:p>
            <w:pPr>
              <w:ind w:left="920"/>
              <w:spacing w:after="0"/>
              <w:rPr>
                <w:sz w:val="20"/>
                <w:szCs w:val="20"/>
                <w:color w:val="auto"/>
              </w:rPr>
            </w:pPr>
            <w:r>
              <w:rPr>
                <w:rFonts w:ascii="Arial" w:cs="Arial" w:eastAsia="Arial" w:hAnsi="Arial"/>
                <w:sz w:val="16"/>
                <w:szCs w:val="16"/>
                <w:color w:val="auto"/>
              </w:rPr>
              <w:t>3-10 years</w:t>
            </w:r>
          </w:p>
        </w:tc>
      </w:tr>
      <w:tr>
        <w:trPr>
          <w:trHeight w:val="399"/>
        </w:trPr>
        <w:tc>
          <w:tcPr>
            <w:tcW w:w="6980" w:type="dxa"/>
            <w:vAlign w:val="bottom"/>
          </w:tcPr>
          <w:p>
            <w:pPr>
              <w:ind w:left="500"/>
              <w:spacing w:after="0"/>
              <w:rPr>
                <w:sz w:val="20"/>
                <w:szCs w:val="20"/>
                <w:color w:val="auto"/>
              </w:rPr>
            </w:pPr>
            <w:r>
              <w:rPr>
                <w:rFonts w:ascii="Arial" w:cs="Arial" w:eastAsia="Arial" w:hAnsi="Arial"/>
                <w:sz w:val="16"/>
                <w:szCs w:val="16"/>
                <w:color w:val="auto"/>
              </w:rPr>
              <w:t>No interest was capitalized for construction in progress during fiscal 2020 or fiscal 2019.</w:t>
            </w:r>
          </w:p>
        </w:tc>
        <w:tc>
          <w:tcPr>
            <w:tcW w:w="4280" w:type="dxa"/>
            <w:vAlign w:val="bottom"/>
          </w:tcPr>
          <w:p>
            <w:pPr>
              <w:spacing w:after="0"/>
              <w:rPr>
                <w:sz w:val="24"/>
                <w:szCs w:val="24"/>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LEASES</w:t>
      </w:r>
    </w:p>
    <w:p>
      <w:pPr>
        <w:spacing w:after="0" w:line="149" w:lineRule="exact"/>
        <w:rPr>
          <w:sz w:val="20"/>
          <w:szCs w:val="20"/>
          <w:color w:val="auto"/>
        </w:rPr>
      </w:pPr>
    </w:p>
    <w:p>
      <w:pPr>
        <w:jc w:val="both"/>
        <w:ind w:right="20" w:firstLine="465"/>
        <w:spacing w:after="0" w:line="382" w:lineRule="auto"/>
        <w:rPr>
          <w:sz w:val="20"/>
          <w:szCs w:val="20"/>
          <w:color w:val="auto"/>
        </w:rPr>
      </w:pPr>
      <w:r>
        <w:rPr>
          <w:rFonts w:ascii="Arial" w:cs="Arial" w:eastAsia="Arial" w:hAnsi="Arial"/>
          <w:sz w:val="13"/>
          <w:szCs w:val="13"/>
          <w:color w:val="auto"/>
        </w:rPr>
        <w:t>From time to time, Orion leases assets from third parties. Orion also leases certain assets to third parties. Effective April 1, 2019, leases are accounted for, and reported upon, following the requirements of ASC 842, Leases. Previously, leases were accounted for, and reported upon, following the requirements of ASC 840, Leases.</w:t>
      </w:r>
    </w:p>
    <w:p>
      <w:pPr>
        <w:spacing w:after="0" w:line="42" w:lineRule="exact"/>
        <w:rPr>
          <w:sz w:val="20"/>
          <w:szCs w:val="20"/>
          <w:color w:val="auto"/>
        </w:rPr>
      </w:pPr>
    </w:p>
    <w:p>
      <w:pPr>
        <w:jc w:val="both"/>
        <w:ind w:firstLine="465"/>
        <w:spacing w:after="0" w:line="342" w:lineRule="auto"/>
        <w:rPr>
          <w:sz w:val="20"/>
          <w:szCs w:val="20"/>
          <w:color w:val="auto"/>
        </w:rPr>
      </w:pPr>
      <w:r>
        <w:rPr>
          <w:rFonts w:ascii="Arial" w:cs="Arial" w:eastAsia="Arial" w:hAnsi="Arial"/>
          <w:sz w:val="13"/>
          <w:szCs w:val="13"/>
          <w:color w:val="auto"/>
        </w:rPr>
        <w:t>For Orion, the most significant difference between ASC 840 and ASC 842 is the requirement that it recognize right-of-use (“ROU”) assets and lease liabilities on the balance sheet whenever it leases assets from a third party. Previously, under ASC 840, only assets leased from third parties that meet certain requirements, referred to as finance leases, were recorded on Orion’s balance sheet. Previously, the financial impact of all other leases, referred to as operating leases, was limited to Orion’s results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68" w:name="page69"/>
    <w:bookmarkEnd w:id="68"/>
    <w:p>
      <w:pPr>
        <w:jc w:val="both"/>
        <w:ind w:firstLine="465"/>
        <w:spacing w:after="0" w:line="249" w:lineRule="auto"/>
        <w:rPr>
          <w:sz w:val="20"/>
          <w:szCs w:val="20"/>
          <w:color w:val="auto"/>
        </w:rPr>
      </w:pPr>
      <w:r>
        <w:rPr>
          <w:rFonts w:ascii="Arial" w:cs="Arial" w:eastAsia="Arial" w:hAnsi="Arial"/>
          <w:sz w:val="16"/>
          <w:szCs w:val="16"/>
          <w:color w:val="auto"/>
        </w:rPr>
        <w:t>Whether it is the lessee or the lessor, Orion’s determination of whether a contract includes a lease, and assessing how the lease should be accounted for, is a matter of judgment based on whether the risks and rewards, as well as substantive control of the assets specified in the contract, have been transferred from the lessor to the lessee. The judgement considers matters such as whether the assets are transferred from the lessor to the lessee at the end of the contract, the term of the agreement in relation to the asset’s remaining economic useful life, and whether the assets are of such a specialized nature that the lessor will not have an alternative use for such assets at the termination of the agreement. Other matters requiring judgement are the lease term when the agreement includes renewal or termination options and the interest rate used when initially determining the ROU asset and lease liability.</w:t>
      </w:r>
    </w:p>
    <w:p>
      <w:pPr>
        <w:spacing w:after="0" w:line="125" w:lineRule="exact"/>
        <w:rPr>
          <w:sz w:val="20"/>
          <w:szCs w:val="20"/>
          <w:color w:val="auto"/>
        </w:rPr>
      </w:pPr>
    </w:p>
    <w:p>
      <w:pPr>
        <w:jc w:val="both"/>
        <w:ind w:right="20" w:firstLine="465"/>
        <w:spacing w:after="0" w:line="268" w:lineRule="auto"/>
        <w:rPr>
          <w:sz w:val="20"/>
          <w:szCs w:val="20"/>
          <w:color w:val="auto"/>
        </w:rPr>
      </w:pPr>
      <w:r>
        <w:rPr>
          <w:rFonts w:ascii="Arial" w:cs="Arial" w:eastAsia="Arial" w:hAnsi="Arial"/>
          <w:sz w:val="15"/>
          <w:szCs w:val="15"/>
          <w:color w:val="auto"/>
        </w:rPr>
        <w:t>ROU assets represent Orion’s right to use an underlying asset for the lease term and lease liabilities represent Orion’s obligation to make lease payments arising from the lease. Under ASC 842, both finance and operating lease ROU assets and lease liabilities for leases with initial terms in excess of 12 months are recognized at the commencement date based on the present value of lease payments over the lease term. When available, Orion uses the implicit interest rate in the lease when completing this calculation. However, as most of Orion’s operating lease agreements generating ROU assets do not provide the implicit rate, Orion’s incremental borrowing rate under its line of credit, adjusted for differences in duration and the relative collateral value in relation to the payment obligation, at the commencement of the lease is generally used in this calculation. The lease term includes options to extend or renew the agreement, or for early termination of the agreement, when it is reasonably certain that Orion will exercise such option. ROU assets are depreciated using the straight-line method over the lease term.</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Orion recognizes lease expense for leases with an initial term of 12 months or less, referred to as short term leases, on a straight-line basis over the lease term.</w:t>
      </w:r>
    </w:p>
    <w:p>
      <w:pPr>
        <w:spacing w:after="0" w:line="157" w:lineRule="exact"/>
        <w:rPr>
          <w:sz w:val="20"/>
          <w:szCs w:val="20"/>
          <w:color w:val="auto"/>
        </w:rPr>
      </w:pPr>
    </w:p>
    <w:p>
      <w:pPr>
        <w:jc w:val="both"/>
        <w:ind w:firstLine="465"/>
        <w:spacing w:after="0" w:line="249" w:lineRule="auto"/>
        <w:rPr>
          <w:sz w:val="20"/>
          <w:szCs w:val="20"/>
          <w:color w:val="auto"/>
        </w:rPr>
      </w:pPr>
      <w:r>
        <w:rPr>
          <w:rFonts w:ascii="Arial" w:cs="Arial" w:eastAsia="Arial" w:hAnsi="Arial"/>
          <w:sz w:val="16"/>
          <w:szCs w:val="16"/>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The total transaction price in these contracts is allocated between the lease and non-lease components in the same manner as the total transaction price of other turnkey projects containing lighting fixtures and installation services.</w:t>
      </w:r>
    </w:p>
    <w:p>
      <w:pPr>
        <w:spacing w:after="0" w:line="125" w:lineRule="exact"/>
        <w:rPr>
          <w:sz w:val="20"/>
          <w:szCs w:val="20"/>
          <w:color w:val="auto"/>
        </w:rPr>
      </w:pPr>
    </w:p>
    <w:p>
      <w:pPr>
        <w:jc w:val="both"/>
        <w:ind w:firstLine="465"/>
        <w:spacing w:after="0" w:line="255" w:lineRule="auto"/>
        <w:rPr>
          <w:sz w:val="20"/>
          <w:szCs w:val="20"/>
          <w:color w:val="auto"/>
        </w:rPr>
      </w:pPr>
      <w:r>
        <w:rPr>
          <w:rFonts w:ascii="Arial" w:cs="Arial" w:eastAsia="Arial" w:hAnsi="Arial"/>
          <w:sz w:val="16"/>
          <w:szCs w:val="16"/>
          <w:color w:val="auto"/>
        </w:rPr>
        <w:t>Orion leases portions of its corporate headquarters to third parties; all such agreements have been, and continue to be, classified as operating leases under the applicable authoritative accounting guidance. The assets being leased continue to be included in Property and equipment, net. Lease payments earned are recorded as a reduction in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Assets Orion Leases from Other Parties</w:t>
      </w:r>
    </w:p>
    <w:p>
      <w:pPr>
        <w:spacing w:after="0" w:line="145" w:lineRule="exact"/>
        <w:rPr>
          <w:sz w:val="20"/>
          <w:szCs w:val="20"/>
          <w:color w:val="auto"/>
        </w:rPr>
      </w:pPr>
    </w:p>
    <w:p>
      <w:pPr>
        <w:jc w:val="both"/>
        <w:ind w:firstLine="465"/>
        <w:spacing w:after="0" w:line="255" w:lineRule="auto"/>
        <w:rPr>
          <w:sz w:val="20"/>
          <w:szCs w:val="20"/>
          <w:color w:val="auto"/>
        </w:rPr>
      </w:pPr>
      <w:r>
        <w:rPr>
          <w:rFonts w:ascii="Arial" w:cs="Arial" w:eastAsia="Arial" w:hAnsi="Arial"/>
          <w:sz w:val="16"/>
          <w:szCs w:val="16"/>
          <w:color w:val="auto"/>
        </w:rPr>
        <w:t>On January 31, 2020, Orion entered into the current lease for its approximately 196,000 square foot primary manufacturing and distribution facility in Manitowoc, WI. The lease has a 10-year term, with the option to terminate after six years. Orion is responsible for the costs of insurance and utilities for the facility. These costs are considered variable lease costs. The agreement is classified as an operating lease.</w:t>
      </w:r>
    </w:p>
    <w:p>
      <w:pPr>
        <w:spacing w:after="0" w:line="119" w:lineRule="exact"/>
        <w:rPr>
          <w:sz w:val="20"/>
          <w:szCs w:val="20"/>
          <w:color w:val="auto"/>
        </w:rPr>
      </w:pPr>
    </w:p>
    <w:p>
      <w:pPr>
        <w:jc w:val="both"/>
        <w:ind w:firstLine="465"/>
        <w:spacing w:after="0" w:line="266" w:lineRule="auto"/>
        <w:rPr>
          <w:sz w:val="20"/>
          <w:szCs w:val="20"/>
          <w:color w:val="auto"/>
        </w:rPr>
      </w:pPr>
      <w:r>
        <w:rPr>
          <w:rFonts w:ascii="Arial" w:cs="Arial" w:eastAsia="Arial" w:hAnsi="Arial"/>
          <w:sz w:val="16"/>
          <w:szCs w:val="16"/>
          <w:color w:val="auto"/>
        </w:rPr>
        <w:t>The prior lease agreement for this facility provided the lessor the right to terminate the lease agreement at any time with 12 months’ notice to Orion. As a result, the agreement was previously classified as a short-term lease.</w:t>
      </w:r>
    </w:p>
    <w:p>
      <w:pPr>
        <w:spacing w:after="0" w:line="110" w:lineRule="exact"/>
        <w:rPr>
          <w:sz w:val="20"/>
          <w:szCs w:val="20"/>
          <w:color w:val="auto"/>
        </w:rPr>
      </w:pPr>
    </w:p>
    <w:p>
      <w:pPr>
        <w:jc w:val="both"/>
        <w:ind w:firstLine="465"/>
        <w:spacing w:after="0" w:line="255" w:lineRule="auto"/>
        <w:rPr>
          <w:sz w:val="20"/>
          <w:szCs w:val="20"/>
          <w:color w:val="auto"/>
        </w:rPr>
      </w:pPr>
      <w:r>
        <w:rPr>
          <w:rFonts w:ascii="Arial" w:cs="Arial" w:eastAsia="Arial" w:hAnsi="Arial"/>
          <w:sz w:val="16"/>
          <w:szCs w:val="16"/>
          <w:color w:val="auto"/>
        </w:rPr>
        <w:t>In February 2014, Orion entered into a multi-year lease agreement for use of approximately 10,500 square feet of office space in a multi-use office building in Jacksonville, Florida. As of March 31, 2020, the lease had been extended to June 30, 2020. Subsequent to year-end, this lease was extended for another three-year term. The agreement is classified as an operating lease.</w:t>
      </w:r>
    </w:p>
    <w:p>
      <w:pPr>
        <w:spacing w:after="0" w:line="119" w:lineRule="exact"/>
        <w:rPr>
          <w:sz w:val="20"/>
          <w:szCs w:val="20"/>
          <w:color w:val="auto"/>
        </w:rPr>
      </w:pPr>
    </w:p>
    <w:p>
      <w:pPr>
        <w:jc w:val="both"/>
        <w:ind w:right="20" w:firstLine="465"/>
        <w:spacing w:after="0" w:line="266" w:lineRule="auto"/>
        <w:rPr>
          <w:sz w:val="20"/>
          <w:szCs w:val="20"/>
          <w:color w:val="auto"/>
        </w:rPr>
      </w:pPr>
      <w:r>
        <w:rPr>
          <w:rFonts w:ascii="Arial" w:cs="Arial" w:eastAsia="Arial" w:hAnsi="Arial"/>
          <w:sz w:val="16"/>
          <w:szCs w:val="16"/>
          <w:color w:val="auto"/>
        </w:rPr>
        <w:t>Orion has leased other assets from third parties, principally office and production equipment. The terms of our other leases vary from contract to contract and expire at various dates through 2020.</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weighted average discount rate for Orion’s lease obligations as of March 31, 2020 is 5.5%. The weighted average remaining lease term as of March 31, 2020 is 5.8</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56" w:right="319" w:bottom="1440" w:gutter="0" w:footer="0" w:header="0"/>
        </w:sectPr>
      </w:pPr>
    </w:p>
    <w:bookmarkStart w:id="69" w:name="page70"/>
    <w:bookmarkEnd w:id="69"/>
    <w:p>
      <w:pPr>
        <w:ind w:left="460"/>
        <w:spacing w:after="0"/>
        <w:rPr>
          <w:sz w:val="20"/>
          <w:szCs w:val="20"/>
          <w:color w:val="auto"/>
        </w:rPr>
      </w:pPr>
      <w:r>
        <w:rPr>
          <w:rFonts w:ascii="Arial" w:cs="Arial" w:eastAsia="Arial" w:hAnsi="Arial"/>
          <w:sz w:val="16"/>
          <w:szCs w:val="16"/>
          <w:color w:val="auto"/>
        </w:rPr>
        <w:t>A summary of Orion’s assets leased from third parties follows (dollars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Balance sheet classification</w:t>
            </w:r>
          </w:p>
        </w:tc>
        <w:tc>
          <w:tcPr>
            <w:tcW w:w="420" w:type="dxa"/>
            <w:vAlign w:val="bottom"/>
          </w:tcPr>
          <w:p>
            <w:pPr>
              <w:spacing w:after="0"/>
              <w:rPr>
                <w:sz w:val="13"/>
                <w:szCs w:val="13"/>
                <w:color w:val="auto"/>
              </w:rPr>
            </w:pPr>
          </w:p>
        </w:tc>
        <w:tc>
          <w:tcPr>
            <w:tcW w:w="2060" w:type="dxa"/>
            <w:vAlign w:val="bottom"/>
          </w:tcPr>
          <w:p>
            <w:pPr>
              <w:jc w:val="right"/>
              <w:ind w:right="825"/>
              <w:spacing w:after="0"/>
              <w:rPr>
                <w:sz w:val="20"/>
                <w:szCs w:val="20"/>
                <w:color w:val="auto"/>
              </w:rPr>
            </w:pPr>
            <w:r>
              <w:rPr>
                <w:rFonts w:ascii="Arial" w:cs="Arial" w:eastAsia="Arial" w:hAnsi="Arial"/>
                <w:sz w:val="13"/>
                <w:szCs w:val="13"/>
                <w:b w:val="1"/>
                <w:bCs w:val="1"/>
                <w:color w:val="auto"/>
              </w:rPr>
              <w:t>March 31, 2020</w:t>
            </w:r>
          </w:p>
        </w:tc>
      </w:tr>
      <w:tr>
        <w:trPr>
          <w:trHeight w:val="192"/>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420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CFF0FC"/>
            </w:tcBorders>
            <w:shd w:val="clear" w:color="auto" w:fill="CFF0FC"/>
          </w:tcPr>
          <w:p>
            <w:pPr>
              <w:spacing w:after="0"/>
              <w:rPr>
                <w:sz w:val="16"/>
                <w:szCs w:val="16"/>
                <w:color w:val="auto"/>
              </w:rPr>
            </w:pPr>
          </w:p>
        </w:tc>
        <w:tc>
          <w:tcPr>
            <w:tcW w:w="2060" w:type="dxa"/>
            <w:vAlign w:val="bottom"/>
            <w:tcBorders>
              <w:top w:val="single" w:sz="8" w:color="CFF0FC"/>
            </w:tcBorders>
            <w:shd w:val="clear" w:color="auto" w:fill="CFF0FC"/>
          </w:tcPr>
          <w:p>
            <w:pPr>
              <w:spacing w:after="0"/>
              <w:rPr>
                <w:sz w:val="16"/>
                <w:szCs w:val="16"/>
                <w:color w:val="auto"/>
              </w:rPr>
            </w:pPr>
          </w:p>
        </w:tc>
      </w:tr>
      <w:tr>
        <w:trPr>
          <w:trHeight w:val="200"/>
        </w:trPr>
        <w:tc>
          <w:tcPr>
            <w:tcW w:w="4320" w:type="dxa"/>
            <w:vAlign w:val="bottom"/>
          </w:tcPr>
          <w:p>
            <w:pPr>
              <w:spacing w:after="0"/>
              <w:rPr>
                <w:sz w:val="20"/>
                <w:szCs w:val="20"/>
                <w:color w:val="auto"/>
              </w:rPr>
            </w:pPr>
            <w:r>
              <w:rPr>
                <w:rFonts w:ascii="Arial" w:cs="Arial" w:eastAsia="Arial" w:hAnsi="Arial"/>
                <w:sz w:val="16"/>
                <w:szCs w:val="16"/>
                <w:color w:val="auto"/>
              </w:rPr>
              <w:t>Operating lease assets</w:t>
            </w:r>
          </w:p>
        </w:tc>
        <w:tc>
          <w:tcPr>
            <w:tcW w:w="4460" w:type="dxa"/>
            <w:vAlign w:val="bottom"/>
            <w:gridSpan w:val="2"/>
          </w:tcPr>
          <w:p>
            <w:pPr>
              <w:spacing w:after="0"/>
              <w:rPr>
                <w:sz w:val="20"/>
                <w:szCs w:val="20"/>
                <w:color w:val="auto"/>
              </w:rPr>
            </w:pPr>
            <w:r>
              <w:rPr>
                <w:rFonts w:ascii="Arial" w:cs="Arial" w:eastAsia="Arial" w:hAnsi="Arial"/>
                <w:sz w:val="16"/>
                <w:szCs w:val="16"/>
                <w:color w:val="auto"/>
              </w:rPr>
              <w:t>Other long-term assets</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2060" w:type="dxa"/>
            <w:vAlign w:val="bottom"/>
          </w:tcPr>
          <w:p>
            <w:pPr>
              <w:jc w:val="right"/>
              <w:ind w:right="65"/>
              <w:spacing w:after="0"/>
              <w:rPr>
                <w:sz w:val="20"/>
                <w:szCs w:val="20"/>
                <w:color w:val="auto"/>
              </w:rPr>
            </w:pPr>
            <w:r>
              <w:rPr>
                <w:rFonts w:ascii="Arial" w:cs="Arial" w:eastAsia="Arial" w:hAnsi="Arial"/>
                <w:sz w:val="16"/>
                <w:szCs w:val="16"/>
                <w:color w:val="auto"/>
              </w:rPr>
              <w:t>2,745</w:t>
            </w:r>
          </w:p>
        </w:tc>
      </w:tr>
      <w:tr>
        <w:trPr>
          <w:trHeight w:val="200"/>
        </w:trPr>
        <w:tc>
          <w:tcPr>
            <w:tcW w:w="4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4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r>
      <w:tr>
        <w:trPr>
          <w:trHeight w:val="200"/>
        </w:trPr>
        <w:tc>
          <w:tcPr>
            <w:tcW w:w="4320" w:type="dxa"/>
            <w:vAlign w:val="bottom"/>
          </w:tcPr>
          <w:p>
            <w:pPr>
              <w:spacing w:after="0"/>
              <w:rPr>
                <w:sz w:val="20"/>
                <w:szCs w:val="20"/>
                <w:color w:val="auto"/>
              </w:rPr>
            </w:pPr>
            <w:r>
              <w:rPr>
                <w:rFonts w:ascii="Arial" w:cs="Arial" w:eastAsia="Arial" w:hAnsi="Arial"/>
                <w:sz w:val="16"/>
                <w:szCs w:val="16"/>
                <w:color w:val="auto"/>
              </w:rPr>
              <w:t>Current liabilities</w:t>
            </w:r>
          </w:p>
        </w:tc>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0"/>
        </w:trPr>
        <w:tc>
          <w:tcPr>
            <w:tcW w:w="4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4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Accrued expenses and other</w:t>
            </w:r>
          </w:p>
        </w:tc>
        <w:tc>
          <w:tcPr>
            <w:tcW w:w="420" w:type="dxa"/>
            <w:vAlign w:val="bottom"/>
            <w:shd w:val="clear" w:color="auto" w:fill="CFF0FC"/>
          </w:tcPr>
          <w:p>
            <w:pPr>
              <w:spacing w:after="0"/>
              <w:rPr>
                <w:sz w:val="17"/>
                <w:szCs w:val="17"/>
                <w:color w:val="auto"/>
              </w:rPr>
            </w:pPr>
          </w:p>
        </w:tc>
        <w:tc>
          <w:tcPr>
            <w:tcW w:w="206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691</w:t>
            </w:r>
          </w:p>
        </w:tc>
      </w:tr>
      <w:tr>
        <w:trPr>
          <w:trHeight w:val="200"/>
        </w:trPr>
        <w:tc>
          <w:tcPr>
            <w:tcW w:w="4320" w:type="dxa"/>
            <w:vAlign w:val="bottom"/>
          </w:tcPr>
          <w:p>
            <w:pPr>
              <w:spacing w:after="0"/>
              <w:rPr>
                <w:sz w:val="20"/>
                <w:szCs w:val="20"/>
                <w:color w:val="auto"/>
              </w:rPr>
            </w:pPr>
            <w:r>
              <w:rPr>
                <w:rFonts w:ascii="Arial" w:cs="Arial" w:eastAsia="Arial" w:hAnsi="Arial"/>
                <w:sz w:val="16"/>
                <w:szCs w:val="16"/>
                <w:color w:val="auto"/>
              </w:rPr>
              <w:t>Non-current liabilities</w:t>
            </w:r>
          </w:p>
        </w:tc>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0"/>
        </w:trPr>
        <w:tc>
          <w:tcPr>
            <w:tcW w:w="4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4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long-term liabilities</w:t>
            </w:r>
          </w:p>
        </w:tc>
        <w:tc>
          <w:tcPr>
            <w:tcW w:w="420" w:type="dxa"/>
            <w:vAlign w:val="bottom"/>
            <w:tcBorders>
              <w:bottom w:val="single" w:sz="8" w:color="auto"/>
            </w:tcBorders>
            <w:shd w:val="clear" w:color="auto" w:fill="CFF0FC"/>
          </w:tcPr>
          <w:p>
            <w:pPr>
              <w:spacing w:after="0"/>
              <w:rPr>
                <w:sz w:val="17"/>
                <w:szCs w:val="17"/>
                <w:color w:val="auto"/>
              </w:rPr>
            </w:pPr>
          </w:p>
        </w:tc>
        <w:tc>
          <w:tcPr>
            <w:tcW w:w="206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6"/>
                <w:szCs w:val="16"/>
                <w:color w:val="auto"/>
              </w:rPr>
              <w:t>2,830</w:t>
            </w:r>
          </w:p>
        </w:tc>
      </w:tr>
      <w:tr>
        <w:trPr>
          <w:trHeight w:val="192"/>
        </w:trPr>
        <w:tc>
          <w:tcPr>
            <w:tcW w:w="4320" w:type="dxa"/>
            <w:vAlign w:val="bottom"/>
          </w:tcPr>
          <w:p>
            <w:pPr>
              <w:ind w:left="420"/>
              <w:spacing w:after="0"/>
              <w:rPr>
                <w:sz w:val="20"/>
                <w:szCs w:val="20"/>
                <w:color w:val="auto"/>
              </w:rPr>
            </w:pPr>
            <w:r>
              <w:rPr>
                <w:rFonts w:ascii="Arial" w:cs="Arial" w:eastAsia="Arial" w:hAnsi="Arial"/>
                <w:sz w:val="16"/>
                <w:szCs w:val="16"/>
                <w:color w:val="auto"/>
              </w:rPr>
              <w:t>Total lease liabilities</w:t>
            </w:r>
          </w:p>
        </w:tc>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20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3,521</w:t>
            </w:r>
          </w:p>
        </w:tc>
      </w:tr>
      <w:tr>
        <w:trPr>
          <w:trHeight w:val="20"/>
        </w:trPr>
        <w:tc>
          <w:tcPr>
            <w:tcW w:w="4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Orion had operating lease costs of $0.7 million for the year ended March 31, 2020. This includes short-term leases and variable lease costs, which are immaterial.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ind w:left="480"/>
              <w:spacing w:after="0"/>
              <w:rPr>
                <w:sz w:val="20"/>
                <w:szCs w:val="20"/>
                <w:color w:val="auto"/>
              </w:rPr>
            </w:pPr>
            <w:r>
              <w:rPr>
                <w:rFonts w:ascii="Arial" w:cs="Arial" w:eastAsia="Arial" w:hAnsi="Arial"/>
                <w:sz w:val="16"/>
                <w:szCs w:val="16"/>
                <w:color w:val="auto"/>
              </w:rPr>
              <w:t>The estimated maturity of lease liabilities for each of the next five years is shown below (dollars in thousands):</w:t>
            </w: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4"/>
        </w:trPr>
        <w:tc>
          <w:tcPr>
            <w:tcW w:w="9260" w:type="dxa"/>
            <w:vAlign w:val="bottom"/>
          </w:tcPr>
          <w:p>
            <w:pPr>
              <w:spacing w:after="0"/>
              <w:rPr>
                <w:sz w:val="20"/>
                <w:szCs w:val="20"/>
                <w:color w:val="auto"/>
              </w:rPr>
            </w:pPr>
            <w:r>
              <w:rPr>
                <w:rFonts w:ascii="Arial" w:cs="Arial" w:eastAsia="Arial" w:hAnsi="Arial"/>
                <w:sz w:val="16"/>
                <w:szCs w:val="16"/>
                <w:b w:val="1"/>
                <w:bCs w:val="1"/>
                <w:color w:val="auto"/>
              </w:rPr>
              <w:t>Maturity of Lease Liabilities</w:t>
            </w:r>
          </w:p>
        </w:tc>
        <w:tc>
          <w:tcPr>
            <w:tcW w:w="1340" w:type="dxa"/>
            <w:vAlign w:val="bottom"/>
          </w:tcPr>
          <w:p>
            <w:pPr>
              <w:spacing w:after="0"/>
              <w:rPr>
                <w:sz w:val="20"/>
                <w:szCs w:val="20"/>
                <w:color w:val="auto"/>
              </w:rPr>
            </w:pPr>
            <w:r>
              <w:rPr>
                <w:rFonts w:ascii="Arial" w:cs="Arial" w:eastAsia="Arial" w:hAnsi="Arial"/>
                <w:sz w:val="16"/>
                <w:szCs w:val="16"/>
                <w:b w:val="1"/>
                <w:bCs w:val="1"/>
                <w:color w:val="auto"/>
                <w:w w:val="98"/>
              </w:rPr>
              <w:t>Operating Leases</w:t>
            </w:r>
          </w:p>
        </w:tc>
        <w:tc>
          <w:tcPr>
            <w:tcW w:w="660" w:type="dxa"/>
            <w:vAlign w:val="bottom"/>
          </w:tcPr>
          <w:p>
            <w:pPr>
              <w:spacing w:after="0"/>
              <w:rPr>
                <w:sz w:val="17"/>
                <w:szCs w:val="17"/>
                <w:color w:val="auto"/>
              </w:rPr>
            </w:pPr>
          </w:p>
        </w:tc>
      </w:tr>
      <w:tr>
        <w:trPr>
          <w:trHeight w:val="201"/>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Fiscal 2021</w:t>
            </w:r>
          </w:p>
        </w:tc>
        <w:tc>
          <w:tcPr>
            <w:tcW w:w="13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692</w:t>
            </w:r>
          </w:p>
        </w:tc>
      </w:tr>
      <w:tr>
        <w:trPr>
          <w:trHeight w:val="200"/>
        </w:trPr>
        <w:tc>
          <w:tcPr>
            <w:tcW w:w="9260" w:type="dxa"/>
            <w:vAlign w:val="bottom"/>
          </w:tcPr>
          <w:p>
            <w:pPr>
              <w:spacing w:after="0"/>
              <w:rPr>
                <w:sz w:val="20"/>
                <w:szCs w:val="20"/>
                <w:color w:val="auto"/>
              </w:rPr>
            </w:pPr>
            <w:r>
              <w:rPr>
                <w:rFonts w:ascii="Arial" w:cs="Arial" w:eastAsia="Arial" w:hAnsi="Arial"/>
                <w:sz w:val="16"/>
                <w:szCs w:val="16"/>
                <w:color w:val="auto"/>
              </w:rPr>
              <w:t>Fiscal 2022</w:t>
            </w:r>
          </w:p>
        </w:tc>
        <w:tc>
          <w:tcPr>
            <w:tcW w:w="1340" w:type="dxa"/>
            <w:vAlign w:val="bottom"/>
          </w:tcPr>
          <w:p>
            <w:pPr>
              <w:spacing w:after="0"/>
              <w:rPr>
                <w:sz w:val="17"/>
                <w:szCs w:val="17"/>
                <w:color w:val="auto"/>
              </w:rPr>
            </w:pPr>
          </w:p>
        </w:tc>
        <w:tc>
          <w:tcPr>
            <w:tcW w:w="660" w:type="dxa"/>
            <w:vAlign w:val="bottom"/>
          </w:tcPr>
          <w:p>
            <w:pPr>
              <w:jc w:val="right"/>
              <w:ind w:right="62"/>
              <w:spacing w:after="0"/>
              <w:rPr>
                <w:sz w:val="20"/>
                <w:szCs w:val="20"/>
                <w:color w:val="auto"/>
              </w:rPr>
            </w:pPr>
            <w:r>
              <w:rPr>
                <w:rFonts w:ascii="Arial" w:cs="Arial" w:eastAsia="Arial" w:hAnsi="Arial"/>
                <w:sz w:val="16"/>
                <w:szCs w:val="16"/>
                <w:color w:val="auto"/>
              </w:rPr>
              <w:t>675</w:t>
            </w:r>
          </w:p>
        </w:tc>
      </w:tr>
      <w:tr>
        <w:trPr>
          <w:trHeight w:val="200"/>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Fiscal 2023</w:t>
            </w:r>
          </w:p>
        </w:tc>
        <w:tc>
          <w:tcPr>
            <w:tcW w:w="13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693</w:t>
            </w:r>
          </w:p>
        </w:tc>
      </w:tr>
      <w:tr>
        <w:trPr>
          <w:trHeight w:val="200"/>
        </w:trPr>
        <w:tc>
          <w:tcPr>
            <w:tcW w:w="9260" w:type="dxa"/>
            <w:vAlign w:val="bottom"/>
          </w:tcPr>
          <w:p>
            <w:pPr>
              <w:spacing w:after="0"/>
              <w:rPr>
                <w:sz w:val="20"/>
                <w:szCs w:val="20"/>
                <w:color w:val="auto"/>
              </w:rPr>
            </w:pPr>
            <w:r>
              <w:rPr>
                <w:rFonts w:ascii="Arial" w:cs="Arial" w:eastAsia="Arial" w:hAnsi="Arial"/>
                <w:sz w:val="16"/>
                <w:szCs w:val="16"/>
                <w:color w:val="auto"/>
              </w:rPr>
              <w:t>Fiscal 2024</w:t>
            </w:r>
          </w:p>
        </w:tc>
        <w:tc>
          <w:tcPr>
            <w:tcW w:w="1340" w:type="dxa"/>
            <w:vAlign w:val="bottom"/>
          </w:tcPr>
          <w:p>
            <w:pPr>
              <w:spacing w:after="0"/>
              <w:rPr>
                <w:sz w:val="17"/>
                <w:szCs w:val="17"/>
                <w:color w:val="auto"/>
              </w:rPr>
            </w:pPr>
          </w:p>
        </w:tc>
        <w:tc>
          <w:tcPr>
            <w:tcW w:w="660" w:type="dxa"/>
            <w:vAlign w:val="bottom"/>
          </w:tcPr>
          <w:p>
            <w:pPr>
              <w:jc w:val="right"/>
              <w:ind w:right="62"/>
              <w:spacing w:after="0"/>
              <w:rPr>
                <w:sz w:val="20"/>
                <w:szCs w:val="20"/>
                <w:color w:val="auto"/>
              </w:rPr>
            </w:pPr>
            <w:r>
              <w:rPr>
                <w:rFonts w:ascii="Arial" w:cs="Arial" w:eastAsia="Arial" w:hAnsi="Arial"/>
                <w:sz w:val="16"/>
                <w:szCs w:val="16"/>
                <w:color w:val="auto"/>
              </w:rPr>
              <w:t>714</w:t>
            </w:r>
          </w:p>
        </w:tc>
      </w:tr>
      <w:tr>
        <w:trPr>
          <w:trHeight w:val="200"/>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Fiscal 2025</w:t>
            </w:r>
          </w:p>
        </w:tc>
        <w:tc>
          <w:tcPr>
            <w:tcW w:w="13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735</w:t>
            </w:r>
          </w:p>
        </w:tc>
      </w:tr>
      <w:tr>
        <w:trPr>
          <w:trHeight w:val="200"/>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1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628</w:t>
            </w:r>
          </w:p>
        </w:tc>
      </w:tr>
      <w:tr>
        <w:trPr>
          <w:trHeight w:val="192"/>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Total lease payments</w:t>
            </w:r>
          </w:p>
        </w:tc>
        <w:tc>
          <w:tcPr>
            <w:tcW w:w="1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4,137</w:t>
            </w:r>
          </w:p>
        </w:tc>
      </w:tr>
      <w:tr>
        <w:trPr>
          <w:trHeight w:val="192"/>
        </w:trPr>
        <w:tc>
          <w:tcPr>
            <w:tcW w:w="926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Less: Interest</w:t>
            </w:r>
          </w:p>
        </w:tc>
        <w:tc>
          <w:tcPr>
            <w:tcW w:w="1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(616)</w:t>
            </w:r>
          </w:p>
        </w:tc>
      </w:tr>
      <w:tr>
        <w:trPr>
          <w:trHeight w:val="192"/>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Present value of lease liabilities</w:t>
            </w:r>
          </w:p>
        </w:tc>
        <w:tc>
          <w:tcPr>
            <w:tcW w:w="1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3,521</w:t>
            </w:r>
          </w:p>
        </w:tc>
      </w:tr>
      <w:tr>
        <w:trPr>
          <w:trHeight w:val="20"/>
        </w:trPr>
        <w:tc>
          <w:tcPr>
            <w:tcW w:w="9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Assets Orion Leases to Other Parties</w:t>
      </w:r>
    </w:p>
    <w:p>
      <w:pPr>
        <w:spacing w:after="0" w:line="145" w:lineRule="exact"/>
        <w:rPr>
          <w:sz w:val="20"/>
          <w:szCs w:val="20"/>
          <w:color w:val="auto"/>
        </w:rPr>
      </w:pPr>
    </w:p>
    <w:p>
      <w:pPr>
        <w:jc w:val="both"/>
        <w:ind w:firstLine="465"/>
        <w:spacing w:after="0" w:line="252" w:lineRule="auto"/>
        <w:rPr>
          <w:sz w:val="20"/>
          <w:szCs w:val="20"/>
          <w:color w:val="auto"/>
        </w:rPr>
      </w:pPr>
      <w:r>
        <w:rPr>
          <w:rFonts w:ascii="Arial" w:cs="Arial" w:eastAsia="Arial" w:hAnsi="Arial"/>
          <w:sz w:val="16"/>
          <w:szCs w:val="16"/>
          <w:color w:val="auto"/>
        </w:rPr>
        <w:t>Orion provides long-term financing to one customer who frequently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w:t>
      </w:r>
    </w:p>
    <w:p>
      <w:pPr>
        <w:spacing w:after="0" w:line="121" w:lineRule="exact"/>
        <w:rPr>
          <w:sz w:val="20"/>
          <w:szCs w:val="20"/>
          <w:color w:val="auto"/>
        </w:rPr>
      </w:pPr>
    </w:p>
    <w:p>
      <w:pPr>
        <w:jc w:val="both"/>
        <w:ind w:firstLine="465"/>
        <w:spacing w:after="0" w:line="255" w:lineRule="auto"/>
        <w:rPr>
          <w:sz w:val="20"/>
          <w:szCs w:val="20"/>
          <w:color w:val="auto"/>
        </w:rPr>
      </w:pPr>
      <w:r>
        <w:rPr>
          <w:rFonts w:ascii="Arial" w:cs="Arial" w:eastAsia="Arial" w:hAnsi="Arial"/>
          <w:sz w:val="16"/>
          <w:szCs w:val="16"/>
          <w:color w:val="auto"/>
        </w:rPr>
        <w:t>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w:t>
      </w:r>
    </w:p>
    <w:p>
      <w:pPr>
        <w:spacing w:after="0" w:line="119" w:lineRule="exact"/>
        <w:rPr>
          <w:sz w:val="20"/>
          <w:szCs w:val="20"/>
          <w:color w:val="auto"/>
        </w:rPr>
      </w:pPr>
    </w:p>
    <w:p>
      <w:pPr>
        <w:jc w:val="both"/>
        <w:ind w:right="20" w:firstLine="465"/>
        <w:spacing w:after="0" w:line="280" w:lineRule="auto"/>
        <w:rPr>
          <w:sz w:val="20"/>
          <w:szCs w:val="20"/>
          <w:color w:val="auto"/>
        </w:rPr>
      </w:pPr>
      <w:r>
        <w:rPr>
          <w:rFonts w:ascii="Arial" w:cs="Arial" w:eastAsia="Arial" w:hAnsi="Arial"/>
          <w:sz w:val="15"/>
          <w:szCs w:val="15"/>
          <w:color w:val="auto"/>
        </w:rPr>
        <w:t>Revenues, and production and acquisition costs, associated with sales-type leases are included in Product revenue and Costs of product revenues in the Consolidated Statement of Operations. These amounts are recorded for each fixture separately based on the customer’s monthly acknowledgment that specified fixtures have been installed and are operating as specified. The execution of the acknowledgement is considered the commencement date as defined in ASC 842.</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chart shows the amount of revenue and cost of sales arising from sales-type leases during the year ended March 31, 2020 (dollars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720" w:type="dxa"/>
            <w:vAlign w:val="bottom"/>
          </w:tcPr>
          <w:p>
            <w:pPr>
              <w:jc w:val="right"/>
              <w:ind w:right="1267"/>
              <w:spacing w:after="0"/>
              <w:rPr>
                <w:sz w:val="20"/>
                <w:szCs w:val="20"/>
                <w:color w:val="auto"/>
              </w:rPr>
            </w:pPr>
            <w:r>
              <w:rPr>
                <w:rFonts w:ascii="Arial" w:cs="Arial" w:eastAsia="Arial" w:hAnsi="Arial"/>
                <w:sz w:val="13"/>
                <w:szCs w:val="13"/>
                <w:b w:val="1"/>
                <w:bCs w:val="1"/>
                <w:color w:val="auto"/>
              </w:rPr>
              <w:t>March 31, 2020</w:t>
            </w:r>
          </w:p>
        </w:tc>
      </w:tr>
      <w:tr>
        <w:trPr>
          <w:trHeight w:val="212"/>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Product revenue</w:t>
            </w:r>
          </w:p>
        </w:tc>
        <w:tc>
          <w:tcPr>
            <w:tcW w:w="3840" w:type="dxa"/>
            <w:vAlign w:val="bottom"/>
            <w:shd w:val="clear" w:color="auto" w:fill="CFF0FC"/>
          </w:tcPr>
          <w:p>
            <w:pPr>
              <w:jc w:val="right"/>
              <w:ind w:right="482"/>
              <w:spacing w:after="0"/>
              <w:rPr>
                <w:sz w:val="20"/>
                <w:szCs w:val="20"/>
                <w:color w:val="auto"/>
              </w:rPr>
            </w:pPr>
            <w:r>
              <w:rPr>
                <w:rFonts w:ascii="Arial" w:cs="Arial" w:eastAsia="Arial" w:hAnsi="Arial"/>
                <w:sz w:val="16"/>
                <w:szCs w:val="16"/>
                <w:color w:val="auto"/>
              </w:rPr>
              <w:t>$</w:t>
            </w:r>
          </w:p>
        </w:tc>
        <w:tc>
          <w:tcPr>
            <w:tcW w:w="2720" w:type="dxa"/>
            <w:vAlign w:val="bottom"/>
            <w:shd w:val="clear" w:color="auto" w:fill="CFF0FC"/>
          </w:tcPr>
          <w:p>
            <w:pPr>
              <w:jc w:val="right"/>
              <w:ind w:right="67"/>
              <w:spacing w:after="0"/>
              <w:rPr>
                <w:sz w:val="20"/>
                <w:szCs w:val="20"/>
                <w:color w:val="auto"/>
              </w:rPr>
            </w:pPr>
            <w:r>
              <w:rPr>
                <w:rFonts w:ascii="Arial" w:cs="Arial" w:eastAsia="Arial" w:hAnsi="Arial"/>
                <w:sz w:val="16"/>
                <w:szCs w:val="16"/>
                <w:color w:val="auto"/>
              </w:rPr>
              <w:t>1,362</w:t>
            </w:r>
          </w:p>
        </w:tc>
      </w:tr>
      <w:tr>
        <w:trPr>
          <w:trHeight w:val="211"/>
        </w:trPr>
        <w:tc>
          <w:tcPr>
            <w:tcW w:w="470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3840" w:type="dxa"/>
            <w:vAlign w:val="bottom"/>
          </w:tcPr>
          <w:p>
            <w:pPr>
              <w:spacing w:after="0"/>
              <w:rPr>
                <w:sz w:val="18"/>
                <w:szCs w:val="18"/>
                <w:color w:val="auto"/>
              </w:rPr>
            </w:pPr>
          </w:p>
        </w:tc>
        <w:tc>
          <w:tcPr>
            <w:tcW w:w="2720" w:type="dxa"/>
            <w:vAlign w:val="bottom"/>
          </w:tcPr>
          <w:p>
            <w:pPr>
              <w:jc w:val="right"/>
              <w:ind w:right="67"/>
              <w:spacing w:after="0"/>
              <w:rPr>
                <w:sz w:val="20"/>
                <w:szCs w:val="20"/>
                <w:color w:val="auto"/>
              </w:rPr>
            </w:pPr>
            <w:r>
              <w:rPr>
                <w:rFonts w:ascii="Arial" w:cs="Arial" w:eastAsia="Arial" w:hAnsi="Arial"/>
                <w:sz w:val="16"/>
                <w:szCs w:val="16"/>
                <w:color w:val="auto"/>
              </w:rPr>
              <w:t>1,208</w:t>
            </w:r>
          </w:p>
        </w:tc>
      </w:tr>
    </w:tbl>
    <w:p>
      <w:pPr>
        <w:spacing w:after="0" w:line="177" w:lineRule="exact"/>
        <w:rPr>
          <w:sz w:val="20"/>
          <w:szCs w:val="20"/>
          <w:color w:val="auto"/>
        </w:rPr>
      </w:pPr>
    </w:p>
    <w:p>
      <w:pPr>
        <w:jc w:val="both"/>
        <w:ind w:right="20" w:firstLine="469"/>
        <w:spacing w:after="0" w:line="280" w:lineRule="auto"/>
        <w:rPr>
          <w:sz w:val="20"/>
          <w:szCs w:val="20"/>
          <w:color w:val="auto"/>
        </w:rPr>
      </w:pPr>
      <w:r>
        <w:rPr>
          <w:rFonts w:ascii="Arial" w:cs="Arial" w:eastAsia="Arial" w:hAnsi="Arial"/>
          <w:sz w:val="15"/>
          <w:szCs w:val="15"/>
          <w:color w:val="auto"/>
        </w:rPr>
        <w:t>The Consolidated Balance Sheets as of March 31, 2020 includes an immaterial amount related to the net investment in sales-type leases. The Balance Sheet as of and March 31, 2019 does not include a net investment in sales-type leases as all amounts due from the customer associated with lighting fixtures that were acknowledged to be installed and working correctly prior to period end were transferred to the financing institution prior to the respective balance sheet dates.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56" w:right="31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i w:val="1"/>
          <w:iCs w:val="1"/>
          <w:u w:val="single" w:color="auto"/>
          <w:color w:val="auto"/>
        </w:rPr>
        <w:t>Other Agreements where Orion is the Lessor</w:t>
      </w:r>
    </w:p>
    <w:p>
      <w:pPr>
        <w:spacing w:after="0" w:line="145" w:lineRule="exact"/>
        <w:rPr>
          <w:sz w:val="20"/>
          <w:szCs w:val="20"/>
          <w:color w:val="auto"/>
        </w:rPr>
      </w:pPr>
    </w:p>
    <w:p>
      <w:pPr>
        <w:jc w:val="both"/>
        <w:ind w:firstLine="469"/>
        <w:spacing w:after="0" w:line="255" w:lineRule="auto"/>
        <w:rPr>
          <w:sz w:val="20"/>
          <w:szCs w:val="20"/>
          <w:color w:val="auto"/>
        </w:rPr>
      </w:pPr>
      <w:r>
        <w:rPr>
          <w:rFonts w:ascii="Arial" w:cs="Arial" w:eastAsia="Arial" w:hAnsi="Arial"/>
          <w:sz w:val="16"/>
          <w:szCs w:val="16"/>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not material in the year ended March 31, 2020. Orion accounts for these transactions as operating leases.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INTANGIBLE ASSETS</w:t>
      </w:r>
    </w:p>
    <w:p>
      <w:pPr>
        <w:spacing w:after="0" w:line="102"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The costs of specifically identifiable intangible assets that do not have an indefinite life are amortized over their estimated useful lives. Intangible assets with indefinite lives are not amortized.</w:t>
      </w:r>
    </w:p>
    <w:p>
      <w:pPr>
        <w:spacing w:after="0" w:line="157"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Amortizable intangible assets are amortized over their estimated economic useful life to reflect the pattern of economic benefits consumed based upon the following lives and methods: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Patents</w:t>
            </w:r>
          </w:p>
        </w:tc>
        <w:tc>
          <w:tcPr>
            <w:tcW w:w="2160" w:type="dxa"/>
            <w:vAlign w:val="bottom"/>
            <w:shd w:val="clear" w:color="auto" w:fill="CFF0FC"/>
          </w:tcPr>
          <w:p>
            <w:pPr>
              <w:ind w:left="860"/>
              <w:spacing w:after="0"/>
              <w:rPr>
                <w:sz w:val="20"/>
                <w:szCs w:val="20"/>
                <w:color w:val="auto"/>
              </w:rPr>
            </w:pPr>
            <w:r>
              <w:rPr>
                <w:rFonts w:ascii="Arial" w:cs="Arial" w:eastAsia="Arial" w:hAnsi="Arial"/>
                <w:sz w:val="16"/>
                <w:szCs w:val="16"/>
                <w:color w:val="auto"/>
              </w:rPr>
              <w:t>10-17 years</w:t>
            </w:r>
          </w:p>
        </w:tc>
        <w:tc>
          <w:tcPr>
            <w:tcW w:w="64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Straight-line</w:t>
            </w:r>
          </w:p>
        </w:tc>
      </w:tr>
      <w:tr>
        <w:trPr>
          <w:trHeight w:val="200"/>
        </w:trPr>
        <w:tc>
          <w:tcPr>
            <w:tcW w:w="2680" w:type="dxa"/>
            <w:vAlign w:val="bottom"/>
          </w:tcPr>
          <w:p>
            <w:pPr>
              <w:spacing w:after="0"/>
              <w:rPr>
                <w:sz w:val="20"/>
                <w:szCs w:val="20"/>
                <w:color w:val="auto"/>
              </w:rPr>
            </w:pPr>
            <w:r>
              <w:rPr>
                <w:rFonts w:ascii="Arial" w:cs="Arial" w:eastAsia="Arial" w:hAnsi="Arial"/>
                <w:sz w:val="16"/>
                <w:szCs w:val="16"/>
                <w:color w:val="auto"/>
              </w:rPr>
              <w:t>Licenses</w:t>
            </w:r>
          </w:p>
        </w:tc>
        <w:tc>
          <w:tcPr>
            <w:tcW w:w="2160" w:type="dxa"/>
            <w:vAlign w:val="bottom"/>
          </w:tcPr>
          <w:p>
            <w:pPr>
              <w:ind w:left="860"/>
              <w:spacing w:after="0"/>
              <w:rPr>
                <w:sz w:val="20"/>
                <w:szCs w:val="20"/>
                <w:color w:val="auto"/>
              </w:rPr>
            </w:pPr>
            <w:r>
              <w:rPr>
                <w:rFonts w:ascii="Arial" w:cs="Arial" w:eastAsia="Arial" w:hAnsi="Arial"/>
                <w:sz w:val="16"/>
                <w:szCs w:val="16"/>
                <w:color w:val="auto"/>
              </w:rPr>
              <w:t>7-13 years</w:t>
            </w:r>
          </w:p>
        </w:tc>
        <w:tc>
          <w:tcPr>
            <w:tcW w:w="6420" w:type="dxa"/>
            <w:vAlign w:val="bottom"/>
          </w:tcPr>
          <w:p>
            <w:pPr>
              <w:ind w:left="560"/>
              <w:spacing w:after="0"/>
              <w:rPr>
                <w:sz w:val="20"/>
                <w:szCs w:val="20"/>
                <w:color w:val="auto"/>
              </w:rPr>
            </w:pPr>
            <w:r>
              <w:rPr>
                <w:rFonts w:ascii="Arial" w:cs="Arial" w:eastAsia="Arial" w:hAnsi="Arial"/>
                <w:sz w:val="16"/>
                <w:szCs w:val="16"/>
                <w:color w:val="auto"/>
              </w:rPr>
              <w:t>Straight-line</w:t>
            </w:r>
          </w:p>
        </w:tc>
      </w:tr>
      <w:tr>
        <w:trPr>
          <w:trHeight w:val="188"/>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2160" w:type="dxa"/>
            <w:vAlign w:val="bottom"/>
            <w:shd w:val="clear" w:color="auto" w:fill="CFF0FC"/>
          </w:tcPr>
          <w:p>
            <w:pPr>
              <w:ind w:left="860"/>
              <w:spacing w:after="0"/>
              <w:rPr>
                <w:sz w:val="20"/>
                <w:szCs w:val="20"/>
                <w:color w:val="auto"/>
              </w:rPr>
            </w:pPr>
            <w:r>
              <w:rPr>
                <w:rFonts w:ascii="Arial" w:cs="Arial" w:eastAsia="Arial" w:hAnsi="Arial"/>
                <w:sz w:val="16"/>
                <w:szCs w:val="16"/>
                <w:color w:val="auto"/>
              </w:rPr>
              <w:t>5-8 years</w:t>
            </w:r>
          </w:p>
        </w:tc>
        <w:tc>
          <w:tcPr>
            <w:tcW w:w="64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Accelerated based upon the pattern of economic benefits</w:t>
            </w:r>
          </w:p>
        </w:tc>
      </w:tr>
      <w:tr>
        <w:trPr>
          <w:trHeight w:val="201"/>
        </w:trPr>
        <w:tc>
          <w:tcPr>
            <w:tcW w:w="268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64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consumed</w:t>
            </w:r>
          </w:p>
        </w:tc>
      </w:tr>
      <w:tr>
        <w:trPr>
          <w:trHeight w:val="187"/>
        </w:trPr>
        <w:tc>
          <w:tcPr>
            <w:tcW w:w="2680" w:type="dxa"/>
            <w:vAlign w:val="bottom"/>
          </w:tcPr>
          <w:p>
            <w:pPr>
              <w:spacing w:after="0"/>
              <w:rPr>
                <w:sz w:val="20"/>
                <w:szCs w:val="20"/>
                <w:color w:val="auto"/>
              </w:rPr>
            </w:pPr>
            <w:r>
              <w:rPr>
                <w:rFonts w:ascii="Arial" w:cs="Arial" w:eastAsia="Arial" w:hAnsi="Arial"/>
                <w:sz w:val="16"/>
                <w:szCs w:val="16"/>
                <w:color w:val="auto"/>
              </w:rPr>
              <w:t>Developed technology</w:t>
            </w:r>
          </w:p>
        </w:tc>
        <w:tc>
          <w:tcPr>
            <w:tcW w:w="2160" w:type="dxa"/>
            <w:vAlign w:val="bottom"/>
          </w:tcPr>
          <w:p>
            <w:pPr>
              <w:ind w:left="860"/>
              <w:spacing w:after="0"/>
              <w:rPr>
                <w:sz w:val="20"/>
                <w:szCs w:val="20"/>
                <w:color w:val="auto"/>
              </w:rPr>
            </w:pPr>
            <w:r>
              <w:rPr>
                <w:rFonts w:ascii="Arial" w:cs="Arial" w:eastAsia="Arial" w:hAnsi="Arial"/>
                <w:sz w:val="16"/>
                <w:szCs w:val="16"/>
                <w:color w:val="auto"/>
              </w:rPr>
              <w:t>8 years</w:t>
            </w:r>
          </w:p>
        </w:tc>
        <w:tc>
          <w:tcPr>
            <w:tcW w:w="6420" w:type="dxa"/>
            <w:vAlign w:val="bottom"/>
          </w:tcPr>
          <w:p>
            <w:pPr>
              <w:ind w:left="560"/>
              <w:spacing w:after="0"/>
              <w:rPr>
                <w:sz w:val="20"/>
                <w:szCs w:val="20"/>
                <w:color w:val="auto"/>
              </w:rPr>
            </w:pPr>
            <w:r>
              <w:rPr>
                <w:rFonts w:ascii="Arial" w:cs="Arial" w:eastAsia="Arial" w:hAnsi="Arial"/>
                <w:sz w:val="16"/>
                <w:szCs w:val="16"/>
                <w:color w:val="auto"/>
              </w:rPr>
              <w:t>Accelerated based upon the pattern of economic benefits</w:t>
            </w:r>
          </w:p>
        </w:tc>
      </w:tr>
      <w:tr>
        <w:trPr>
          <w:trHeight w:val="200"/>
        </w:trPr>
        <w:tc>
          <w:tcPr>
            <w:tcW w:w="2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420" w:type="dxa"/>
            <w:vAlign w:val="bottom"/>
          </w:tcPr>
          <w:p>
            <w:pPr>
              <w:ind w:left="560"/>
              <w:spacing w:after="0"/>
              <w:rPr>
                <w:sz w:val="20"/>
                <w:szCs w:val="20"/>
                <w:color w:val="auto"/>
              </w:rPr>
            </w:pPr>
            <w:r>
              <w:rPr>
                <w:rFonts w:ascii="Arial" w:cs="Arial" w:eastAsia="Arial" w:hAnsi="Arial"/>
                <w:sz w:val="16"/>
                <w:szCs w:val="16"/>
                <w:color w:val="auto"/>
              </w:rPr>
              <w:t>consumed</w:t>
            </w:r>
          </w:p>
        </w:tc>
      </w:tr>
      <w:tr>
        <w:trPr>
          <w:trHeight w:val="201"/>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Non-competition agreements</w:t>
            </w:r>
          </w:p>
        </w:tc>
        <w:tc>
          <w:tcPr>
            <w:tcW w:w="2160" w:type="dxa"/>
            <w:vAlign w:val="bottom"/>
            <w:shd w:val="clear" w:color="auto" w:fill="CFF0FC"/>
          </w:tcPr>
          <w:p>
            <w:pPr>
              <w:ind w:left="860"/>
              <w:spacing w:after="0"/>
              <w:rPr>
                <w:sz w:val="20"/>
                <w:szCs w:val="20"/>
                <w:color w:val="auto"/>
              </w:rPr>
            </w:pPr>
            <w:r>
              <w:rPr>
                <w:rFonts w:ascii="Arial" w:cs="Arial" w:eastAsia="Arial" w:hAnsi="Arial"/>
                <w:sz w:val="16"/>
                <w:szCs w:val="16"/>
                <w:color w:val="auto"/>
              </w:rPr>
              <w:t>5 years</w:t>
            </w:r>
          </w:p>
        </w:tc>
        <w:tc>
          <w:tcPr>
            <w:tcW w:w="64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Straight-line</w:t>
            </w:r>
          </w:p>
        </w:tc>
      </w:tr>
    </w:tbl>
    <w:p>
      <w:pPr>
        <w:spacing w:after="0" w:line="199"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Intangible assets that have a definite life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the asset may be deemed to be impaired and accordingly a write-down of the value of the asset determined by a discounted cash flow analysis or shorter amortization period may be required.</w:t>
      </w:r>
    </w:p>
    <w:p>
      <w:pPr>
        <w:spacing w:after="0" w:line="169"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5"/>
          <w:szCs w:val="15"/>
          <w:color w:val="auto"/>
        </w:rPr>
        <w:t>Indefinite lived intangible assets are evaluated for impairment at least annually on the first day of Orion’s fiscal fourth quarter, or when indications of potential impairment exist. This annual impairment review may begin with a qualitative test to determine whether it is more likely than not that an indefinite lived intangible asset's carrying value is greater than its fair value. If the qualitative assessment reveals that asset impairment is more likely than not, a quantitative impairment test is performed comparing the fair value of the indefinite lived intangible asset to its carrying value. Alternatively, the qualitative test may be bypassed and the quantitative impairment test may be immediately performed. If the fair value of the indefinite lived intangible asset exceeds its carrying value, the indefinite lived intangible asset is not impaired and no further review is performed. If the carrying value of the indefinite lived intangible asset exceeds its fair value, an impairment loss would be recognized in an amount equal to such excess. Once an impairment loss is recognized, the adjusted carrying value becomes the new accounting basis of the indefinite lived intangible asset.</w:t>
      </w:r>
    </w:p>
    <w:p>
      <w:pPr>
        <w:spacing w:after="0" w:line="158"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Orion performed a qualitative assessment in conjunction with its annual impairment test of its indefinite lived intangible assets as of January 1, 2020. This qualitative assessment considered Orion’s operating results for the first nine months of fiscal 2020 in comparison to prior years as well as its anticipated fourth quarter results and fiscal 2021 plan. As a result of the conditions that existed as of the assessment date, an asset impairment was not deemed to be more likely than not and a quantitative analysis was not required.</w:t>
      </w:r>
    </w:p>
    <w:p>
      <w:pPr>
        <w:spacing w:after="0" w:line="169" w:lineRule="exact"/>
        <w:rPr>
          <w:sz w:val="20"/>
          <w:szCs w:val="20"/>
          <w:color w:val="auto"/>
        </w:rPr>
      </w:pPr>
    </w:p>
    <w:p>
      <w:pPr>
        <w:jc w:val="both"/>
        <w:ind w:firstLine="495"/>
        <w:spacing w:after="0" w:line="315" w:lineRule="auto"/>
        <w:rPr>
          <w:sz w:val="20"/>
          <w:szCs w:val="20"/>
          <w:color w:val="auto"/>
        </w:rPr>
      </w:pPr>
      <w:r>
        <w:rPr>
          <w:rFonts w:ascii="Arial" w:cs="Arial" w:eastAsia="Arial" w:hAnsi="Arial"/>
          <w:sz w:val="13"/>
          <w:szCs w:val="13"/>
          <w:color w:val="auto"/>
        </w:rPr>
        <w:t>During the second quarter of fiscal 2018, as a result of lower than anticipated operating results in the first half of fiscal 2018, Orion revised its full year fiscal 2018 forecast. As such, a triggering event occurred as of September 30, 2017, requiring Orion to evaluate its long-lived assets for impairment. Orion performed a quantitative impairment review of its indefinite lived intangible assets related to the Harris trade name applying the royalty replacement method to determine the asset’s fair value as of September 30, 2017. Under the royalty replacement method, the fair value of the Harris tradename was determined based on a market participant’s view of the royalty that would be paid to license the right to use the tradename. This quantitative analysis incorporated several assumptions including forecasted future revenues and cash flows, estimated royalty rate, based on similar licensing transactions and market royalty rates, and discount rate, which incorporates assumptions such as weighted-average cost of capital and risk premium. As a result of this impairment test, the carrying value of the Harris trade name exceeded its estimated fair value and an impairment of $0.7 million was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74" w:right="319" w:bottom="1440" w:gutter="0" w:footer="0" w:header="0"/>
        </w:sectPr>
      </w:pPr>
    </w:p>
    <w:bookmarkStart w:id="71" w:name="page72"/>
    <w:bookmarkEnd w:id="71"/>
    <w:p>
      <w:pPr>
        <w:jc w:val="both"/>
        <w:ind w:right="20"/>
        <w:spacing w:after="0" w:line="266" w:lineRule="auto"/>
        <w:rPr>
          <w:sz w:val="20"/>
          <w:szCs w:val="20"/>
          <w:color w:val="auto"/>
        </w:rPr>
      </w:pPr>
      <w:r>
        <w:rPr>
          <w:rFonts w:ascii="Arial" w:cs="Arial" w:eastAsia="Arial" w:hAnsi="Arial"/>
          <w:sz w:val="16"/>
          <w:szCs w:val="16"/>
          <w:color w:val="auto"/>
        </w:rPr>
        <w:t>recorded to Impairment of intangible assets during the quarter ended September 30, 2017 to reduce the asset’s carrying value to its calculated fair value. This fair value determination was categorized as Level 3 in the fair value hierarchy.</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and changes in, the carrying amount of other intangible assets were as follows (dollars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w w:val="88"/>
              </w:rPr>
              <w:t>March 31, 2020</w:t>
            </w:r>
          </w:p>
        </w:tc>
        <w:tc>
          <w:tcPr>
            <w:tcW w:w="7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w w:val="90"/>
              </w:rPr>
              <w:t>March 31, 2019</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13"/>
        </w:trPr>
        <w:tc>
          <w:tcPr>
            <w:tcW w:w="2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gridSpan w:val="2"/>
          </w:tcPr>
          <w:p>
            <w:pPr>
              <w:jc w:val="center"/>
              <w:ind w:right="480"/>
              <w:spacing w:after="0" w:line="113" w:lineRule="exact"/>
              <w:rPr>
                <w:sz w:val="20"/>
                <w:szCs w:val="20"/>
                <w:color w:val="auto"/>
              </w:rPr>
            </w:pPr>
            <w:r>
              <w:rPr>
                <w:rFonts w:ascii="Arial" w:cs="Arial" w:eastAsia="Arial" w:hAnsi="Arial"/>
                <w:sz w:val="13"/>
                <w:szCs w:val="13"/>
                <w:b w:val="1"/>
                <w:bCs w:val="1"/>
                <w:color w:val="auto"/>
                <w:w w:val="79"/>
              </w:rPr>
              <w:t>Gross</w:t>
            </w: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tcPr>
          <w:p>
            <w:pPr>
              <w:jc w:val="center"/>
              <w:ind w:right="480"/>
              <w:spacing w:after="0" w:line="113" w:lineRule="exact"/>
              <w:rPr>
                <w:sz w:val="20"/>
                <w:szCs w:val="20"/>
                <w:color w:val="auto"/>
              </w:rPr>
            </w:pPr>
            <w:r>
              <w:rPr>
                <w:rFonts w:ascii="Arial" w:cs="Arial" w:eastAsia="Arial" w:hAnsi="Arial"/>
                <w:sz w:val="13"/>
                <w:szCs w:val="13"/>
                <w:b w:val="1"/>
                <w:bCs w:val="1"/>
                <w:color w:val="auto"/>
                <w:w w:val="85"/>
              </w:rPr>
              <w:t>Gross</w:t>
            </w: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29"/>
        </w:trPr>
        <w:tc>
          <w:tcPr>
            <w:tcW w:w="2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480"/>
              <w:spacing w:after="0" w:line="129" w:lineRule="exact"/>
              <w:rPr>
                <w:sz w:val="20"/>
                <w:szCs w:val="20"/>
                <w:color w:val="auto"/>
              </w:rPr>
            </w:pPr>
            <w:r>
              <w:rPr>
                <w:rFonts w:ascii="Arial" w:cs="Arial" w:eastAsia="Arial" w:hAnsi="Arial"/>
                <w:sz w:val="13"/>
                <w:szCs w:val="13"/>
                <w:b w:val="1"/>
                <w:bCs w:val="1"/>
                <w:color w:val="auto"/>
                <w:w w:val="93"/>
              </w:rPr>
              <w:t>Carrying</w:t>
            </w:r>
          </w:p>
        </w:tc>
        <w:tc>
          <w:tcPr>
            <w:tcW w:w="120" w:type="dxa"/>
            <w:vAlign w:val="bottom"/>
          </w:tcPr>
          <w:p>
            <w:pPr>
              <w:spacing w:after="0"/>
              <w:rPr>
                <w:sz w:val="11"/>
                <w:szCs w:val="11"/>
                <w:color w:val="auto"/>
              </w:rPr>
            </w:pPr>
          </w:p>
        </w:tc>
        <w:tc>
          <w:tcPr>
            <w:tcW w:w="1320" w:type="dxa"/>
            <w:vAlign w:val="bottom"/>
            <w:gridSpan w:val="2"/>
          </w:tcPr>
          <w:p>
            <w:pPr>
              <w:jc w:val="center"/>
              <w:ind w:right="380"/>
              <w:spacing w:after="0" w:line="129" w:lineRule="exact"/>
              <w:rPr>
                <w:sz w:val="20"/>
                <w:szCs w:val="20"/>
                <w:color w:val="auto"/>
              </w:rPr>
            </w:pPr>
            <w:r>
              <w:rPr>
                <w:rFonts w:ascii="Arial" w:cs="Arial" w:eastAsia="Arial" w:hAnsi="Arial"/>
                <w:sz w:val="13"/>
                <w:szCs w:val="13"/>
                <w:b w:val="1"/>
                <w:bCs w:val="1"/>
                <w:color w:val="auto"/>
                <w:w w:val="85"/>
              </w:rPr>
              <w:t>Accumulated</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460"/>
              <w:spacing w:after="0" w:line="129" w:lineRule="exact"/>
              <w:rPr>
                <w:sz w:val="20"/>
                <w:szCs w:val="20"/>
                <w:color w:val="auto"/>
              </w:rPr>
            </w:pPr>
            <w:r>
              <w:rPr>
                <w:rFonts w:ascii="Arial" w:cs="Arial" w:eastAsia="Arial" w:hAnsi="Arial"/>
                <w:sz w:val="13"/>
                <w:szCs w:val="13"/>
                <w:b w:val="1"/>
                <w:bCs w:val="1"/>
                <w:color w:val="auto"/>
                <w:w w:val="93"/>
              </w:rPr>
              <w:t>Carrying</w:t>
            </w:r>
          </w:p>
        </w:tc>
        <w:tc>
          <w:tcPr>
            <w:tcW w:w="140" w:type="dxa"/>
            <w:vAlign w:val="bottom"/>
          </w:tcPr>
          <w:p>
            <w:pPr>
              <w:spacing w:after="0"/>
              <w:rPr>
                <w:sz w:val="11"/>
                <w:szCs w:val="11"/>
                <w:color w:val="auto"/>
              </w:rPr>
            </w:pPr>
          </w:p>
        </w:tc>
        <w:tc>
          <w:tcPr>
            <w:tcW w:w="1300" w:type="dxa"/>
            <w:vAlign w:val="bottom"/>
            <w:gridSpan w:val="2"/>
          </w:tcPr>
          <w:p>
            <w:pPr>
              <w:jc w:val="center"/>
              <w:ind w:right="400"/>
              <w:spacing w:after="0" w:line="129" w:lineRule="exact"/>
              <w:rPr>
                <w:sz w:val="20"/>
                <w:szCs w:val="20"/>
                <w:color w:val="auto"/>
              </w:rPr>
            </w:pPr>
            <w:r>
              <w:rPr>
                <w:rFonts w:ascii="Arial" w:cs="Arial" w:eastAsia="Arial" w:hAnsi="Arial"/>
                <w:sz w:val="13"/>
                <w:szCs w:val="13"/>
                <w:b w:val="1"/>
                <w:bCs w:val="1"/>
                <w:color w:val="auto"/>
                <w:w w:val="85"/>
              </w:rPr>
              <w:t>Accumulated</w:t>
            </w: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9"/>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2"/>
                <w:szCs w:val="12"/>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Amortization</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Net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2"/>
                <w:szCs w:val="12"/>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Amortization</w:t>
            </w:r>
          </w:p>
        </w:tc>
        <w:tc>
          <w:tcPr>
            <w:tcW w:w="300" w:type="dxa"/>
            <w:vAlign w:val="bottom"/>
          </w:tcPr>
          <w:p>
            <w:pPr>
              <w:spacing w:after="0"/>
              <w:rPr>
                <w:sz w:val="12"/>
                <w:szCs w:val="12"/>
                <w:color w:val="auto"/>
              </w:rPr>
            </w:pPr>
          </w:p>
        </w:tc>
        <w:tc>
          <w:tcPr>
            <w:tcW w:w="1040" w:type="dxa"/>
            <w:vAlign w:val="bottom"/>
          </w:tcPr>
          <w:p>
            <w:pPr>
              <w:jc w:val="right"/>
              <w:ind w:right="564"/>
              <w:spacing w:after="0"/>
              <w:rPr>
                <w:sz w:val="20"/>
                <w:szCs w:val="20"/>
                <w:color w:val="auto"/>
              </w:rPr>
            </w:pPr>
            <w:r>
              <w:rPr>
                <w:rFonts w:ascii="Arial" w:cs="Arial" w:eastAsia="Arial" w:hAnsi="Arial"/>
                <w:sz w:val="13"/>
                <w:szCs w:val="13"/>
                <w:b w:val="1"/>
                <w:bCs w:val="1"/>
                <w:color w:val="auto"/>
              </w:rPr>
              <w:t>Net</w:t>
            </w:r>
          </w:p>
        </w:tc>
      </w:tr>
      <w:tr>
        <w:trPr>
          <w:trHeight w:val="192"/>
        </w:trPr>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Patents</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color w:val="auto"/>
              </w:rPr>
              <w:t>2,766</w:t>
            </w:r>
          </w:p>
        </w:tc>
        <w:tc>
          <w:tcPr>
            <w:tcW w:w="1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(1,700)</w:t>
            </w:r>
          </w:p>
        </w:tc>
        <w:tc>
          <w:tcPr>
            <w:tcW w:w="14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jc w:val="right"/>
              <w:ind w:right="591"/>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1,066</w:t>
            </w:r>
          </w:p>
        </w:tc>
        <w:tc>
          <w:tcPr>
            <w:tcW w:w="1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color w:val="auto"/>
              </w:rPr>
              <w:t>2,667</w:t>
            </w:r>
          </w:p>
        </w:tc>
        <w:tc>
          <w:tcPr>
            <w:tcW w:w="1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(1,529)</w:t>
            </w:r>
          </w:p>
        </w:tc>
        <w:tc>
          <w:tcPr>
            <w:tcW w:w="14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1,138</w:t>
            </w:r>
          </w:p>
        </w:tc>
      </w:tr>
      <w:tr>
        <w:trPr>
          <w:trHeight w:val="200"/>
        </w:trPr>
        <w:tc>
          <w:tcPr>
            <w:tcW w:w="2720" w:type="dxa"/>
            <w:vAlign w:val="bottom"/>
          </w:tcPr>
          <w:p>
            <w:pPr>
              <w:spacing w:after="0"/>
              <w:rPr>
                <w:sz w:val="20"/>
                <w:szCs w:val="20"/>
                <w:color w:val="auto"/>
              </w:rPr>
            </w:pPr>
            <w:r>
              <w:rPr>
                <w:rFonts w:ascii="Arial" w:cs="Arial" w:eastAsia="Arial" w:hAnsi="Arial"/>
                <w:sz w:val="16"/>
                <w:szCs w:val="16"/>
                <w:color w:val="auto"/>
              </w:rPr>
              <w:t>Licenses</w:t>
            </w:r>
          </w:p>
        </w:tc>
        <w:tc>
          <w:tcPr>
            <w:tcW w:w="220" w:type="dxa"/>
            <w:vAlign w:val="bottom"/>
          </w:tcPr>
          <w:p>
            <w:pPr>
              <w:spacing w:after="0"/>
              <w:rPr>
                <w:sz w:val="17"/>
                <w:szCs w:val="17"/>
                <w:color w:val="auto"/>
              </w:rPr>
            </w:pPr>
          </w:p>
        </w:tc>
        <w:tc>
          <w:tcPr>
            <w:tcW w:w="1080" w:type="dxa"/>
            <w:vAlign w:val="bottom"/>
          </w:tcPr>
          <w:p>
            <w:pPr>
              <w:jc w:val="right"/>
              <w:ind w:right="47"/>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47"/>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w:t>
            </w:r>
          </w:p>
        </w:tc>
      </w:tr>
      <w:tr>
        <w:trPr>
          <w:trHeight w:val="200"/>
        </w:trPr>
        <w:tc>
          <w:tcPr>
            <w:tcW w:w="2720" w:type="dxa"/>
            <w:vAlign w:val="bottom"/>
            <w:shd w:val="clear" w:color="auto" w:fill="CFF0FC"/>
          </w:tcPr>
          <w:p>
            <w:pPr>
              <w:spacing w:after="0"/>
              <w:rPr>
                <w:sz w:val="20"/>
                <w:szCs w:val="20"/>
                <w:color w:val="auto"/>
              </w:rPr>
            </w:pPr>
            <w:r>
              <w:rPr>
                <w:rFonts w:ascii="Arial" w:cs="Arial" w:eastAsia="Arial" w:hAnsi="Arial"/>
                <w:sz w:val="16"/>
                <w:szCs w:val="16"/>
                <w:color w:val="auto"/>
              </w:rPr>
              <w:t>Trade name and trademarks</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1,014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1,014</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1,007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1,007</w:t>
            </w:r>
          </w:p>
        </w:tc>
      </w:tr>
      <w:tr>
        <w:trPr>
          <w:trHeight w:val="200"/>
        </w:trPr>
        <w:tc>
          <w:tcPr>
            <w:tcW w:w="2720" w:type="dxa"/>
            <w:vAlign w:val="bottom"/>
          </w:tcPr>
          <w:p>
            <w:pPr>
              <w:spacing w:after="0"/>
              <w:rPr>
                <w:sz w:val="20"/>
                <w:szCs w:val="20"/>
                <w:color w:val="auto"/>
              </w:rPr>
            </w:pPr>
            <w:r>
              <w:rPr>
                <w:rFonts w:ascii="Arial" w:cs="Arial" w:eastAsia="Arial" w:hAnsi="Arial"/>
                <w:sz w:val="16"/>
                <w:szCs w:val="16"/>
                <w:color w:val="auto"/>
              </w:rPr>
              <w:t>Customer relationships</w:t>
            </w:r>
          </w:p>
        </w:tc>
        <w:tc>
          <w:tcPr>
            <w:tcW w:w="220" w:type="dxa"/>
            <w:vAlign w:val="bottom"/>
          </w:tcPr>
          <w:p>
            <w:pPr>
              <w:spacing w:after="0"/>
              <w:rPr>
                <w:sz w:val="17"/>
                <w:szCs w:val="17"/>
                <w:color w:val="auto"/>
              </w:rPr>
            </w:pPr>
          </w:p>
        </w:tc>
        <w:tc>
          <w:tcPr>
            <w:tcW w:w="1080" w:type="dxa"/>
            <w:vAlign w:val="bottom"/>
          </w:tcPr>
          <w:p>
            <w:pPr>
              <w:jc w:val="right"/>
              <w:ind w:right="47"/>
              <w:spacing w:after="0"/>
              <w:rPr>
                <w:sz w:val="20"/>
                <w:szCs w:val="20"/>
                <w:color w:val="auto"/>
              </w:rPr>
            </w:pPr>
            <w:r>
              <w:rPr>
                <w:rFonts w:ascii="Arial" w:cs="Arial" w:eastAsia="Arial" w:hAnsi="Arial"/>
                <w:sz w:val="16"/>
                <w:szCs w:val="16"/>
                <w:color w:val="auto"/>
              </w:rPr>
              <w:t>3,600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(3,545)</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7"/>
              <w:spacing w:after="0"/>
              <w:rPr>
                <w:sz w:val="20"/>
                <w:szCs w:val="20"/>
                <w:color w:val="auto"/>
              </w:rPr>
            </w:pPr>
            <w:r>
              <w:rPr>
                <w:rFonts w:ascii="Arial" w:cs="Arial" w:eastAsia="Arial" w:hAnsi="Arial"/>
                <w:sz w:val="16"/>
                <w:szCs w:val="16"/>
                <w:color w:val="auto"/>
              </w:rPr>
              <w:t>3,600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(3,459)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141</w:t>
            </w:r>
          </w:p>
        </w:tc>
      </w:tr>
      <w:tr>
        <w:trPr>
          <w:trHeight w:val="200"/>
        </w:trPr>
        <w:tc>
          <w:tcPr>
            <w:tcW w:w="2720" w:type="dxa"/>
            <w:vAlign w:val="bottom"/>
            <w:shd w:val="clear" w:color="auto" w:fill="CFF0FC"/>
          </w:tcPr>
          <w:p>
            <w:pPr>
              <w:spacing w:after="0"/>
              <w:rPr>
                <w:sz w:val="20"/>
                <w:szCs w:val="20"/>
                <w:color w:val="auto"/>
              </w:rPr>
            </w:pPr>
            <w:r>
              <w:rPr>
                <w:rFonts w:ascii="Arial" w:cs="Arial" w:eastAsia="Arial" w:hAnsi="Arial"/>
                <w:sz w:val="16"/>
                <w:szCs w:val="16"/>
                <w:color w:val="auto"/>
              </w:rPr>
              <w:t>Developed technology</w:t>
            </w: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color w:val="auto"/>
              </w:rPr>
              <w:t>900</w:t>
            </w:r>
          </w:p>
        </w:tc>
        <w:tc>
          <w:tcPr>
            <w:tcW w:w="1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140" w:type="dxa"/>
            <w:vAlign w:val="bottom"/>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81</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color w:val="auto"/>
              </w:rPr>
              <w:t>900</w:t>
            </w:r>
          </w:p>
        </w:tc>
        <w:tc>
          <w:tcPr>
            <w:tcW w:w="14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(717)</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183</w:t>
            </w:r>
          </w:p>
        </w:tc>
      </w:tr>
      <w:tr>
        <w:trPr>
          <w:trHeight w:val="192"/>
        </w:trPr>
        <w:tc>
          <w:tcPr>
            <w:tcW w:w="272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8,338</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(6,122)</w:t>
            </w:r>
          </w:p>
        </w:tc>
        <w:tc>
          <w:tcPr>
            <w:tcW w:w="140" w:type="dxa"/>
            <w:vAlign w:val="bottom"/>
          </w:tcPr>
          <w:p>
            <w:pPr>
              <w:spacing w:after="0"/>
              <w:rPr>
                <w:sz w:val="16"/>
                <w:szCs w:val="16"/>
                <w:color w:val="auto"/>
              </w:rPr>
            </w:pPr>
          </w:p>
        </w:tc>
        <w:tc>
          <w:tcPr>
            <w:tcW w:w="740" w:type="dxa"/>
            <w:vAlign w:val="bottom"/>
            <w:tcBorders>
              <w:bottom w:val="single" w:sz="8" w:color="auto"/>
            </w:tcBorders>
          </w:tcPr>
          <w:p>
            <w:pPr>
              <w:jc w:val="right"/>
              <w:ind w:right="591"/>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2,216</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8,232</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(5,763)</w:t>
            </w: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2,469</w:t>
            </w:r>
          </w:p>
        </w:tc>
      </w:tr>
      <w:tr>
        <w:trPr>
          <w:trHeight w:val="20"/>
        </w:trPr>
        <w:tc>
          <w:tcPr>
            <w:tcW w:w="2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As of March 31, 2020, the weighted average useful life of intangible assets was 5.13 years. The estimated amortization expense for each of the next five years is shown below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20" w:type="dxa"/>
            <w:vAlign w:val="bottom"/>
            <w:shd w:val="clear" w:color="auto" w:fill="CFF0FC"/>
          </w:tcPr>
          <w:p>
            <w:pPr>
              <w:spacing w:after="0"/>
              <w:rPr>
                <w:sz w:val="20"/>
                <w:szCs w:val="20"/>
                <w:color w:val="auto"/>
              </w:rPr>
            </w:pPr>
            <w:r>
              <w:rPr>
                <w:rFonts w:ascii="Arial" w:cs="Arial" w:eastAsia="Arial" w:hAnsi="Arial"/>
                <w:sz w:val="16"/>
                <w:szCs w:val="16"/>
                <w:color w:val="auto"/>
              </w:rPr>
              <w:t>Fiscal 2021</w:t>
            </w:r>
          </w:p>
        </w:tc>
        <w:tc>
          <w:tcPr>
            <w:tcW w:w="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7"/>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00"/>
        </w:trPr>
        <w:tc>
          <w:tcPr>
            <w:tcW w:w="6020" w:type="dxa"/>
            <w:vAlign w:val="bottom"/>
          </w:tcPr>
          <w:p>
            <w:pPr>
              <w:spacing w:after="0"/>
              <w:rPr>
                <w:sz w:val="20"/>
                <w:szCs w:val="20"/>
                <w:color w:val="auto"/>
              </w:rPr>
            </w:pPr>
            <w:r>
              <w:rPr>
                <w:rFonts w:ascii="Arial" w:cs="Arial" w:eastAsia="Arial" w:hAnsi="Arial"/>
                <w:sz w:val="16"/>
                <w:szCs w:val="16"/>
                <w:color w:val="auto"/>
              </w:rPr>
              <w:t>Fiscal 2022</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0"/>
        </w:trPr>
        <w:tc>
          <w:tcPr>
            <w:tcW w:w="6020" w:type="dxa"/>
            <w:vAlign w:val="bottom"/>
            <w:shd w:val="clear" w:color="auto" w:fill="CFF0FC"/>
          </w:tcPr>
          <w:p>
            <w:pPr>
              <w:spacing w:after="0"/>
              <w:rPr>
                <w:sz w:val="20"/>
                <w:szCs w:val="20"/>
                <w:color w:val="auto"/>
              </w:rPr>
            </w:pPr>
            <w:r>
              <w:rPr>
                <w:rFonts w:ascii="Arial" w:cs="Arial" w:eastAsia="Arial" w:hAnsi="Arial"/>
                <w:sz w:val="16"/>
                <w:szCs w:val="16"/>
                <w:color w:val="auto"/>
              </w:rPr>
              <w:t>Fiscal 2023</w:t>
            </w:r>
          </w:p>
        </w:tc>
        <w:tc>
          <w:tcPr>
            <w:tcW w:w="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0"/>
        </w:trPr>
        <w:tc>
          <w:tcPr>
            <w:tcW w:w="6020" w:type="dxa"/>
            <w:vAlign w:val="bottom"/>
          </w:tcPr>
          <w:p>
            <w:pPr>
              <w:spacing w:after="0"/>
              <w:rPr>
                <w:sz w:val="20"/>
                <w:szCs w:val="20"/>
                <w:color w:val="auto"/>
              </w:rPr>
            </w:pPr>
            <w:r>
              <w:rPr>
                <w:rFonts w:ascii="Arial" w:cs="Arial" w:eastAsia="Arial" w:hAnsi="Arial"/>
                <w:sz w:val="16"/>
                <w:szCs w:val="16"/>
                <w:color w:val="auto"/>
              </w:rPr>
              <w:t>Fiscal 2024</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0"/>
        </w:trPr>
        <w:tc>
          <w:tcPr>
            <w:tcW w:w="6020" w:type="dxa"/>
            <w:vAlign w:val="bottom"/>
            <w:shd w:val="clear" w:color="auto" w:fill="CFF0FC"/>
          </w:tcPr>
          <w:p>
            <w:pPr>
              <w:spacing w:after="0"/>
              <w:rPr>
                <w:sz w:val="20"/>
                <w:szCs w:val="20"/>
                <w:color w:val="auto"/>
              </w:rPr>
            </w:pPr>
            <w:r>
              <w:rPr>
                <w:rFonts w:ascii="Arial" w:cs="Arial" w:eastAsia="Arial" w:hAnsi="Arial"/>
                <w:sz w:val="16"/>
                <w:szCs w:val="16"/>
                <w:color w:val="auto"/>
              </w:rPr>
              <w:t>Fiscal 2025</w:t>
            </w:r>
          </w:p>
        </w:tc>
        <w:tc>
          <w:tcPr>
            <w:tcW w:w="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0"/>
        </w:trPr>
        <w:tc>
          <w:tcPr>
            <w:tcW w:w="6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64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5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500"/>
              <w:spacing w:after="0"/>
              <w:rPr>
                <w:sz w:val="20"/>
                <w:szCs w:val="20"/>
                <w:color w:val="auto"/>
              </w:rPr>
            </w:pPr>
            <w:r>
              <w:rPr>
                <w:rFonts w:ascii="Arial" w:cs="Arial" w:eastAsia="Arial" w:hAnsi="Arial"/>
                <w:sz w:val="16"/>
                <w:szCs w:val="16"/>
                <w:color w:val="auto"/>
              </w:rPr>
              <w:t>Amortization expense is set forth in the following table (dollars in thousands):</w:t>
            </w: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88"/>
              </w:rPr>
              <w:t>Fiscal Year Ended March 31,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020" w:type="dxa"/>
            <w:vAlign w:val="bottom"/>
            <w:tcBorders>
              <w:bottom w:val="single" w:sz="8" w:color="CFF0FC"/>
            </w:tcBorders>
          </w:tcPr>
          <w:p>
            <w:pPr>
              <w:spacing w:after="0"/>
              <w:rPr>
                <w:sz w:val="11"/>
                <w:szCs w:val="11"/>
                <w:color w:val="auto"/>
              </w:rPr>
            </w:pPr>
          </w:p>
        </w:tc>
        <w:tc>
          <w:tcPr>
            <w:tcW w:w="640" w:type="dxa"/>
            <w:vAlign w:val="bottom"/>
            <w:tcBorders>
              <w:bottom w:val="single" w:sz="8" w:color="CFF0FC"/>
            </w:tcBorders>
          </w:tcPr>
          <w:p>
            <w:pPr>
              <w:spacing w:after="0"/>
              <w:rPr>
                <w:sz w:val="11"/>
                <w:szCs w:val="11"/>
                <w:color w:val="auto"/>
              </w:rPr>
            </w:pPr>
          </w:p>
        </w:tc>
        <w:tc>
          <w:tcPr>
            <w:tcW w:w="920" w:type="dxa"/>
            <w:vAlign w:val="bottom"/>
            <w:tcBorders>
              <w:bottom w:val="single" w:sz="8" w:color="auto"/>
            </w:tcBorders>
          </w:tcPr>
          <w:p>
            <w:pPr>
              <w:jc w:val="right"/>
              <w:ind w:right="71"/>
              <w:spacing w:after="0" w:line="133" w:lineRule="exact"/>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63"/>
              <w:spacing w:after="0" w:line="133" w:lineRule="exact"/>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3"/>
              <w:spacing w:after="0" w:line="133"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92"/>
        </w:trPr>
        <w:tc>
          <w:tcPr>
            <w:tcW w:w="6020" w:type="dxa"/>
            <w:vAlign w:val="bottom"/>
            <w:shd w:val="clear" w:color="auto" w:fill="CFF0FC"/>
          </w:tcPr>
          <w:p>
            <w:pPr>
              <w:spacing w:after="0"/>
              <w:rPr>
                <w:sz w:val="20"/>
                <w:szCs w:val="20"/>
                <w:color w:val="auto"/>
              </w:rPr>
            </w:pPr>
            <w:r>
              <w:rPr>
                <w:rFonts w:ascii="Arial" w:cs="Arial" w:eastAsia="Arial" w:hAnsi="Arial"/>
                <w:sz w:val="16"/>
                <w:szCs w:val="16"/>
                <w:color w:val="auto"/>
              </w:rPr>
              <w:t>Amortization included in cost of sales:</w:t>
            </w:r>
          </w:p>
        </w:tc>
        <w:tc>
          <w:tcPr>
            <w:tcW w:w="6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20" w:type="dxa"/>
            <w:vAlign w:val="bottom"/>
          </w:tcPr>
          <w:p>
            <w:pPr>
              <w:spacing w:after="0"/>
              <w:rPr>
                <w:sz w:val="20"/>
                <w:szCs w:val="20"/>
                <w:color w:val="auto"/>
              </w:rPr>
            </w:pPr>
            <w:r>
              <w:rPr>
                <w:rFonts w:ascii="Arial" w:cs="Arial" w:eastAsia="Arial" w:hAnsi="Arial"/>
                <w:sz w:val="16"/>
                <w:szCs w:val="16"/>
                <w:color w:val="auto"/>
              </w:rPr>
              <w:t>Patents</w:t>
            </w:r>
          </w:p>
        </w:tc>
        <w:tc>
          <w:tcPr>
            <w:tcW w:w="1560" w:type="dxa"/>
            <w:vAlign w:val="bottom"/>
            <w:gridSpan w:val="2"/>
          </w:tcPr>
          <w:p>
            <w:pPr>
              <w:jc w:val="right"/>
              <w:ind w:right="77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171</w:t>
            </w:r>
          </w:p>
        </w:tc>
        <w:tc>
          <w:tcPr>
            <w:tcW w:w="460" w:type="dxa"/>
            <w:vAlign w:val="bottom"/>
            <w:gridSpan w:val="2"/>
          </w:tcPr>
          <w:p>
            <w:pPr>
              <w:jc w:val="right"/>
              <w:ind w:right="19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7"/>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7"/>
                <w:szCs w:val="17"/>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92"/>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640" w:type="dxa"/>
            <w:vAlign w:val="bottom"/>
            <w:tcBorders>
              <w:top w:val="single" w:sz="8" w:color="CFF0FC"/>
            </w:tcBorders>
            <w:shd w:val="clear" w:color="auto" w:fill="CFF0FC"/>
          </w:tcPr>
          <w:p>
            <w:pPr>
              <w:spacing w:after="0"/>
              <w:rPr>
                <w:sz w:val="16"/>
                <w:szCs w:val="16"/>
                <w:color w:val="auto"/>
              </w:rPr>
            </w:pPr>
          </w:p>
        </w:tc>
        <w:tc>
          <w:tcPr>
            <w:tcW w:w="920" w:type="dxa"/>
            <w:vAlign w:val="bottom"/>
            <w:tcBorders>
              <w:top w:val="single" w:sz="8" w:color="auto"/>
              <w:bottom w:val="single" w:sz="8" w:color="auto"/>
            </w:tcBorders>
            <w:shd w:val="clear" w:color="auto" w:fill="CFF0FC"/>
          </w:tcPr>
          <w:p>
            <w:pPr>
              <w:jc w:val="right"/>
              <w:ind w:right="77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171</w:t>
            </w:r>
          </w:p>
        </w:tc>
        <w:tc>
          <w:tcPr>
            <w:tcW w:w="1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6"/>
                <w:szCs w:val="16"/>
                <w:color w:val="auto"/>
              </w:rPr>
              <w:t>171</w:t>
            </w:r>
          </w:p>
        </w:tc>
        <w:tc>
          <w:tcPr>
            <w:tcW w:w="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91"/>
        </w:trPr>
        <w:tc>
          <w:tcPr>
            <w:tcW w:w="6020" w:type="dxa"/>
            <w:vAlign w:val="bottom"/>
          </w:tcPr>
          <w:p>
            <w:pPr>
              <w:spacing w:after="0"/>
              <w:rPr>
                <w:sz w:val="20"/>
                <w:szCs w:val="20"/>
                <w:color w:val="auto"/>
              </w:rPr>
            </w:pPr>
            <w:r>
              <w:rPr>
                <w:rFonts w:ascii="Arial" w:cs="Arial" w:eastAsia="Arial" w:hAnsi="Arial"/>
                <w:sz w:val="16"/>
                <w:szCs w:val="16"/>
                <w:color w:val="auto"/>
              </w:rPr>
              <w:t>Amortization included in operating expenses:</w:t>
            </w: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2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1560" w:type="dxa"/>
            <w:vAlign w:val="bottom"/>
            <w:gridSpan w:val="2"/>
            <w:shd w:val="clear" w:color="auto" w:fill="CFF0FC"/>
          </w:tcPr>
          <w:p>
            <w:pPr>
              <w:jc w:val="right"/>
              <w:ind w:right="771"/>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86</w:t>
            </w: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47"/>
              <w:spacing w:after="0"/>
              <w:rPr>
                <w:sz w:val="20"/>
                <w:szCs w:val="20"/>
                <w:color w:val="auto"/>
              </w:rPr>
            </w:pPr>
            <w:r>
              <w:rPr>
                <w:rFonts w:ascii="Arial" w:cs="Arial" w:eastAsia="Arial" w:hAnsi="Arial"/>
                <w:sz w:val="16"/>
                <w:szCs w:val="16"/>
                <w:color w:val="auto"/>
              </w:rPr>
              <w:t>133</w:t>
            </w:r>
          </w:p>
        </w:tc>
        <w:tc>
          <w:tcPr>
            <w:tcW w:w="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00"/>
        </w:trPr>
        <w:tc>
          <w:tcPr>
            <w:tcW w:w="6020" w:type="dxa"/>
            <w:vAlign w:val="bottom"/>
          </w:tcPr>
          <w:p>
            <w:pPr>
              <w:spacing w:after="0"/>
              <w:rPr>
                <w:sz w:val="20"/>
                <w:szCs w:val="20"/>
                <w:color w:val="auto"/>
              </w:rPr>
            </w:pPr>
            <w:r>
              <w:rPr>
                <w:rFonts w:ascii="Arial" w:cs="Arial" w:eastAsia="Arial" w:hAnsi="Arial"/>
                <w:sz w:val="16"/>
                <w:szCs w:val="16"/>
                <w:color w:val="auto"/>
              </w:rPr>
              <w:t>Developed technology</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7"/>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0"/>
        </w:trPr>
        <w:tc>
          <w:tcPr>
            <w:tcW w:w="6020" w:type="dxa"/>
            <w:vAlign w:val="bottom"/>
            <w:shd w:val="clear" w:color="auto" w:fill="CFF0FC"/>
          </w:tcPr>
          <w:p>
            <w:pPr>
              <w:spacing w:after="0"/>
              <w:rPr>
                <w:sz w:val="20"/>
                <w:szCs w:val="20"/>
                <w:color w:val="auto"/>
              </w:rPr>
            </w:pPr>
            <w:r>
              <w:rPr>
                <w:rFonts w:ascii="Arial" w:cs="Arial" w:eastAsia="Arial" w:hAnsi="Arial"/>
                <w:sz w:val="16"/>
                <w:szCs w:val="16"/>
                <w:color w:val="auto"/>
              </w:rPr>
              <w:t>Non-competition agreements</w:t>
            </w:r>
          </w:p>
        </w:tc>
        <w:tc>
          <w:tcPr>
            <w:tcW w:w="640" w:type="dxa"/>
            <w:vAlign w:val="bottom"/>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w:t>
            </w:r>
          </w:p>
        </w:tc>
        <w:tc>
          <w:tcPr>
            <w:tcW w:w="640" w:type="dxa"/>
            <w:vAlign w:val="bottom"/>
            <w:tcBorders>
              <w:bottom w:val="single" w:sz="8" w:color="CFF0FC"/>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188</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6"/>
                <w:szCs w:val="16"/>
                <w:color w:val="auto"/>
              </w:rPr>
              <w:t>273</w:t>
            </w:r>
          </w:p>
        </w:tc>
        <w:tc>
          <w:tcPr>
            <w:tcW w:w="8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amortization of intangible assets</w:t>
            </w:r>
          </w:p>
        </w:tc>
        <w:tc>
          <w:tcPr>
            <w:tcW w:w="6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771"/>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359</w:t>
            </w: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6"/>
                <w:szCs w:val="16"/>
                <w:color w:val="auto"/>
              </w:rPr>
              <w:t>444</w:t>
            </w:r>
          </w:p>
        </w:tc>
        <w:tc>
          <w:tcPr>
            <w:tcW w:w="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Orion’s management periodically reviews the carrying value of patent applications and related costs. When a patent application is probable of being unsuccessful or a patent is no longer in use, Orion writes off the remaining carrying value as a charge to general and administrative expense within its Consolidated Statement of Operations. In fiscal years 2020, 2019, and 2018, write-offs were immaterial.</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Included in other income are product royalties received from licensing agreements for our patents.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72" w:name="page73"/>
    <w:bookmarkEnd w:id="72"/>
    <w:p>
      <w:pPr>
        <w:ind w:left="6"/>
        <w:spacing w:after="0"/>
        <w:rPr>
          <w:sz w:val="20"/>
          <w:szCs w:val="20"/>
          <w:color w:val="auto"/>
        </w:rPr>
      </w:pPr>
      <w:r>
        <w:rPr>
          <w:rFonts w:ascii="Arial" w:cs="Arial" w:eastAsia="Arial" w:hAnsi="Arial"/>
          <w:sz w:val="16"/>
          <w:szCs w:val="16"/>
          <w:b w:val="1"/>
          <w:bCs w:val="1"/>
          <w:color w:val="auto"/>
        </w:rPr>
        <w:t>NOTE 11 — ACCRUED EXPENSES AND OTHER</w:t>
      </w:r>
    </w:p>
    <w:p>
      <w:pPr>
        <w:spacing w:after="0" w:line="102" w:lineRule="exact"/>
        <w:rPr>
          <w:sz w:val="20"/>
          <w:szCs w:val="20"/>
          <w:color w:val="auto"/>
        </w:rPr>
      </w:pPr>
    </w:p>
    <w:p>
      <w:pPr>
        <w:ind w:left="506"/>
        <w:spacing w:after="0"/>
        <w:rPr>
          <w:sz w:val="20"/>
          <w:szCs w:val="20"/>
          <w:color w:val="auto"/>
        </w:rPr>
      </w:pPr>
      <w:r>
        <w:rPr>
          <w:rFonts w:ascii="Arial" w:cs="Arial" w:eastAsia="Arial" w:hAnsi="Arial"/>
          <w:sz w:val="16"/>
          <w:szCs w:val="16"/>
          <w:color w:val="auto"/>
        </w:rPr>
        <w:t>As of March 31, 2020 and March 31, 2019, Accrued expenses and other included the following (dollars in thousands):</w:t>
      </w:r>
    </w:p>
    <w:p>
      <w:pPr>
        <w:spacing w:after="0" w:line="279"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77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2020</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March 31, 2019</w:t>
            </w:r>
          </w:p>
        </w:tc>
      </w:tr>
      <w:tr>
        <w:trPr>
          <w:trHeight w:val="192"/>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Compensation and benefits</w:t>
            </w:r>
          </w:p>
        </w:tc>
        <w:tc>
          <w:tcPr>
            <w:tcW w:w="1180" w:type="dxa"/>
            <w:vAlign w:val="bottom"/>
            <w:shd w:val="clear" w:color="auto" w:fill="CFF0FC"/>
          </w:tcPr>
          <w:p>
            <w:pPr>
              <w:jc w:val="right"/>
              <w:ind w:right="1031"/>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4"/>
              </w:rPr>
              <w:t>2,594</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1,212</w:t>
            </w: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Sales tax</w:t>
            </w:r>
          </w:p>
        </w:tc>
        <w:tc>
          <w:tcPr>
            <w:tcW w:w="1180" w:type="dxa"/>
            <w:vAlign w:val="bottom"/>
          </w:tcPr>
          <w:p>
            <w:pPr>
              <w:spacing w:after="0"/>
              <w:rPr>
                <w:sz w:val="17"/>
                <w:szCs w:val="17"/>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513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713</w:t>
            </w:r>
          </w:p>
        </w:tc>
      </w:tr>
      <w:tr>
        <w:trPr>
          <w:trHeight w:val="20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Contract costs</w:t>
            </w:r>
          </w:p>
        </w:tc>
        <w:tc>
          <w:tcPr>
            <w:tcW w:w="11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4"/>
              </w:rPr>
              <w:t>1,173</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3,293</w:t>
            </w: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Legal and professional fees</w:t>
            </w:r>
          </w:p>
        </w:tc>
        <w:tc>
          <w:tcPr>
            <w:tcW w:w="1180" w:type="dxa"/>
            <w:vAlign w:val="bottom"/>
          </w:tcPr>
          <w:p>
            <w:pPr>
              <w:spacing w:after="0"/>
              <w:rPr>
                <w:sz w:val="17"/>
                <w:szCs w:val="17"/>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312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356</w:t>
            </w:r>
          </w:p>
        </w:tc>
      </w:tr>
      <w:tr>
        <w:trPr>
          <w:trHeight w:val="20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Warranty</w:t>
            </w:r>
          </w:p>
        </w:tc>
        <w:tc>
          <w:tcPr>
            <w:tcW w:w="11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708</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282</w:t>
            </w: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Sales returns reserve (1)</w:t>
            </w:r>
          </w:p>
        </w:tc>
        <w:tc>
          <w:tcPr>
            <w:tcW w:w="1180" w:type="dxa"/>
            <w:vAlign w:val="bottom"/>
          </w:tcPr>
          <w:p>
            <w:pPr>
              <w:spacing w:after="0"/>
              <w:rPr>
                <w:sz w:val="17"/>
                <w:szCs w:val="17"/>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98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141</w:t>
            </w:r>
          </w:p>
        </w:tc>
      </w:tr>
      <w:tr>
        <w:trPr>
          <w:trHeight w:val="20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Credits due to customers (1)</w:t>
            </w:r>
          </w:p>
        </w:tc>
        <w:tc>
          <w:tcPr>
            <w:tcW w:w="11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932</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987</w:t>
            </w:r>
          </w:p>
        </w:tc>
      </w:tr>
      <w:tr>
        <w:trPr>
          <w:trHeight w:val="200"/>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accruals</w:t>
            </w:r>
          </w:p>
        </w:tc>
        <w:tc>
          <w:tcPr>
            <w:tcW w:w="1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898</w:t>
            </w: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426</w:t>
            </w:r>
          </w:p>
        </w:tc>
      </w:tr>
      <w:tr>
        <w:trPr>
          <w:trHeight w:val="192"/>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shd w:val="clear" w:color="auto" w:fill="CFF0FC"/>
          </w:tcPr>
          <w:p>
            <w:pPr>
              <w:jc w:val="right"/>
              <w:ind w:right="1031"/>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4"/>
              </w:rPr>
              <w:t>7,228</w:t>
            </w:r>
          </w:p>
        </w:tc>
        <w:tc>
          <w:tcPr>
            <w:tcW w:w="1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7,410</w:t>
            </w:r>
          </w:p>
        </w:tc>
      </w:tr>
      <w:tr>
        <w:trPr>
          <w:trHeight w:val="20"/>
        </w:trPr>
        <w:tc>
          <w:tcPr>
            <w:tcW w:w="7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46" w:right="40" w:hanging="646"/>
        <w:spacing w:after="0" w:line="382" w:lineRule="auto"/>
        <w:tabs>
          <w:tab w:leader="none" w:pos="646" w:val="left"/>
        </w:tabs>
        <w:numPr>
          <w:ilvl w:val="0"/>
          <w:numId w:val="24"/>
        </w:numPr>
        <w:rPr>
          <w:rFonts w:ascii="Arial" w:cs="Arial" w:eastAsia="Arial" w:hAnsi="Arial"/>
          <w:sz w:val="13"/>
          <w:szCs w:val="13"/>
          <w:color w:val="auto"/>
        </w:rPr>
      </w:pPr>
      <w:r>
        <w:rPr>
          <w:rFonts w:ascii="Arial" w:cs="Arial" w:eastAsia="Arial" w:hAnsi="Arial"/>
          <w:sz w:val="13"/>
          <w:szCs w:val="13"/>
          <w:color w:val="auto"/>
        </w:rPr>
        <w:t>Sales returns reserve was previously classified in Accounts receivable, net and Credits due to customers was previously classified in Accounts payable. As of April 1, 2018, in conjunction with the adoption of ASC 606, these balances are now included in Accrued expenses and other on the Consolidated Balance Sheets.</w:t>
      </w:r>
    </w:p>
    <w:p>
      <w:pPr>
        <w:spacing w:after="0" w:line="124" w:lineRule="exact"/>
        <w:rPr>
          <w:sz w:val="20"/>
          <w:szCs w:val="20"/>
          <w:color w:val="auto"/>
        </w:rPr>
      </w:pPr>
    </w:p>
    <w:p>
      <w:pPr>
        <w:jc w:val="both"/>
        <w:ind w:left="6" w:right="40" w:firstLine="500"/>
        <w:spacing w:after="0" w:line="255" w:lineRule="auto"/>
        <w:rPr>
          <w:sz w:val="20"/>
          <w:szCs w:val="20"/>
          <w:color w:val="auto"/>
        </w:rPr>
      </w:pPr>
      <w:r>
        <w:rPr>
          <w:rFonts w:ascii="Arial" w:cs="Arial" w:eastAsia="Arial" w:hAnsi="Arial"/>
          <w:sz w:val="16"/>
          <w:szCs w:val="16"/>
          <w:color w:val="auto"/>
        </w:rPr>
        <w:t>Orion generally offers a limited warranty of one to 10 years on its lighting products including the pass through of standard warranties offered by major original equipment component manufacturers. The manufacturers’ warranties cover lamps, ballasts, LED modules, LED chips, LED drivers, control devices, and other fixture related items, which are significant components in Orion's lighting products.</w:t>
      </w:r>
    </w:p>
    <w:p>
      <w:pPr>
        <w:spacing w:after="0" w:line="167" w:lineRule="exact"/>
        <w:rPr>
          <w:sz w:val="20"/>
          <w:szCs w:val="20"/>
          <w:color w:val="auto"/>
        </w:rPr>
      </w:pPr>
    </w:p>
    <w:p>
      <w:pPr>
        <w:ind w:left="506"/>
        <w:spacing w:after="0"/>
        <w:rPr>
          <w:sz w:val="20"/>
          <w:szCs w:val="20"/>
          <w:color w:val="auto"/>
        </w:rPr>
      </w:pPr>
      <w:r>
        <w:rPr>
          <w:rFonts w:ascii="Arial" w:cs="Arial" w:eastAsia="Arial" w:hAnsi="Arial"/>
          <w:sz w:val="16"/>
          <w:szCs w:val="16"/>
          <w:color w:val="auto"/>
        </w:rPr>
        <w:t>Changes in Orion’s warranty accrual (both current and long-term) were as follows (dollars in thousands):</w:t>
      </w:r>
    </w:p>
    <w:p>
      <w:pPr>
        <w:spacing w:after="0" w:line="279"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3"/>
                <w:szCs w:val="13"/>
                <w:b w:val="1"/>
                <w:bCs w:val="1"/>
                <w:color w:val="auto"/>
              </w:rPr>
              <w:t>March 31,</w:t>
            </w:r>
          </w:p>
        </w:tc>
        <w:tc>
          <w:tcPr>
            <w:tcW w:w="12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00" w:type="dxa"/>
            <w:vAlign w:val="bottom"/>
            <w:tcBorders>
              <w:bottom w:val="single" w:sz="8" w:color="CFF0FC"/>
            </w:tcBorders>
          </w:tcPr>
          <w:p>
            <w:pPr>
              <w:spacing w:after="0"/>
              <w:rPr>
                <w:sz w:val="11"/>
                <w:szCs w:val="11"/>
                <w:color w:val="auto"/>
              </w:rPr>
            </w:pPr>
          </w:p>
        </w:tc>
        <w:tc>
          <w:tcPr>
            <w:tcW w:w="3440" w:type="dxa"/>
            <w:vAlign w:val="bottom"/>
            <w:tcBorders>
              <w:bottom w:val="single" w:sz="8" w:color="CFF0FC"/>
            </w:tcBorders>
          </w:tcPr>
          <w:p>
            <w:pPr>
              <w:spacing w:after="0"/>
              <w:rPr>
                <w:sz w:val="11"/>
                <w:szCs w:val="11"/>
                <w:color w:val="auto"/>
              </w:rPr>
            </w:pPr>
          </w:p>
        </w:tc>
        <w:tc>
          <w:tcPr>
            <w:tcW w:w="1040" w:type="dxa"/>
            <w:vAlign w:val="bottom"/>
            <w:tcBorders>
              <w:bottom w:val="single" w:sz="8" w:color="auto"/>
            </w:tcBorders>
          </w:tcPr>
          <w:p>
            <w:pPr>
              <w:jc w:val="right"/>
              <w:ind w:right="71"/>
              <w:spacing w:after="0" w:line="133" w:lineRule="exact"/>
              <w:rPr>
                <w:sz w:val="20"/>
                <w:szCs w:val="20"/>
                <w:color w:val="auto"/>
              </w:rPr>
            </w:pPr>
            <w:r>
              <w:rPr>
                <w:rFonts w:ascii="Arial" w:cs="Arial" w:eastAsia="Arial" w:hAnsi="Arial"/>
                <w:sz w:val="13"/>
                <w:szCs w:val="13"/>
                <w:b w:val="1"/>
                <w:bCs w:val="1"/>
                <w:color w:val="auto"/>
              </w:rPr>
              <w:t>2020</w:t>
            </w: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704"/>
              <w:spacing w:after="0" w:line="133" w:lineRule="exact"/>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Beginning of year</w:t>
            </w:r>
          </w:p>
        </w:tc>
        <w:tc>
          <w:tcPr>
            <w:tcW w:w="34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9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657</w:t>
            </w: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6"/>
                <w:szCs w:val="16"/>
                <w:color w:val="auto"/>
              </w:rPr>
              <w:t>Reclassification on adoption of ASC 606</w:t>
            </w:r>
          </w:p>
        </w:tc>
        <w:tc>
          <w:tcPr>
            <w:tcW w:w="3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Accruals</w:t>
            </w:r>
          </w:p>
        </w:tc>
        <w:tc>
          <w:tcPr>
            <w:tcW w:w="3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863</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Warranty claims (net of vendor reimbursements)</w:t>
            </w:r>
          </w:p>
        </w:tc>
        <w:tc>
          <w:tcPr>
            <w:tcW w:w="344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34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89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1,069</w:t>
            </w:r>
          </w:p>
        </w:tc>
        <w:tc>
          <w:tcPr>
            <w:tcW w:w="1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657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40" w:type="dxa"/>
            <w:vAlign w:val="bottom"/>
            <w:vMerge w:val="restart"/>
          </w:tcPr>
          <w:p>
            <w:pPr>
              <w:jc w:val="right"/>
              <w:ind w:right="1962"/>
              <w:spacing w:after="0"/>
              <w:rPr>
                <w:sz w:val="20"/>
                <w:szCs w:val="20"/>
                <w:color w:val="auto"/>
              </w:rPr>
            </w:pPr>
            <w:r>
              <w:rPr>
                <w:rFonts w:ascii="Arial" w:cs="Arial" w:eastAsia="Arial" w:hAnsi="Arial"/>
                <w:sz w:val="16"/>
                <w:szCs w:val="16"/>
                <w:color w:val="auto"/>
              </w:rPr>
              <w:t>74</w:t>
            </w: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43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30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-6985</wp:posOffset>
            </wp:positionV>
            <wp:extent cx="762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762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6"/>
          </w:cols>
          <w:pgMar w:left="314" w:top="617" w:right="29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NOTE 12 — NET INCOME (LOSS) PER COMMON SHARE</w:t>
      </w:r>
    </w:p>
    <w:p>
      <w:pPr>
        <w:spacing w:after="0" w:line="102" w:lineRule="exact"/>
        <w:rPr>
          <w:sz w:val="20"/>
          <w:szCs w:val="20"/>
          <w:color w:val="auto"/>
        </w:rPr>
      </w:pPr>
    </w:p>
    <w:p>
      <w:pPr>
        <w:jc w:val="both"/>
        <w:ind w:right="40" w:firstLine="495"/>
        <w:spacing w:after="0" w:line="266" w:lineRule="auto"/>
        <w:rPr>
          <w:sz w:val="20"/>
          <w:szCs w:val="20"/>
          <w:color w:val="auto"/>
        </w:rPr>
      </w:pPr>
      <w:r>
        <w:rPr>
          <w:rFonts w:ascii="Arial" w:cs="Arial" w:eastAsia="Arial" w:hAnsi="Arial"/>
          <w:sz w:val="16"/>
          <w:szCs w:val="16"/>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157" w:lineRule="exact"/>
        <w:rPr>
          <w:sz w:val="20"/>
          <w:szCs w:val="20"/>
          <w:color w:val="auto"/>
        </w:rPr>
      </w:pPr>
    </w:p>
    <w:p>
      <w:pPr>
        <w:jc w:val="both"/>
        <w:ind w:right="20" w:firstLine="500"/>
        <w:spacing w:after="0" w:line="329" w:lineRule="auto"/>
        <w:rPr>
          <w:sz w:val="20"/>
          <w:szCs w:val="20"/>
          <w:color w:val="auto"/>
        </w:rPr>
      </w:pPr>
      <w:r>
        <w:rPr>
          <w:rFonts w:ascii="Arial" w:cs="Arial" w:eastAsia="Arial" w:hAnsi="Arial"/>
          <w:sz w:val="13"/>
          <w:szCs w:val="13"/>
          <w:color w:val="auto"/>
        </w:rPr>
        <w:t>Diluted net income (loss) per common share reflects the dilution that would occur if stock options were exercised and restricted shares vested. In the computation of diluted net income (loss) per common share, Orion uses the treasury stock method for outstanding options and restricted shares. Because of the net loss for the years ended March 31, 2019 and March 31, 2018, potentially dilutive securities would be anti-dilutive, and therefore diluted net income (loss) per common share is the same as basic net income (loss) per common share for the years ended March 31, 2019 and March 31, 2018. Net income (loss) per common share is calculated based upon the following shares: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87"/>
              </w:rPr>
              <w:t>Fiscal Year Ended March 31,</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33"/>
        </w:trPr>
        <w:tc>
          <w:tcPr>
            <w:tcW w:w="6320" w:type="dxa"/>
            <w:vAlign w:val="bottom"/>
            <w:tcBorders>
              <w:bottom w:val="single" w:sz="8" w:color="CFF0FC"/>
            </w:tcBorders>
          </w:tcPr>
          <w:p>
            <w:pPr>
              <w:spacing w:after="0"/>
              <w:rPr>
                <w:sz w:val="11"/>
                <w:szCs w:val="11"/>
                <w:color w:val="auto"/>
              </w:rPr>
            </w:pPr>
          </w:p>
        </w:tc>
        <w:tc>
          <w:tcPr>
            <w:tcW w:w="102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64"/>
              <w:spacing w:after="0" w:line="133"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44"/>
              <w:spacing w:after="0" w:line="133"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4"/>
              <w:spacing w:after="0" w:line="133" w:lineRule="exact"/>
              <w:rPr>
                <w:sz w:val="20"/>
                <w:szCs w:val="20"/>
                <w:color w:val="auto"/>
              </w:rPr>
            </w:pPr>
            <w:r>
              <w:rPr>
                <w:rFonts w:ascii="Arial" w:cs="Arial" w:eastAsia="Arial" w:hAnsi="Arial"/>
                <w:sz w:val="13"/>
                <w:szCs w:val="13"/>
                <w:b w:val="1"/>
                <w:bCs w:val="1"/>
                <w:color w:val="auto"/>
              </w:rPr>
              <w:t>2018</w:t>
            </w:r>
          </w:p>
        </w:tc>
      </w:tr>
      <w:tr>
        <w:trPr>
          <w:trHeight w:val="192"/>
        </w:trPr>
        <w:tc>
          <w:tcPr>
            <w:tcW w:w="6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Numerator:</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200"/>
        </w:trPr>
        <w:tc>
          <w:tcPr>
            <w:tcW w:w="6320" w:type="dxa"/>
            <w:vAlign w:val="bottom"/>
          </w:tcPr>
          <w:p>
            <w:pPr>
              <w:spacing w:after="0"/>
              <w:rPr>
                <w:sz w:val="20"/>
                <w:szCs w:val="20"/>
                <w:color w:val="auto"/>
              </w:rPr>
            </w:pPr>
            <w:r>
              <w:rPr>
                <w:rFonts w:ascii="Arial" w:cs="Arial" w:eastAsia="Arial" w:hAnsi="Arial"/>
                <w:sz w:val="16"/>
                <w:szCs w:val="16"/>
                <w:color w:val="auto"/>
              </w:rPr>
              <w:t>Net income (loss) (dollars in thousands)</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12,462</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(6,674)</w:t>
            </w:r>
          </w:p>
        </w:tc>
        <w:tc>
          <w:tcPr>
            <w:tcW w:w="140" w:type="dxa"/>
            <w:vAlign w:val="bottom"/>
          </w:tcPr>
          <w:p>
            <w:pPr>
              <w:spacing w:after="0"/>
              <w:rPr>
                <w:sz w:val="17"/>
                <w:szCs w:val="17"/>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(13,128)</w:t>
            </w:r>
          </w:p>
        </w:tc>
      </w:tr>
      <w:tr>
        <w:trPr>
          <w:trHeight w:val="200"/>
        </w:trPr>
        <w:tc>
          <w:tcPr>
            <w:tcW w:w="6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Denominator:</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00"/>
        </w:trPr>
        <w:tc>
          <w:tcPr>
            <w:tcW w:w="6320" w:type="dxa"/>
            <w:vAlign w:val="bottom"/>
          </w:tcPr>
          <w:p>
            <w:pPr>
              <w:spacing w:after="0"/>
              <w:rPr>
                <w:sz w:val="20"/>
                <w:szCs w:val="20"/>
                <w:color w:val="auto"/>
              </w:rPr>
            </w:pPr>
            <w:r>
              <w:rPr>
                <w:rFonts w:ascii="Arial" w:cs="Arial" w:eastAsia="Arial" w:hAnsi="Arial"/>
                <w:sz w:val="16"/>
                <w:szCs w:val="16"/>
                <w:color w:val="auto"/>
              </w:rPr>
              <w:t>Weighted-average common shares outstanding</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30,104,552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29,429,540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64"/>
              <w:spacing w:after="0"/>
              <w:rPr>
                <w:sz w:val="20"/>
                <w:szCs w:val="20"/>
                <w:color w:val="auto"/>
              </w:rPr>
            </w:pPr>
            <w:r>
              <w:rPr>
                <w:rFonts w:ascii="Arial" w:cs="Arial" w:eastAsia="Arial" w:hAnsi="Arial"/>
                <w:sz w:val="16"/>
                <w:szCs w:val="16"/>
                <w:color w:val="auto"/>
              </w:rPr>
              <w:t>28,783,830</w:t>
            </w:r>
          </w:p>
        </w:tc>
      </w:tr>
      <w:tr>
        <w:trPr>
          <w:trHeight w:val="200"/>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effect of assumed conversion of stock options and restricted stock</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860,225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w:t>
            </w:r>
          </w:p>
        </w:tc>
      </w:tr>
      <w:tr>
        <w:trPr>
          <w:trHeight w:val="232"/>
        </w:trPr>
        <w:tc>
          <w:tcPr>
            <w:tcW w:w="6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Weighted-average common shares and share equivalents outstanding</w:t>
            </w:r>
          </w:p>
        </w:tc>
        <w:tc>
          <w:tcPr>
            <w:tcW w:w="10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30,964,777</w:t>
            </w: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29,429,540</w:t>
            </w: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6"/>
                <w:szCs w:val="16"/>
                <w:color w:val="auto"/>
              </w:rPr>
              <w:t>28,783,830</w:t>
            </w:r>
          </w:p>
        </w:tc>
      </w:tr>
      <w:tr>
        <w:trPr>
          <w:trHeight w:val="175"/>
        </w:trPr>
        <w:tc>
          <w:tcPr>
            <w:tcW w:w="632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Net income (loss) per common share:</w:t>
            </w: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200"/>
        </w:trPr>
        <w:tc>
          <w:tcPr>
            <w:tcW w:w="6320" w:type="dxa"/>
            <w:vAlign w:val="bottom"/>
          </w:tcPr>
          <w:p>
            <w:pPr>
              <w:ind w:left="200"/>
              <w:spacing w:after="0"/>
              <w:rPr>
                <w:sz w:val="20"/>
                <w:szCs w:val="20"/>
                <w:color w:val="auto"/>
              </w:rPr>
            </w:pPr>
            <w:r>
              <w:rPr>
                <w:rFonts w:ascii="Arial" w:cs="Arial" w:eastAsia="Arial" w:hAnsi="Arial"/>
                <w:sz w:val="16"/>
                <w:szCs w:val="16"/>
                <w:color w:val="auto"/>
              </w:rPr>
              <w:t>Basic</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0.41</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(0.23)</w:t>
            </w:r>
          </w:p>
        </w:tc>
        <w:tc>
          <w:tcPr>
            <w:tcW w:w="140" w:type="dxa"/>
            <w:vAlign w:val="bottom"/>
          </w:tcPr>
          <w:p>
            <w:pPr>
              <w:spacing w:after="0"/>
              <w:rPr>
                <w:sz w:val="17"/>
                <w:szCs w:val="17"/>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(0.46)</w:t>
            </w:r>
          </w:p>
        </w:tc>
      </w:tr>
      <w:tr>
        <w:trPr>
          <w:trHeight w:val="200"/>
        </w:trPr>
        <w:tc>
          <w:tcPr>
            <w:tcW w:w="6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Diluted</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0.40</w:t>
            </w:r>
          </w:p>
        </w:tc>
        <w:tc>
          <w:tcPr>
            <w:tcW w:w="48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(0.23)</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(0.46)</w:t>
            </w:r>
          </w:p>
        </w:tc>
      </w:tr>
    </w:tbl>
    <w:p>
      <w:pPr>
        <w:spacing w:after="0" w:line="199" w:lineRule="exact"/>
        <w:rPr>
          <w:sz w:val="20"/>
          <w:szCs w:val="20"/>
          <w:color w:val="auto"/>
        </w:rPr>
      </w:pPr>
    </w:p>
    <w:p>
      <w:pPr>
        <w:jc w:val="both"/>
        <w:ind w:right="40" w:firstLine="500"/>
        <w:spacing w:after="0" w:line="266" w:lineRule="auto"/>
        <w:rPr>
          <w:sz w:val="20"/>
          <w:szCs w:val="20"/>
          <w:color w:val="auto"/>
        </w:rPr>
      </w:pPr>
      <w:r>
        <w:rPr>
          <w:rFonts w:ascii="Arial" w:cs="Arial" w:eastAsia="Arial" w:hAnsi="Arial"/>
          <w:sz w:val="16"/>
          <w:szCs w:val="16"/>
          <w:color w:val="auto"/>
        </w:rPr>
        <w:t>The following table indicates the number of potentially dilutive securities excluded from the calculation of Diluted net income (loss) per common share because their inclusion would have been anti-dilutive. The number of shares is as of the end of each period: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w w:val="99"/>
              </w:rPr>
              <w:t>March 31,</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340" w:type="dxa"/>
            <w:vAlign w:val="bottom"/>
            <w:tcBorders>
              <w:bottom w:val="single" w:sz="8" w:color="CFF0FC"/>
            </w:tcBorders>
          </w:tcPr>
          <w:p>
            <w:pPr>
              <w:spacing w:after="0"/>
              <w:rPr>
                <w:sz w:val="11"/>
                <w:szCs w:val="11"/>
                <w:color w:val="auto"/>
              </w:rPr>
            </w:pPr>
          </w:p>
        </w:tc>
        <w:tc>
          <w:tcPr>
            <w:tcW w:w="1200" w:type="dxa"/>
            <w:vAlign w:val="bottom"/>
            <w:tcBorders>
              <w:bottom w:val="single" w:sz="8" w:color="auto"/>
            </w:tcBorders>
            <w:gridSpan w:val="2"/>
          </w:tcPr>
          <w:p>
            <w:pPr>
              <w:jc w:val="right"/>
              <w:ind w:right="468"/>
              <w:spacing w:after="0" w:line="133"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1220" w:type="dxa"/>
            <w:vAlign w:val="bottom"/>
            <w:tcBorders>
              <w:bottom w:val="single" w:sz="8" w:color="auto"/>
            </w:tcBorders>
          </w:tcPr>
          <w:p>
            <w:pPr>
              <w:jc w:val="right"/>
              <w:ind w:right="485"/>
              <w:spacing w:after="0" w:line="133" w:lineRule="exact"/>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340" w:type="dxa"/>
            <w:vAlign w:val="bottom"/>
            <w:shd w:val="clear" w:color="auto" w:fill="CFF0FC"/>
          </w:tcPr>
          <w:p>
            <w:pPr>
              <w:spacing w:after="0"/>
              <w:rPr>
                <w:sz w:val="20"/>
                <w:szCs w:val="20"/>
                <w:color w:val="auto"/>
              </w:rPr>
            </w:pPr>
            <w:r>
              <w:rPr>
                <w:rFonts w:ascii="Arial" w:cs="Arial" w:eastAsia="Arial" w:hAnsi="Arial"/>
                <w:sz w:val="16"/>
                <w:szCs w:val="16"/>
                <w:color w:val="auto"/>
              </w:rPr>
              <w:t>Common stock options</w:t>
            </w:r>
          </w:p>
        </w:tc>
        <w:tc>
          <w:tcPr>
            <w:tcW w:w="120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164,072</w:t>
            </w:r>
          </w:p>
        </w:tc>
        <w:tc>
          <w:tcPr>
            <w:tcW w:w="140" w:type="dxa"/>
            <w:vAlign w:val="bottom"/>
            <w:shd w:val="clear" w:color="auto" w:fill="CFF0FC"/>
          </w:tcPr>
          <w:p>
            <w:pPr>
              <w:spacing w:after="0"/>
              <w:rPr>
                <w:sz w:val="16"/>
                <w:szCs w:val="16"/>
                <w:color w:val="auto"/>
              </w:rPr>
            </w:pPr>
          </w:p>
        </w:tc>
        <w:tc>
          <w:tcPr>
            <w:tcW w:w="1200" w:type="dxa"/>
            <w:vAlign w:val="bottom"/>
            <w:gridSpan w:val="3"/>
            <w:shd w:val="clear" w:color="auto" w:fill="CFF0FC"/>
          </w:tcPr>
          <w:p>
            <w:pPr>
              <w:jc w:val="right"/>
              <w:ind w:right="27"/>
              <w:spacing w:after="0"/>
              <w:rPr>
                <w:sz w:val="20"/>
                <w:szCs w:val="20"/>
                <w:color w:val="auto"/>
              </w:rPr>
            </w:pPr>
            <w:r>
              <w:rPr>
                <w:rFonts w:ascii="Arial" w:cs="Arial" w:eastAsia="Arial" w:hAnsi="Arial"/>
                <w:sz w:val="16"/>
                <w:szCs w:val="16"/>
                <w:color w:val="auto"/>
              </w:rPr>
              <w:t>467,836</w:t>
            </w: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629,667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340" w:type="dxa"/>
            <w:vAlign w:val="bottom"/>
          </w:tcPr>
          <w:p>
            <w:pPr>
              <w:spacing w:after="0"/>
              <w:rPr>
                <w:sz w:val="20"/>
                <w:szCs w:val="20"/>
                <w:color w:val="auto"/>
              </w:rPr>
            </w:pPr>
            <w:r>
              <w:rPr>
                <w:rFonts w:ascii="Arial" w:cs="Arial" w:eastAsia="Arial" w:hAnsi="Arial"/>
                <w:sz w:val="16"/>
                <w:szCs w:val="16"/>
                <w:color w:val="auto"/>
              </w:rPr>
              <w:t>Restricted shares</w:t>
            </w:r>
          </w:p>
        </w:tc>
        <w:tc>
          <w:tcPr>
            <w:tcW w:w="4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7"/>
              <w:spacing w:after="0"/>
              <w:rPr>
                <w:sz w:val="20"/>
                <w:szCs w:val="20"/>
                <w:color w:val="auto"/>
              </w:rPr>
            </w:pPr>
            <w:r>
              <w:rPr>
                <w:rFonts w:ascii="Arial" w:cs="Arial" w:eastAsia="Arial" w:hAnsi="Arial"/>
                <w:sz w:val="16"/>
                <w:szCs w:val="16"/>
                <w:color w:val="auto"/>
              </w:rPr>
              <w:t>1,312,593</w:t>
            </w:r>
          </w:p>
        </w:tc>
        <w:tc>
          <w:tcPr>
            <w:tcW w:w="160" w:type="dxa"/>
            <w:vAlign w:val="bottom"/>
          </w:tcPr>
          <w:p>
            <w:pPr>
              <w:spacing w:after="0"/>
              <w:rPr>
                <w:sz w:val="17"/>
                <w:szCs w:val="17"/>
                <w:color w:val="auto"/>
              </w:rPr>
            </w:pPr>
          </w:p>
        </w:tc>
        <w:tc>
          <w:tcPr>
            <w:tcW w:w="1220" w:type="dxa"/>
            <w:vAlign w:val="bottom"/>
          </w:tcPr>
          <w:p>
            <w:pPr>
              <w:jc w:val="right"/>
              <w:ind w:right="65"/>
              <w:spacing w:after="0"/>
              <w:rPr>
                <w:sz w:val="20"/>
                <w:szCs w:val="20"/>
                <w:color w:val="auto"/>
              </w:rPr>
            </w:pPr>
            <w:r>
              <w:rPr>
                <w:rFonts w:ascii="Arial" w:cs="Arial" w:eastAsia="Arial" w:hAnsi="Arial"/>
                <w:sz w:val="16"/>
                <w:szCs w:val="16"/>
                <w:color w:val="auto"/>
              </w:rPr>
              <w:t>1,485,799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200" w:type="dxa"/>
            <w:vAlign w:val="bottom"/>
            <w:tcBorders>
              <w:top w:val="single" w:sz="8" w:color="auto"/>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164,072</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200" w:type="dxa"/>
            <w:vAlign w:val="bottom"/>
            <w:tcBorders>
              <w:top w:val="single" w:sz="8" w:color="auto"/>
              <w:bottom w:val="single" w:sz="8" w:color="auto"/>
            </w:tcBorders>
            <w:gridSpan w:val="3"/>
            <w:shd w:val="clear" w:color="auto" w:fill="CFF0FC"/>
          </w:tcPr>
          <w:p>
            <w:pPr>
              <w:jc w:val="right"/>
              <w:ind w:right="27"/>
              <w:spacing w:after="0"/>
              <w:rPr>
                <w:sz w:val="20"/>
                <w:szCs w:val="20"/>
                <w:color w:val="auto"/>
              </w:rPr>
            </w:pPr>
            <w:r>
              <w:rPr>
                <w:rFonts w:ascii="Arial" w:cs="Arial" w:eastAsia="Arial" w:hAnsi="Arial"/>
                <w:sz w:val="16"/>
                <w:szCs w:val="16"/>
                <w:color w:val="auto"/>
              </w:rPr>
              <w:t>1,780,429</w:t>
            </w: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1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6"/>
                <w:szCs w:val="16"/>
                <w:color w:val="auto"/>
              </w:rPr>
              <w:t>2,115,466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6"/>
                <w:szCs w:val="16"/>
                <w:b w:val="1"/>
                <w:bCs w:val="1"/>
                <w:color w:val="auto"/>
              </w:rPr>
              <w:t>NOTE 13 — LONG-TERM DEBT</w:t>
            </w: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340" w:type="dxa"/>
            <w:vAlign w:val="bottom"/>
          </w:tcPr>
          <w:p>
            <w:pPr>
              <w:ind w:left="500"/>
              <w:spacing w:after="0"/>
              <w:rPr>
                <w:sz w:val="20"/>
                <w:szCs w:val="20"/>
                <w:color w:val="auto"/>
              </w:rPr>
            </w:pPr>
            <w:r>
              <w:rPr>
                <w:rFonts w:ascii="Arial" w:cs="Arial" w:eastAsia="Arial" w:hAnsi="Arial"/>
                <w:sz w:val="16"/>
                <w:szCs w:val="16"/>
                <w:color w:val="auto"/>
              </w:rPr>
              <w:t>Long-term debt as of March 31, 2020 and 2019 consisted of the following (dollars in thousands):</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7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480"/>
              <w:spacing w:after="0"/>
              <w:rPr>
                <w:sz w:val="20"/>
                <w:szCs w:val="20"/>
                <w:color w:val="auto"/>
              </w:rPr>
            </w:pPr>
            <w:r>
              <w:rPr>
                <w:rFonts w:ascii="Arial" w:cs="Arial" w:eastAsia="Arial" w:hAnsi="Arial"/>
                <w:sz w:val="13"/>
                <w:szCs w:val="13"/>
                <w:b w:val="1"/>
                <w:bCs w:val="1"/>
                <w:color w:val="auto"/>
              </w:rPr>
              <w:t>March 31,</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7340" w:type="dxa"/>
            <w:vAlign w:val="bottom"/>
            <w:tcBorders>
              <w:bottom w:val="single" w:sz="8" w:color="CFF0FC"/>
            </w:tcBorders>
          </w:tcPr>
          <w:p>
            <w:pPr>
              <w:spacing w:after="0"/>
              <w:rPr>
                <w:sz w:val="11"/>
                <w:szCs w:val="11"/>
                <w:color w:val="auto"/>
              </w:rPr>
            </w:pPr>
          </w:p>
        </w:tc>
        <w:tc>
          <w:tcPr>
            <w:tcW w:w="400" w:type="dxa"/>
            <w:vAlign w:val="bottom"/>
            <w:tcBorders>
              <w:bottom w:val="single" w:sz="8" w:color="CFF0FC"/>
            </w:tcBorders>
          </w:tcPr>
          <w:p>
            <w:pPr>
              <w:spacing w:after="0"/>
              <w:rPr>
                <w:sz w:val="11"/>
                <w:szCs w:val="11"/>
                <w:color w:val="auto"/>
              </w:rPr>
            </w:pPr>
          </w:p>
        </w:tc>
        <w:tc>
          <w:tcPr>
            <w:tcW w:w="94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3"/>
                <w:szCs w:val="13"/>
                <w:b w:val="1"/>
                <w:bCs w:val="1"/>
                <w:color w:val="auto"/>
              </w:rPr>
              <w:t>2020</w:t>
            </w: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05"/>
              <w:spacing w:after="0" w:line="133" w:lineRule="exact"/>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340" w:type="dxa"/>
            <w:vAlign w:val="bottom"/>
            <w:shd w:val="clear" w:color="auto" w:fill="CFF0FC"/>
          </w:tcPr>
          <w:p>
            <w:pPr>
              <w:spacing w:after="0"/>
              <w:rPr>
                <w:sz w:val="20"/>
                <w:szCs w:val="20"/>
                <w:color w:val="auto"/>
              </w:rPr>
            </w:pPr>
            <w:r>
              <w:rPr>
                <w:rFonts w:ascii="Arial" w:cs="Arial" w:eastAsia="Arial" w:hAnsi="Arial"/>
                <w:sz w:val="16"/>
                <w:szCs w:val="16"/>
                <w:color w:val="auto"/>
              </w:rPr>
              <w:t>Revolving credit facility</w:t>
            </w:r>
          </w:p>
        </w:tc>
        <w:tc>
          <w:tcPr>
            <w:tcW w:w="40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10,013</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9,202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Equipment debt obligations</w:t>
            </w:r>
          </w:p>
        </w:tc>
        <w:tc>
          <w:tcPr>
            <w:tcW w:w="40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85</w:t>
            </w:r>
          </w:p>
        </w:tc>
        <w:tc>
          <w:tcPr>
            <w:tcW w:w="1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3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long-term debt</w:t>
            </w:r>
          </w:p>
        </w:tc>
        <w:tc>
          <w:tcPr>
            <w:tcW w:w="4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10,098</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9,379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Less current maturities</w:t>
            </w:r>
          </w:p>
        </w:tc>
        <w:tc>
          <w:tcPr>
            <w:tcW w:w="40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debt, less current maturities</w:t>
            </w:r>
          </w:p>
        </w:tc>
        <w:tc>
          <w:tcPr>
            <w:tcW w:w="4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648"/>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color w:val="auto"/>
              </w:rPr>
              <w:t>10,063</w:t>
            </w: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9,283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5540"/>
              <w:spacing w:after="0"/>
              <w:rPr>
                <w:sz w:val="20"/>
                <w:szCs w:val="20"/>
                <w:color w:val="auto"/>
              </w:rPr>
            </w:pPr>
            <w:r>
              <w:rPr>
                <w:rFonts w:ascii="Arial" w:cs="Arial" w:eastAsia="Arial" w:hAnsi="Arial"/>
                <w:sz w:val="16"/>
                <w:szCs w:val="16"/>
                <w:color w:val="auto"/>
              </w:rPr>
              <w:t>75</w:t>
            </w: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7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73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-6985</wp:posOffset>
            </wp:positionV>
            <wp:extent cx="762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405" w:right="29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i w:val="1"/>
          <w:iCs w:val="1"/>
          <w:color w:val="auto"/>
        </w:rPr>
        <w:t>Revolving Credit Agreement</w:t>
      </w:r>
    </w:p>
    <w:p>
      <w:pPr>
        <w:spacing w:after="0" w:line="98" w:lineRule="exact"/>
        <w:rPr>
          <w:sz w:val="20"/>
          <w:szCs w:val="20"/>
          <w:color w:val="auto"/>
        </w:rPr>
      </w:pPr>
    </w:p>
    <w:p>
      <w:pPr>
        <w:jc w:val="both"/>
        <w:ind w:firstLine="500"/>
        <w:spacing w:after="0" w:line="310" w:lineRule="auto"/>
        <w:rPr>
          <w:sz w:val="20"/>
          <w:szCs w:val="20"/>
          <w:color w:val="auto"/>
        </w:rPr>
      </w:pPr>
      <w:r>
        <w:rPr>
          <w:rFonts w:ascii="Arial" w:cs="Arial" w:eastAsia="Arial" w:hAnsi="Arial"/>
          <w:sz w:val="13"/>
          <w:szCs w:val="13"/>
          <w:color w:val="auto"/>
        </w:rPr>
        <w:t>On October 26, 2018, Orion and its subsidiaries entered into a new secured revolving Business Financing Agreement with Western Alliance Bank, as lender (the “Credit Agreement”). On June 3, 2019, Orion and certain of its subsidiaries entered into an amendment (the “First Amendment”) to the Credit Agreement, which increased the maximum borrowing base credit available for certain of the customer receivables included in Orion’s borrowing base and provided for a borrowing base credit of up to $3.0 million based on inventory, in each case, subject to certain conditions. On August 2, 2019, Orion and certain of its subsidiaries entered into a second amendment (the “Second Amendment”) to the Credit Agreement, which established a rent reserve in an amount equal to three months’ rent payable at any leased location where Orion maintains inventory included in its borrowing base and provided for a reduction of the borrowing base credit that Orion may receive for inventory if Orion defaults under the lease for any such location. As of March 31, 2020, this rent reserve equaled $0.1 million. On November 21, 2019, Orion and certain of its subsidiaries entered into a third amendment (the “Third Amendment”) to the Credit Agreement, which extended the maturity date from October 26, 2020 to October 26, 2021; increased the sublimit under the Credit Agreement for advances under business credit cards from $1.5 million to $3 million; created a new $2 million sublimit permitting entry into foreign currency forward contracts with the lender; expanded the Company’s ability to make capital expenditures and incur other debt from time to time; and permitted the lender to amend the financial covenant included in the Credit Agreement (which requires the maintenance of a certain amount of unrestricted cash on deposit with the lender at the end of each month) upon receipt of the Company’s annual projections.</w:t>
      </w:r>
    </w:p>
    <w:p>
      <w:pPr>
        <w:spacing w:after="0" w:line="328" w:lineRule="exact"/>
        <w:rPr>
          <w:sz w:val="20"/>
          <w:szCs w:val="20"/>
          <w:color w:val="auto"/>
        </w:rPr>
      </w:pPr>
    </w:p>
    <w:p>
      <w:pPr>
        <w:jc w:val="both"/>
        <w:ind w:firstLine="500"/>
        <w:spacing w:after="0" w:line="329" w:lineRule="auto"/>
        <w:rPr>
          <w:sz w:val="20"/>
          <w:szCs w:val="20"/>
          <w:color w:val="auto"/>
        </w:rPr>
      </w:pPr>
      <w:r>
        <w:rPr>
          <w:rFonts w:ascii="Arial" w:cs="Arial" w:eastAsia="Arial" w:hAnsi="Arial"/>
          <w:sz w:val="13"/>
          <w:szCs w:val="13"/>
          <w:color w:val="auto"/>
        </w:rPr>
        <w:t>The Credit Agreement, as amended provides for a revolving credit facility (the “Credit Facility”) that matures on October 26, 2021. Borrowings under the Credit Facility are currently limited to $20.15 million, subject to a borrowing base requirement based on eligible receivables and inventory. The Credit Agreement includes a $2.0 million sublimit for the issuance of letters of credit. As of March 31, 2020, Orion’s borrowing base was $11.2 million, and Orion had $10.0 million in borrowings outstanding which were included in non-current liabilities in the accompanying Consolidated Balance Sheets. Orion had no outstanding letters of credit leaving total borrowing availability of $1.2 million.</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Credit Agreement is secured by a security interest in substantially all of Orion's and its subsidiaries’ personal property.</w:t>
      </w:r>
    </w:p>
    <w:p>
      <w:pPr>
        <w:spacing w:after="0" w:line="193" w:lineRule="exact"/>
        <w:rPr>
          <w:sz w:val="20"/>
          <w:szCs w:val="20"/>
          <w:color w:val="auto"/>
        </w:rPr>
      </w:pPr>
    </w:p>
    <w:p>
      <w:pPr>
        <w:jc w:val="both"/>
        <w:ind w:firstLine="500"/>
        <w:spacing w:after="0" w:line="250" w:lineRule="auto"/>
        <w:rPr>
          <w:sz w:val="20"/>
          <w:szCs w:val="20"/>
          <w:color w:val="auto"/>
        </w:rPr>
      </w:pPr>
      <w:r>
        <w:rPr>
          <w:rFonts w:ascii="Arial" w:cs="Arial" w:eastAsia="Arial" w:hAnsi="Arial"/>
          <w:sz w:val="16"/>
          <w:szCs w:val="16"/>
          <w:color w:val="auto"/>
        </w:rPr>
        <w:t>Borrowings under the Credit Agreement generally bear interest at floating rates based upon the prime rate (but not less than 5.00% per year) plus an applicable margin determined by reference to Orion’s quick ratio (defined as the aggregate amount of unrestricted cash, unrestricted marketable securities and, with certain adjustments, receivables convertible into cash divided by total current liabilities, including the obligations under the Credit Agreement). As of March 31, 2020, the applicable interest rate was 5.25%. Among other fees, Orion is required to pay an annual facility fee equal to 0.45% of the credit limit under the Credit Agreement, which was paid at commencement (October 26, 2018) and is due on each anniversary thereof.</w:t>
      </w:r>
    </w:p>
    <w:p>
      <w:pPr>
        <w:spacing w:after="0" w:line="171" w:lineRule="exact"/>
        <w:rPr>
          <w:sz w:val="20"/>
          <w:szCs w:val="20"/>
          <w:color w:val="auto"/>
        </w:rPr>
      </w:pPr>
    </w:p>
    <w:p>
      <w:pPr>
        <w:jc w:val="both"/>
        <w:ind w:right="20" w:firstLine="500"/>
        <w:spacing w:after="0" w:line="274" w:lineRule="auto"/>
        <w:rPr>
          <w:sz w:val="20"/>
          <w:szCs w:val="20"/>
          <w:color w:val="auto"/>
        </w:rPr>
      </w:pPr>
      <w:r>
        <w:rPr>
          <w:rFonts w:ascii="Arial" w:cs="Arial" w:eastAsia="Arial" w:hAnsi="Arial"/>
          <w:sz w:val="15"/>
          <w:szCs w:val="15"/>
          <w:color w:val="auto"/>
        </w:rPr>
        <w:t>The Credit Agreement requires Orion to maintain nine months’ of “RML” as of the end of each month. For purposes of the Credit Agreement, RML is defined as, as of the applicable determination date, unrestricted cash on deposit with the lender plus availability under the Credit Agreement divided by an amount equal to, for the applicable trailing three-month period, consolidated net profit before tax, plus depreciation expense, amortization expense and stock-based compensation, minus capital lease principal payments, tested as of the end of each month. As of March 31, 2020, Orion was in compliance with this RML requirement.</w:t>
      </w:r>
    </w:p>
    <w:p>
      <w:pPr>
        <w:spacing w:after="0" w:line="154" w:lineRule="exact"/>
        <w:rPr>
          <w:sz w:val="20"/>
          <w:szCs w:val="20"/>
          <w:color w:val="auto"/>
        </w:rPr>
      </w:pPr>
    </w:p>
    <w:p>
      <w:pPr>
        <w:jc w:val="both"/>
        <w:ind w:firstLine="500"/>
        <w:spacing w:after="0" w:line="322" w:lineRule="auto"/>
        <w:rPr>
          <w:sz w:val="20"/>
          <w:szCs w:val="20"/>
          <w:color w:val="auto"/>
        </w:rPr>
      </w:pPr>
      <w:r>
        <w:rPr>
          <w:rFonts w:ascii="Arial" w:cs="Arial" w:eastAsia="Arial" w:hAnsi="Arial"/>
          <w:sz w:val="13"/>
          <w:szCs w:val="13"/>
          <w:color w:val="auto"/>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March 31, 2020, Orion is in compliance with all debt covenants.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i w:val="1"/>
          <w:iCs w:val="1"/>
          <w:color w:val="auto"/>
        </w:rPr>
        <w:t>Equipment Debt Obligation</w:t>
      </w:r>
    </w:p>
    <w:p>
      <w:pPr>
        <w:spacing w:after="0" w:line="98" w:lineRule="exact"/>
        <w:rPr>
          <w:sz w:val="20"/>
          <w:szCs w:val="20"/>
          <w:color w:val="auto"/>
        </w:rPr>
      </w:pPr>
    </w:p>
    <w:p>
      <w:pPr>
        <w:jc w:val="both"/>
        <w:ind w:right="40" w:firstLine="500"/>
        <w:spacing w:after="0" w:line="266" w:lineRule="auto"/>
        <w:rPr>
          <w:sz w:val="20"/>
          <w:szCs w:val="20"/>
          <w:color w:val="auto"/>
        </w:rPr>
      </w:pPr>
      <w:r>
        <w:rPr>
          <w:rFonts w:ascii="Arial" w:cs="Arial" w:eastAsia="Arial" w:hAnsi="Arial"/>
          <w:sz w:val="16"/>
          <w:szCs w:val="16"/>
          <w:color w:val="auto"/>
        </w:rPr>
        <w:t>In June 2015, Orion entered into an agreement with a financing company in the principal amount of $0.4 million to fund the purchase of certain equipment. The debt is secured by the related equipment. The debt bears interest at a rate of 5.94% and matures in June 2020.</w:t>
      </w:r>
    </w:p>
    <w:p>
      <w:pPr>
        <w:spacing w:after="0" w:line="157" w:lineRule="exact"/>
        <w:rPr>
          <w:sz w:val="20"/>
          <w:szCs w:val="20"/>
          <w:color w:val="auto"/>
        </w:rPr>
      </w:pPr>
    </w:p>
    <w:p>
      <w:pPr>
        <w:jc w:val="both"/>
        <w:ind w:right="20" w:firstLine="500"/>
        <w:spacing w:after="0" w:line="299" w:lineRule="auto"/>
        <w:rPr>
          <w:sz w:val="20"/>
          <w:szCs w:val="20"/>
          <w:color w:val="auto"/>
        </w:rPr>
      </w:pPr>
      <w:r>
        <w:rPr>
          <w:rFonts w:ascii="Arial" w:cs="Arial" w:eastAsia="Arial" w:hAnsi="Arial"/>
          <w:sz w:val="15"/>
          <w:szCs w:val="15"/>
          <w:color w:val="auto"/>
        </w:rPr>
        <w:t>In February 2019, Orion entered into additional debt agreements with a financing company in the principal amount of $44 thousand and $30 thousand fund certain equipment. The debts are secured by the related equipment. The debts bear interest at a rate of 6.43% and 8.77% respectively and both debts mature in January 2024.</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Equipment Finance Notes Payable</w:t>
      </w:r>
    </w:p>
    <w:p>
      <w:pPr>
        <w:spacing w:after="0" w:line="98" w:lineRule="exact"/>
        <w:rPr>
          <w:sz w:val="20"/>
          <w:szCs w:val="20"/>
          <w:color w:val="auto"/>
        </w:rPr>
      </w:pPr>
    </w:p>
    <w:p>
      <w:pPr>
        <w:jc w:val="both"/>
        <w:ind w:right="20" w:firstLine="500"/>
        <w:spacing w:after="0" w:line="252" w:lineRule="auto"/>
        <w:rPr>
          <w:sz w:val="20"/>
          <w:szCs w:val="20"/>
          <w:color w:val="auto"/>
        </w:rPr>
      </w:pPr>
      <w:r>
        <w:rPr>
          <w:rFonts w:ascii="Arial" w:cs="Arial" w:eastAsia="Arial" w:hAnsi="Arial"/>
          <w:sz w:val="16"/>
          <w:szCs w:val="16"/>
          <w:color w:val="auto"/>
        </w:rPr>
        <w:t>In December 2014, Orion entered into a secured borrowing agreement with a financing company in the principal amount of $0.4 million to fund completed customer contracts under its OTA finance program that were previously funded under a different OTA credit agreement. The loan amount was secured by the OTA-related equipment and the expected future monthly payments under the supporting 25 individual OTA customer contracts. The borrowing agreement bore interest at a rate of 8.36% and matured in April 2018.</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Aggregate Maturities</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March 31, 2020, aggregate maturities of long-term debt were as follows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Fiscal 2021</w:t>
            </w:r>
          </w:p>
        </w:tc>
        <w:tc>
          <w:tcPr>
            <w:tcW w:w="2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7"/>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Fiscal 2022</w:t>
            </w:r>
          </w:p>
        </w:tc>
        <w:tc>
          <w:tcPr>
            <w:tcW w:w="2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64"/>
              <w:spacing w:after="0"/>
              <w:rPr>
                <w:sz w:val="20"/>
                <w:szCs w:val="20"/>
                <w:color w:val="auto"/>
              </w:rPr>
            </w:pPr>
            <w:r>
              <w:rPr>
                <w:rFonts w:ascii="Arial" w:cs="Arial" w:eastAsia="Arial" w:hAnsi="Arial"/>
                <w:sz w:val="16"/>
                <w:szCs w:val="16"/>
                <w:color w:val="auto"/>
              </w:rPr>
              <w:t>10,027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Fiscal 2023</w:t>
            </w:r>
          </w:p>
        </w:tc>
        <w:tc>
          <w:tcPr>
            <w:tcW w:w="2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Fiscal 2024</w:t>
            </w:r>
          </w:p>
        </w:tc>
        <w:tc>
          <w:tcPr>
            <w:tcW w:w="2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64"/>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Fiscal 2025</w:t>
            </w:r>
          </w:p>
        </w:tc>
        <w:tc>
          <w:tcPr>
            <w:tcW w:w="2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10,098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6"/>
                <w:szCs w:val="16"/>
                <w:b w:val="1"/>
                <w:bCs w:val="1"/>
                <w:color w:val="auto"/>
              </w:rPr>
              <w:t>NOTE 14 — INCOME TAXES</w:t>
            </w:r>
          </w:p>
        </w:tc>
        <w:tc>
          <w:tcPr>
            <w:tcW w:w="2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3820" w:type="dxa"/>
            <w:vAlign w:val="bottom"/>
            <w:vMerge w:val="continue"/>
          </w:tcPr>
          <w:p>
            <w:pPr>
              <w:spacing w:after="0"/>
              <w:rPr>
                <w:sz w:val="24"/>
                <w:szCs w:val="24"/>
                <w:color w:val="auto"/>
              </w:rPr>
            </w:pPr>
          </w:p>
        </w:tc>
        <w:tc>
          <w:tcPr>
            <w:tcW w:w="2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080" w:type="dxa"/>
            <w:vAlign w:val="bottom"/>
            <w:gridSpan w:val="4"/>
          </w:tcPr>
          <w:p>
            <w:pPr>
              <w:ind w:left="500"/>
              <w:spacing w:after="0"/>
              <w:rPr>
                <w:sz w:val="20"/>
                <w:szCs w:val="20"/>
                <w:color w:val="auto"/>
              </w:rPr>
            </w:pPr>
            <w:r>
              <w:rPr>
                <w:rFonts w:ascii="Arial" w:cs="Arial" w:eastAsia="Arial" w:hAnsi="Arial"/>
                <w:sz w:val="16"/>
                <w:szCs w:val="16"/>
                <w:color w:val="auto"/>
                <w:w w:val="90"/>
              </w:rPr>
              <w:t>The total provision (benefit) for income taxes consists of the following for the fiscal years ended (dollars in thousands):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88"/>
              </w:rPr>
              <w:t>Fiscal Year Ended March 31,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20" w:type="dxa"/>
            <w:vAlign w:val="bottom"/>
            <w:tcBorders>
              <w:bottom w:val="single" w:sz="8" w:color="CFF0FC"/>
            </w:tcBorders>
          </w:tcPr>
          <w:p>
            <w:pPr>
              <w:spacing w:after="0"/>
              <w:rPr>
                <w:sz w:val="11"/>
                <w:szCs w:val="11"/>
                <w:color w:val="auto"/>
              </w:rPr>
            </w:pPr>
          </w:p>
        </w:tc>
        <w:tc>
          <w:tcPr>
            <w:tcW w:w="284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6"/>
              <w:spacing w:after="0" w:line="133"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89"/>
              </w:rPr>
              <w:t>2019</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4"/>
              <w:spacing w:after="0" w:line="133" w:lineRule="exact"/>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Current</w:t>
            </w:r>
          </w:p>
        </w:tc>
        <w:tc>
          <w:tcPr>
            <w:tcW w:w="28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84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w:t>
            </w:r>
          </w:p>
        </w:tc>
        <w:tc>
          <w:tcPr>
            <w:tcW w:w="28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75</w:t>
            </w: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28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color w:val="auto"/>
              </w:rPr>
              <w:t>159</w:t>
            </w: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820" w:type="dxa"/>
            <w:vAlign w:val="bottom"/>
            <w:tcBorders>
              <w:bottom w:val="single" w:sz="8" w:color="CFF0FC"/>
            </w:tcBorders>
          </w:tcPr>
          <w:p>
            <w:pPr>
              <w:spacing w:after="0"/>
              <w:rPr>
                <w:sz w:val="24"/>
                <w:szCs w:val="24"/>
                <w:color w:val="auto"/>
              </w:rPr>
            </w:pPr>
          </w:p>
        </w:tc>
        <w:tc>
          <w:tcPr>
            <w:tcW w:w="28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Federal</w:t>
            </w:r>
          </w:p>
        </w:tc>
        <w:tc>
          <w:tcPr>
            <w:tcW w:w="28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56</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47"/>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State</w:t>
            </w:r>
          </w:p>
        </w:tc>
        <w:tc>
          <w:tcPr>
            <w:tcW w:w="28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103</w:t>
            </w: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28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color w:val="auto"/>
              </w:rPr>
              <w:t>159</w:t>
            </w: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840" w:type="dxa"/>
            <w:vAlign w:val="bottom"/>
            <w:vMerge w:val="restart"/>
          </w:tcPr>
          <w:p>
            <w:pPr>
              <w:jc w:val="right"/>
              <w:ind w:right="882"/>
              <w:spacing w:after="0"/>
              <w:rPr>
                <w:sz w:val="20"/>
                <w:szCs w:val="20"/>
                <w:color w:val="auto"/>
              </w:rPr>
            </w:pPr>
            <w:r>
              <w:rPr>
                <w:rFonts w:ascii="Arial" w:cs="Arial" w:eastAsia="Arial" w:hAnsi="Arial"/>
                <w:sz w:val="16"/>
                <w:szCs w:val="16"/>
                <w:color w:val="auto"/>
              </w:rPr>
              <w:t>77</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38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382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-6985</wp:posOffset>
            </wp:positionV>
            <wp:extent cx="762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598" w:right="299" w:bottom="1440" w:gutter="0" w:footer="0" w:header="0"/>
        </w:sectPr>
      </w:pPr>
    </w:p>
    <w:bookmarkStart w:id="76" w:name="page77"/>
    <w:bookmarkEnd w:id="76"/>
    <w:p>
      <w:pPr>
        <w:ind w:left="500"/>
        <w:spacing w:after="0"/>
        <w:rPr>
          <w:sz w:val="20"/>
          <w:szCs w:val="20"/>
          <w:color w:val="auto"/>
        </w:rPr>
      </w:pPr>
      <w:r>
        <w:rPr>
          <w:rFonts w:ascii="Arial" w:cs="Arial" w:eastAsia="Arial" w:hAnsi="Arial"/>
          <w:sz w:val="16"/>
          <w:szCs w:val="16"/>
          <w:color w:val="auto"/>
        </w:rPr>
        <w:t>A reconciliation of the statutory federal income tax rate and effective income tax rate is as follows:</w:t>
      </w:r>
    </w:p>
    <w:p>
      <w:pPr>
        <w:spacing w:after="0" w:line="279" w:lineRule="exact"/>
        <w:rPr>
          <w:sz w:val="20"/>
          <w:szCs w:val="20"/>
          <w:color w:val="auto"/>
        </w:rPr>
      </w:pPr>
    </w:p>
    <w:p>
      <w:pPr>
        <w:ind w:left="7960"/>
        <w:spacing w:after="0"/>
        <w:rPr>
          <w:sz w:val="20"/>
          <w:szCs w:val="20"/>
          <w:color w:val="auto"/>
        </w:rPr>
      </w:pPr>
      <w:r>
        <w:rPr>
          <w:rFonts w:ascii="Arial" w:cs="Arial" w:eastAsia="Arial" w:hAnsi="Arial"/>
          <w:sz w:val="13"/>
          <w:szCs w:val="13"/>
          <w:b w:val="1"/>
          <w:bCs w:val="1"/>
          <w:color w:val="auto"/>
        </w:rPr>
        <w:t>Fiscal Year Ended March 31,</w:t>
      </w:r>
    </w:p>
    <w:tbl>
      <w:tblPr>
        <w:tblLayout w:type="fixed"/>
        <w:tblInd w:w="0" w:type="dxa"/>
        <w:tblCellMar>
          <w:top w:w="0" w:type="dxa"/>
          <w:left w:w="0" w:type="dxa"/>
          <w:bottom w:w="0" w:type="dxa"/>
          <w:right w:w="0" w:type="dxa"/>
        </w:tblCellMar>
      </w:tblPr>
      <w:tr>
        <w:trPr>
          <w:trHeight w:val="133"/>
        </w:trPr>
        <w:tc>
          <w:tcPr>
            <w:tcW w:w="6420" w:type="dxa"/>
            <w:vAlign w:val="bottom"/>
          </w:tcPr>
          <w:p>
            <w:pPr>
              <w:spacing w:after="0"/>
              <w:rPr>
                <w:sz w:val="11"/>
                <w:szCs w:val="11"/>
                <w:color w:val="auto"/>
              </w:rPr>
            </w:pPr>
          </w:p>
        </w:tc>
        <w:tc>
          <w:tcPr>
            <w:tcW w:w="880" w:type="dxa"/>
            <w:vAlign w:val="bottom"/>
            <w:tcBorders>
              <w:top w:val="single" w:sz="8" w:color="auto"/>
            </w:tcBorders>
          </w:tcPr>
          <w:p>
            <w:pPr>
              <w:jc w:val="right"/>
              <w:ind w:right="37"/>
              <w:spacing w:after="0" w:line="133" w:lineRule="exact"/>
              <w:rPr>
                <w:sz w:val="20"/>
                <w:szCs w:val="20"/>
                <w:color w:val="auto"/>
              </w:rPr>
            </w:pPr>
            <w:r>
              <w:rPr>
                <w:rFonts w:ascii="Arial" w:cs="Arial" w:eastAsia="Arial" w:hAnsi="Arial"/>
                <w:sz w:val="13"/>
                <w:szCs w:val="13"/>
                <w:b w:val="1"/>
                <w:bCs w:val="1"/>
                <w:color w:val="auto"/>
              </w:rPr>
              <w:t>2020</w:t>
            </w:r>
          </w:p>
        </w:tc>
        <w:tc>
          <w:tcPr>
            <w:tcW w:w="1660" w:type="dxa"/>
            <w:vAlign w:val="bottom"/>
            <w:tcBorders>
              <w:top w:val="single" w:sz="8" w:color="auto"/>
            </w:tcBorders>
            <w:gridSpan w:val="3"/>
          </w:tcPr>
          <w:p>
            <w:pPr>
              <w:jc w:val="right"/>
              <w:ind w:right="100"/>
              <w:spacing w:after="0" w:line="133" w:lineRule="exact"/>
              <w:rPr>
                <w:sz w:val="20"/>
                <w:szCs w:val="20"/>
                <w:color w:val="auto"/>
              </w:rPr>
            </w:pPr>
            <w:r>
              <w:rPr>
                <w:rFonts w:ascii="Arial" w:cs="Arial" w:eastAsia="Arial" w:hAnsi="Arial"/>
                <w:sz w:val="13"/>
                <w:szCs w:val="13"/>
                <w:b w:val="1"/>
                <w:bCs w:val="1"/>
                <w:color w:val="auto"/>
              </w:rPr>
              <w:t>2019</w:t>
            </w: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ind w:right="663"/>
              <w:spacing w:after="0" w:line="133" w:lineRule="exact"/>
              <w:rPr>
                <w:sz w:val="20"/>
                <w:szCs w:val="20"/>
                <w:color w:val="auto"/>
              </w:rPr>
            </w:pPr>
            <w:r>
              <w:rPr>
                <w:rFonts w:ascii="Arial" w:cs="Arial" w:eastAsia="Arial" w:hAnsi="Arial"/>
                <w:sz w:val="13"/>
                <w:szCs w:val="13"/>
                <w:b w:val="1"/>
                <w:bCs w:val="1"/>
                <w:color w:val="auto"/>
              </w:rPr>
              <w:t>2018</w:t>
            </w:r>
          </w:p>
        </w:tc>
      </w:tr>
      <w:tr>
        <w:trPr>
          <w:trHeight w:val="192"/>
        </w:trPr>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Statutory federal tax rate</w:t>
            </w:r>
          </w:p>
        </w:tc>
        <w:tc>
          <w:tcPr>
            <w:tcW w:w="88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21.0%</w:t>
            </w:r>
          </w:p>
        </w:tc>
        <w:tc>
          <w:tcPr>
            <w:tcW w:w="140" w:type="dxa"/>
            <w:vAlign w:val="bottom"/>
            <w:tcBorders>
              <w:top w:val="single" w:sz="8" w:color="CFF0FC"/>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21.0%</w:t>
            </w:r>
          </w:p>
        </w:tc>
        <w:tc>
          <w:tcPr>
            <w:tcW w:w="140" w:type="dxa"/>
            <w:vAlign w:val="bottom"/>
            <w:tcBorders>
              <w:top w:val="single" w:sz="8" w:color="CFF0FC"/>
            </w:tcBorders>
            <w:shd w:val="clear" w:color="auto" w:fill="CFF0FC"/>
          </w:tcPr>
          <w:p>
            <w:pPr>
              <w:spacing w:after="0"/>
              <w:rPr>
                <w:sz w:val="16"/>
                <w:szCs w:val="16"/>
                <w:color w:val="auto"/>
              </w:rPr>
            </w:pPr>
          </w:p>
        </w:tc>
        <w:tc>
          <w:tcPr>
            <w:tcW w:w="152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30.8%</w:t>
            </w:r>
          </w:p>
        </w:tc>
      </w:tr>
      <w:tr>
        <w:trPr>
          <w:trHeight w:val="200"/>
        </w:trPr>
        <w:tc>
          <w:tcPr>
            <w:tcW w:w="7300" w:type="dxa"/>
            <w:vAlign w:val="bottom"/>
            <w:gridSpan w:val="2"/>
          </w:tcPr>
          <w:p>
            <w:pPr>
              <w:spacing w:after="0"/>
              <w:rPr>
                <w:sz w:val="20"/>
                <w:szCs w:val="20"/>
                <w:color w:val="auto"/>
              </w:rPr>
            </w:pPr>
            <w:r>
              <w:rPr>
                <w:rFonts w:ascii="Arial" w:cs="Arial" w:eastAsia="Arial" w:hAnsi="Arial"/>
                <w:sz w:val="16"/>
                <w:szCs w:val="16"/>
                <w:color w:val="auto"/>
              </w:rPr>
              <w:t>State taxes, net</w:t>
            </w:r>
          </w:p>
        </w:tc>
        <w:tc>
          <w:tcPr>
            <w:tcW w:w="640" w:type="dxa"/>
            <w:vAlign w:val="bottom"/>
          </w:tcPr>
          <w:p>
            <w:pPr>
              <w:jc w:val="right"/>
              <w:ind w:right="3"/>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7"/>
                <w:szCs w:val="17"/>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2.2%</w:t>
            </w:r>
          </w:p>
        </w:tc>
      </w:tr>
      <w:tr>
        <w:trPr>
          <w:trHeight w:val="200"/>
        </w:trPr>
        <w:tc>
          <w:tcPr>
            <w:tcW w:w="7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Federal tax credit</w:t>
            </w:r>
          </w:p>
        </w:tc>
        <w:tc>
          <w:tcPr>
            <w:tcW w:w="1660" w:type="dxa"/>
            <w:vAlign w:val="bottom"/>
            <w:gridSpan w:val="3"/>
            <w:shd w:val="clear" w:color="auto" w:fill="CFF0FC"/>
          </w:tcPr>
          <w:p>
            <w:pPr>
              <w:jc w:val="right"/>
              <w:ind w:right="1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00"/>
        </w:trPr>
        <w:tc>
          <w:tcPr>
            <w:tcW w:w="7300" w:type="dxa"/>
            <w:vAlign w:val="bottom"/>
            <w:gridSpan w:val="2"/>
          </w:tcPr>
          <w:p>
            <w:pPr>
              <w:spacing w:after="0"/>
              <w:rPr>
                <w:sz w:val="20"/>
                <w:szCs w:val="20"/>
                <w:color w:val="auto"/>
              </w:rPr>
            </w:pPr>
            <w:r>
              <w:rPr>
                <w:rFonts w:ascii="Arial" w:cs="Arial" w:eastAsia="Arial" w:hAnsi="Arial"/>
                <w:sz w:val="16"/>
                <w:szCs w:val="16"/>
                <w:color w:val="auto"/>
              </w:rPr>
              <w:t>Change in valuation reserve</w:t>
            </w:r>
          </w:p>
        </w:tc>
        <w:tc>
          <w:tcPr>
            <w:tcW w:w="640" w:type="dxa"/>
            <w:vAlign w:val="bottom"/>
          </w:tcPr>
          <w:p>
            <w:pPr>
              <w:jc w:val="right"/>
              <w:spacing w:after="0"/>
              <w:rPr>
                <w:sz w:val="20"/>
                <w:szCs w:val="20"/>
                <w:color w:val="auto"/>
              </w:rPr>
            </w:pPr>
            <w:r>
              <w:rPr>
                <w:rFonts w:ascii="Arial" w:cs="Arial" w:eastAsia="Arial" w:hAnsi="Arial"/>
                <w:sz w:val="16"/>
                <w:szCs w:val="16"/>
                <w:color w:val="auto"/>
              </w:rPr>
              <w:t>(25.0)%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(23.8)%</w:t>
            </w:r>
          </w:p>
        </w:tc>
        <w:tc>
          <w:tcPr>
            <w:tcW w:w="140" w:type="dxa"/>
            <w:vAlign w:val="bottom"/>
          </w:tcPr>
          <w:p>
            <w:pPr>
              <w:spacing w:after="0"/>
              <w:rPr>
                <w:sz w:val="17"/>
                <w:szCs w:val="17"/>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51.4%</w:t>
            </w:r>
          </w:p>
        </w:tc>
      </w:tr>
      <w:tr>
        <w:trPr>
          <w:trHeight w:val="200"/>
        </w:trPr>
        <w:tc>
          <w:tcPr>
            <w:tcW w:w="7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Permanent items</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r>
      <w:tr>
        <w:trPr>
          <w:trHeight w:val="200"/>
        </w:trPr>
        <w:tc>
          <w:tcPr>
            <w:tcW w:w="7300" w:type="dxa"/>
            <w:vAlign w:val="bottom"/>
            <w:gridSpan w:val="2"/>
          </w:tcPr>
          <w:p>
            <w:pPr>
              <w:spacing w:after="0"/>
              <w:rPr>
                <w:sz w:val="20"/>
                <w:szCs w:val="20"/>
                <w:color w:val="auto"/>
              </w:rPr>
            </w:pPr>
            <w:r>
              <w:rPr>
                <w:rFonts w:ascii="Arial" w:cs="Arial" w:eastAsia="Arial" w:hAnsi="Arial"/>
                <w:sz w:val="16"/>
                <w:szCs w:val="16"/>
                <w:color w:val="auto"/>
              </w:rPr>
              <w:t>Change in tax contingency reserve</w:t>
            </w:r>
          </w:p>
        </w:tc>
        <w:tc>
          <w:tcPr>
            <w:tcW w:w="640" w:type="dxa"/>
            <w:vAlign w:val="bottom"/>
          </w:tcPr>
          <w:p>
            <w:pPr>
              <w:jc w:val="right"/>
              <w:ind w:right="3"/>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00"/>
        </w:trPr>
        <w:tc>
          <w:tcPr>
            <w:tcW w:w="7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Federal refunds</w:t>
            </w:r>
          </w:p>
        </w:tc>
        <w:tc>
          <w:tcPr>
            <w:tcW w:w="64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0.0%</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0.3%</w:t>
            </w:r>
          </w:p>
        </w:tc>
      </w:tr>
      <w:tr>
        <w:trPr>
          <w:trHeight w:val="200"/>
        </w:trPr>
        <w:tc>
          <w:tcPr>
            <w:tcW w:w="7300" w:type="dxa"/>
            <w:vAlign w:val="bottom"/>
            <w:gridSpan w:val="2"/>
          </w:tcPr>
          <w:p>
            <w:pPr>
              <w:spacing w:after="0"/>
              <w:rPr>
                <w:sz w:val="20"/>
                <w:szCs w:val="20"/>
                <w:color w:val="auto"/>
              </w:rPr>
            </w:pPr>
            <w:r>
              <w:rPr>
                <w:rFonts w:ascii="Arial" w:cs="Arial" w:eastAsia="Arial" w:hAnsi="Arial"/>
                <w:sz w:val="16"/>
                <w:szCs w:val="16"/>
                <w:color w:val="auto"/>
              </w:rPr>
              <w:t>U.S. tax reform, corporate rate reduction</w:t>
            </w:r>
          </w:p>
        </w:tc>
        <w:tc>
          <w:tcPr>
            <w:tcW w:w="1660" w:type="dxa"/>
            <w:vAlign w:val="bottom"/>
            <w:gridSpan w:val="3"/>
          </w:tcPr>
          <w:p>
            <w:pPr>
              <w:jc w:val="right"/>
              <w:ind w:right="1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(75.2)%</w:t>
            </w:r>
          </w:p>
        </w:tc>
      </w:tr>
      <w:tr>
        <w:trPr>
          <w:trHeight w:val="200"/>
        </w:trPr>
        <w:tc>
          <w:tcPr>
            <w:tcW w:w="7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Equity compensation cancellations</w:t>
            </w:r>
          </w:p>
        </w:tc>
        <w:tc>
          <w:tcPr>
            <w:tcW w:w="64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w:t>
            </w:r>
          </w:p>
        </w:tc>
      </w:tr>
      <w:tr>
        <w:trPr>
          <w:trHeight w:val="200"/>
        </w:trPr>
        <w:tc>
          <w:tcPr>
            <w:tcW w:w="7300" w:type="dxa"/>
            <w:vAlign w:val="bottom"/>
            <w:gridSpan w:val="2"/>
          </w:tcPr>
          <w:p>
            <w:pPr>
              <w:spacing w:after="0"/>
              <w:rPr>
                <w:sz w:val="20"/>
                <w:szCs w:val="20"/>
                <w:color w:val="auto"/>
              </w:rPr>
            </w:pPr>
            <w:r>
              <w:rPr>
                <w:rFonts w:ascii="Arial" w:cs="Arial" w:eastAsia="Arial" w:hAnsi="Arial"/>
                <w:sz w:val="16"/>
                <w:szCs w:val="16"/>
                <w:color w:val="auto"/>
              </w:rPr>
              <w:t>Federal loss, ASU 2016-09</w:t>
            </w:r>
          </w:p>
        </w:tc>
        <w:tc>
          <w:tcPr>
            <w:tcW w:w="1660" w:type="dxa"/>
            <w:vAlign w:val="bottom"/>
            <w:gridSpan w:val="3"/>
          </w:tcPr>
          <w:p>
            <w:pPr>
              <w:jc w:val="right"/>
              <w:ind w:right="1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7.7%</w:t>
            </w:r>
          </w:p>
        </w:tc>
      </w:tr>
      <w:tr>
        <w:trPr>
          <w:trHeight w:val="200"/>
        </w:trPr>
        <w:tc>
          <w:tcPr>
            <w:tcW w:w="7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net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0.4%</w:t>
            </w:r>
          </w:p>
        </w:tc>
      </w:tr>
      <w:tr>
        <w:trPr>
          <w:trHeight w:val="192"/>
        </w:trPr>
        <w:tc>
          <w:tcPr>
            <w:tcW w:w="6420" w:type="dxa"/>
            <w:vAlign w:val="bottom"/>
          </w:tcPr>
          <w:p>
            <w:pPr>
              <w:spacing w:after="0"/>
              <w:rPr>
                <w:sz w:val="20"/>
                <w:szCs w:val="20"/>
                <w:color w:val="auto"/>
              </w:rPr>
            </w:pPr>
            <w:r>
              <w:rPr>
                <w:rFonts w:ascii="Arial" w:cs="Arial" w:eastAsia="Arial" w:hAnsi="Arial"/>
                <w:sz w:val="16"/>
                <w:szCs w:val="16"/>
                <w:color w:val="auto"/>
              </w:rPr>
              <w:t>Effective income tax rate</w:t>
            </w:r>
          </w:p>
        </w:tc>
        <w:tc>
          <w:tcPr>
            <w:tcW w:w="8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0.1%</w:t>
            </w:r>
          </w:p>
        </w:tc>
      </w:tr>
      <w:tr>
        <w:trPr>
          <w:trHeight w:val="20"/>
        </w:trPr>
        <w:tc>
          <w:tcPr>
            <w:tcW w:w="6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The net deferred tax assets and liabilities reported in the accompanying consolidated financial statements include the following components (dollars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3"/>
                <w:szCs w:val="13"/>
                <w:b w:val="1"/>
                <w:bCs w:val="1"/>
                <w:color w:val="auto"/>
              </w:rPr>
              <w:t>March 31,</w:t>
            </w:r>
          </w:p>
        </w:tc>
        <w:tc>
          <w:tcPr>
            <w:tcW w:w="1280" w:type="dxa"/>
            <w:vAlign w:val="bottom"/>
            <w:tcBorders>
              <w:bottom w:val="single" w:sz="8" w:color="auto"/>
            </w:tcBorders>
          </w:tcPr>
          <w:p>
            <w:pPr>
              <w:spacing w:after="0"/>
              <w:rPr>
                <w:sz w:val="13"/>
                <w:szCs w:val="13"/>
                <w:color w:val="auto"/>
              </w:rPr>
            </w:pPr>
          </w:p>
        </w:tc>
      </w:tr>
      <w:tr>
        <w:trPr>
          <w:trHeight w:val="133"/>
        </w:trPr>
        <w:tc>
          <w:tcPr>
            <w:tcW w:w="7740" w:type="dxa"/>
            <w:vAlign w:val="bottom"/>
            <w:tcBorders>
              <w:bottom w:val="single" w:sz="8" w:color="CFF0FC"/>
            </w:tcBorders>
          </w:tcPr>
          <w:p>
            <w:pPr>
              <w:spacing w:after="0"/>
              <w:rPr>
                <w:sz w:val="11"/>
                <w:szCs w:val="11"/>
                <w:color w:val="auto"/>
              </w:rPr>
            </w:pPr>
          </w:p>
        </w:tc>
        <w:tc>
          <w:tcPr>
            <w:tcW w:w="980" w:type="dxa"/>
            <w:vAlign w:val="bottom"/>
            <w:tcBorders>
              <w:bottom w:val="single" w:sz="8" w:color="auto"/>
            </w:tcBorders>
          </w:tcPr>
          <w:p>
            <w:pPr>
              <w:jc w:val="right"/>
              <w:ind w:right="12"/>
              <w:spacing w:after="0" w:line="133" w:lineRule="exact"/>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703"/>
              <w:spacing w:after="0" w:line="133" w:lineRule="exact"/>
              <w:rPr>
                <w:sz w:val="20"/>
                <w:szCs w:val="20"/>
                <w:color w:val="auto"/>
              </w:rPr>
            </w:pPr>
            <w:r>
              <w:rPr>
                <w:rFonts w:ascii="Arial" w:cs="Arial" w:eastAsia="Arial" w:hAnsi="Arial"/>
                <w:sz w:val="13"/>
                <w:szCs w:val="13"/>
                <w:b w:val="1"/>
                <w:bCs w:val="1"/>
                <w:color w:val="auto"/>
              </w:rPr>
              <w:t>2019</w:t>
            </w:r>
          </w:p>
        </w:tc>
      </w:tr>
      <w:tr>
        <w:trPr>
          <w:trHeight w:val="192"/>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Inventory, accruals and reserves</w:t>
            </w:r>
          </w:p>
        </w:tc>
        <w:tc>
          <w:tcPr>
            <w:tcW w:w="9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1,046</w:t>
            </w: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1,118</w:t>
            </w: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Interest deduction carry-forward</w:t>
            </w:r>
          </w:p>
        </w:tc>
        <w:tc>
          <w:tcPr>
            <w:tcW w:w="98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127</w:t>
            </w:r>
          </w:p>
        </w:tc>
      </w:tr>
      <w:tr>
        <w:trPr>
          <w:trHeight w:val="20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Federal and state operating loss carry-forwards</w:t>
            </w: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19,540</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22,909</w:t>
            </w: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Tax credit carry-forwards</w:t>
            </w:r>
          </w:p>
        </w:tc>
        <w:tc>
          <w:tcPr>
            <w:tcW w:w="98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1,916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1,921</w:t>
            </w:r>
          </w:p>
        </w:tc>
      </w:tr>
      <w:tr>
        <w:trPr>
          <w:trHeight w:val="20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Equity compensation</w:t>
            </w: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250</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288</w:t>
            </w: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0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Lease liability</w:t>
            </w: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903</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Lease ROU asset</w:t>
            </w: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(704)</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0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Fixed assets</w:t>
            </w: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w:t>
            </w: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Intangible assets</w:t>
            </w: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(248)</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0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121</w:t>
            </w:r>
          </w:p>
        </w:tc>
        <w:tc>
          <w:tcPr>
            <w:tcW w:w="1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194</w:t>
            </w:r>
          </w:p>
        </w:tc>
      </w:tr>
      <w:tr>
        <w:trPr>
          <w:trHeight w:val="232"/>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Valuation allowance</w:t>
            </w:r>
          </w:p>
        </w:tc>
        <w:tc>
          <w:tcPr>
            <w:tcW w:w="9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(22,228)</w:t>
            </w:r>
          </w:p>
        </w:tc>
        <w:tc>
          <w:tcPr>
            <w:tcW w:w="18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(25,386)</w:t>
            </w:r>
          </w:p>
        </w:tc>
      </w:tr>
      <w:tr>
        <w:trPr>
          <w:trHeight w:val="175"/>
        </w:trPr>
        <w:tc>
          <w:tcPr>
            <w:tcW w:w="7740" w:type="dxa"/>
            <w:vAlign w:val="bottom"/>
            <w:tcBorders>
              <w:bottom w:val="single" w:sz="8" w:color="CFF0FC"/>
            </w:tcBorders>
            <w:shd w:val="clear" w:color="auto" w:fill="CFF0FC"/>
          </w:tcPr>
          <w:p>
            <w:pPr>
              <w:ind w:left="200"/>
              <w:spacing w:after="0" w:line="175" w:lineRule="exact"/>
              <w:rPr>
                <w:sz w:val="20"/>
                <w:szCs w:val="20"/>
                <w:color w:val="auto"/>
              </w:rPr>
            </w:pPr>
            <w:r>
              <w:rPr>
                <w:rFonts w:ascii="Arial" w:cs="Arial" w:eastAsia="Arial" w:hAnsi="Arial"/>
                <w:sz w:val="16"/>
                <w:szCs w:val="16"/>
                <w:color w:val="auto"/>
              </w:rPr>
              <w:t>Total net deferred tax liabilities</w:t>
            </w:r>
          </w:p>
        </w:tc>
        <w:tc>
          <w:tcPr>
            <w:tcW w:w="980" w:type="dxa"/>
            <w:vAlign w:val="bottom"/>
            <w:tcBorders>
              <w:bottom w:val="single" w:sz="8" w:color="auto"/>
            </w:tcBorders>
            <w:shd w:val="clear" w:color="auto" w:fill="CFF0FC"/>
          </w:tcPr>
          <w:p>
            <w:pPr>
              <w:jc w:val="right"/>
              <w:ind w:right="832"/>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line="175" w:lineRule="exact"/>
              <w:rPr>
                <w:sz w:val="20"/>
                <w:szCs w:val="20"/>
                <w:color w:val="auto"/>
              </w:rPr>
            </w:pPr>
            <w:r>
              <w:rPr>
                <w:rFonts w:ascii="Arial" w:cs="Arial" w:eastAsia="Arial" w:hAnsi="Arial"/>
                <w:sz w:val="16"/>
                <w:szCs w:val="16"/>
                <w:color w:val="auto"/>
              </w:rPr>
              <w:t>(75)</w:t>
            </w:r>
          </w:p>
        </w:tc>
        <w:tc>
          <w:tcPr>
            <w:tcW w:w="1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43"/>
              <w:spacing w:after="0" w:line="175" w:lineRule="exact"/>
              <w:rPr>
                <w:sz w:val="20"/>
                <w:szCs w:val="20"/>
                <w:color w:val="auto"/>
              </w:rPr>
            </w:pPr>
            <w:r>
              <w:rPr>
                <w:rFonts w:ascii="Arial" w:cs="Arial" w:eastAsia="Arial" w:hAnsi="Arial"/>
                <w:sz w:val="16"/>
                <w:szCs w:val="16"/>
                <w:color w:val="auto"/>
              </w:rPr>
              <w:t>—</w:t>
            </w:r>
          </w:p>
        </w:tc>
      </w:tr>
      <w:tr>
        <w:trPr>
          <w:trHeight w:val="20"/>
        </w:trPr>
        <w:tc>
          <w:tcPr>
            <w:tcW w:w="7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The Tax Cut and Jobs Act ("Act") was enacted December 22, 2017. The Act significantly changes U.S tax law by, among other things, reducing the U.S. federal corporate tax rate from 35% to 21%, imposing a one-time transition tax on earnings of certain foreign subsidiaries that were previously tax deferred, and creating new taxes on certain foreign sourced earnings.</w:t>
      </w:r>
    </w:p>
    <w:p>
      <w:pPr>
        <w:spacing w:after="0" w:line="167"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Orion remeasured its deferred tax assets based on the rates at which they are expected to reverse in the future, which is generally the 21% federal corporate tax rate. The provisional amount recorded related to the remeasurement of its deferred tax balance decreased deferred tax assets by $9.9 million in fiscal 2018. Substantially all of this decrease to deferred tax assets was offset by a corresponding decrease to the valuation allowance. There was no impact on the prior year income tax expense for the federal corporate tax rate change due to Orion's prior year taxable loss.</w:t>
      </w:r>
    </w:p>
    <w:p>
      <w:pPr>
        <w:spacing w:after="0" w:line="169" w:lineRule="exact"/>
        <w:rPr>
          <w:sz w:val="20"/>
          <w:szCs w:val="20"/>
          <w:color w:val="auto"/>
        </w:rPr>
      </w:pPr>
    </w:p>
    <w:p>
      <w:pPr>
        <w:jc w:val="both"/>
        <w:ind w:firstLine="500"/>
        <w:spacing w:after="0" w:line="382" w:lineRule="auto"/>
        <w:rPr>
          <w:sz w:val="20"/>
          <w:szCs w:val="20"/>
          <w:color w:val="auto"/>
        </w:rPr>
      </w:pPr>
      <w:r>
        <w:rPr>
          <w:rFonts w:ascii="Arial" w:cs="Arial" w:eastAsia="Arial" w:hAnsi="Arial"/>
          <w:sz w:val="13"/>
          <w:szCs w:val="13"/>
          <w:color w:val="auto"/>
        </w:rPr>
        <w:t>The Act also required companies to pay a one-time transition tax on Orion's total post-1986 earnings and profits ("E&amp;P") of its foreign subsidiary that were previously tax deferred from US income taxes. Since Orion's foreign subsidiary had negative E&amp;P, Orion estimated there was no transition tax to be reported in income tax expense.</w:t>
      </w:r>
    </w:p>
    <w:p>
      <w:pPr>
        <w:spacing w:after="0" w:line="89"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The CARES Act includes significant business tax provisions that, among other things, temporarily eliminate the taxable income limit for certain NOLs, allow businesses to carry back tax year 2018-2020 NOLs to the five prior tax years, accelerate refunds of corporate AMT credits, and generally decrease the amount of disallowed business interest expense. Because of Orion’s loss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carryforwards, Orion does not anticipate the income tax provisions of the CARES Act to result in a material cash or financial statement impact.</w:t>
      </w:r>
    </w:p>
    <w:p>
      <w:pPr>
        <w:spacing w:after="0" w:line="193" w:lineRule="exact"/>
        <w:rPr>
          <w:sz w:val="20"/>
          <w:szCs w:val="20"/>
          <w:color w:val="auto"/>
        </w:rPr>
      </w:pPr>
    </w:p>
    <w:p>
      <w:pPr>
        <w:jc w:val="both"/>
        <w:ind w:firstLine="500"/>
        <w:spacing w:after="0" w:line="269" w:lineRule="auto"/>
        <w:rPr>
          <w:sz w:val="20"/>
          <w:szCs w:val="20"/>
          <w:color w:val="auto"/>
        </w:rPr>
      </w:pPr>
      <w:r>
        <w:rPr>
          <w:rFonts w:ascii="Arial" w:cs="Arial" w:eastAsia="Arial" w:hAnsi="Arial"/>
          <w:sz w:val="15"/>
          <w:szCs w:val="15"/>
          <w:color w:val="auto"/>
        </w:rPr>
        <w:t xml:space="preserve">As of March 31, 2020, Orion has federal NOL carryforwards of approximately $75.3 million, and state NOL carryforwards of approximately $61.7 million. Upon adoption of ASU 2016-09, </w:t>
      </w:r>
      <w:r>
        <w:rPr>
          <w:rFonts w:ascii="Arial" w:cs="Arial" w:eastAsia="Arial" w:hAnsi="Arial"/>
          <w:sz w:val="15"/>
          <w:szCs w:val="15"/>
          <w:i w:val="1"/>
          <w:iCs w:val="1"/>
          <w:color w:val="auto"/>
        </w:rPr>
        <w:t>Compensation-Stock Compensation (Topic 718) Improvements to Employee Share-Based Payment Accounting</w:t>
      </w:r>
      <w:r>
        <w:rPr>
          <w:rFonts w:ascii="Arial" w:cs="Arial" w:eastAsia="Arial" w:hAnsi="Arial"/>
          <w:sz w:val="15"/>
          <w:szCs w:val="15"/>
          <w:color w:val="auto"/>
        </w:rPr>
        <w:t>, in fiscal year 2018, the federal and state loss NOL carryforwards associated with historic exercises of Non-Qualified Stock Options have been recorded as deferred tax assets. Orion also has federal tax credit carryforwards of approximately $1.3 million and state tax credits of $0.8 million. All of Orion's tax credit carryforwards and $128.5 million of its NOL carryforwards will begin to expire in varying amounts between 2024 and 2040. The remaining $8.5 million of its federal and state NOL carryforwards are not subject to time restrictions but may only be used to offset 80% of adjusted taxable income. All of its carryforwards are offset by a valuation allowance</w:t>
      </w:r>
    </w:p>
    <w:p>
      <w:pPr>
        <w:spacing w:after="0" w:line="158" w:lineRule="exact"/>
        <w:rPr>
          <w:sz w:val="20"/>
          <w:szCs w:val="20"/>
          <w:color w:val="auto"/>
        </w:rPr>
      </w:pPr>
    </w:p>
    <w:p>
      <w:pPr>
        <w:jc w:val="both"/>
        <w:ind w:right="20" w:firstLine="500"/>
        <w:spacing w:after="0" w:line="322" w:lineRule="auto"/>
        <w:rPr>
          <w:sz w:val="20"/>
          <w:szCs w:val="20"/>
          <w:color w:val="auto"/>
        </w:rPr>
      </w:pPr>
      <w:r>
        <w:rPr>
          <w:rFonts w:ascii="Arial" w:cs="Arial" w:eastAsia="Arial" w:hAnsi="Arial"/>
          <w:sz w:val="13"/>
          <w:szCs w:val="13"/>
          <w:color w:val="auto"/>
        </w:rPr>
        <w:t>For the fiscal year ended March 31, 2020, Orion recorded a valuation allowance of $22.2 million against its net deferred tax assets due to the uncertainty of its realization value in the future. For the fiscal year ended March 31, 2020, the valuation allowance against Orion's net federal and net state deferred tax assets decreased $3.2 million, primarily due to the current year loss usage. For the fiscal year ended March 31, 2019, the valuation allowance increased $1.6 million, primarily due to the fiscal 2019 loss.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127"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Generally, a change of more than 50% in the ownership of Orion's stock, by value, over a three-year period constitutes an ownership change for federal income tax purposes as defined under Section 382 of the Internal Revenue Code. As a result, Orion's ability to use its net operating loss carryforwards, attributable to the period prior to such ownership change, to offset taxable income can be subject to limitations in a particular year, which could potentially result in increased future tax liability for Orion. There was no limitation of NOL carryforwards that occurred for fiscal 2020, fiscal 2019, or fiscal 2018.</w:t>
      </w:r>
    </w:p>
    <w:p>
      <w:pPr>
        <w:spacing w:after="0" w:line="169"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Orion records its tax provision based on the respective tax rules and regulations for the jurisdictions in which it operates. Where Orion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69" w:lineRule="exact"/>
        <w:rPr>
          <w:sz w:val="20"/>
          <w:szCs w:val="20"/>
          <w:color w:val="auto"/>
        </w:rPr>
      </w:pPr>
    </w:p>
    <w:p>
      <w:pPr>
        <w:jc w:val="both"/>
        <w:ind w:firstLine="500"/>
        <w:spacing w:after="0" w:line="382" w:lineRule="auto"/>
        <w:rPr>
          <w:sz w:val="20"/>
          <w:szCs w:val="20"/>
          <w:color w:val="auto"/>
        </w:rPr>
      </w:pPr>
      <w:r>
        <w:rPr>
          <w:rFonts w:ascii="Arial" w:cs="Arial" w:eastAsia="Arial" w:hAnsi="Arial"/>
          <w:sz w:val="13"/>
          <w:szCs w:val="13"/>
          <w:color w:val="auto"/>
        </w:rPr>
        <w:t>Orion files income tax returns in the United States federal jurisdiction and in several state jurisdictions. The Company's federal tax returns for tax years beginning April 1, 2016 or later are open. For states in which Orion files state income tax returns, the statute of limitations is generally open for tax years ended March 31, 2016 and forward.</w:t>
      </w:r>
    </w:p>
    <w:p>
      <w:pPr>
        <w:spacing w:after="0" w:line="89"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 notification to the states. Orion currently has no state income tax return positions in the process of examination, administrative appeals or litigation.</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 tax positions</w:t>
      </w:r>
    </w:p>
    <w:p>
      <w:pPr>
        <w:spacing w:after="0" w:line="98"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As of March 31, 2020, the balance of gross unrecognized tax benefits was approximately $0.3 million, $0.2 million of which would affect Orion’s effective tax rate if recognized.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78" w:name="page79"/>
    <w:bookmarkEnd w:id="78"/>
    <w:p>
      <w:pPr>
        <w:jc w:val="both"/>
        <w:ind w:firstLine="500"/>
        <w:spacing w:after="0" w:line="255" w:lineRule="auto"/>
        <w:rPr>
          <w:sz w:val="20"/>
          <w:szCs w:val="20"/>
          <w:color w:val="auto"/>
        </w:rPr>
      </w:pPr>
      <w:r>
        <w:rPr>
          <w:rFonts w:ascii="Arial" w:cs="Arial" w:eastAsia="Arial" w:hAnsi="Arial"/>
          <w:sz w:val="16"/>
          <w:szCs w:val="16"/>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included in the unrecognized tax benefits. Orion had the following unrecognized tax benefit activity (dollars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5"/>
              </w:rPr>
              <w:t>Fiscal Year Ended March 31,</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33"/>
        </w:trPr>
        <w:tc>
          <w:tcPr>
            <w:tcW w:w="5540" w:type="dxa"/>
            <w:vAlign w:val="bottom"/>
            <w:tcBorders>
              <w:bottom w:val="single" w:sz="8" w:color="CFF0FC"/>
            </w:tcBorders>
          </w:tcPr>
          <w:p>
            <w:pPr>
              <w:spacing w:after="0"/>
              <w:rPr>
                <w:sz w:val="11"/>
                <w:szCs w:val="11"/>
                <w:color w:val="auto"/>
              </w:rPr>
            </w:pPr>
          </w:p>
        </w:tc>
        <w:tc>
          <w:tcPr>
            <w:tcW w:w="1120" w:type="dxa"/>
            <w:vAlign w:val="bottom"/>
            <w:tcBorders>
              <w:bottom w:val="single" w:sz="8" w:color="CFF0FC"/>
            </w:tcBorders>
          </w:tcPr>
          <w:p>
            <w:pPr>
              <w:spacing w:after="0"/>
              <w:rPr>
                <w:sz w:val="11"/>
                <w:szCs w:val="11"/>
                <w:color w:val="auto"/>
              </w:rPr>
            </w:pPr>
          </w:p>
        </w:tc>
        <w:tc>
          <w:tcPr>
            <w:tcW w:w="920" w:type="dxa"/>
            <w:vAlign w:val="bottom"/>
            <w:tcBorders>
              <w:bottom w:val="single" w:sz="8" w:color="auto"/>
            </w:tcBorders>
          </w:tcPr>
          <w:p>
            <w:pPr>
              <w:jc w:val="right"/>
              <w:ind w:right="71"/>
              <w:spacing w:after="0" w:line="133" w:lineRule="exact"/>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5"/>
              <w:spacing w:after="0" w:line="133"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5"/>
              <w:spacing w:after="0" w:line="133" w:lineRule="exact"/>
              <w:rPr>
                <w:sz w:val="20"/>
                <w:szCs w:val="20"/>
                <w:color w:val="auto"/>
              </w:rPr>
            </w:pPr>
            <w:r>
              <w:rPr>
                <w:rFonts w:ascii="Arial" w:cs="Arial" w:eastAsia="Arial" w:hAnsi="Arial"/>
                <w:sz w:val="13"/>
                <w:szCs w:val="13"/>
                <w:b w:val="1"/>
                <w:bCs w:val="1"/>
                <w:color w:val="auto"/>
              </w:rPr>
              <w:t>2018</w:t>
            </w:r>
          </w:p>
        </w:tc>
      </w:tr>
      <w:tr>
        <w:trPr>
          <w:trHeight w:val="192"/>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Unrecognized tax benefits as of beginning of fiscal year</w:t>
            </w:r>
          </w:p>
        </w:tc>
        <w:tc>
          <w:tcPr>
            <w:tcW w:w="11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77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129</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113</w:t>
            </w:r>
          </w:p>
        </w:tc>
      </w:tr>
      <w:tr>
        <w:trPr>
          <w:trHeight w:val="200"/>
        </w:trPr>
        <w:tc>
          <w:tcPr>
            <w:tcW w:w="5540" w:type="dxa"/>
            <w:vAlign w:val="bottom"/>
          </w:tcPr>
          <w:p>
            <w:pPr>
              <w:spacing w:after="0"/>
              <w:rPr>
                <w:sz w:val="20"/>
                <w:szCs w:val="20"/>
                <w:color w:val="auto"/>
              </w:rPr>
            </w:pPr>
            <w:r>
              <w:rPr>
                <w:rFonts w:ascii="Arial" w:cs="Arial" w:eastAsia="Arial" w:hAnsi="Arial"/>
                <w:sz w:val="16"/>
                <w:szCs w:val="16"/>
                <w:color w:val="auto"/>
              </w:rPr>
              <w:t>Additions based on tax positions related to the current period positions</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5"/>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5"/>
              <w:spacing w:after="0"/>
              <w:rPr>
                <w:sz w:val="20"/>
                <w:szCs w:val="20"/>
                <w:color w:val="auto"/>
              </w:rPr>
            </w:pPr>
            <w:r>
              <w:rPr>
                <w:rFonts w:ascii="Arial" w:cs="Arial" w:eastAsia="Arial" w:hAnsi="Arial"/>
                <w:sz w:val="16"/>
                <w:szCs w:val="16"/>
                <w:color w:val="auto"/>
              </w:rPr>
              <w:t>2</w:t>
            </w:r>
          </w:p>
        </w:tc>
      </w:tr>
      <w:tr>
        <w:trPr>
          <w:trHeight w:val="200"/>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Additions/(Reductions) for tax positions of prior years</w:t>
            </w:r>
          </w:p>
        </w:tc>
        <w:tc>
          <w:tcPr>
            <w:tcW w:w="1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106</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14</w:t>
            </w:r>
          </w:p>
        </w:tc>
      </w:tr>
      <w:tr>
        <w:trPr>
          <w:trHeight w:val="192"/>
        </w:trPr>
        <w:tc>
          <w:tcPr>
            <w:tcW w:w="5540" w:type="dxa"/>
            <w:vAlign w:val="bottom"/>
          </w:tcPr>
          <w:p>
            <w:pPr>
              <w:spacing w:after="0"/>
              <w:rPr>
                <w:sz w:val="20"/>
                <w:szCs w:val="20"/>
                <w:color w:val="auto"/>
              </w:rPr>
            </w:pPr>
            <w:r>
              <w:rPr>
                <w:rFonts w:ascii="Arial" w:cs="Arial" w:eastAsia="Arial" w:hAnsi="Arial"/>
                <w:sz w:val="16"/>
                <w:szCs w:val="16"/>
                <w:color w:val="auto"/>
              </w:rPr>
              <w:t>Unrecognized tax benefits as of end of fiscal year</w:t>
            </w:r>
          </w:p>
        </w:tc>
        <w:tc>
          <w:tcPr>
            <w:tcW w:w="11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259</w:t>
            </w:r>
          </w:p>
        </w:tc>
        <w:tc>
          <w:tcPr>
            <w:tcW w:w="16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130</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129</w:t>
            </w:r>
          </w:p>
        </w:tc>
      </w:tr>
      <w:tr>
        <w:trPr>
          <w:trHeight w:val="20"/>
        </w:trPr>
        <w:tc>
          <w:tcPr>
            <w:tcW w:w="5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COMMITMENTS AND CONTINGENCIES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 Commitments</w:t>
      </w:r>
    </w:p>
    <w:p>
      <w:pPr>
        <w:spacing w:after="0" w:line="98"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Orion enters into non-cancellable purchase commitments for certain inventory items in order to secure better pricing and ensure materials on hand. As of March 31, 2020, Orion had entered into $7.7 million of purchase commitments related primarily to inventory purchases.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Retirement Savings Plan</w:t>
      </w:r>
    </w:p>
    <w:p>
      <w:pPr>
        <w:spacing w:after="0" w:line="98"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Orion sponsors a tax deferred retirement savings plan that permits eligible employees to contribute varying percentages of their compensation up to the limit allowed by the Internal Revenue Service. This plan also provides for discretionary contributions by Orion. In fiscal 2020, Orion made matching contributions of $0.1 million. In fiscal 2019 and 2018, Orion made matching contributions of approximately $9 thousand in each of the fiscal years.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w:t>
      </w:r>
    </w:p>
    <w:p>
      <w:pPr>
        <w:spacing w:after="0" w:line="98"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Orion is subject to various claims and legal proceedings arising in the ordinary course of business. As of the date of this report, Orion does not believe that the final resolution of any of such claims or legal proceedings would have a material adverse effect on its future results of operations. In addition to ordinary-course litigation, Orion was or is a party to the proceedings described below.</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 Tax Assessment</w:t>
      </w:r>
    </w:p>
    <w:p>
      <w:pPr>
        <w:spacing w:after="0" w:line="193" w:lineRule="exact"/>
        <w:rPr>
          <w:sz w:val="20"/>
          <w:szCs w:val="20"/>
          <w:color w:val="auto"/>
        </w:rPr>
      </w:pPr>
    </w:p>
    <w:p>
      <w:pPr>
        <w:jc w:val="both"/>
        <w:ind w:right="20" w:firstLine="500"/>
        <w:spacing w:after="0" w:line="342" w:lineRule="auto"/>
        <w:rPr>
          <w:sz w:val="20"/>
          <w:szCs w:val="20"/>
          <w:color w:val="auto"/>
        </w:rPr>
      </w:pPr>
      <w:r>
        <w:rPr>
          <w:rFonts w:ascii="Arial" w:cs="Arial" w:eastAsia="Arial" w:hAnsi="Arial"/>
          <w:sz w:val="13"/>
          <w:szCs w:val="13"/>
          <w:color w:val="auto"/>
        </w:rPr>
        <w:t>During fiscal year 2018, Orion was notified of a pending sales and use tax audit by the Wisconsin Department of Revenue for the period covering April 1, 2013 through March 31, 2017. Although the final resolution of the Company’s sales and use tax audit is uncertain, based on current information, in the opinion of the Company’s management, the ultimate disposition of these matters will not have a material adverse effect on the Company’s consolidated balance sheet, statements of operations, or liquidity.</w:t>
      </w:r>
    </w:p>
    <w:p>
      <w:pPr>
        <w:spacing w:after="0" w:line="114"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During fiscal 2019, Orion was notified of a pending sales and use tax audit by the California Department of Tax and Fee Administration for the period covering April 1, 2015 through March 31, 2018. During fiscal 2020, the sales and use tax audit was finalized. The ultimate disposition of this matter did not have a material adverse effect on the Orion's Consolidated Balance Sheets, statements of operations, or liquidity.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NOTE 16 — SHAREHOLDERS’ EQUITY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 Program and Treasury Stock</w:t>
      </w:r>
    </w:p>
    <w:p>
      <w:pPr>
        <w:spacing w:after="0" w:line="98" w:lineRule="exact"/>
        <w:rPr>
          <w:sz w:val="20"/>
          <w:szCs w:val="20"/>
          <w:color w:val="auto"/>
        </w:rPr>
      </w:pPr>
    </w:p>
    <w:p>
      <w:pPr>
        <w:jc w:val="both"/>
        <w:ind w:right="20" w:firstLine="500"/>
        <w:spacing w:after="0" w:line="342" w:lineRule="auto"/>
        <w:rPr>
          <w:sz w:val="20"/>
          <w:szCs w:val="20"/>
          <w:color w:val="auto"/>
        </w:rPr>
      </w:pPr>
      <w:r>
        <w:rPr>
          <w:rFonts w:ascii="Arial" w:cs="Arial" w:eastAsia="Arial" w:hAnsi="Arial"/>
          <w:sz w:val="13"/>
          <w:szCs w:val="13"/>
          <w:color w:val="auto"/>
        </w:rPr>
        <w:t>In 2011 and 2012, Orion’s Board approved several share repurchase programs authorizing Orion to repurchase in aggregate up to a maximum of $ 7,500,000 of Orion's outstanding common stock. As of March 31, 2020, Orion had repurchased 3,022,349 shares of common stock at a cost of $6.8 million under these programs. Orion did not repurchase any shares in fiscal 2020, fiscal 2019 or fiscal 2018 and currently does not intend to repurchase any additional common stock under this program in the near-term.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Rights Plan</w:t>
      </w:r>
    </w:p>
    <w:p>
      <w:pPr>
        <w:spacing w:after="0" w:line="98" w:lineRule="exact"/>
        <w:rPr>
          <w:sz w:val="20"/>
          <w:szCs w:val="20"/>
          <w:color w:val="auto"/>
        </w:rPr>
      </w:pPr>
    </w:p>
    <w:p>
      <w:pPr>
        <w:jc w:val="both"/>
        <w:ind w:right="40" w:firstLine="500"/>
        <w:spacing w:after="0" w:line="280" w:lineRule="auto"/>
        <w:rPr>
          <w:sz w:val="20"/>
          <w:szCs w:val="20"/>
          <w:color w:val="auto"/>
        </w:rPr>
      </w:pPr>
      <w:r>
        <w:rPr>
          <w:rFonts w:ascii="Arial" w:cs="Arial" w:eastAsia="Arial" w:hAnsi="Arial"/>
          <w:sz w:val="15"/>
          <w:szCs w:val="15"/>
          <w:color w:val="auto"/>
        </w:rPr>
        <w:t>On January 3, 2019, Orion entered into Amendment No. 1 to the Rights Agreement, which amended the Rights Agreement dated as of January 7, 2009 and extended its terms by three years to January 7, 2022. Under the amendment, each common share purchase right (a “Right”), if exercisable, will initially represent the right to purchase from Orion, one share of Orion’s common stock, no par value per share, for a purchase price of $7.00 per share (the “Purchase Price”).</w:t>
      </w:r>
    </w:p>
    <w:p>
      <w:pPr>
        <w:spacing w:after="0" w:line="149" w:lineRule="exact"/>
        <w:rPr>
          <w:sz w:val="20"/>
          <w:szCs w:val="20"/>
          <w:color w:val="auto"/>
        </w:rPr>
      </w:pPr>
    </w:p>
    <w:p>
      <w:pPr>
        <w:jc w:val="both"/>
        <w:ind w:right="20" w:firstLine="500"/>
        <w:spacing w:after="0" w:line="274" w:lineRule="auto"/>
        <w:rPr>
          <w:sz w:val="20"/>
          <w:szCs w:val="20"/>
          <w:color w:val="auto"/>
        </w:rPr>
      </w:pPr>
      <w:r>
        <w:rPr>
          <w:rFonts w:ascii="Arial" w:cs="Arial" w:eastAsia="Arial" w:hAnsi="Arial"/>
          <w:sz w:val="15"/>
          <w:szCs w:val="15"/>
          <w:color w:val="auto"/>
        </w:rPr>
        <w:t>The Rights will not be exercisable (and will be transferable only with Orion’s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Orion’s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54" w:lineRule="exact"/>
        <w:rPr>
          <w:sz w:val="20"/>
          <w:szCs w:val="20"/>
          <w:color w:val="auto"/>
        </w:rPr>
      </w:pPr>
    </w:p>
    <w:p>
      <w:pPr>
        <w:jc w:val="both"/>
        <w:ind w:right="20" w:firstLine="500"/>
        <w:spacing w:after="0" w:line="249" w:lineRule="auto"/>
        <w:rPr>
          <w:sz w:val="20"/>
          <w:szCs w:val="20"/>
          <w:color w:val="auto"/>
        </w:rPr>
      </w:pPr>
      <w:r>
        <w:rPr>
          <w:rFonts w:ascii="Arial" w:cs="Arial" w:eastAsia="Arial" w:hAnsi="Arial"/>
          <w:sz w:val="16"/>
          <w:szCs w:val="16"/>
          <w:color w:val="auto"/>
        </w:rPr>
        <w:t>If a person becomes an Acquiring Person, holders of Rights (except as otherwise provided in the Rights Agreement) will have the right to receive that number of shares of Orion’s common stock having a market value of two times the then-current Purchase Price, and all Rights beneficially owned by an Acquiring Person, or by certain related parties or transferees, will be null and void. If, after a Shares Acquisition Date, Orion is acquired in a merger or other business combination transaction or 50% or more of its consolidated assets or earning power are sold, proper provision will be made so that each holder of a Right (except as otherwise provided in the Rights Agreement) will thereafter have the right to receive that number of shares of the acquiring company’s common stock which at the time of such transaction will have a market value of two times the then-current Purchase Price.</w:t>
      </w:r>
    </w:p>
    <w:p>
      <w:pPr>
        <w:spacing w:after="0" w:line="172" w:lineRule="exact"/>
        <w:rPr>
          <w:sz w:val="20"/>
          <w:szCs w:val="20"/>
          <w:color w:val="auto"/>
        </w:rPr>
      </w:pPr>
    </w:p>
    <w:p>
      <w:pPr>
        <w:jc w:val="both"/>
        <w:ind w:right="40" w:firstLine="500"/>
        <w:spacing w:after="0" w:line="255" w:lineRule="auto"/>
        <w:rPr>
          <w:sz w:val="20"/>
          <w:szCs w:val="20"/>
          <w:color w:val="auto"/>
        </w:rPr>
      </w:pPr>
      <w:r>
        <w:rPr>
          <w:rFonts w:ascii="Arial" w:cs="Arial" w:eastAsia="Arial" w:hAnsi="Arial"/>
          <w:sz w:val="16"/>
          <w:szCs w:val="16"/>
          <w:color w:val="auto"/>
        </w:rPr>
        <w:t>Until a Right is exercised, the holder thereof, as such, will have no rights as a shareholder of Orion. At any time prior to a person becoming an Acquiring Person, the Board of Directors of Orion may redeem the Rights in whole, but not in part, at a price of $0.001 per Right. Unless they are extended or earlier redeemed or exchanged, the Rights will expire on January 7, 2022.</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98" w:lineRule="exact"/>
        <w:rPr>
          <w:sz w:val="20"/>
          <w:szCs w:val="20"/>
          <w:color w:val="auto"/>
        </w:rPr>
      </w:pPr>
    </w:p>
    <w:p>
      <w:pPr>
        <w:jc w:val="both"/>
        <w:ind w:right="20" w:firstLine="500"/>
        <w:spacing w:after="0" w:line="322" w:lineRule="auto"/>
        <w:rPr>
          <w:sz w:val="20"/>
          <w:szCs w:val="20"/>
          <w:color w:val="auto"/>
        </w:rPr>
      </w:pPr>
      <w:r>
        <w:rPr>
          <w:rFonts w:ascii="Arial" w:cs="Arial" w:eastAsia="Arial" w:hAnsi="Arial"/>
          <w:sz w:val="13"/>
          <w:szCs w:val="13"/>
          <w:color w:val="auto"/>
        </w:rPr>
        <w:t>In August 2010, Orion’s Board of Directors approved a non-compensatory employee stock purchase plan, or ESPP. The ESPP authorizes 2,500,000 shares to be issued from treasury or authorized shares to satisfy employee share purchases under the ESPP. All full-time employees of Orion are eligible to be granted a non-transferable purchase right each calendar quarter to purchase directly from Orion up to $20,000 of Orion’s common stock at a purchase price equal to 100% of the closing sale price of Orion’s common stock on The NASDAQ Capital Market on the last trading day of each quarter. In prior years, Orion issued loans to non-executive employees to purchase shares of its stock. The loan program has been discontinued and new loans are no longer issued. Orion had the following shares issued from treasury during fiscal 2020 and fiscal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4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As of March 31, 2020</w:t>
            </w:r>
          </w:p>
        </w:tc>
        <w:tc>
          <w:tcPr>
            <w:tcW w:w="16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840" w:type="dxa"/>
            <w:vAlign w:val="bottom"/>
          </w:tcPr>
          <w:p>
            <w:pPr>
              <w:spacing w:after="0"/>
              <w:rPr>
                <w:sz w:val="9"/>
                <w:szCs w:val="9"/>
                <w:color w:val="auto"/>
              </w:rPr>
            </w:pPr>
          </w:p>
        </w:tc>
        <w:tc>
          <w:tcPr>
            <w:tcW w:w="1460" w:type="dxa"/>
            <w:vAlign w:val="bottom"/>
          </w:tcPr>
          <w:p>
            <w:pPr>
              <w:jc w:val="center"/>
              <w:ind w:left="417"/>
              <w:spacing w:after="0" w:line="113" w:lineRule="exact"/>
              <w:rPr>
                <w:sz w:val="20"/>
                <w:szCs w:val="20"/>
                <w:color w:val="auto"/>
              </w:rPr>
            </w:pPr>
            <w:r>
              <w:rPr>
                <w:rFonts w:ascii="Arial" w:cs="Arial" w:eastAsia="Arial" w:hAnsi="Arial"/>
                <w:sz w:val="13"/>
                <w:szCs w:val="13"/>
                <w:b w:val="1"/>
                <w:bCs w:val="1"/>
                <w:color w:val="auto"/>
                <w:w w:val="83"/>
              </w:rPr>
              <w:t>Shares Issued</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6840" w:type="dxa"/>
            <w:vAlign w:val="bottom"/>
          </w:tcPr>
          <w:p>
            <w:pPr>
              <w:spacing w:after="0"/>
              <w:rPr>
                <w:sz w:val="11"/>
                <w:szCs w:val="11"/>
                <w:color w:val="auto"/>
              </w:rPr>
            </w:pPr>
          </w:p>
        </w:tc>
        <w:tc>
          <w:tcPr>
            <w:tcW w:w="1460" w:type="dxa"/>
            <w:vAlign w:val="bottom"/>
          </w:tcPr>
          <w:p>
            <w:pPr>
              <w:jc w:val="center"/>
              <w:ind w:left="397"/>
              <w:spacing w:after="0" w:line="129" w:lineRule="exact"/>
              <w:rPr>
                <w:sz w:val="20"/>
                <w:szCs w:val="20"/>
                <w:color w:val="auto"/>
              </w:rPr>
            </w:pPr>
            <w:r>
              <w:rPr>
                <w:rFonts w:ascii="Arial" w:cs="Arial" w:eastAsia="Arial" w:hAnsi="Arial"/>
                <w:sz w:val="13"/>
                <w:szCs w:val="13"/>
                <w:b w:val="1"/>
                <w:bCs w:val="1"/>
                <w:color w:val="auto"/>
                <w:w w:val="89"/>
              </w:rPr>
              <w:t>Under ESPP</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tcPr>
          <w:p>
            <w:pPr>
              <w:jc w:val="right"/>
              <w:ind w:right="646"/>
              <w:spacing w:after="0" w:line="129" w:lineRule="exact"/>
              <w:rPr>
                <w:sz w:val="20"/>
                <w:szCs w:val="20"/>
                <w:color w:val="auto"/>
              </w:rPr>
            </w:pPr>
            <w:r>
              <w:rPr>
                <w:rFonts w:ascii="Arial" w:cs="Arial" w:eastAsia="Arial" w:hAnsi="Arial"/>
                <w:sz w:val="13"/>
                <w:szCs w:val="13"/>
                <w:b w:val="1"/>
                <w:bCs w:val="1"/>
                <w:color w:val="auto"/>
                <w:w w:val="96"/>
              </w:rPr>
              <w:t>Closing 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40" w:type="dxa"/>
            <w:vAlign w:val="bottom"/>
            <w:tcBorders>
              <w:bottom w:val="single" w:sz="8" w:color="CFF0FC"/>
            </w:tcBorders>
          </w:tcPr>
          <w:p>
            <w:pPr>
              <w:spacing w:after="0"/>
              <w:rPr>
                <w:sz w:val="12"/>
                <w:szCs w:val="12"/>
                <w:color w:val="auto"/>
              </w:rPr>
            </w:pPr>
          </w:p>
        </w:tc>
        <w:tc>
          <w:tcPr>
            <w:tcW w:w="1460" w:type="dxa"/>
            <w:vAlign w:val="bottom"/>
            <w:tcBorders>
              <w:bottom w:val="single" w:sz="8" w:color="auto"/>
            </w:tcBorders>
          </w:tcPr>
          <w:p>
            <w:pPr>
              <w:jc w:val="center"/>
              <w:ind w:left="397"/>
              <w:spacing w:after="0"/>
              <w:rPr>
                <w:sz w:val="20"/>
                <w:szCs w:val="20"/>
                <w:color w:val="auto"/>
              </w:rPr>
            </w:pPr>
            <w:r>
              <w:rPr>
                <w:rFonts w:ascii="Arial" w:cs="Arial" w:eastAsia="Arial" w:hAnsi="Arial"/>
                <w:sz w:val="13"/>
                <w:szCs w:val="13"/>
                <w:b w:val="1"/>
                <w:bCs w:val="1"/>
                <w:color w:val="auto"/>
                <w:w w:val="87"/>
              </w:rPr>
              <w:t>Plan</w:t>
            </w: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926"/>
              <w:spacing w:after="0"/>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Quarter Ended March 31, 2020</w:t>
            </w:r>
          </w:p>
        </w:tc>
        <w:tc>
          <w:tcPr>
            <w:tcW w:w="14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512</w:t>
            </w: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3.70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300" w:type="dxa"/>
            <w:vAlign w:val="bottom"/>
            <w:gridSpan w:val="2"/>
          </w:tcPr>
          <w:p>
            <w:pPr>
              <w:spacing w:after="0"/>
              <w:rPr>
                <w:sz w:val="20"/>
                <w:szCs w:val="20"/>
                <w:color w:val="auto"/>
              </w:rPr>
            </w:pPr>
            <w:r>
              <w:rPr>
                <w:rFonts w:ascii="Arial" w:cs="Arial" w:eastAsia="Arial" w:hAnsi="Arial"/>
                <w:sz w:val="16"/>
                <w:szCs w:val="16"/>
                <w:color w:val="auto"/>
              </w:rPr>
              <w:t>Quarter Ended December 31, 2019</w:t>
            </w:r>
          </w:p>
        </w:tc>
        <w:tc>
          <w:tcPr>
            <w:tcW w:w="580" w:type="dxa"/>
            <w:vAlign w:val="bottom"/>
          </w:tcPr>
          <w:p>
            <w:pPr>
              <w:jc w:val="right"/>
              <w:ind w:right="24"/>
              <w:spacing w:after="0"/>
              <w:rPr>
                <w:sz w:val="20"/>
                <w:szCs w:val="20"/>
                <w:color w:val="auto"/>
              </w:rPr>
            </w:pPr>
            <w:r>
              <w:rPr>
                <w:rFonts w:ascii="Arial" w:cs="Arial" w:eastAsia="Arial" w:hAnsi="Arial"/>
                <w:sz w:val="16"/>
                <w:szCs w:val="16"/>
                <w:color w:val="auto"/>
              </w:rPr>
              <w:t>666</w:t>
            </w:r>
          </w:p>
        </w:tc>
        <w:tc>
          <w:tcPr>
            <w:tcW w:w="740" w:type="dxa"/>
            <w:vAlign w:val="bottom"/>
            <w:gridSpan w:val="2"/>
          </w:tcPr>
          <w:p>
            <w:pPr>
              <w:jc w:val="right"/>
              <w:ind w:right="347"/>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66"/>
              <w:spacing w:after="0"/>
              <w:rPr>
                <w:sz w:val="20"/>
                <w:szCs w:val="20"/>
                <w:color w:val="auto"/>
              </w:rPr>
            </w:pPr>
            <w:r>
              <w:rPr>
                <w:rFonts w:ascii="Arial" w:cs="Arial" w:eastAsia="Arial" w:hAnsi="Arial"/>
                <w:sz w:val="16"/>
                <w:szCs w:val="16"/>
                <w:color w:val="auto"/>
              </w:rPr>
              <w:t>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Quarter Ended September 30, 2019</w:t>
            </w:r>
          </w:p>
        </w:tc>
        <w:tc>
          <w:tcPr>
            <w:tcW w:w="5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570</w:t>
            </w:r>
          </w:p>
        </w:tc>
        <w:tc>
          <w:tcPr>
            <w:tcW w:w="740" w:type="dxa"/>
            <w:vAlign w:val="bottom"/>
            <w:gridSpan w:val="2"/>
            <w:shd w:val="clear" w:color="auto" w:fill="CFF0FC"/>
          </w:tcPr>
          <w:p>
            <w:pPr>
              <w:jc w:val="right"/>
              <w:ind w:right="347"/>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2.85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00" w:type="dxa"/>
            <w:vAlign w:val="bottom"/>
            <w:gridSpan w:val="2"/>
          </w:tcPr>
          <w:p>
            <w:pPr>
              <w:spacing w:after="0"/>
              <w:rPr>
                <w:sz w:val="20"/>
                <w:szCs w:val="20"/>
                <w:color w:val="auto"/>
              </w:rPr>
            </w:pPr>
            <w:r>
              <w:rPr>
                <w:rFonts w:ascii="Arial" w:cs="Arial" w:eastAsia="Arial" w:hAnsi="Arial"/>
                <w:sz w:val="16"/>
                <w:szCs w:val="16"/>
                <w:color w:val="auto"/>
              </w:rPr>
              <w:t>Quarter Ended June 30, 2019</w:t>
            </w:r>
          </w:p>
        </w:tc>
        <w:tc>
          <w:tcPr>
            <w:tcW w:w="580" w:type="dxa"/>
            <w:vAlign w:val="bottom"/>
          </w:tcPr>
          <w:p>
            <w:pPr>
              <w:jc w:val="right"/>
              <w:ind w:right="24"/>
              <w:spacing w:after="0"/>
              <w:rPr>
                <w:sz w:val="20"/>
                <w:szCs w:val="20"/>
                <w:color w:val="auto"/>
              </w:rPr>
            </w:pPr>
            <w:r>
              <w:rPr>
                <w:rFonts w:ascii="Arial" w:cs="Arial" w:eastAsia="Arial" w:hAnsi="Arial"/>
                <w:sz w:val="16"/>
                <w:szCs w:val="16"/>
                <w:color w:val="auto"/>
              </w:rPr>
              <w:t>613</w:t>
            </w:r>
          </w:p>
        </w:tc>
        <w:tc>
          <w:tcPr>
            <w:tcW w:w="740" w:type="dxa"/>
            <w:vAlign w:val="bottom"/>
            <w:gridSpan w:val="2"/>
          </w:tcPr>
          <w:p>
            <w:pPr>
              <w:jc w:val="right"/>
              <w:ind w:right="347"/>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66"/>
              <w:spacing w:after="0"/>
              <w:rPr>
                <w:sz w:val="20"/>
                <w:szCs w:val="20"/>
                <w:color w:val="auto"/>
              </w:rPr>
            </w:pPr>
            <w:r>
              <w:rPr>
                <w:rFonts w:ascii="Arial" w:cs="Arial" w:eastAsia="Arial" w:hAnsi="Arial"/>
                <w:sz w:val="16"/>
                <w:szCs w:val="16"/>
                <w:color w:val="auto"/>
              </w:rPr>
              <w:t>2.97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460" w:type="dxa"/>
            <w:vAlign w:val="bottom"/>
            <w:tcBorders>
              <w:top w:val="single" w:sz="8" w:color="auto"/>
              <w:bottom w:val="single" w:sz="8" w:color="auto"/>
            </w:tcBorders>
            <w:shd w:val="clear" w:color="auto" w:fill="CFF0FC"/>
          </w:tcPr>
          <w:p>
            <w:pPr>
              <w:spacing w:after="0"/>
              <w:rPr>
                <w:sz w:val="16"/>
                <w:szCs w:val="16"/>
                <w:color w:val="auto"/>
              </w:rPr>
            </w:pPr>
          </w:p>
        </w:tc>
        <w:tc>
          <w:tcPr>
            <w:tcW w:w="5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2,361</w:t>
            </w:r>
          </w:p>
        </w:tc>
        <w:tc>
          <w:tcPr>
            <w:tcW w:w="740" w:type="dxa"/>
            <w:vAlign w:val="bottom"/>
            <w:tcBorders>
              <w:top w:val="single" w:sz="8" w:color="CFF0FC"/>
              <w:bottom w:val="single" w:sz="8" w:color="CFF0FC"/>
            </w:tcBorders>
            <w:gridSpan w:val="2"/>
            <w:shd w:val="clear" w:color="auto" w:fill="CFF0FC"/>
          </w:tcPr>
          <w:p>
            <w:pPr>
              <w:jc w:val="right"/>
              <w:ind w:right="347"/>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CFF0FC"/>
              <w:bottom w:val="single" w:sz="8" w:color="CFF0FC"/>
            </w:tcBorders>
            <w:shd w:val="clear" w:color="auto" w:fill="CFF0FC"/>
          </w:tcPr>
          <w:p>
            <w:pPr>
              <w:jc w:val="right"/>
              <w:ind w:right="66"/>
              <w:spacing w:after="0"/>
              <w:rPr>
                <w:sz w:val="20"/>
                <w:szCs w:val="20"/>
                <w:color w:val="auto"/>
              </w:rPr>
            </w:pPr>
            <w:r>
              <w:rPr>
                <w:rFonts w:ascii="Arial" w:cs="Arial" w:eastAsia="Arial" w:hAnsi="Arial"/>
                <w:sz w:val="16"/>
                <w:szCs w:val="16"/>
                <w:color w:val="auto"/>
              </w:rPr>
              <w:t>2.85 - 3.70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5540"/>
              <w:spacing w:after="0"/>
              <w:rPr>
                <w:sz w:val="20"/>
                <w:szCs w:val="20"/>
                <w:color w:val="auto"/>
              </w:rPr>
            </w:pPr>
            <w:r>
              <w:rPr>
                <w:rFonts w:ascii="Arial" w:cs="Arial" w:eastAsia="Arial" w:hAnsi="Arial"/>
                <w:sz w:val="16"/>
                <w:szCs w:val="16"/>
                <w:color w:val="auto"/>
              </w:rPr>
              <w:t>81</w:t>
            </w: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68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68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-6985</wp:posOffset>
            </wp:positionV>
            <wp:extent cx="762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441" w:right="29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As of March 31, 2019</w:t>
            </w:r>
          </w:p>
        </w:tc>
        <w:tc>
          <w:tcPr>
            <w:tcW w:w="1640" w:type="dxa"/>
            <w:vAlign w:val="bottom"/>
            <w:tcBorders>
              <w:bottom w:val="single" w:sz="8" w:color="auto"/>
            </w:tcBorders>
          </w:tcPr>
          <w:p>
            <w:pPr>
              <w:spacing w:after="0"/>
              <w:rPr>
                <w:sz w:val="13"/>
                <w:szCs w:val="13"/>
                <w:color w:val="auto"/>
              </w:rPr>
            </w:pPr>
          </w:p>
        </w:tc>
      </w:tr>
      <w:tr>
        <w:trPr>
          <w:trHeight w:val="113"/>
        </w:trPr>
        <w:tc>
          <w:tcPr>
            <w:tcW w:w="6840" w:type="dxa"/>
            <w:vAlign w:val="bottom"/>
          </w:tcPr>
          <w:p>
            <w:pPr>
              <w:spacing w:after="0"/>
              <w:rPr>
                <w:sz w:val="9"/>
                <w:szCs w:val="9"/>
                <w:color w:val="auto"/>
              </w:rPr>
            </w:pPr>
          </w:p>
        </w:tc>
        <w:tc>
          <w:tcPr>
            <w:tcW w:w="1460" w:type="dxa"/>
            <w:vAlign w:val="bottom"/>
          </w:tcPr>
          <w:p>
            <w:pPr>
              <w:jc w:val="center"/>
              <w:ind w:left="417"/>
              <w:spacing w:after="0" w:line="113" w:lineRule="exact"/>
              <w:rPr>
                <w:sz w:val="20"/>
                <w:szCs w:val="20"/>
                <w:color w:val="auto"/>
              </w:rPr>
            </w:pPr>
            <w:r>
              <w:rPr>
                <w:rFonts w:ascii="Arial" w:cs="Arial" w:eastAsia="Arial" w:hAnsi="Arial"/>
                <w:sz w:val="13"/>
                <w:szCs w:val="13"/>
                <w:b w:val="1"/>
                <w:bCs w:val="1"/>
                <w:color w:val="auto"/>
                <w:w w:val="83"/>
              </w:rPr>
              <w:t>Shares Issued</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129"/>
        </w:trPr>
        <w:tc>
          <w:tcPr>
            <w:tcW w:w="6840" w:type="dxa"/>
            <w:vAlign w:val="bottom"/>
          </w:tcPr>
          <w:p>
            <w:pPr>
              <w:spacing w:after="0"/>
              <w:rPr>
                <w:sz w:val="11"/>
                <w:szCs w:val="11"/>
                <w:color w:val="auto"/>
              </w:rPr>
            </w:pPr>
          </w:p>
        </w:tc>
        <w:tc>
          <w:tcPr>
            <w:tcW w:w="1460" w:type="dxa"/>
            <w:vAlign w:val="bottom"/>
          </w:tcPr>
          <w:p>
            <w:pPr>
              <w:jc w:val="center"/>
              <w:ind w:left="397"/>
              <w:spacing w:after="0" w:line="129" w:lineRule="exact"/>
              <w:rPr>
                <w:sz w:val="20"/>
                <w:szCs w:val="20"/>
                <w:color w:val="auto"/>
              </w:rPr>
            </w:pPr>
            <w:r>
              <w:rPr>
                <w:rFonts w:ascii="Arial" w:cs="Arial" w:eastAsia="Arial" w:hAnsi="Arial"/>
                <w:sz w:val="13"/>
                <w:szCs w:val="13"/>
                <w:b w:val="1"/>
                <w:bCs w:val="1"/>
                <w:color w:val="auto"/>
                <w:w w:val="89"/>
              </w:rPr>
              <w:t>Under ESPP</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tcPr>
          <w:p>
            <w:pPr>
              <w:jc w:val="right"/>
              <w:ind w:right="646"/>
              <w:spacing w:after="0" w:line="129" w:lineRule="exact"/>
              <w:rPr>
                <w:sz w:val="20"/>
                <w:szCs w:val="20"/>
                <w:color w:val="auto"/>
              </w:rPr>
            </w:pPr>
            <w:r>
              <w:rPr>
                <w:rFonts w:ascii="Arial" w:cs="Arial" w:eastAsia="Arial" w:hAnsi="Arial"/>
                <w:sz w:val="13"/>
                <w:szCs w:val="13"/>
                <w:b w:val="1"/>
                <w:bCs w:val="1"/>
                <w:color w:val="auto"/>
                <w:w w:val="96"/>
              </w:rPr>
              <w:t>Closing Market</w:t>
            </w:r>
          </w:p>
        </w:tc>
      </w:tr>
      <w:tr>
        <w:trPr>
          <w:trHeight w:val="149"/>
        </w:trPr>
        <w:tc>
          <w:tcPr>
            <w:tcW w:w="6840" w:type="dxa"/>
            <w:vAlign w:val="bottom"/>
            <w:tcBorders>
              <w:bottom w:val="single" w:sz="8" w:color="CFF0FC"/>
            </w:tcBorders>
          </w:tcPr>
          <w:p>
            <w:pPr>
              <w:spacing w:after="0"/>
              <w:rPr>
                <w:sz w:val="12"/>
                <w:szCs w:val="12"/>
                <w:color w:val="auto"/>
              </w:rPr>
            </w:pPr>
          </w:p>
        </w:tc>
        <w:tc>
          <w:tcPr>
            <w:tcW w:w="1460" w:type="dxa"/>
            <w:vAlign w:val="bottom"/>
            <w:tcBorders>
              <w:bottom w:val="single" w:sz="8" w:color="auto"/>
            </w:tcBorders>
          </w:tcPr>
          <w:p>
            <w:pPr>
              <w:jc w:val="center"/>
              <w:ind w:left="397"/>
              <w:spacing w:after="0"/>
              <w:rPr>
                <w:sz w:val="20"/>
                <w:szCs w:val="20"/>
                <w:color w:val="auto"/>
              </w:rPr>
            </w:pPr>
            <w:r>
              <w:rPr>
                <w:rFonts w:ascii="Arial" w:cs="Arial" w:eastAsia="Arial" w:hAnsi="Arial"/>
                <w:sz w:val="13"/>
                <w:szCs w:val="13"/>
                <w:b w:val="1"/>
                <w:bCs w:val="1"/>
                <w:color w:val="auto"/>
                <w:w w:val="87"/>
              </w:rPr>
              <w:t>Plan</w:t>
            </w: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926"/>
              <w:spacing w:after="0"/>
              <w:rPr>
                <w:sz w:val="20"/>
                <w:szCs w:val="20"/>
                <w:color w:val="auto"/>
              </w:rPr>
            </w:pPr>
            <w:r>
              <w:rPr>
                <w:rFonts w:ascii="Arial" w:cs="Arial" w:eastAsia="Arial" w:hAnsi="Arial"/>
                <w:sz w:val="13"/>
                <w:szCs w:val="13"/>
                <w:b w:val="1"/>
                <w:bCs w:val="1"/>
                <w:color w:val="auto"/>
              </w:rPr>
              <w:t>Price</w:t>
            </w:r>
          </w:p>
        </w:tc>
      </w:tr>
      <w:tr>
        <w:trPr>
          <w:trHeight w:val="192"/>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Quarter Ended March 31, 2019</w:t>
            </w:r>
          </w:p>
        </w:tc>
        <w:tc>
          <w:tcPr>
            <w:tcW w:w="14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1,581</w:t>
            </w: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0.89</w:t>
            </w:r>
          </w:p>
        </w:tc>
      </w:tr>
      <w:tr>
        <w:trPr>
          <w:trHeight w:val="200"/>
        </w:trPr>
        <w:tc>
          <w:tcPr>
            <w:tcW w:w="8300" w:type="dxa"/>
            <w:vAlign w:val="bottom"/>
            <w:gridSpan w:val="2"/>
          </w:tcPr>
          <w:p>
            <w:pPr>
              <w:spacing w:after="0"/>
              <w:rPr>
                <w:sz w:val="20"/>
                <w:szCs w:val="20"/>
                <w:color w:val="auto"/>
              </w:rPr>
            </w:pPr>
            <w:r>
              <w:rPr>
                <w:rFonts w:ascii="Arial" w:cs="Arial" w:eastAsia="Arial" w:hAnsi="Arial"/>
                <w:sz w:val="16"/>
                <w:szCs w:val="16"/>
                <w:color w:val="auto"/>
              </w:rPr>
              <w:t>Quarter Ended December 31, 2018</w:t>
            </w:r>
          </w:p>
        </w:tc>
        <w:tc>
          <w:tcPr>
            <w:tcW w:w="580" w:type="dxa"/>
            <w:vAlign w:val="bottom"/>
          </w:tcPr>
          <w:p>
            <w:pPr>
              <w:jc w:val="right"/>
              <w:ind w:right="24"/>
              <w:spacing w:after="0"/>
              <w:rPr>
                <w:sz w:val="20"/>
                <w:szCs w:val="20"/>
                <w:color w:val="auto"/>
              </w:rPr>
            </w:pPr>
            <w:r>
              <w:rPr>
                <w:rFonts w:ascii="Arial" w:cs="Arial" w:eastAsia="Arial" w:hAnsi="Arial"/>
                <w:sz w:val="16"/>
                <w:szCs w:val="16"/>
                <w:color w:val="auto"/>
              </w:rPr>
              <w:t>1,708</w:t>
            </w:r>
          </w:p>
        </w:tc>
        <w:tc>
          <w:tcPr>
            <w:tcW w:w="740" w:type="dxa"/>
            <w:vAlign w:val="bottom"/>
            <w:gridSpan w:val="2"/>
          </w:tcPr>
          <w:p>
            <w:pPr>
              <w:jc w:val="right"/>
              <w:ind w:right="347"/>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66"/>
              <w:spacing w:after="0"/>
              <w:rPr>
                <w:sz w:val="20"/>
                <w:szCs w:val="20"/>
                <w:color w:val="auto"/>
              </w:rPr>
            </w:pPr>
            <w:r>
              <w:rPr>
                <w:rFonts w:ascii="Arial" w:cs="Arial" w:eastAsia="Arial" w:hAnsi="Arial"/>
                <w:sz w:val="16"/>
                <w:szCs w:val="16"/>
                <w:color w:val="auto"/>
              </w:rPr>
              <w:t>0.57</w:t>
            </w:r>
          </w:p>
        </w:tc>
      </w:tr>
      <w:tr>
        <w:trPr>
          <w:trHeight w:val="200"/>
        </w:trPr>
        <w:tc>
          <w:tcPr>
            <w:tcW w:w="8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Quarter Ended September 30, 2018</w:t>
            </w:r>
          </w:p>
        </w:tc>
        <w:tc>
          <w:tcPr>
            <w:tcW w:w="5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938</w:t>
            </w:r>
          </w:p>
        </w:tc>
        <w:tc>
          <w:tcPr>
            <w:tcW w:w="740" w:type="dxa"/>
            <w:vAlign w:val="bottom"/>
            <w:gridSpan w:val="2"/>
            <w:shd w:val="clear" w:color="auto" w:fill="CFF0FC"/>
          </w:tcPr>
          <w:p>
            <w:pPr>
              <w:jc w:val="right"/>
              <w:ind w:right="347"/>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0.96</w:t>
            </w:r>
          </w:p>
        </w:tc>
      </w:tr>
      <w:tr>
        <w:trPr>
          <w:trHeight w:val="200"/>
        </w:trPr>
        <w:tc>
          <w:tcPr>
            <w:tcW w:w="8300" w:type="dxa"/>
            <w:vAlign w:val="bottom"/>
            <w:gridSpan w:val="2"/>
          </w:tcPr>
          <w:p>
            <w:pPr>
              <w:spacing w:after="0"/>
              <w:rPr>
                <w:sz w:val="20"/>
                <w:szCs w:val="20"/>
                <w:color w:val="auto"/>
              </w:rPr>
            </w:pPr>
            <w:r>
              <w:rPr>
                <w:rFonts w:ascii="Arial" w:cs="Arial" w:eastAsia="Arial" w:hAnsi="Arial"/>
                <w:sz w:val="16"/>
                <w:szCs w:val="16"/>
                <w:color w:val="auto"/>
              </w:rPr>
              <w:t>Quarter Ended June 30, 2018</w:t>
            </w:r>
          </w:p>
        </w:tc>
        <w:tc>
          <w:tcPr>
            <w:tcW w:w="580" w:type="dxa"/>
            <w:vAlign w:val="bottom"/>
          </w:tcPr>
          <w:p>
            <w:pPr>
              <w:jc w:val="right"/>
              <w:ind w:right="24"/>
              <w:spacing w:after="0"/>
              <w:rPr>
                <w:sz w:val="20"/>
                <w:szCs w:val="20"/>
                <w:color w:val="auto"/>
              </w:rPr>
            </w:pPr>
            <w:r>
              <w:rPr>
                <w:rFonts w:ascii="Arial" w:cs="Arial" w:eastAsia="Arial" w:hAnsi="Arial"/>
                <w:sz w:val="16"/>
                <w:szCs w:val="16"/>
                <w:color w:val="auto"/>
              </w:rPr>
              <w:t>415</w:t>
            </w:r>
          </w:p>
        </w:tc>
        <w:tc>
          <w:tcPr>
            <w:tcW w:w="740" w:type="dxa"/>
            <w:vAlign w:val="bottom"/>
            <w:gridSpan w:val="2"/>
          </w:tcPr>
          <w:p>
            <w:pPr>
              <w:jc w:val="right"/>
              <w:ind w:right="347"/>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66"/>
              <w:spacing w:after="0"/>
              <w:rPr>
                <w:sz w:val="20"/>
                <w:szCs w:val="20"/>
                <w:color w:val="auto"/>
              </w:rPr>
            </w:pPr>
            <w:r>
              <w:rPr>
                <w:rFonts w:ascii="Arial" w:cs="Arial" w:eastAsia="Arial" w:hAnsi="Arial"/>
                <w:sz w:val="16"/>
                <w:szCs w:val="16"/>
                <w:color w:val="auto"/>
              </w:rPr>
              <w:t>1.10</w:t>
            </w:r>
          </w:p>
        </w:tc>
      </w:tr>
      <w:tr>
        <w:trPr>
          <w:trHeight w:val="192"/>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460" w:type="dxa"/>
            <w:vAlign w:val="bottom"/>
            <w:tcBorders>
              <w:top w:val="single" w:sz="8" w:color="auto"/>
              <w:bottom w:val="single" w:sz="8" w:color="auto"/>
            </w:tcBorders>
            <w:shd w:val="clear" w:color="auto" w:fill="CFF0FC"/>
          </w:tcPr>
          <w:p>
            <w:pPr>
              <w:spacing w:after="0"/>
              <w:rPr>
                <w:sz w:val="16"/>
                <w:szCs w:val="16"/>
                <w:color w:val="auto"/>
              </w:rPr>
            </w:pPr>
          </w:p>
        </w:tc>
        <w:tc>
          <w:tcPr>
            <w:tcW w:w="5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4,642</w:t>
            </w:r>
          </w:p>
        </w:tc>
        <w:tc>
          <w:tcPr>
            <w:tcW w:w="740" w:type="dxa"/>
            <w:vAlign w:val="bottom"/>
            <w:tcBorders>
              <w:top w:val="single" w:sz="8" w:color="CFF0FC"/>
              <w:bottom w:val="single" w:sz="8" w:color="CFF0FC"/>
            </w:tcBorders>
            <w:gridSpan w:val="2"/>
            <w:shd w:val="clear" w:color="auto" w:fill="CFF0FC"/>
          </w:tcPr>
          <w:p>
            <w:pPr>
              <w:jc w:val="right"/>
              <w:ind w:right="347"/>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CFF0FC"/>
              <w:bottom w:val="single" w:sz="8" w:color="CFF0FC"/>
            </w:tcBorders>
            <w:shd w:val="clear" w:color="auto" w:fill="CFF0FC"/>
          </w:tcPr>
          <w:p>
            <w:pPr>
              <w:jc w:val="right"/>
              <w:ind w:right="66"/>
              <w:spacing w:after="0"/>
              <w:rPr>
                <w:sz w:val="20"/>
                <w:szCs w:val="20"/>
                <w:color w:val="auto"/>
              </w:rPr>
            </w:pPr>
            <w:r>
              <w:rPr>
                <w:rFonts w:ascii="Arial" w:cs="Arial" w:eastAsia="Arial" w:hAnsi="Arial"/>
                <w:sz w:val="16"/>
                <w:szCs w:val="16"/>
                <w:color w:val="auto"/>
              </w:rPr>
              <w:t>0.57 - 1.10</w:t>
            </w:r>
          </w:p>
        </w:tc>
      </w:tr>
      <w:tr>
        <w:trPr>
          <w:trHeight w:val="20"/>
        </w:trPr>
        <w:tc>
          <w:tcPr>
            <w:tcW w:w="68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 STOCK OPTIONS AND RESTRICTED SHARES</w:t>
      </w:r>
    </w:p>
    <w:p>
      <w:pPr>
        <w:spacing w:after="0" w:line="102" w:lineRule="exact"/>
        <w:rPr>
          <w:sz w:val="20"/>
          <w:szCs w:val="20"/>
          <w:color w:val="auto"/>
        </w:rPr>
      </w:pPr>
    </w:p>
    <w:p>
      <w:pPr>
        <w:jc w:val="both"/>
        <w:ind w:firstLine="500"/>
        <w:spacing w:after="0" w:line="250" w:lineRule="auto"/>
        <w:rPr>
          <w:sz w:val="20"/>
          <w:szCs w:val="20"/>
          <w:color w:val="auto"/>
        </w:rPr>
      </w:pPr>
      <w:r>
        <w:rPr>
          <w:rFonts w:ascii="Arial" w:cs="Arial" w:eastAsia="Arial" w:hAnsi="Arial"/>
          <w:sz w:val="16"/>
          <w:szCs w:val="16"/>
          <w:color w:val="auto"/>
        </w:rPr>
        <w:t>At Orion’s 2019 annual meeting of shareholders held on August 7, 2019, Orion’s shareholders approved the Orion Energy Systems, Inc. 2016 Omnibus Incentive Plan, as amended and restated (the “Amended 2016 Plan”). Approval of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 As of March 31, 2020, the number of shares available for grant under the plans was 1,725,845.</w:t>
      </w:r>
    </w:p>
    <w:p>
      <w:pPr>
        <w:spacing w:after="0" w:line="124" w:lineRule="exact"/>
        <w:rPr>
          <w:sz w:val="20"/>
          <w:szCs w:val="20"/>
          <w:color w:val="auto"/>
        </w:rPr>
      </w:pPr>
    </w:p>
    <w:p>
      <w:pPr>
        <w:jc w:val="both"/>
        <w:ind w:firstLine="560"/>
        <w:spacing w:after="0" w:line="255" w:lineRule="auto"/>
        <w:rPr>
          <w:sz w:val="20"/>
          <w:szCs w:val="20"/>
          <w:color w:val="auto"/>
        </w:rPr>
      </w:pPr>
      <w:r>
        <w:rPr>
          <w:rFonts w:ascii="Arial" w:cs="Arial" w:eastAsia="Arial" w:hAnsi="Arial"/>
          <w:sz w:val="16"/>
          <w:szCs w:val="16"/>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67" w:lineRule="exact"/>
        <w:rPr>
          <w:sz w:val="20"/>
          <w:szCs w:val="20"/>
          <w:color w:val="auto"/>
        </w:rPr>
      </w:pPr>
    </w:p>
    <w:p>
      <w:pPr>
        <w:ind w:right="40" w:firstLine="495"/>
        <w:spacing w:after="0" w:line="252" w:lineRule="auto"/>
        <w:rPr>
          <w:sz w:val="20"/>
          <w:szCs w:val="20"/>
          <w:color w:val="auto"/>
        </w:rPr>
      </w:pPr>
      <w:r>
        <w:rPr>
          <w:rFonts w:ascii="Arial" w:cs="Arial" w:eastAsia="Arial" w:hAnsi="Arial"/>
          <w:sz w:val="16"/>
          <w:szCs w:val="16"/>
          <w:color w:val="auto"/>
        </w:rPr>
        <w:t>Prior to the 2016 Omnibus Incentive Plan, the Company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w:t>
      </w:r>
    </w:p>
    <w:p>
      <w:pPr>
        <w:spacing w:after="0" w:line="169"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Certain non-employee directors have elected to receive stock awards in lieu of cash compensation pursuant to elections made under Orion’s non-employee director compensation program. The Amended 2016 Plan and the 2004 Plan also permit accelerated vesting in the event of certain changes of control of Orion as well as under other special circumstances.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Orion historically granted stock options and restricted stock under the Former Plan. Orion has not issued stock options since fiscal 2014 and instead has issued restricted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w:t>
      </w:r>
    </w:p>
    <w:p>
      <w:pPr>
        <w:spacing w:after="0" w:line="181" w:lineRule="exact"/>
        <w:rPr>
          <w:sz w:val="20"/>
          <w:szCs w:val="20"/>
          <w:color w:val="auto"/>
        </w:rPr>
      </w:pPr>
    </w:p>
    <w:p>
      <w:pPr>
        <w:jc w:val="both"/>
        <w:ind w:firstLine="500"/>
        <w:spacing w:after="0" w:line="382" w:lineRule="auto"/>
        <w:rPr>
          <w:sz w:val="20"/>
          <w:szCs w:val="20"/>
          <w:color w:val="auto"/>
        </w:rPr>
      </w:pPr>
      <w:r>
        <w:rPr>
          <w:rFonts w:ascii="Arial" w:cs="Arial" w:eastAsia="Arial" w:hAnsi="Arial"/>
          <w:sz w:val="13"/>
          <w:szCs w:val="13"/>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w:t>
      </w:r>
    </w:p>
    <w:p>
      <w:pPr>
        <w:spacing w:after="0" w:line="89"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In fiscal 2020, an aggregate of 279,468 restricted shares were granted valued at a price per share between $2.69 and $3.03, which was the closing market price as of each grant date. In fiscal 2019, an aggregate of 529,000 restricted shares were granted valued at a price per share between $0.84 and $1.00, which was the closing market price as of each grant date. In fiscal 2018, an aggregate of 730,410 restricted shares were granted valued at a price per share between $0.88 and $1.95, which was the closing market price as of each grant date.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0" w:right="319" w:bottom="1440" w:gutter="0" w:footer="0" w:header="0"/>
        </w:sectPr>
      </w:pPr>
    </w:p>
    <w:bookmarkStart w:id="81" w:name="page82"/>
    <w:bookmarkEnd w:id="81"/>
    <w:p>
      <w:pPr>
        <w:ind w:left="500"/>
        <w:spacing w:after="0"/>
        <w:rPr>
          <w:sz w:val="20"/>
          <w:szCs w:val="20"/>
          <w:color w:val="auto"/>
        </w:rPr>
      </w:pPr>
      <w:r>
        <w:rPr>
          <w:rFonts w:ascii="Arial" w:cs="Arial" w:eastAsia="Arial" w:hAnsi="Arial"/>
          <w:sz w:val="16"/>
          <w:szCs w:val="16"/>
          <w:color w:val="auto"/>
        </w:rPr>
        <w:t>The following amounts of stock-based compensation expense for restricted shares and options were recorded (dollars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w w:val="91"/>
              </w:rPr>
              <w:t>Fiscal Year Ended March 31,</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300" w:type="dxa"/>
            <w:vAlign w:val="bottom"/>
            <w:tcBorders>
              <w:bottom w:val="single" w:sz="8" w:color="CFF0FC"/>
            </w:tcBorders>
          </w:tcPr>
          <w:p>
            <w:pPr>
              <w:spacing w:after="0"/>
              <w:rPr>
                <w:sz w:val="11"/>
                <w:szCs w:val="11"/>
                <w:color w:val="auto"/>
              </w:rPr>
            </w:pPr>
          </w:p>
        </w:tc>
        <w:tc>
          <w:tcPr>
            <w:tcW w:w="360" w:type="dxa"/>
            <w:vAlign w:val="bottom"/>
            <w:tcBorders>
              <w:bottom w:val="single" w:sz="8" w:color="CFF0FC"/>
            </w:tcBorders>
          </w:tcPr>
          <w:p>
            <w:pPr>
              <w:spacing w:after="0"/>
              <w:rPr>
                <w:sz w:val="11"/>
                <w:szCs w:val="11"/>
                <w:color w:val="auto"/>
              </w:rPr>
            </w:pPr>
          </w:p>
        </w:tc>
        <w:tc>
          <w:tcPr>
            <w:tcW w:w="920" w:type="dxa"/>
            <w:vAlign w:val="bottom"/>
            <w:tcBorders>
              <w:bottom w:val="single" w:sz="8" w:color="auto"/>
            </w:tcBorders>
          </w:tcPr>
          <w:p>
            <w:pPr>
              <w:jc w:val="right"/>
              <w:ind w:right="71"/>
              <w:spacing w:after="0" w:line="133"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63"/>
              <w:spacing w:after="0" w:line="133" w:lineRule="exact"/>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85"/>
              <w:spacing w:after="0" w:line="133"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92"/>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Cost of product revenue</w:t>
            </w: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771"/>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0"/>
        </w:trPr>
        <w:tc>
          <w:tcPr>
            <w:tcW w:w="6300" w:type="dxa"/>
            <w:vAlign w:val="bottom"/>
          </w:tcPr>
          <w:p>
            <w:pPr>
              <w:spacing w:after="0"/>
              <w:rPr>
                <w:sz w:val="20"/>
                <w:szCs w:val="20"/>
                <w:color w:val="auto"/>
              </w:rPr>
            </w:pPr>
            <w:r>
              <w:rPr>
                <w:rFonts w:ascii="Arial" w:cs="Arial" w:eastAsia="Arial" w:hAnsi="Arial"/>
                <w:sz w:val="16"/>
                <w:szCs w:val="16"/>
                <w:color w:val="auto"/>
              </w:rPr>
              <w:t>Cost of service revenue</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576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764</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00"/>
        </w:trPr>
        <w:tc>
          <w:tcPr>
            <w:tcW w:w="6300" w:type="dxa"/>
            <w:vAlign w:val="bottom"/>
          </w:tcPr>
          <w:p>
            <w:pPr>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w w:val="89"/>
              </w:rPr>
              <w:t>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45"/>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0"/>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38</w:t>
            </w:r>
          </w:p>
        </w:tc>
        <w:tc>
          <w:tcPr>
            <w:tcW w:w="16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Borders>
              <w:bottom w:val="single" w:sz="8" w:color="auto"/>
            </w:tcBorders>
          </w:tcPr>
          <w:p>
            <w:pPr>
              <w:jc w:val="right"/>
              <w:ind w:right="771"/>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618</w:t>
            </w:r>
          </w:p>
        </w:tc>
        <w:tc>
          <w:tcPr>
            <w:tcW w:w="1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825</w:t>
            </w: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500"/>
              <w:spacing w:after="0"/>
              <w:rPr>
                <w:sz w:val="20"/>
                <w:szCs w:val="20"/>
                <w:color w:val="auto"/>
              </w:rPr>
            </w:pPr>
            <w:r>
              <w:rPr>
                <w:rFonts w:ascii="Arial" w:cs="Arial" w:eastAsia="Arial" w:hAnsi="Arial"/>
                <w:sz w:val="16"/>
                <w:szCs w:val="16"/>
                <w:color w:val="auto"/>
                <w:w w:val="95"/>
              </w:rPr>
              <w:t>The following table summarizes information with respect to outstanding stock options:</w:t>
            </w: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6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465"/>
              <w:spacing w:after="0"/>
              <w:rPr>
                <w:sz w:val="20"/>
                <w:szCs w:val="20"/>
                <w:color w:val="auto"/>
              </w:rPr>
            </w:pPr>
            <w:r>
              <w:rPr>
                <w:rFonts w:ascii="Arial" w:cs="Arial" w:eastAsia="Arial" w:hAnsi="Arial"/>
                <w:sz w:val="13"/>
                <w:szCs w:val="13"/>
                <w:b w:val="1"/>
                <w:bCs w:val="1"/>
                <w:color w:val="auto"/>
                <w:w w:val="88"/>
              </w:rPr>
              <w:t>Weighted</w:t>
            </w:r>
          </w:p>
        </w:tc>
        <w:tc>
          <w:tcPr>
            <w:tcW w:w="0" w:type="dxa"/>
            <w:vAlign w:val="bottom"/>
          </w:tcPr>
          <w:p>
            <w:pPr>
              <w:spacing w:after="0"/>
              <w:rPr>
                <w:sz w:val="1"/>
                <w:szCs w:val="1"/>
                <w:color w:val="auto"/>
              </w:rPr>
            </w:pPr>
          </w:p>
        </w:tc>
      </w:tr>
      <w:tr>
        <w:trPr>
          <w:trHeight w:val="129"/>
        </w:trPr>
        <w:tc>
          <w:tcPr>
            <w:tcW w:w="6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465"/>
              <w:spacing w:after="0" w:line="129"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29"/>
        </w:trPr>
        <w:tc>
          <w:tcPr>
            <w:tcW w:w="6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gridSpan w:val="3"/>
          </w:tcPr>
          <w:p>
            <w:pPr>
              <w:jc w:val="right"/>
              <w:ind w:right="483"/>
              <w:spacing w:after="0" w:line="129"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465"/>
              <w:spacing w:after="0" w:line="129" w:lineRule="exact"/>
              <w:rPr>
                <w:sz w:val="20"/>
                <w:szCs w:val="20"/>
                <w:color w:val="auto"/>
              </w:rPr>
            </w:pPr>
            <w:r>
              <w:rPr>
                <w:rFonts w:ascii="Arial" w:cs="Arial" w:eastAsia="Arial" w:hAnsi="Arial"/>
                <w:sz w:val="13"/>
                <w:szCs w:val="13"/>
                <w:b w:val="1"/>
                <w:bCs w:val="1"/>
                <w:color w:val="auto"/>
                <w:w w:val="82"/>
              </w:rPr>
              <w:t>Exercise</w:t>
            </w:r>
          </w:p>
        </w:tc>
        <w:tc>
          <w:tcPr>
            <w:tcW w:w="0" w:type="dxa"/>
            <w:vAlign w:val="bottom"/>
          </w:tcPr>
          <w:p>
            <w:pPr>
              <w:spacing w:after="0"/>
              <w:rPr>
                <w:sz w:val="1"/>
                <w:szCs w:val="1"/>
                <w:color w:val="auto"/>
              </w:rPr>
            </w:pPr>
          </w:p>
        </w:tc>
      </w:tr>
      <w:tr>
        <w:trPr>
          <w:trHeight w:val="149"/>
        </w:trPr>
        <w:tc>
          <w:tcPr>
            <w:tcW w:w="6300" w:type="dxa"/>
            <w:vAlign w:val="bottom"/>
            <w:tcBorders>
              <w:bottom w:val="single" w:sz="8" w:color="CFF0FC"/>
            </w:tcBorders>
          </w:tcPr>
          <w:p>
            <w:pPr>
              <w:spacing w:after="0"/>
              <w:rPr>
                <w:sz w:val="12"/>
                <w:szCs w:val="12"/>
                <w:color w:val="auto"/>
              </w:rPr>
            </w:pPr>
          </w:p>
        </w:tc>
        <w:tc>
          <w:tcPr>
            <w:tcW w:w="360" w:type="dxa"/>
            <w:vAlign w:val="bottom"/>
            <w:tcBorders>
              <w:bottom w:val="single" w:sz="8" w:color="CFF0FC"/>
            </w:tcBorders>
          </w:tcPr>
          <w:p>
            <w:pPr>
              <w:spacing w:after="0"/>
              <w:rPr>
                <w:sz w:val="12"/>
                <w:szCs w:val="12"/>
                <w:color w:val="auto"/>
              </w:rPr>
            </w:pPr>
          </w:p>
        </w:tc>
        <w:tc>
          <w:tcPr>
            <w:tcW w:w="9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w w:val="78"/>
              </w:rPr>
              <w:t>Shares</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465"/>
              <w:spacing w:after="0"/>
              <w:rPr>
                <w:sz w:val="20"/>
                <w:szCs w:val="20"/>
                <w:color w:val="auto"/>
              </w:rPr>
            </w:pPr>
            <w:r>
              <w:rPr>
                <w:rFonts w:ascii="Arial" w:cs="Arial" w:eastAsia="Arial" w:hAnsi="Arial"/>
                <w:sz w:val="13"/>
                <w:szCs w:val="13"/>
                <w:b w:val="1"/>
                <w:bCs w:val="1"/>
                <w:color w:val="auto"/>
                <w:w w:val="87"/>
              </w:rPr>
              <w:t>Price</w:t>
            </w:r>
          </w:p>
        </w:tc>
        <w:tc>
          <w:tcPr>
            <w:tcW w:w="0" w:type="dxa"/>
            <w:vAlign w:val="bottom"/>
          </w:tcPr>
          <w:p>
            <w:pPr>
              <w:spacing w:after="0"/>
              <w:rPr>
                <w:sz w:val="1"/>
                <w:szCs w:val="1"/>
                <w:color w:val="auto"/>
              </w:rPr>
            </w:pPr>
          </w:p>
        </w:tc>
      </w:tr>
      <w:tr>
        <w:trPr>
          <w:trHeight w:val="192"/>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Outstanding at March 31, 2017</w:t>
            </w: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1,520,953</w:t>
            </w: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00"/>
        </w:trPr>
        <w:tc>
          <w:tcPr>
            <w:tcW w:w="6300" w:type="dxa"/>
            <w:vAlign w:val="bottom"/>
          </w:tcPr>
          <w:p>
            <w:pPr>
              <w:ind w:left="200"/>
              <w:spacing w:after="0"/>
              <w:rPr>
                <w:sz w:val="20"/>
                <w:szCs w:val="20"/>
                <w:color w:val="auto"/>
              </w:rPr>
            </w:pPr>
            <w:r>
              <w:rPr>
                <w:rFonts w:ascii="Arial" w:cs="Arial" w:eastAsia="Arial" w:hAnsi="Arial"/>
                <w:sz w:val="16"/>
                <w:szCs w:val="16"/>
                <w:color w:val="auto"/>
              </w:rPr>
              <w:t>Granted</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Exercised</w:t>
            </w: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30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(891,286)</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45"/>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192"/>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March 31, 2018</w:t>
            </w:r>
          </w:p>
        </w:tc>
        <w:tc>
          <w:tcPr>
            <w:tcW w:w="360" w:type="dxa"/>
            <w:vAlign w:val="bottom"/>
            <w:tcBorders>
              <w:top w:val="single" w:sz="8" w:color="CFF0FC"/>
            </w:tcBorders>
            <w:shd w:val="clear" w:color="auto" w:fill="CFF0FC"/>
          </w:tcPr>
          <w:p>
            <w:pPr>
              <w:spacing w:after="0"/>
              <w:rPr>
                <w:sz w:val="16"/>
                <w:szCs w:val="16"/>
                <w:color w:val="auto"/>
              </w:rPr>
            </w:pPr>
          </w:p>
        </w:tc>
        <w:tc>
          <w:tcPr>
            <w:tcW w:w="9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629,667</w:t>
            </w:r>
          </w:p>
        </w:tc>
        <w:tc>
          <w:tcPr>
            <w:tcW w:w="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260" w:type="dxa"/>
            <w:vAlign w:val="bottom"/>
            <w:tcBorders>
              <w:top w:val="single" w:sz="8" w:color="CFF0FC"/>
            </w:tcBorders>
            <w:shd w:val="clear" w:color="auto" w:fill="CFF0FC"/>
          </w:tcPr>
          <w:p>
            <w:pPr>
              <w:jc w:val="right"/>
              <w:ind w:right="45"/>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00"/>
        </w:trPr>
        <w:tc>
          <w:tcPr>
            <w:tcW w:w="6300" w:type="dxa"/>
            <w:vAlign w:val="bottom"/>
          </w:tcPr>
          <w:p>
            <w:pPr>
              <w:ind w:left="200"/>
              <w:spacing w:after="0"/>
              <w:rPr>
                <w:sz w:val="20"/>
                <w:szCs w:val="20"/>
                <w:color w:val="auto"/>
              </w:rPr>
            </w:pPr>
            <w:r>
              <w:rPr>
                <w:rFonts w:ascii="Arial" w:cs="Arial" w:eastAsia="Arial" w:hAnsi="Arial"/>
                <w:sz w:val="16"/>
                <w:szCs w:val="16"/>
                <w:color w:val="auto"/>
              </w:rPr>
              <w:t>Granted</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Exercised</w:t>
            </w: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30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(161,831)</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45"/>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192"/>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March 31, 2019</w:t>
            </w:r>
          </w:p>
        </w:tc>
        <w:tc>
          <w:tcPr>
            <w:tcW w:w="360" w:type="dxa"/>
            <w:vAlign w:val="bottom"/>
            <w:tcBorders>
              <w:top w:val="single" w:sz="8" w:color="CFF0FC"/>
            </w:tcBorders>
            <w:shd w:val="clear" w:color="auto" w:fill="CFF0FC"/>
          </w:tcPr>
          <w:p>
            <w:pPr>
              <w:spacing w:after="0"/>
              <w:rPr>
                <w:sz w:val="16"/>
                <w:szCs w:val="16"/>
                <w:color w:val="auto"/>
              </w:rPr>
            </w:pPr>
          </w:p>
        </w:tc>
        <w:tc>
          <w:tcPr>
            <w:tcW w:w="9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467,836</w:t>
            </w:r>
          </w:p>
        </w:tc>
        <w:tc>
          <w:tcPr>
            <w:tcW w:w="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260" w:type="dxa"/>
            <w:vAlign w:val="bottom"/>
            <w:tcBorders>
              <w:top w:val="single" w:sz="8" w:color="CFF0FC"/>
            </w:tcBorders>
            <w:shd w:val="clear" w:color="auto" w:fill="CFF0FC"/>
          </w:tcPr>
          <w:p>
            <w:pPr>
              <w:jc w:val="right"/>
              <w:ind w:right="45"/>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00"/>
        </w:trPr>
        <w:tc>
          <w:tcPr>
            <w:tcW w:w="6300" w:type="dxa"/>
            <w:vAlign w:val="bottom"/>
          </w:tcPr>
          <w:p>
            <w:pPr>
              <w:ind w:left="200"/>
              <w:spacing w:after="0"/>
              <w:rPr>
                <w:sz w:val="20"/>
                <w:szCs w:val="20"/>
                <w:color w:val="auto"/>
              </w:rPr>
            </w:pPr>
            <w:r>
              <w:rPr>
                <w:rFonts w:ascii="Arial" w:cs="Arial" w:eastAsia="Arial" w:hAnsi="Arial"/>
                <w:sz w:val="16"/>
                <w:szCs w:val="16"/>
                <w:color w:val="auto"/>
              </w:rPr>
              <w:t>Granted</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Exercised</w:t>
            </w: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(22,362)</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0"/>
        </w:trPr>
        <w:tc>
          <w:tcPr>
            <w:tcW w:w="630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(49,174)</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45"/>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192"/>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March 31, 2020</w:t>
            </w:r>
          </w:p>
        </w:tc>
        <w:tc>
          <w:tcPr>
            <w:tcW w:w="360" w:type="dxa"/>
            <w:vAlign w:val="bottom"/>
            <w:tcBorders>
              <w:top w:val="single" w:sz="8" w:color="CFF0FC"/>
            </w:tcBorders>
            <w:shd w:val="clear" w:color="auto" w:fill="CFF0FC"/>
          </w:tcPr>
          <w:p>
            <w:pPr>
              <w:spacing w:after="0"/>
              <w:rPr>
                <w:sz w:val="16"/>
                <w:szCs w:val="16"/>
                <w:color w:val="auto"/>
              </w:rPr>
            </w:pPr>
          </w:p>
        </w:tc>
        <w:tc>
          <w:tcPr>
            <w:tcW w:w="9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auto"/>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spacing w:after="0"/>
              <w:rPr>
                <w:sz w:val="16"/>
                <w:szCs w:val="16"/>
                <w:color w:val="auto"/>
              </w:rPr>
            </w:pPr>
          </w:p>
        </w:tc>
        <w:tc>
          <w:tcPr>
            <w:tcW w:w="104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396,300</w:t>
            </w:r>
          </w:p>
        </w:tc>
        <w:tc>
          <w:tcPr>
            <w:tcW w:w="40" w:type="dxa"/>
            <w:vAlign w:val="bottom"/>
            <w:tcBorders>
              <w:top w:val="single" w:sz="8" w:color="auto"/>
              <w:bottom w:val="single" w:sz="8" w:color="auto"/>
            </w:tcBorders>
            <w:shd w:val="clear" w:color="auto" w:fill="CFF0FC"/>
          </w:tcPr>
          <w:p>
            <w:pPr>
              <w:spacing w:after="0"/>
              <w:rPr>
                <w:sz w:val="16"/>
                <w:szCs w:val="16"/>
                <w:color w:val="auto"/>
              </w:rPr>
            </w:pP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260" w:type="dxa"/>
            <w:vAlign w:val="bottom"/>
            <w:tcBorders>
              <w:top w:val="single" w:sz="8" w:color="CFF0FC"/>
            </w:tcBorders>
            <w:shd w:val="clear" w:color="auto" w:fill="CFF0FC"/>
          </w:tcPr>
          <w:p>
            <w:pPr>
              <w:jc w:val="right"/>
              <w:ind w:right="45"/>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6"/>
                <w:szCs w:val="16"/>
                <w:color w:val="auto"/>
              </w:rPr>
              <w:t>Exercisable at March 31, 2020</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396,300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The aggregate intrinsic value represents the total pre-tax intrinsic value, which is calculated as the difference between the exercise price of the underlying stock options and the fair value of Orion’s closing common stock price of $3.70 as of March 31, 2020.</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range of exercise prices on outstanding stock options at March 31,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0"/>
              </w:rPr>
              <w:t>March 31, 2020</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13"/>
        </w:trPr>
        <w:tc>
          <w:tcPr>
            <w:tcW w:w="66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jc w:val="center"/>
              <w:ind w:right="55"/>
              <w:spacing w:after="0" w:line="113" w:lineRule="exact"/>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29"/>
        </w:trPr>
        <w:tc>
          <w:tcPr>
            <w:tcW w:w="66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center"/>
              <w:ind w:right="55"/>
              <w:spacing w:after="0" w:line="129" w:lineRule="exact"/>
              <w:rPr>
                <w:sz w:val="20"/>
                <w:szCs w:val="20"/>
                <w:color w:val="auto"/>
              </w:rPr>
            </w:pPr>
            <w:r>
              <w:rPr>
                <w:rFonts w:ascii="Arial" w:cs="Arial" w:eastAsia="Arial" w:hAnsi="Arial"/>
                <w:sz w:val="13"/>
                <w:szCs w:val="13"/>
                <w:b w:val="1"/>
                <w:bCs w:val="1"/>
                <w:color w:val="auto"/>
                <w:w w:val="81"/>
              </w:rPr>
              <w:t>Average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289"/>
              <w:spacing w:after="0" w:line="129" w:lineRule="exact"/>
              <w:rPr>
                <w:sz w:val="20"/>
                <w:szCs w:val="20"/>
                <w:color w:val="auto"/>
              </w:rPr>
            </w:pPr>
            <w:r>
              <w:rPr>
                <w:rFonts w:ascii="Arial" w:cs="Arial" w:eastAsia="Arial" w:hAnsi="Arial"/>
                <w:sz w:val="13"/>
                <w:szCs w:val="13"/>
                <w:b w:val="1"/>
                <w:bCs w:val="1"/>
                <w:color w:val="auto"/>
                <w:w w:val="88"/>
              </w:rPr>
              <w:t>Weighted</w:t>
            </w:r>
          </w:p>
        </w:tc>
      </w:tr>
      <w:tr>
        <w:trPr>
          <w:trHeight w:val="129"/>
        </w:trPr>
        <w:tc>
          <w:tcPr>
            <w:tcW w:w="66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center"/>
              <w:ind w:right="55"/>
              <w:spacing w:after="0" w:line="129" w:lineRule="exact"/>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289"/>
              <w:spacing w:after="0" w:line="129" w:lineRule="exact"/>
              <w:rPr>
                <w:sz w:val="20"/>
                <w:szCs w:val="20"/>
                <w:color w:val="auto"/>
              </w:rPr>
            </w:pPr>
            <w:r>
              <w:rPr>
                <w:rFonts w:ascii="Arial" w:cs="Arial" w:eastAsia="Arial" w:hAnsi="Arial"/>
                <w:sz w:val="13"/>
                <w:szCs w:val="13"/>
                <w:b w:val="1"/>
                <w:bCs w:val="1"/>
                <w:color w:val="auto"/>
                <w:w w:val="85"/>
              </w:rPr>
              <w:t>Average</w:t>
            </w:r>
          </w:p>
        </w:tc>
      </w:tr>
      <w:tr>
        <w:trPr>
          <w:trHeight w:val="129"/>
        </w:trPr>
        <w:tc>
          <w:tcPr>
            <w:tcW w:w="66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center"/>
              <w:ind w:right="55"/>
              <w:spacing w:after="0" w:line="129" w:lineRule="exact"/>
              <w:rPr>
                <w:sz w:val="20"/>
                <w:szCs w:val="20"/>
                <w:color w:val="auto"/>
              </w:rPr>
            </w:pPr>
            <w:r>
              <w:rPr>
                <w:rFonts w:ascii="Arial" w:cs="Arial" w:eastAsia="Arial" w:hAnsi="Arial"/>
                <w:sz w:val="13"/>
                <w:szCs w:val="13"/>
                <w:b w:val="1"/>
                <w:bCs w:val="1"/>
                <w:color w:val="auto"/>
                <w:w w:val="91"/>
              </w:rPr>
              <w:t>Contractual</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289"/>
              <w:spacing w:after="0" w:line="129" w:lineRule="exact"/>
              <w:rPr>
                <w:sz w:val="20"/>
                <w:szCs w:val="20"/>
                <w:color w:val="auto"/>
              </w:rPr>
            </w:pPr>
            <w:r>
              <w:rPr>
                <w:rFonts w:ascii="Arial" w:cs="Arial" w:eastAsia="Arial" w:hAnsi="Arial"/>
                <w:sz w:val="13"/>
                <w:szCs w:val="13"/>
                <w:b w:val="1"/>
                <w:bCs w:val="1"/>
                <w:color w:val="auto"/>
                <w:w w:val="82"/>
              </w:rPr>
              <w:t>Exercise</w:t>
            </w:r>
          </w:p>
        </w:tc>
      </w:tr>
      <w:tr>
        <w:trPr>
          <w:trHeight w:val="149"/>
        </w:trPr>
        <w:tc>
          <w:tcPr>
            <w:tcW w:w="6660" w:type="dxa"/>
            <w:vAlign w:val="bottom"/>
            <w:tcBorders>
              <w:bottom w:val="single" w:sz="8" w:color="CFF0FC"/>
            </w:tcBorders>
          </w:tcPr>
          <w:p>
            <w:pPr>
              <w:spacing w:after="0"/>
              <w:rPr>
                <w:sz w:val="12"/>
                <w:szCs w:val="12"/>
                <w:color w:val="auto"/>
              </w:rPr>
            </w:pPr>
          </w:p>
        </w:tc>
        <w:tc>
          <w:tcPr>
            <w:tcW w:w="142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w w:val="84"/>
              </w:rPr>
              <w:t>Outstanding and Vested</w:t>
            </w:r>
          </w:p>
        </w:tc>
        <w:tc>
          <w:tcPr>
            <w:tcW w:w="160" w:type="dxa"/>
            <w:vAlign w:val="bottom"/>
            <w:tcBorders>
              <w:bottom w:val="single" w:sz="8" w:color="CFF0FC"/>
            </w:tcBorders>
          </w:tcPr>
          <w:p>
            <w:pPr>
              <w:spacing w:after="0"/>
              <w:rPr>
                <w:sz w:val="12"/>
                <w:szCs w:val="12"/>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87"/>
              </w:rPr>
              <w:t>Life (Years)</w:t>
            </w:r>
          </w:p>
        </w:tc>
        <w:tc>
          <w:tcPr>
            <w:tcW w:w="1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289"/>
              <w:spacing w:after="0"/>
              <w:rPr>
                <w:sz w:val="20"/>
                <w:szCs w:val="20"/>
                <w:color w:val="auto"/>
              </w:rPr>
            </w:pPr>
            <w:r>
              <w:rPr>
                <w:rFonts w:ascii="Arial" w:cs="Arial" w:eastAsia="Arial" w:hAnsi="Arial"/>
                <w:sz w:val="13"/>
                <w:szCs w:val="13"/>
                <w:b w:val="1"/>
                <w:bCs w:val="1"/>
                <w:color w:val="auto"/>
                <w:w w:val="87"/>
              </w:rPr>
              <w:t>Price</w:t>
            </w:r>
          </w:p>
        </w:tc>
      </w:tr>
      <w:tr>
        <w:trPr>
          <w:trHeight w:val="192"/>
        </w:trPr>
        <w:tc>
          <w:tcPr>
            <w:tcW w:w="6660" w:type="dxa"/>
            <w:vAlign w:val="bottom"/>
            <w:shd w:val="clear" w:color="auto" w:fill="CFF0FC"/>
          </w:tcPr>
          <w:p>
            <w:pPr>
              <w:jc w:val="right"/>
              <w:ind w:right="5822"/>
              <w:spacing w:after="0"/>
              <w:rPr>
                <w:sz w:val="20"/>
                <w:szCs w:val="20"/>
                <w:color w:val="auto"/>
              </w:rPr>
            </w:pPr>
            <w:r>
              <w:rPr>
                <w:rFonts w:ascii="Arial" w:cs="Arial" w:eastAsia="Arial" w:hAnsi="Arial"/>
                <w:sz w:val="16"/>
                <w:szCs w:val="16"/>
                <w:color w:val="auto"/>
                <w:w w:val="86"/>
              </w:rPr>
              <w:t>$1.62 - 2.20</w:t>
            </w:r>
          </w:p>
        </w:tc>
        <w:tc>
          <w:tcPr>
            <w:tcW w:w="142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133,292</w:t>
            </w: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55"/>
              <w:spacing w:after="0"/>
              <w:rPr>
                <w:sz w:val="20"/>
                <w:szCs w:val="20"/>
                <w:color w:val="auto"/>
              </w:rPr>
            </w:pPr>
            <w:r>
              <w:rPr>
                <w:rFonts w:ascii="Arial" w:cs="Arial" w:eastAsia="Arial" w:hAnsi="Arial"/>
                <w:sz w:val="16"/>
                <w:szCs w:val="16"/>
                <w:color w:val="auto"/>
              </w:rPr>
              <w:t>1.79</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6"/>
                <w:szCs w:val="16"/>
                <w:color w:val="auto"/>
              </w:rPr>
              <w:t>1.92</w:t>
            </w:r>
          </w:p>
        </w:tc>
      </w:tr>
      <w:tr>
        <w:trPr>
          <w:trHeight w:val="200"/>
        </w:trPr>
        <w:tc>
          <w:tcPr>
            <w:tcW w:w="6660" w:type="dxa"/>
            <w:vAlign w:val="bottom"/>
          </w:tcPr>
          <w:p>
            <w:pPr>
              <w:jc w:val="right"/>
              <w:ind w:right="5822"/>
              <w:spacing w:after="0"/>
              <w:rPr>
                <w:sz w:val="20"/>
                <w:szCs w:val="20"/>
                <w:color w:val="auto"/>
              </w:rPr>
            </w:pPr>
            <w:r>
              <w:rPr>
                <w:rFonts w:ascii="Arial" w:cs="Arial" w:eastAsia="Arial" w:hAnsi="Arial"/>
                <w:sz w:val="16"/>
                <w:szCs w:val="16"/>
                <w:color w:val="auto"/>
                <w:w w:val="86"/>
              </w:rPr>
              <w:t>$2.41 - 2.75</w:t>
            </w:r>
          </w:p>
        </w:tc>
        <w:tc>
          <w:tcPr>
            <w:tcW w:w="1420" w:type="dxa"/>
            <w:vAlign w:val="bottom"/>
          </w:tcPr>
          <w:p>
            <w:pPr>
              <w:jc w:val="right"/>
              <w:ind w:right="45"/>
              <w:spacing w:after="0"/>
              <w:rPr>
                <w:sz w:val="20"/>
                <w:szCs w:val="20"/>
                <w:color w:val="auto"/>
              </w:rPr>
            </w:pPr>
            <w:r>
              <w:rPr>
                <w:rFonts w:ascii="Arial" w:cs="Arial" w:eastAsia="Arial" w:hAnsi="Arial"/>
                <w:sz w:val="16"/>
                <w:szCs w:val="16"/>
                <w:color w:val="auto"/>
              </w:rPr>
              <w:t>98,936</w:t>
            </w:r>
          </w:p>
        </w:tc>
        <w:tc>
          <w:tcPr>
            <w:tcW w:w="1580" w:type="dxa"/>
            <w:vAlign w:val="bottom"/>
            <w:gridSpan w:val="2"/>
          </w:tcPr>
          <w:p>
            <w:pPr>
              <w:jc w:val="right"/>
              <w:ind w:right="55"/>
              <w:spacing w:after="0"/>
              <w:rPr>
                <w:sz w:val="20"/>
                <w:szCs w:val="20"/>
                <w:color w:val="auto"/>
              </w:rPr>
            </w:pPr>
            <w:r>
              <w:rPr>
                <w:rFonts w:ascii="Arial" w:cs="Arial" w:eastAsia="Arial" w:hAnsi="Arial"/>
                <w:sz w:val="16"/>
                <w:szCs w:val="16"/>
                <w:color w:val="auto"/>
              </w:rPr>
              <w:t>2.22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49"/>
              <w:spacing w:after="0"/>
              <w:rPr>
                <w:sz w:val="20"/>
                <w:szCs w:val="20"/>
                <w:color w:val="auto"/>
              </w:rPr>
            </w:pPr>
            <w:r>
              <w:rPr>
                <w:rFonts w:ascii="Arial" w:cs="Arial" w:eastAsia="Arial" w:hAnsi="Arial"/>
                <w:sz w:val="16"/>
                <w:szCs w:val="16"/>
                <w:color w:val="auto"/>
              </w:rPr>
              <w:t>2.48</w:t>
            </w:r>
          </w:p>
        </w:tc>
      </w:tr>
      <w:tr>
        <w:trPr>
          <w:trHeight w:val="200"/>
        </w:trPr>
        <w:tc>
          <w:tcPr>
            <w:tcW w:w="6660" w:type="dxa"/>
            <w:vAlign w:val="bottom"/>
            <w:shd w:val="clear" w:color="auto" w:fill="CFF0FC"/>
          </w:tcPr>
          <w:p>
            <w:pPr>
              <w:jc w:val="right"/>
              <w:ind w:right="5822"/>
              <w:spacing w:after="0"/>
              <w:rPr>
                <w:sz w:val="20"/>
                <w:szCs w:val="20"/>
                <w:color w:val="auto"/>
              </w:rPr>
            </w:pPr>
            <w:r>
              <w:rPr>
                <w:rFonts w:ascii="Arial" w:cs="Arial" w:eastAsia="Arial" w:hAnsi="Arial"/>
                <w:sz w:val="16"/>
                <w:szCs w:val="16"/>
                <w:color w:val="auto"/>
                <w:w w:val="86"/>
              </w:rPr>
              <w:t>$2.86 - 4.28</w:t>
            </w:r>
          </w:p>
        </w:tc>
        <w:tc>
          <w:tcPr>
            <w:tcW w:w="142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164,072</w:t>
            </w:r>
          </w:p>
        </w:tc>
        <w:tc>
          <w:tcPr>
            <w:tcW w:w="1580" w:type="dxa"/>
            <w:vAlign w:val="bottom"/>
            <w:gridSpan w:val="2"/>
            <w:shd w:val="clear" w:color="auto" w:fill="CFF0FC"/>
          </w:tcPr>
          <w:p>
            <w:pPr>
              <w:jc w:val="right"/>
              <w:ind w:right="55"/>
              <w:spacing w:after="0"/>
              <w:rPr>
                <w:sz w:val="20"/>
                <w:szCs w:val="20"/>
                <w:color w:val="auto"/>
              </w:rPr>
            </w:pPr>
            <w:r>
              <w:rPr>
                <w:rFonts w:ascii="Arial" w:cs="Arial" w:eastAsia="Arial" w:hAnsi="Arial"/>
                <w:sz w:val="16"/>
                <w:szCs w:val="16"/>
                <w:color w:val="auto"/>
              </w:rPr>
              <w:t>0.86</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6"/>
                <w:szCs w:val="16"/>
                <w:color w:val="auto"/>
              </w:rPr>
              <w:t>3.70</w:t>
            </w:r>
          </w:p>
        </w:tc>
      </w:tr>
      <w:tr>
        <w:trPr>
          <w:trHeight w:val="192"/>
        </w:trPr>
        <w:tc>
          <w:tcPr>
            <w:tcW w:w="6660" w:type="dxa"/>
            <w:vAlign w:val="bottom"/>
          </w:tcPr>
          <w:p>
            <w:pPr>
              <w:spacing w:after="0"/>
              <w:rPr>
                <w:sz w:val="16"/>
                <w:szCs w:val="16"/>
                <w:color w:val="auto"/>
              </w:rPr>
            </w:pPr>
          </w:p>
        </w:tc>
        <w:tc>
          <w:tcPr>
            <w:tcW w:w="14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396,300</w:t>
            </w:r>
          </w:p>
        </w:tc>
        <w:tc>
          <w:tcPr>
            <w:tcW w:w="1580" w:type="dxa"/>
            <w:vAlign w:val="bottom"/>
            <w:gridSpan w:val="2"/>
          </w:tcPr>
          <w:p>
            <w:pPr>
              <w:jc w:val="right"/>
              <w:ind w:right="55"/>
              <w:spacing w:after="0"/>
              <w:rPr>
                <w:sz w:val="20"/>
                <w:szCs w:val="20"/>
                <w:color w:val="auto"/>
              </w:rPr>
            </w:pPr>
            <w:r>
              <w:rPr>
                <w:rFonts w:ascii="Arial" w:cs="Arial" w:eastAsia="Arial" w:hAnsi="Arial"/>
                <w:sz w:val="16"/>
                <w:szCs w:val="16"/>
                <w:color w:val="auto"/>
              </w:rPr>
              <w:t>1.48</w:t>
            </w:r>
          </w:p>
        </w:tc>
        <w:tc>
          <w:tcPr>
            <w:tcW w:w="40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9"/>
              <w:spacing w:after="0"/>
              <w:rPr>
                <w:sz w:val="20"/>
                <w:szCs w:val="20"/>
                <w:color w:val="auto"/>
              </w:rPr>
            </w:pPr>
            <w:r>
              <w:rPr>
                <w:rFonts w:ascii="Arial" w:cs="Arial" w:eastAsia="Arial" w:hAnsi="Arial"/>
                <w:sz w:val="16"/>
                <w:szCs w:val="16"/>
                <w:color w:val="auto"/>
              </w:rPr>
              <w:t>2.80</w:t>
            </w: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9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fiscal 2020, Orion recognized seven thousand dollars of stock-based compensation expense related to stock options.</w:t>
      </w:r>
    </w:p>
    <w:p>
      <w:pPr>
        <w:spacing w:after="0" w:line="19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0"/>
        </w:trPr>
        <w:tc>
          <w:tcPr>
            <w:tcW w:w="9260" w:type="dxa"/>
            <w:vAlign w:val="bottom"/>
          </w:tcPr>
          <w:p>
            <w:pPr>
              <w:ind w:left="500"/>
              <w:spacing w:after="0"/>
              <w:rPr>
                <w:sz w:val="20"/>
                <w:szCs w:val="20"/>
                <w:color w:val="auto"/>
              </w:rPr>
            </w:pPr>
            <w:r>
              <w:rPr>
                <w:rFonts w:ascii="Arial" w:cs="Arial" w:eastAsia="Arial" w:hAnsi="Arial"/>
                <w:sz w:val="16"/>
                <w:szCs w:val="16"/>
                <w:color w:val="auto"/>
              </w:rPr>
              <w:t>During fiscal 2020, Orion granted restricted shares as follows:</w:t>
            </w:r>
          </w:p>
        </w:tc>
        <w:tc>
          <w:tcPr>
            <w:tcW w:w="2000" w:type="dxa"/>
            <w:vAlign w:val="bottom"/>
          </w:tcPr>
          <w:p>
            <w:pPr>
              <w:spacing w:after="0"/>
              <w:rPr>
                <w:sz w:val="17"/>
                <w:szCs w:val="17"/>
                <w:color w:val="auto"/>
              </w:rPr>
            </w:pPr>
          </w:p>
        </w:tc>
      </w:tr>
      <w:tr>
        <w:trPr>
          <w:trHeight w:val="213"/>
        </w:trPr>
        <w:tc>
          <w:tcPr>
            <w:tcW w:w="92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00"/>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Balance at March 31, 2019</w:t>
            </w:r>
          </w:p>
        </w:tc>
        <w:tc>
          <w:tcPr>
            <w:tcW w:w="20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1,312,593</w:t>
            </w:r>
          </w:p>
        </w:tc>
      </w:tr>
      <w:tr>
        <w:trPr>
          <w:trHeight w:val="200"/>
        </w:trPr>
        <w:tc>
          <w:tcPr>
            <w:tcW w:w="9260" w:type="dxa"/>
            <w:vAlign w:val="bottom"/>
          </w:tcPr>
          <w:p>
            <w:pPr>
              <w:spacing w:after="0"/>
              <w:rPr>
                <w:sz w:val="20"/>
                <w:szCs w:val="20"/>
                <w:color w:val="auto"/>
              </w:rPr>
            </w:pPr>
            <w:r>
              <w:rPr>
                <w:rFonts w:ascii="Arial" w:cs="Arial" w:eastAsia="Arial" w:hAnsi="Arial"/>
                <w:sz w:val="16"/>
                <w:szCs w:val="16"/>
                <w:color w:val="auto"/>
              </w:rPr>
              <w:t>Shares issued</w:t>
            </w:r>
          </w:p>
        </w:tc>
        <w:tc>
          <w:tcPr>
            <w:tcW w:w="2000" w:type="dxa"/>
            <w:vAlign w:val="bottom"/>
          </w:tcPr>
          <w:p>
            <w:pPr>
              <w:jc w:val="right"/>
              <w:ind w:right="62"/>
              <w:spacing w:after="0"/>
              <w:rPr>
                <w:sz w:val="20"/>
                <w:szCs w:val="20"/>
                <w:color w:val="auto"/>
              </w:rPr>
            </w:pPr>
            <w:r>
              <w:rPr>
                <w:rFonts w:ascii="Arial" w:cs="Arial" w:eastAsia="Arial" w:hAnsi="Arial"/>
                <w:sz w:val="16"/>
                <w:szCs w:val="16"/>
                <w:color w:val="auto"/>
              </w:rPr>
              <w:t>279,468</w:t>
            </w:r>
          </w:p>
        </w:tc>
      </w:tr>
      <w:tr>
        <w:trPr>
          <w:trHeight w:val="200"/>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Shares vested</w:t>
            </w:r>
          </w:p>
        </w:tc>
        <w:tc>
          <w:tcPr>
            <w:tcW w:w="20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(669,238)</w:t>
            </w:r>
          </w:p>
        </w:tc>
      </w:tr>
      <w:tr>
        <w:trPr>
          <w:trHeight w:val="200"/>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Shares forfeited</w:t>
            </w:r>
          </w:p>
        </w:tc>
        <w:tc>
          <w:tcPr>
            <w:tcW w:w="2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(150,103)</w:t>
            </w:r>
          </w:p>
        </w:tc>
      </w:tr>
      <w:tr>
        <w:trPr>
          <w:trHeight w:val="192"/>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Shares outstanding at March 31, 2020</w:t>
            </w:r>
          </w:p>
        </w:tc>
        <w:tc>
          <w:tcPr>
            <w:tcW w:w="20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772,720</w:t>
            </w:r>
          </w:p>
        </w:tc>
      </w:tr>
      <w:tr>
        <w:trPr>
          <w:trHeight w:val="200"/>
        </w:trPr>
        <w:tc>
          <w:tcPr>
            <w:tcW w:w="9260" w:type="dxa"/>
            <w:vAlign w:val="bottom"/>
          </w:tcPr>
          <w:p>
            <w:pPr>
              <w:spacing w:after="0"/>
              <w:rPr>
                <w:sz w:val="20"/>
                <w:szCs w:val="20"/>
                <w:color w:val="auto"/>
              </w:rPr>
            </w:pPr>
            <w:r>
              <w:rPr>
                <w:rFonts w:ascii="Arial" w:cs="Arial" w:eastAsia="Arial" w:hAnsi="Arial"/>
                <w:sz w:val="16"/>
                <w:szCs w:val="16"/>
                <w:color w:val="auto"/>
              </w:rPr>
              <w:t>Per share price on grant date</w:t>
            </w:r>
          </w:p>
        </w:tc>
        <w:tc>
          <w:tcPr>
            <w:tcW w:w="2000" w:type="dxa"/>
            <w:vAlign w:val="bottom"/>
          </w:tcPr>
          <w:p>
            <w:pPr>
              <w:jc w:val="right"/>
              <w:ind w:right="62"/>
              <w:spacing w:after="0"/>
              <w:rPr>
                <w:sz w:val="20"/>
                <w:szCs w:val="20"/>
                <w:color w:val="auto"/>
              </w:rPr>
            </w:pPr>
            <w:r>
              <w:rPr>
                <w:rFonts w:ascii="Arial" w:cs="Arial" w:eastAsia="Arial" w:hAnsi="Arial"/>
                <w:sz w:val="16"/>
                <w:szCs w:val="16"/>
                <w:color w:val="auto"/>
              </w:rPr>
              <w:t>$2.69 - 3.03</w:t>
            </w:r>
          </w:p>
        </w:tc>
      </w:tr>
    </w:tbl>
    <w:p>
      <w:pPr>
        <w:spacing w:after="0" w:line="2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fiscal 2020, Orion recognized $0.6 million of stock-based compensation expense related to restricted shares.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March 31, 2020, the weighted average grant-date fair value of restricted shares granted was $3.02.</w:t>
      </w:r>
    </w:p>
    <w:p>
      <w:pPr>
        <w:spacing w:after="0" w:line="193"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Unrecognized compensation cost related to non-vested common stock-based compensation as of March 31, 2020 is expected to be recognized as follows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Fiscal 2021</w:t>
            </w: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502</w:t>
            </w:r>
          </w:p>
        </w:tc>
      </w:tr>
      <w:tr>
        <w:trPr>
          <w:trHeight w:val="200"/>
        </w:trPr>
        <w:tc>
          <w:tcPr>
            <w:tcW w:w="9260" w:type="dxa"/>
            <w:vAlign w:val="bottom"/>
          </w:tcPr>
          <w:p>
            <w:pPr>
              <w:spacing w:after="0"/>
              <w:rPr>
                <w:sz w:val="20"/>
                <w:szCs w:val="20"/>
                <w:color w:val="auto"/>
              </w:rPr>
            </w:pPr>
            <w:r>
              <w:rPr>
                <w:rFonts w:ascii="Arial" w:cs="Arial" w:eastAsia="Arial" w:hAnsi="Arial"/>
                <w:sz w:val="16"/>
                <w:szCs w:val="16"/>
                <w:color w:val="auto"/>
              </w:rPr>
              <w:t>Fiscal 2022</w:t>
            </w:r>
          </w:p>
        </w:tc>
        <w:tc>
          <w:tcPr>
            <w:tcW w:w="680" w:type="dxa"/>
            <w:vAlign w:val="bottom"/>
          </w:tcPr>
          <w:p>
            <w:pPr>
              <w:spacing w:after="0"/>
              <w:rPr>
                <w:sz w:val="17"/>
                <w:szCs w:val="17"/>
                <w:color w:val="auto"/>
              </w:rPr>
            </w:pP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310</w:t>
            </w:r>
          </w:p>
        </w:tc>
      </w:tr>
      <w:tr>
        <w:trPr>
          <w:trHeight w:val="200"/>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Fiscal 2023</w:t>
            </w:r>
          </w:p>
        </w:tc>
        <w:tc>
          <w:tcPr>
            <w:tcW w:w="6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108</w:t>
            </w:r>
          </w:p>
        </w:tc>
      </w:tr>
      <w:tr>
        <w:trPr>
          <w:trHeight w:val="200"/>
        </w:trPr>
        <w:tc>
          <w:tcPr>
            <w:tcW w:w="9260" w:type="dxa"/>
            <w:vAlign w:val="bottom"/>
          </w:tcPr>
          <w:p>
            <w:pPr>
              <w:spacing w:after="0"/>
              <w:rPr>
                <w:sz w:val="20"/>
                <w:szCs w:val="20"/>
                <w:color w:val="auto"/>
              </w:rPr>
            </w:pPr>
            <w:r>
              <w:rPr>
                <w:rFonts w:ascii="Arial" w:cs="Arial" w:eastAsia="Arial" w:hAnsi="Arial"/>
                <w:sz w:val="16"/>
                <w:szCs w:val="16"/>
                <w:color w:val="auto"/>
              </w:rPr>
              <w:t>Fiscal 2024</w:t>
            </w:r>
          </w:p>
        </w:tc>
        <w:tc>
          <w:tcPr>
            <w:tcW w:w="680" w:type="dxa"/>
            <w:vAlign w:val="bottom"/>
          </w:tcPr>
          <w:p>
            <w:pPr>
              <w:spacing w:after="0"/>
              <w:rPr>
                <w:sz w:val="17"/>
                <w:szCs w:val="17"/>
                <w:color w:val="auto"/>
              </w:rPr>
            </w:pP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12</w:t>
            </w:r>
          </w:p>
        </w:tc>
      </w:tr>
      <w:tr>
        <w:trPr>
          <w:trHeight w:val="200"/>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Thereafter</w:t>
            </w:r>
          </w:p>
        </w:tc>
        <w:tc>
          <w:tcPr>
            <w:tcW w:w="6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6</w:t>
            </w:r>
          </w:p>
        </w:tc>
      </w:tr>
      <w:tr>
        <w:trPr>
          <w:trHeight w:val="192"/>
        </w:trPr>
        <w:tc>
          <w:tcPr>
            <w:tcW w:w="9260" w:type="dxa"/>
            <w:vAlign w:val="bottom"/>
          </w:tcPr>
          <w:p>
            <w:pPr>
              <w:spacing w:after="0"/>
              <w:rPr>
                <w:sz w:val="16"/>
                <w:szCs w:val="16"/>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938</w:t>
            </w:r>
          </w:p>
        </w:tc>
      </w:tr>
      <w:tr>
        <w:trPr>
          <w:trHeight w:val="200"/>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Remaining weighted average expected term</w:t>
            </w:r>
          </w:p>
        </w:tc>
        <w:tc>
          <w:tcPr>
            <w:tcW w:w="6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2.1 years</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 SEGMENT DATA</w:t>
      </w:r>
    </w:p>
    <w:p>
      <w:pPr>
        <w:spacing w:after="0" w:line="102"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Orion has the following business segments: Orion Engineered Services Division (“OES”), Orion Distribution Services Division (“ODS”), and Orion U.S. Markets Division (“USM”). The accounting policies are the same for each business segment as they are on a consolidated basis.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Orion Engineered Systems Division (“OES”)</w:t>
      </w:r>
    </w:p>
    <w:p>
      <w:pPr>
        <w:spacing w:after="0" w:line="98"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The OES segment develops and sells lighting products and provides construction and engineering services for Orion's commercial lighting and energy management systems. OES provides engineering, design, lighting products and in many cases turnkey solutions for large national accounts, governments, municipalities, schools and other customers.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Orion Distribution Services Division (“ODS”)</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ODS segment sells lighting products through manufacturer representative agencies and a network of North American broadline electrical distributors and contractors.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Orion U.S. Markets Division (“USM”)</w:t>
      </w:r>
    </w:p>
    <w:p>
      <w:pPr>
        <w:spacing w:after="0" w:line="98"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The USM segment sells commercial lighting systems and energy management systems to the wholesale contractor markets. USM customers include ESCOs and contractors.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i w:val="1"/>
          <w:iCs w:val="1"/>
          <w:color w:val="auto"/>
        </w:rPr>
        <w:t>Corporate and Other</w:t>
      </w:r>
    </w:p>
    <w:p>
      <w:pPr>
        <w:spacing w:after="0" w:line="98" w:lineRule="exact"/>
        <w:rPr>
          <w:sz w:val="20"/>
          <w:szCs w:val="20"/>
          <w:color w:val="auto"/>
        </w:rPr>
      </w:pPr>
    </w:p>
    <w:p>
      <w:pPr>
        <w:jc w:val="both"/>
        <w:ind w:right="40" w:firstLine="500"/>
        <w:spacing w:after="0" w:line="266" w:lineRule="auto"/>
        <w:rPr>
          <w:sz w:val="20"/>
          <w:szCs w:val="20"/>
          <w:color w:val="auto"/>
        </w:rPr>
      </w:pPr>
      <w:r>
        <w:rPr>
          <w:rFonts w:ascii="Arial" w:cs="Arial" w:eastAsia="Arial" w:hAnsi="Arial"/>
          <w:sz w:val="16"/>
          <w:szCs w:val="16"/>
          <w:color w:val="auto"/>
        </w:rPr>
        <w:t>Corporate and Other is comprised of operating expenses not directly allocated to Orion’s segments and adjustments to reconcile to consolidated results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225"/>
              <w:spacing w:after="0"/>
              <w:rPr>
                <w:sz w:val="20"/>
                <w:szCs w:val="20"/>
                <w:color w:val="auto"/>
              </w:rPr>
            </w:pPr>
            <w:r>
              <w:rPr>
                <w:rFonts w:ascii="Arial" w:cs="Arial" w:eastAsia="Arial" w:hAnsi="Arial"/>
                <w:sz w:val="13"/>
                <w:szCs w:val="13"/>
                <w:b w:val="1"/>
                <w:bCs w:val="1"/>
                <w:color w:val="auto"/>
                <w:w w:val="81"/>
              </w:rPr>
              <w:t>Revenues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gridSpan w:val="12"/>
          </w:tcPr>
          <w:p>
            <w:pPr>
              <w:jc w:val="center"/>
              <w:ind w:right="207"/>
              <w:spacing w:after="0"/>
              <w:rPr>
                <w:sz w:val="20"/>
                <w:szCs w:val="20"/>
                <w:color w:val="auto"/>
              </w:rPr>
            </w:pPr>
            <w:r>
              <w:rPr>
                <w:rFonts w:ascii="Arial" w:cs="Arial" w:eastAsia="Arial" w:hAnsi="Arial"/>
                <w:sz w:val="13"/>
                <w:szCs w:val="13"/>
                <w:b w:val="1"/>
                <w:bCs w:val="1"/>
                <w:color w:val="auto"/>
                <w:w w:val="87"/>
              </w:rPr>
              <w:t>Operating Income (Loss)</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spacing w:after="0"/>
              <w:rPr>
                <w:sz w:val="20"/>
                <w:szCs w:val="20"/>
                <w:color w:val="auto"/>
              </w:rPr>
            </w:pPr>
            <w:r>
              <w:rPr>
                <w:rFonts w:ascii="Arial" w:cs="Arial" w:eastAsia="Arial" w:hAnsi="Arial"/>
                <w:sz w:val="13"/>
                <w:szCs w:val="13"/>
                <w:color w:val="auto"/>
              </w:rPr>
              <w:t>(dollars in thousands)</w:t>
            </w:r>
          </w:p>
        </w:tc>
        <w:tc>
          <w:tcPr>
            <w:tcW w:w="2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7"/>
          </w:tcPr>
          <w:p>
            <w:pPr>
              <w:jc w:val="center"/>
              <w:ind w:left="467"/>
              <w:spacing w:after="0"/>
              <w:rPr>
                <w:sz w:val="20"/>
                <w:szCs w:val="20"/>
                <w:color w:val="auto"/>
              </w:rPr>
            </w:pPr>
            <w:r>
              <w:rPr>
                <w:rFonts w:ascii="Arial" w:cs="Arial" w:eastAsia="Arial" w:hAnsi="Arial"/>
                <w:sz w:val="13"/>
                <w:szCs w:val="13"/>
                <w:b w:val="1"/>
                <w:bCs w:val="1"/>
                <w:color w:val="auto"/>
                <w:w w:val="87"/>
              </w:rPr>
              <w:t>For the year ended March 31,</w:t>
            </w: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13"/>
          </w:tcPr>
          <w:p>
            <w:pPr>
              <w:jc w:val="center"/>
              <w:ind w:left="407"/>
              <w:spacing w:after="0"/>
              <w:rPr>
                <w:sz w:val="20"/>
                <w:szCs w:val="20"/>
                <w:color w:val="auto"/>
              </w:rPr>
            </w:pPr>
            <w:r>
              <w:rPr>
                <w:rFonts w:ascii="Arial" w:cs="Arial" w:eastAsia="Arial" w:hAnsi="Arial"/>
                <w:sz w:val="13"/>
                <w:szCs w:val="13"/>
                <w:b w:val="1"/>
                <w:bCs w:val="1"/>
                <w:color w:val="auto"/>
                <w:w w:val="88"/>
              </w:rPr>
              <w:t>For the year ended March 31,</w:t>
            </w: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427"/>
              <w:spacing w:after="0" w:line="133"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225"/>
              <w:spacing w:after="0" w:line="133" w:lineRule="exact"/>
              <w:rPr>
                <w:sz w:val="20"/>
                <w:szCs w:val="20"/>
                <w:color w:val="auto"/>
              </w:rPr>
            </w:pPr>
            <w:r>
              <w:rPr>
                <w:rFonts w:ascii="Arial" w:cs="Arial" w:eastAsia="Arial" w:hAnsi="Arial"/>
                <w:sz w:val="13"/>
                <w:szCs w:val="13"/>
                <w:b w:val="1"/>
                <w:bCs w:val="1"/>
                <w:color w:val="auto"/>
                <w:w w:val="89"/>
              </w:rPr>
              <w:t>2019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424"/>
              <w:spacing w:after="0" w:line="133" w:lineRule="exact"/>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387"/>
              <w:spacing w:after="0" w:line="133" w:lineRule="exact"/>
              <w:rPr>
                <w:sz w:val="20"/>
                <w:szCs w:val="20"/>
                <w:color w:val="auto"/>
              </w:rPr>
            </w:pPr>
            <w:r>
              <w:rPr>
                <w:rFonts w:ascii="Arial" w:cs="Arial" w:eastAsia="Arial" w:hAnsi="Arial"/>
                <w:sz w:val="13"/>
                <w:szCs w:val="13"/>
                <w:b w:val="1"/>
                <w:bCs w:val="1"/>
                <w:color w:val="auto"/>
              </w:rPr>
              <w:t>2020</w:t>
            </w:r>
          </w:p>
        </w:tc>
        <w:tc>
          <w:tcPr>
            <w:tcW w:w="920" w:type="dxa"/>
            <w:vAlign w:val="bottom"/>
            <w:gridSpan w:val="6"/>
          </w:tcPr>
          <w:p>
            <w:pPr>
              <w:jc w:val="center"/>
              <w:ind w:left="346"/>
              <w:spacing w:after="0" w:line="133" w:lineRule="exact"/>
              <w:rPr>
                <w:sz w:val="20"/>
                <w:szCs w:val="20"/>
                <w:color w:val="auto"/>
              </w:rPr>
            </w:pPr>
            <w:r>
              <w:rPr>
                <w:rFonts w:ascii="Arial" w:cs="Arial" w:eastAsia="Arial" w:hAnsi="Arial"/>
                <w:sz w:val="13"/>
                <w:szCs w:val="13"/>
                <w:b w:val="1"/>
                <w:bCs w:val="1"/>
                <w:color w:val="auto"/>
                <w:w w:val="89"/>
              </w:rPr>
              <w:t>2019</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463"/>
              <w:spacing w:after="0" w:line="133"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92"/>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Segments:</w:t>
            </w:r>
          </w:p>
        </w:tc>
        <w:tc>
          <w:tcPr>
            <w:tcW w:w="2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Engineered Systems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7"/>
              <w:spacing w:after="0"/>
              <w:rPr>
                <w:sz w:val="20"/>
                <w:szCs w:val="20"/>
                <w:color w:val="auto"/>
              </w:rPr>
            </w:pPr>
            <w:r>
              <w:rPr>
                <w:rFonts w:ascii="Arial" w:cs="Arial" w:eastAsia="Arial" w:hAnsi="Arial"/>
                <w:sz w:val="16"/>
                <w:szCs w:val="16"/>
                <w:color w:val="auto"/>
              </w:rPr>
              <w:t>122,744</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30,925</w:t>
            </w:r>
          </w:p>
        </w:tc>
        <w:tc>
          <w:tcPr>
            <w:tcW w:w="360" w:type="dxa"/>
            <w:vAlign w:val="bottom"/>
            <w:gridSpan w:val="3"/>
          </w:tcPr>
          <w:p>
            <w:pPr>
              <w:jc w:val="right"/>
              <w:ind w:right="8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23,827</w:t>
            </w:r>
          </w:p>
        </w:tc>
        <w:tc>
          <w:tcPr>
            <w:tcW w:w="300" w:type="dxa"/>
            <w:vAlign w:val="bottom"/>
            <w:gridSpan w:val="4"/>
          </w:tcPr>
          <w:p>
            <w:pPr>
              <w:jc w:val="right"/>
              <w:ind w:right="27"/>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7"/>
              <w:spacing w:after="0"/>
              <w:rPr>
                <w:sz w:val="20"/>
                <w:szCs w:val="20"/>
                <w:color w:val="auto"/>
              </w:rPr>
            </w:pPr>
            <w:r>
              <w:rPr>
                <w:rFonts w:ascii="Arial" w:cs="Arial" w:eastAsia="Arial" w:hAnsi="Arial"/>
                <w:sz w:val="16"/>
                <w:szCs w:val="16"/>
                <w:color w:val="auto"/>
              </w:rPr>
              <w:t>16,164</w:t>
            </w:r>
          </w:p>
        </w:tc>
        <w:tc>
          <w:tcPr>
            <w:tcW w:w="740" w:type="dxa"/>
            <w:vAlign w:val="bottom"/>
            <w:gridSpan w:val="5"/>
          </w:tcPr>
          <w:p>
            <w:pPr>
              <w:jc w:val="right"/>
              <w:ind w:right="432"/>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94"/>
              </w:rPr>
              <w:t>(1,237)</w:t>
            </w:r>
          </w:p>
        </w:tc>
        <w:tc>
          <w:tcPr>
            <w:tcW w:w="380" w:type="dxa"/>
            <w:vAlign w:val="bottom"/>
            <w:gridSpan w:val="5"/>
          </w:tcPr>
          <w:p>
            <w:pPr>
              <w:jc w:val="right"/>
              <w:ind w:right="87"/>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(3,792)</w:t>
            </w:r>
          </w:p>
        </w:tc>
        <w:tc>
          <w:tcPr>
            <w:tcW w:w="0" w:type="dxa"/>
            <w:vAlign w:val="bottom"/>
          </w:tcPr>
          <w:p>
            <w:pPr>
              <w:spacing w:after="0"/>
              <w:rPr>
                <w:sz w:val="1"/>
                <w:szCs w:val="1"/>
                <w:color w:val="auto"/>
              </w:rPr>
            </w:pP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Distribution Services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7"/>
              <w:spacing w:after="0"/>
              <w:rPr>
                <w:sz w:val="20"/>
                <w:szCs w:val="20"/>
                <w:color w:val="auto"/>
              </w:rPr>
            </w:pPr>
            <w:r>
              <w:rPr>
                <w:rFonts w:ascii="Arial" w:cs="Arial" w:eastAsia="Arial" w:hAnsi="Arial"/>
                <w:sz w:val="16"/>
                <w:szCs w:val="16"/>
                <w:color w:val="auto"/>
              </w:rPr>
              <w:t>15,087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24,173</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27,906</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(852)</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4"/>
              </w:rPr>
              <w:t>(1,742)</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U.S. Markets</w:t>
            </w:r>
          </w:p>
        </w:tc>
        <w:tc>
          <w:tcPr>
            <w:tcW w:w="220" w:type="dxa"/>
            <w:vAlign w:val="bottom"/>
          </w:tcPr>
          <w:p>
            <w:pPr>
              <w:spacing w:after="0"/>
              <w:rPr>
                <w:sz w:val="17"/>
                <w:szCs w:val="17"/>
                <w:color w:val="auto"/>
              </w:rPr>
            </w:pPr>
          </w:p>
        </w:tc>
        <w:tc>
          <w:tcPr>
            <w:tcW w:w="900" w:type="dxa"/>
            <w:vAlign w:val="bottom"/>
          </w:tcPr>
          <w:p>
            <w:pPr>
              <w:jc w:val="right"/>
              <w:ind w:right="27"/>
              <w:spacing w:after="0"/>
              <w:rPr>
                <w:sz w:val="20"/>
                <w:szCs w:val="20"/>
                <w:color w:val="auto"/>
              </w:rPr>
            </w:pPr>
            <w:r>
              <w:rPr>
                <w:rFonts w:ascii="Arial" w:cs="Arial" w:eastAsia="Arial" w:hAnsi="Arial"/>
                <w:sz w:val="16"/>
                <w:szCs w:val="16"/>
                <w:color w:val="auto"/>
              </w:rPr>
              <w:t>13,010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10,656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8,567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7"/>
              <w:spacing w:after="0"/>
              <w:rPr>
                <w:sz w:val="20"/>
                <w:szCs w:val="20"/>
                <w:color w:val="auto"/>
              </w:rPr>
            </w:pPr>
            <w:r>
              <w:rPr>
                <w:rFonts w:ascii="Arial" w:cs="Arial" w:eastAsia="Arial" w:hAnsi="Arial"/>
                <w:sz w:val="16"/>
                <w:szCs w:val="16"/>
                <w:color w:val="auto"/>
              </w:rPr>
              <w:t>2,447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gridSpan w:val="2"/>
          </w:tcPr>
          <w:p>
            <w:pPr>
              <w:jc w:val="right"/>
              <w:ind w:right="27"/>
              <w:spacing w:after="0"/>
              <w:rPr>
                <w:sz w:val="20"/>
                <w:szCs w:val="20"/>
                <w:color w:val="auto"/>
              </w:rPr>
            </w:pPr>
            <w:r>
              <w:rPr>
                <w:rFonts w:ascii="Arial" w:cs="Arial" w:eastAsia="Arial" w:hAnsi="Arial"/>
                <w:sz w:val="16"/>
                <w:szCs w:val="16"/>
                <w:color w:val="auto"/>
              </w:rPr>
              <w:t>1,132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(3,123)</w:t>
            </w:r>
          </w:p>
        </w:tc>
        <w:tc>
          <w:tcPr>
            <w:tcW w:w="0" w:type="dxa"/>
            <w:vAlign w:val="bottom"/>
          </w:tcPr>
          <w:p>
            <w:pPr>
              <w:spacing w:after="0"/>
              <w:rPr>
                <w:sz w:val="1"/>
                <w:szCs w:val="1"/>
                <w:color w:val="auto"/>
              </w:rPr>
            </w:pP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(4,649)</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4"/>
              </w:rPr>
              <w:t>(4,310)</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(5,741)</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6"/>
                <w:szCs w:val="16"/>
                <w:color w:val="auto"/>
              </w:rPr>
              <w:t>150,841</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65,754</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60,300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6"/>
                <w:szCs w:val="16"/>
                <w:color w:val="auto"/>
              </w:rPr>
              <w:t>13,110</w:t>
            </w:r>
          </w:p>
        </w:tc>
        <w:tc>
          <w:tcPr>
            <w:tcW w:w="4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gridSpan w:val="2"/>
          </w:tcPr>
          <w:p>
            <w:pPr>
              <w:jc w:val="right"/>
              <w:ind w:right="43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4"/>
              </w:rPr>
              <w:t>(6,157)</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gridSpan w:val="2"/>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(12,981)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7"/>
          </w:tcPr>
          <w:p>
            <w:pPr>
              <w:jc w:val="center"/>
              <w:ind w:left="487"/>
              <w:spacing w:after="0"/>
              <w:rPr>
                <w:sz w:val="20"/>
                <w:szCs w:val="20"/>
                <w:color w:val="auto"/>
              </w:rPr>
            </w:pPr>
            <w:r>
              <w:rPr>
                <w:rFonts w:ascii="Arial" w:cs="Arial" w:eastAsia="Arial" w:hAnsi="Arial"/>
                <w:sz w:val="13"/>
                <w:szCs w:val="13"/>
                <w:b w:val="1"/>
                <w:bCs w:val="1"/>
                <w:color w:val="auto"/>
                <w:w w:val="89"/>
              </w:rPr>
              <w:t>Depreciation and Amortization</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9"/>
              </w:rPr>
              <w:t>Capital Expenditures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7"/>
          </w:tcPr>
          <w:p>
            <w:pPr>
              <w:jc w:val="center"/>
              <w:ind w:left="487"/>
              <w:spacing w:after="0"/>
              <w:rPr>
                <w:sz w:val="20"/>
                <w:szCs w:val="20"/>
                <w:color w:val="auto"/>
              </w:rPr>
            </w:pPr>
            <w:r>
              <w:rPr>
                <w:rFonts w:ascii="Arial" w:cs="Arial" w:eastAsia="Arial" w:hAnsi="Arial"/>
                <w:sz w:val="13"/>
                <w:szCs w:val="13"/>
                <w:b w:val="1"/>
                <w:bCs w:val="1"/>
                <w:color w:val="auto"/>
                <w:w w:val="88"/>
              </w:rPr>
              <w:t>For the year ended March 31,</w:t>
            </w: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13"/>
          </w:tcPr>
          <w:p>
            <w:pPr>
              <w:jc w:val="center"/>
              <w:ind w:left="447"/>
              <w:spacing w:after="0"/>
              <w:rPr>
                <w:sz w:val="20"/>
                <w:szCs w:val="20"/>
                <w:color w:val="auto"/>
              </w:rPr>
            </w:pPr>
            <w:r>
              <w:rPr>
                <w:rFonts w:ascii="Arial" w:cs="Arial" w:eastAsia="Arial" w:hAnsi="Arial"/>
                <w:sz w:val="13"/>
                <w:szCs w:val="13"/>
                <w:b w:val="1"/>
                <w:bCs w:val="1"/>
                <w:color w:val="auto"/>
                <w:w w:val="88"/>
              </w:rPr>
              <w:t>For the year ended March 31,</w:t>
            </w: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427"/>
              <w:spacing w:after="0" w:line="133"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225"/>
              <w:spacing w:after="0" w:line="133" w:lineRule="exact"/>
              <w:rPr>
                <w:sz w:val="20"/>
                <w:szCs w:val="20"/>
                <w:color w:val="auto"/>
              </w:rPr>
            </w:pPr>
            <w:r>
              <w:rPr>
                <w:rFonts w:ascii="Arial" w:cs="Arial" w:eastAsia="Arial" w:hAnsi="Arial"/>
                <w:sz w:val="13"/>
                <w:szCs w:val="13"/>
                <w:b w:val="1"/>
                <w:bCs w:val="1"/>
                <w:color w:val="auto"/>
                <w:w w:val="89"/>
              </w:rPr>
              <w:t>2019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404"/>
              <w:spacing w:after="0" w:line="133" w:lineRule="exact"/>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367"/>
              <w:spacing w:after="0" w:line="133" w:lineRule="exact"/>
              <w:rPr>
                <w:sz w:val="20"/>
                <w:szCs w:val="20"/>
                <w:color w:val="auto"/>
              </w:rPr>
            </w:pPr>
            <w:r>
              <w:rPr>
                <w:rFonts w:ascii="Arial" w:cs="Arial" w:eastAsia="Arial" w:hAnsi="Arial"/>
                <w:sz w:val="13"/>
                <w:szCs w:val="13"/>
                <w:b w:val="1"/>
                <w:bCs w:val="1"/>
                <w:color w:val="auto"/>
              </w:rPr>
              <w:t>2020</w:t>
            </w:r>
          </w:p>
        </w:tc>
        <w:tc>
          <w:tcPr>
            <w:tcW w:w="920" w:type="dxa"/>
            <w:vAlign w:val="bottom"/>
            <w:gridSpan w:val="6"/>
          </w:tcPr>
          <w:p>
            <w:pPr>
              <w:jc w:val="center"/>
              <w:ind w:left="386"/>
              <w:spacing w:after="0" w:line="133" w:lineRule="exact"/>
              <w:rPr>
                <w:sz w:val="20"/>
                <w:szCs w:val="20"/>
                <w:color w:val="auto"/>
              </w:rPr>
            </w:pPr>
            <w:r>
              <w:rPr>
                <w:rFonts w:ascii="Arial" w:cs="Arial" w:eastAsia="Arial" w:hAnsi="Arial"/>
                <w:sz w:val="13"/>
                <w:szCs w:val="13"/>
                <w:b w:val="1"/>
                <w:bCs w:val="1"/>
                <w:color w:val="auto"/>
                <w:w w:val="89"/>
              </w:rPr>
              <w:t>2019</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443"/>
              <w:spacing w:after="0" w:line="133"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92"/>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Segments:</w:t>
            </w:r>
          </w:p>
        </w:tc>
        <w:tc>
          <w:tcPr>
            <w:tcW w:w="2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Engineered Systems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7"/>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774</w:t>
            </w:r>
          </w:p>
        </w:tc>
        <w:tc>
          <w:tcPr>
            <w:tcW w:w="36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988</w:t>
            </w:r>
          </w:p>
        </w:tc>
        <w:tc>
          <w:tcPr>
            <w:tcW w:w="300" w:type="dxa"/>
            <w:vAlign w:val="bottom"/>
            <w:gridSpan w:val="4"/>
          </w:tcPr>
          <w:p>
            <w:pPr>
              <w:jc w:val="right"/>
              <w:ind w:right="7"/>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302</w:t>
            </w:r>
          </w:p>
        </w:tc>
        <w:tc>
          <w:tcPr>
            <w:tcW w:w="740" w:type="dxa"/>
            <w:vAlign w:val="bottom"/>
            <w:gridSpan w:val="5"/>
          </w:tcPr>
          <w:p>
            <w:pPr>
              <w:jc w:val="right"/>
              <w:ind w:right="412"/>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7"/>
              <w:spacing w:after="0"/>
              <w:rPr>
                <w:sz w:val="20"/>
                <w:szCs w:val="20"/>
                <w:color w:val="auto"/>
              </w:rPr>
            </w:pPr>
            <w:r>
              <w:rPr>
                <w:rFonts w:ascii="Arial" w:cs="Arial" w:eastAsia="Arial" w:hAnsi="Arial"/>
                <w:sz w:val="16"/>
                <w:szCs w:val="16"/>
                <w:color w:val="auto"/>
              </w:rPr>
              <w:t>165</w:t>
            </w:r>
          </w:p>
        </w:tc>
        <w:tc>
          <w:tcPr>
            <w:tcW w:w="380" w:type="dxa"/>
            <w:vAlign w:val="bottom"/>
            <w:gridSpan w:val="5"/>
          </w:tcPr>
          <w:p>
            <w:pPr>
              <w:jc w:val="right"/>
              <w:ind w:right="67"/>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Distribution Services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275</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7"/>
              <w:spacing w:after="0"/>
              <w:rPr>
                <w:sz w:val="20"/>
                <w:szCs w:val="20"/>
                <w:color w:val="auto"/>
              </w:rPr>
            </w:pPr>
            <w:r>
              <w:rPr>
                <w:rFonts w:ascii="Arial" w:cs="Arial" w:eastAsia="Arial" w:hAnsi="Arial"/>
                <w:sz w:val="16"/>
                <w:szCs w:val="16"/>
                <w:color w:val="auto"/>
              </w:rPr>
              <w:t>44</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U.S. Markets</w:t>
            </w:r>
          </w:p>
        </w:tc>
        <w:tc>
          <w:tcPr>
            <w:tcW w:w="220" w:type="dxa"/>
            <w:vAlign w:val="bottom"/>
          </w:tcPr>
          <w:p>
            <w:pPr>
              <w:spacing w:after="0"/>
              <w:rPr>
                <w:sz w:val="17"/>
                <w:szCs w:val="17"/>
                <w:color w:val="auto"/>
              </w:rPr>
            </w:pPr>
          </w:p>
        </w:tc>
        <w:tc>
          <w:tcPr>
            <w:tcW w:w="900" w:type="dxa"/>
            <w:vAlign w:val="bottom"/>
          </w:tcPr>
          <w:p>
            <w:pPr>
              <w:jc w:val="right"/>
              <w:ind w:right="47"/>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267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gridSpan w:val="2"/>
          </w:tcPr>
          <w:p>
            <w:pPr>
              <w:jc w:val="right"/>
              <w:ind w:right="7"/>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481</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353</w:t>
            </w:r>
          </w:p>
        </w:tc>
        <w:tc>
          <w:tcPr>
            <w:tcW w:w="4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6"/>
                <w:szCs w:val="16"/>
                <w:color w:val="auto"/>
              </w:rPr>
              <w:t>215</w:t>
            </w:r>
          </w:p>
        </w:tc>
        <w:tc>
          <w:tcPr>
            <w:tcW w:w="2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1,783</w:t>
            </w:r>
          </w:p>
        </w:tc>
        <w:tc>
          <w:tcPr>
            <w:tcW w:w="140" w:type="dxa"/>
            <w:vAlign w:val="bottom"/>
            <w:gridSpan w:val="2"/>
          </w:tcPr>
          <w:p>
            <w:pPr>
              <w:spacing w:after="0"/>
              <w:rPr>
                <w:sz w:val="16"/>
                <w:szCs w:val="16"/>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2,011</w:t>
            </w:r>
          </w:p>
        </w:tc>
        <w:tc>
          <w:tcPr>
            <w:tcW w:w="20" w:type="dxa"/>
            <w:vAlign w:val="bottom"/>
            <w:tcBorders>
              <w:bottom w:val="single" w:sz="8" w:color="auto"/>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60" w:type="dxa"/>
            <w:vAlign w:val="bottom"/>
            <w:tcBorders>
              <w:bottom w:val="single" w:sz="8" w:color="auto"/>
            </w:tcBorders>
            <w:gridSpan w:val="2"/>
          </w:tcPr>
          <w:p>
            <w:pPr>
              <w:spacing w:after="0"/>
              <w:rPr>
                <w:sz w:val="16"/>
                <w:szCs w:val="16"/>
                <w:color w:val="auto"/>
              </w:rPr>
            </w:pPr>
          </w:p>
        </w:tc>
        <w:tc>
          <w:tcPr>
            <w:tcW w:w="120" w:type="dxa"/>
            <w:vAlign w:val="bottom"/>
            <w:gridSpan w:val="2"/>
          </w:tcPr>
          <w:p>
            <w:pPr>
              <w:spacing w:after="0"/>
              <w:rPr>
                <w:sz w:val="16"/>
                <w:szCs w:val="16"/>
                <w:color w:val="auto"/>
              </w:rPr>
            </w:pPr>
          </w:p>
        </w:tc>
        <w:tc>
          <w:tcPr>
            <w:tcW w:w="560" w:type="dxa"/>
            <w:vAlign w:val="bottom"/>
            <w:tcBorders>
              <w:bottom w:val="single" w:sz="8" w:color="auto"/>
            </w:tcBorders>
          </w:tcPr>
          <w:p>
            <w:pPr>
              <w:jc w:val="right"/>
              <w:ind w:right="412"/>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6"/>
                <w:szCs w:val="16"/>
                <w:color w:val="auto"/>
              </w:rPr>
              <w:t>455</w:t>
            </w:r>
          </w:p>
        </w:tc>
        <w:tc>
          <w:tcPr>
            <w:tcW w:w="40" w:type="dxa"/>
            <w:vAlign w:val="bottom"/>
            <w:tcBorders>
              <w:bottom w:val="single" w:sz="8" w:color="auto"/>
            </w:tcBorders>
            <w:gridSpan w:val="2"/>
          </w:tcPr>
          <w:p>
            <w:pPr>
              <w:spacing w:after="0"/>
              <w:rPr>
                <w:sz w:val="16"/>
                <w:szCs w:val="16"/>
                <w:color w:val="auto"/>
              </w:rPr>
            </w:pPr>
          </w:p>
        </w:tc>
        <w:tc>
          <w:tcPr>
            <w:tcW w:w="120" w:type="dxa"/>
            <w:vAlign w:val="bottom"/>
            <w:gridSpan w:val="2"/>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3"/>
                <w:szCs w:val="13"/>
                <w:b w:val="1"/>
                <w:bCs w:val="1"/>
                <w:color w:val="auto"/>
              </w:rPr>
              <w:t>Total Assets</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9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9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6"/>
          </w:tcPr>
          <w:p>
            <w:pPr>
              <w:jc w:val="right"/>
              <w:ind w:right="412"/>
              <w:spacing w:after="0" w:line="133" w:lineRule="exact"/>
              <w:rPr>
                <w:sz w:val="20"/>
                <w:szCs w:val="20"/>
                <w:color w:val="auto"/>
              </w:rPr>
            </w:pPr>
            <w:r>
              <w:rPr>
                <w:rFonts w:ascii="Arial" w:cs="Arial" w:eastAsia="Arial" w:hAnsi="Arial"/>
                <w:sz w:val="13"/>
                <w:szCs w:val="13"/>
                <w:b w:val="1"/>
                <w:bCs w:val="1"/>
                <w:color w:val="auto"/>
              </w:rPr>
              <w:t>March 31, 2020</w:t>
            </w:r>
          </w:p>
        </w:tc>
        <w:tc>
          <w:tcPr>
            <w:tcW w:w="180" w:type="dxa"/>
            <w:vAlign w:val="bottom"/>
            <w:tcBorders>
              <w:bottom w:val="single" w:sz="8" w:color="CFF0FC"/>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6"/>
          </w:tcPr>
          <w:p>
            <w:pPr>
              <w:jc w:val="right"/>
              <w:ind w:right="403"/>
              <w:spacing w:after="0" w:line="133" w:lineRule="exact"/>
              <w:rPr>
                <w:sz w:val="20"/>
                <w:szCs w:val="20"/>
                <w:color w:val="auto"/>
              </w:rPr>
            </w:pPr>
            <w:r>
              <w:rPr>
                <w:rFonts w:ascii="Arial" w:cs="Arial" w:eastAsia="Arial" w:hAnsi="Arial"/>
                <w:sz w:val="13"/>
                <w:szCs w:val="13"/>
                <w:b w:val="1"/>
                <w:bCs w:val="1"/>
                <w:color w:val="auto"/>
                <w:w w:val="88"/>
              </w:rPr>
              <w:t>March 31, 2019</w:t>
            </w:r>
          </w:p>
        </w:tc>
        <w:tc>
          <w:tcPr>
            <w:tcW w:w="0" w:type="dxa"/>
            <w:vAlign w:val="bottom"/>
          </w:tcPr>
          <w:p>
            <w:pPr>
              <w:spacing w:after="0"/>
              <w:rPr>
                <w:sz w:val="1"/>
                <w:szCs w:val="1"/>
                <w:color w:val="auto"/>
              </w:rPr>
            </w:pPr>
          </w:p>
        </w:tc>
      </w:tr>
      <w:tr>
        <w:trPr>
          <w:trHeight w:val="192"/>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Segments:</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Engineered Systems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gridSpan w:val="5"/>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740" w:type="dxa"/>
            <w:vAlign w:val="bottom"/>
            <w:gridSpan w:val="5"/>
          </w:tcPr>
          <w:p>
            <w:pPr>
              <w:jc w:val="right"/>
              <w:ind w:right="52"/>
              <w:spacing w:after="0"/>
              <w:rPr>
                <w:sz w:val="20"/>
                <w:szCs w:val="20"/>
                <w:color w:val="auto"/>
              </w:rPr>
            </w:pPr>
            <w:r>
              <w:rPr>
                <w:rFonts w:ascii="Arial" w:cs="Arial" w:eastAsia="Arial" w:hAnsi="Arial"/>
                <w:sz w:val="16"/>
                <w:szCs w:val="16"/>
                <w:color w:val="auto"/>
              </w:rPr>
              <w:t>22,354</w:t>
            </w:r>
          </w:p>
        </w:tc>
        <w:tc>
          <w:tcPr>
            <w:tcW w:w="540" w:type="dxa"/>
            <w:vAlign w:val="bottom"/>
            <w:gridSpan w:val="2"/>
          </w:tcPr>
          <w:p>
            <w:pPr>
              <w:jc w:val="right"/>
              <w:ind w:right="207"/>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28,486</w:t>
            </w:r>
          </w:p>
        </w:tc>
        <w:tc>
          <w:tcPr>
            <w:tcW w:w="0" w:type="dxa"/>
            <w:vAlign w:val="bottom"/>
          </w:tcPr>
          <w:p>
            <w:pPr>
              <w:spacing w:after="0"/>
              <w:rPr>
                <w:sz w:val="1"/>
                <w:szCs w:val="1"/>
                <w:color w:val="auto"/>
              </w:rPr>
            </w:pP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Distribution Services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740" w:type="dxa"/>
            <w:vAlign w:val="bottom"/>
            <w:gridSpan w:val="5"/>
            <w:shd w:val="clear" w:color="auto" w:fill="CFF0FC"/>
          </w:tcPr>
          <w:p>
            <w:pPr>
              <w:jc w:val="right"/>
              <w:ind w:right="52"/>
              <w:spacing w:after="0"/>
              <w:rPr>
                <w:sz w:val="20"/>
                <w:szCs w:val="20"/>
                <w:color w:val="auto"/>
              </w:rPr>
            </w:pPr>
            <w:r>
              <w:rPr>
                <w:rFonts w:ascii="Arial" w:cs="Arial" w:eastAsia="Arial" w:hAnsi="Arial"/>
                <w:sz w:val="16"/>
                <w:szCs w:val="16"/>
                <w:color w:val="auto"/>
              </w:rPr>
              <w:t>5,502</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5,704</w:t>
            </w: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U.S. Markets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gridSpan w:val="5"/>
          </w:tcPr>
          <w:p>
            <w:pPr>
              <w:jc w:val="right"/>
              <w:ind w:right="52"/>
              <w:spacing w:after="0"/>
              <w:rPr>
                <w:sz w:val="20"/>
                <w:szCs w:val="20"/>
                <w:color w:val="auto"/>
              </w:rPr>
            </w:pPr>
            <w:r>
              <w:rPr>
                <w:rFonts w:ascii="Arial" w:cs="Arial" w:eastAsia="Arial" w:hAnsi="Arial"/>
                <w:sz w:val="16"/>
                <w:szCs w:val="16"/>
                <w:color w:val="auto"/>
              </w:rPr>
              <w:t>4,859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4,578</w:t>
            </w:r>
          </w:p>
        </w:tc>
        <w:tc>
          <w:tcPr>
            <w:tcW w:w="0" w:type="dxa"/>
            <w:vAlign w:val="bottom"/>
          </w:tcPr>
          <w:p>
            <w:pPr>
              <w:spacing w:after="0"/>
              <w:rPr>
                <w:sz w:val="1"/>
                <w:szCs w:val="1"/>
                <w:color w:val="auto"/>
              </w:rPr>
            </w:pP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gridSpan w:val="5"/>
            <w:shd w:val="clear" w:color="auto" w:fill="CFF0FC"/>
          </w:tcPr>
          <w:p>
            <w:pPr>
              <w:jc w:val="right"/>
              <w:ind w:right="52"/>
              <w:spacing w:after="0"/>
              <w:rPr>
                <w:sz w:val="20"/>
                <w:szCs w:val="20"/>
                <w:color w:val="auto"/>
              </w:rPr>
            </w:pPr>
            <w:r>
              <w:rPr>
                <w:rFonts w:ascii="Arial" w:cs="Arial" w:eastAsia="Arial" w:hAnsi="Arial"/>
                <w:sz w:val="16"/>
                <w:szCs w:val="16"/>
                <w:color w:val="auto"/>
              </w:rPr>
              <w:t>39,848</w:t>
            </w:r>
          </w:p>
        </w:tc>
        <w:tc>
          <w:tcPr>
            <w:tcW w:w="1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17,253</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gridSpan w:val="4"/>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6"/>
                <w:szCs w:val="16"/>
                <w:color w:val="auto"/>
              </w:rPr>
              <w:t>72,563</w:t>
            </w:r>
          </w:p>
        </w:tc>
        <w:tc>
          <w:tcPr>
            <w:tcW w:w="180" w:type="dxa"/>
            <w:vAlign w:val="bottom"/>
          </w:tcPr>
          <w:p>
            <w:pPr>
              <w:spacing w:after="0"/>
              <w:rPr>
                <w:sz w:val="16"/>
                <w:szCs w:val="16"/>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56,021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Orion’s revenue outside the United States is insignificant and Orion has no long-lived assets outside the United States.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 RESTRUCTURING EXPENSE</w:t>
      </w:r>
    </w:p>
    <w:p>
      <w:pPr>
        <w:spacing w:after="0" w:line="102"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During the fourth quarter of fiscal 2020, as part of Orion’s response to the impacts of the COVID-19 pandemic, Orion entered into separation agreements with multiple employees, and recognized $0.4 million of expense. Orion’s restructuring expense for the 12 months ended March 31, 2020 and March 31, 2019 is reflected within its consolidated statements of operations as follows (dollars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jc w:val="center"/>
              <w:ind w:left="272"/>
              <w:spacing w:after="0"/>
              <w:rPr>
                <w:sz w:val="20"/>
                <w:szCs w:val="20"/>
                <w:color w:val="auto"/>
              </w:rPr>
            </w:pPr>
            <w:r>
              <w:rPr>
                <w:rFonts w:ascii="Arial" w:cs="Arial" w:eastAsia="Arial" w:hAnsi="Arial"/>
                <w:sz w:val="13"/>
                <w:szCs w:val="13"/>
                <w:b w:val="1"/>
                <w:bCs w:val="1"/>
                <w:color w:val="auto"/>
                <w:w w:val="86"/>
              </w:rPr>
              <w:t>Year Ended</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327"/>
              <w:spacing w:after="0"/>
              <w:rPr>
                <w:sz w:val="20"/>
                <w:szCs w:val="20"/>
                <w:color w:val="auto"/>
              </w:rPr>
            </w:pPr>
            <w:r>
              <w:rPr>
                <w:rFonts w:ascii="Arial" w:cs="Arial" w:eastAsia="Arial" w:hAnsi="Arial"/>
                <w:sz w:val="13"/>
                <w:szCs w:val="13"/>
                <w:b w:val="1"/>
                <w:bCs w:val="1"/>
                <w:color w:val="auto"/>
                <w:w w:val="89"/>
              </w:rPr>
              <w:t>Year Ended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jc w:val="center"/>
              <w:ind w:left="272"/>
              <w:spacing w:after="0" w:line="141" w:lineRule="exact"/>
              <w:rPr>
                <w:sz w:val="20"/>
                <w:szCs w:val="20"/>
                <w:color w:val="auto"/>
              </w:rPr>
            </w:pPr>
            <w:r>
              <w:rPr>
                <w:rFonts w:ascii="Arial" w:cs="Arial" w:eastAsia="Arial" w:hAnsi="Arial"/>
                <w:sz w:val="13"/>
                <w:szCs w:val="13"/>
                <w:b w:val="1"/>
                <w:bCs w:val="1"/>
                <w:color w:val="auto"/>
                <w:w w:val="89"/>
              </w:rPr>
              <w:t>March 31,</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327"/>
              <w:spacing w:after="0" w:line="141" w:lineRule="exact"/>
              <w:rPr>
                <w:sz w:val="20"/>
                <w:szCs w:val="20"/>
                <w:color w:val="auto"/>
              </w:rPr>
            </w:pPr>
            <w:r>
              <w:rPr>
                <w:rFonts w:ascii="Arial" w:cs="Arial" w:eastAsia="Arial" w:hAnsi="Arial"/>
                <w:sz w:val="13"/>
                <w:szCs w:val="13"/>
                <w:b w:val="1"/>
                <w:bCs w:val="1"/>
                <w:color w:val="auto"/>
                <w:w w:val="93"/>
              </w:rPr>
              <w:t>March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5320" w:type="dxa"/>
            <w:vAlign w:val="bottom"/>
            <w:gridSpan w:val="2"/>
          </w:tcPr>
          <w:p>
            <w:pPr>
              <w:jc w:val="center"/>
              <w:ind w:left="4389"/>
              <w:spacing w:after="0"/>
              <w:rPr>
                <w:sz w:val="20"/>
                <w:szCs w:val="20"/>
                <w:color w:val="auto"/>
              </w:rPr>
            </w:pPr>
            <w:r>
              <w:rPr>
                <w:rFonts w:ascii="Arial" w:cs="Arial" w:eastAsia="Arial" w:hAnsi="Arial"/>
                <w:sz w:val="13"/>
                <w:szCs w:val="13"/>
                <w:b w:val="1"/>
                <w:bCs w:val="1"/>
                <w:color w:val="auto"/>
                <w:w w:val="89"/>
              </w:rPr>
              <w:t>2020</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327"/>
              <w:spacing w:after="0"/>
              <w:rPr>
                <w:sz w:val="20"/>
                <w:szCs w:val="20"/>
                <w:color w:val="auto"/>
              </w:rPr>
            </w:pPr>
            <w:r>
              <w:rPr>
                <w:rFonts w:ascii="Arial" w:cs="Arial" w:eastAsia="Arial" w:hAnsi="Arial"/>
                <w:sz w:val="13"/>
                <w:szCs w:val="13"/>
                <w:b w:val="1"/>
                <w:bCs w:val="1"/>
                <w:color w:val="auto"/>
                <w:w w:val="82"/>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Cost of product revenue</w:t>
            </w:r>
          </w:p>
        </w:tc>
        <w:tc>
          <w:tcPr>
            <w:tcW w:w="4120" w:type="dxa"/>
            <w:vAlign w:val="bottom"/>
            <w:tcBorders>
              <w:top w:val="single" w:sz="8" w:color="CFF0FC"/>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jc w:val="right"/>
              <w:ind w:right="1052"/>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82</w:t>
            </w:r>
          </w:p>
        </w:tc>
        <w:tc>
          <w:tcPr>
            <w:tcW w:w="18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20" w:type="dxa"/>
            <w:vAlign w:val="bottom"/>
          </w:tcPr>
          <w:p>
            <w:pPr>
              <w:spacing w:after="0"/>
              <w:rPr>
                <w:sz w:val="20"/>
                <w:szCs w:val="20"/>
                <w:color w:val="auto"/>
              </w:rPr>
            </w:pPr>
            <w:r>
              <w:rPr>
                <w:rFonts w:ascii="Arial" w:cs="Arial" w:eastAsia="Arial" w:hAnsi="Arial"/>
                <w:sz w:val="16"/>
                <w:szCs w:val="16"/>
                <w:color w:val="auto"/>
              </w:rPr>
              <w:t>Cost of product service</w:t>
            </w:r>
          </w:p>
        </w:tc>
        <w:tc>
          <w:tcPr>
            <w:tcW w:w="4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74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ind w:left="1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4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28</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ind w:left="1120"/>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Sales and marketing</w:t>
            </w:r>
          </w:p>
        </w:tc>
        <w:tc>
          <w:tcPr>
            <w:tcW w:w="412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207</w:t>
            </w:r>
          </w:p>
        </w:tc>
        <w:tc>
          <w:tcPr>
            <w:tcW w:w="1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62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w:t>
            </w:r>
          </w:p>
        </w:tc>
        <w:tc>
          <w:tcPr>
            <w:tcW w:w="41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1052"/>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391</w:t>
            </w:r>
          </w:p>
        </w:tc>
        <w:tc>
          <w:tcPr>
            <w:tcW w:w="1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ind w:left="1120"/>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120" w:type="dxa"/>
            <w:vAlign w:val="bottom"/>
            <w:vMerge w:val="restart"/>
          </w:tcPr>
          <w:p>
            <w:pPr>
              <w:jc w:val="right"/>
              <w:ind w:right="1969"/>
              <w:spacing w:after="0"/>
              <w:rPr>
                <w:sz w:val="20"/>
                <w:szCs w:val="20"/>
                <w:color w:val="auto"/>
              </w:rPr>
            </w:pPr>
            <w:r>
              <w:rPr>
                <w:rFonts w:ascii="Arial" w:cs="Arial" w:eastAsia="Arial" w:hAnsi="Arial"/>
                <w:sz w:val="16"/>
                <w:szCs w:val="16"/>
                <w:color w:val="auto"/>
              </w:rPr>
              <w:t>85</w:t>
            </w: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36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3620" w:type="dxa"/>
            <w:vAlign w:val="bottom"/>
            <w:tcBorders>
              <w:bottom w:val="single" w:sz="8" w:color="9A9A9A"/>
            </w:tcBorders>
          </w:tcPr>
          <w:p>
            <w:pPr>
              <w:spacing w:after="0"/>
              <w:rPr>
                <w:sz w:val="8"/>
                <w:szCs w:val="8"/>
                <w:color w:val="auto"/>
              </w:rPr>
            </w:pPr>
          </w:p>
        </w:tc>
        <w:tc>
          <w:tcPr>
            <w:tcW w:w="41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-6985</wp:posOffset>
            </wp:positionV>
            <wp:extent cx="762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597" w:right="299" w:bottom="1440" w:gutter="0" w:footer="0" w:header="0"/>
        </w:sectPr>
      </w:pPr>
    </w:p>
    <w:bookmarkStart w:id="84" w:name="page85"/>
    <w:bookmarkEnd w:id="84"/>
    <w:p>
      <w:pPr>
        <w:ind w:left="506"/>
        <w:spacing w:after="0"/>
        <w:rPr>
          <w:sz w:val="20"/>
          <w:szCs w:val="20"/>
          <w:color w:val="auto"/>
        </w:rPr>
      </w:pPr>
      <w:r>
        <w:rPr>
          <w:rFonts w:ascii="Arial" w:cs="Arial" w:eastAsia="Arial" w:hAnsi="Arial"/>
          <w:sz w:val="16"/>
          <w:szCs w:val="16"/>
          <w:color w:val="auto"/>
        </w:rPr>
        <w:t>Total restructuring expense by segment was recorded as follows (dollars in thousands):</w:t>
      </w:r>
    </w:p>
    <w:p>
      <w:pPr>
        <w:spacing w:after="0" w:line="200"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200" w:type="dxa"/>
            <w:vAlign w:val="bottom"/>
          </w:tcPr>
          <w:p>
            <w:pPr>
              <w:jc w:val="center"/>
              <w:ind w:left="273"/>
              <w:spacing w:after="0"/>
              <w:rPr>
                <w:sz w:val="20"/>
                <w:szCs w:val="20"/>
                <w:color w:val="auto"/>
              </w:rPr>
            </w:pPr>
            <w:r>
              <w:rPr>
                <w:rFonts w:ascii="Arial" w:cs="Arial" w:eastAsia="Arial" w:hAnsi="Arial"/>
                <w:sz w:val="13"/>
                <w:szCs w:val="13"/>
                <w:b w:val="1"/>
                <w:bCs w:val="1"/>
                <w:color w:val="auto"/>
                <w:w w:val="86"/>
              </w:rPr>
              <w:t>Year Ended</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center"/>
              <w:ind w:right="328"/>
              <w:spacing w:after="0"/>
              <w:rPr>
                <w:sz w:val="20"/>
                <w:szCs w:val="20"/>
                <w:color w:val="auto"/>
              </w:rPr>
            </w:pPr>
            <w:r>
              <w:rPr>
                <w:rFonts w:ascii="Arial" w:cs="Arial" w:eastAsia="Arial" w:hAnsi="Arial"/>
                <w:sz w:val="13"/>
                <w:szCs w:val="13"/>
                <w:b w:val="1"/>
                <w:bCs w:val="1"/>
                <w:color w:val="auto"/>
                <w:w w:val="89"/>
              </w:rPr>
              <w:t>Year Ended</w:t>
            </w:r>
          </w:p>
        </w:tc>
      </w:tr>
      <w:tr>
        <w:trPr>
          <w:trHeight w:val="141"/>
        </w:trPr>
        <w:tc>
          <w:tcPr>
            <w:tcW w:w="7740" w:type="dxa"/>
            <w:vAlign w:val="bottom"/>
          </w:tcPr>
          <w:p>
            <w:pPr>
              <w:spacing w:after="0"/>
              <w:rPr>
                <w:sz w:val="12"/>
                <w:szCs w:val="12"/>
                <w:color w:val="auto"/>
              </w:rPr>
            </w:pPr>
          </w:p>
        </w:tc>
        <w:tc>
          <w:tcPr>
            <w:tcW w:w="1200" w:type="dxa"/>
            <w:vAlign w:val="bottom"/>
          </w:tcPr>
          <w:p>
            <w:pPr>
              <w:jc w:val="center"/>
              <w:ind w:left="273"/>
              <w:spacing w:after="0" w:line="141" w:lineRule="exact"/>
              <w:rPr>
                <w:sz w:val="20"/>
                <w:szCs w:val="20"/>
                <w:color w:val="auto"/>
              </w:rPr>
            </w:pPr>
            <w:r>
              <w:rPr>
                <w:rFonts w:ascii="Arial" w:cs="Arial" w:eastAsia="Arial" w:hAnsi="Arial"/>
                <w:sz w:val="13"/>
                <w:szCs w:val="13"/>
                <w:b w:val="1"/>
                <w:bCs w:val="1"/>
                <w:color w:val="auto"/>
                <w:w w:val="89"/>
              </w:rPr>
              <w:t>March 31,</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328"/>
              <w:spacing w:after="0" w:line="141" w:lineRule="exact"/>
              <w:rPr>
                <w:sz w:val="20"/>
                <w:szCs w:val="20"/>
                <w:color w:val="auto"/>
              </w:rPr>
            </w:pPr>
            <w:r>
              <w:rPr>
                <w:rFonts w:ascii="Arial" w:cs="Arial" w:eastAsia="Arial" w:hAnsi="Arial"/>
                <w:sz w:val="13"/>
                <w:szCs w:val="13"/>
                <w:b w:val="1"/>
                <w:bCs w:val="1"/>
                <w:color w:val="auto"/>
                <w:w w:val="93"/>
              </w:rPr>
              <w:t>March 31,</w:t>
            </w:r>
          </w:p>
        </w:tc>
      </w:tr>
      <w:tr>
        <w:trPr>
          <w:trHeight w:val="149"/>
        </w:trPr>
        <w:tc>
          <w:tcPr>
            <w:tcW w:w="7740" w:type="dxa"/>
            <w:vAlign w:val="bottom"/>
            <w:tcBorders>
              <w:bottom w:val="single" w:sz="8" w:color="CFF0FC"/>
            </w:tcBorders>
          </w:tcPr>
          <w:p>
            <w:pPr>
              <w:spacing w:after="0"/>
              <w:rPr>
                <w:sz w:val="12"/>
                <w:szCs w:val="12"/>
                <w:color w:val="auto"/>
              </w:rPr>
            </w:pPr>
          </w:p>
        </w:tc>
        <w:tc>
          <w:tcPr>
            <w:tcW w:w="1200" w:type="dxa"/>
            <w:vAlign w:val="bottom"/>
            <w:tcBorders>
              <w:bottom w:val="single" w:sz="8" w:color="auto"/>
            </w:tcBorders>
          </w:tcPr>
          <w:p>
            <w:pPr>
              <w:jc w:val="center"/>
              <w:ind w:left="273"/>
              <w:spacing w:after="0"/>
              <w:rPr>
                <w:sz w:val="20"/>
                <w:szCs w:val="20"/>
                <w:color w:val="auto"/>
              </w:rPr>
            </w:pPr>
            <w:r>
              <w:rPr>
                <w:rFonts w:ascii="Arial" w:cs="Arial" w:eastAsia="Arial" w:hAnsi="Arial"/>
                <w:sz w:val="13"/>
                <w:szCs w:val="13"/>
                <w:b w:val="1"/>
                <w:bCs w:val="1"/>
                <w:color w:val="auto"/>
                <w:w w:val="89"/>
              </w:rPr>
              <w:t>2020</w:t>
            </w: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328"/>
              <w:spacing w:after="0"/>
              <w:rPr>
                <w:sz w:val="20"/>
                <w:szCs w:val="20"/>
                <w:color w:val="auto"/>
              </w:rPr>
            </w:pPr>
            <w:r>
              <w:rPr>
                <w:rFonts w:ascii="Arial" w:cs="Arial" w:eastAsia="Arial" w:hAnsi="Arial"/>
                <w:sz w:val="13"/>
                <w:szCs w:val="13"/>
                <w:b w:val="1"/>
                <w:bCs w:val="1"/>
                <w:color w:val="auto"/>
                <w:w w:val="82"/>
              </w:rPr>
              <w:t>2019</w:t>
            </w:r>
          </w:p>
        </w:tc>
      </w:tr>
      <w:tr>
        <w:trPr>
          <w:trHeight w:val="192"/>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Orion Engineered Systems</w:t>
            </w:r>
          </w:p>
        </w:tc>
        <w:tc>
          <w:tcPr>
            <w:tcW w:w="1200" w:type="dxa"/>
            <w:vAlign w:val="bottom"/>
            <w:shd w:val="clear" w:color="auto" w:fill="CFF0FC"/>
          </w:tcPr>
          <w:p>
            <w:pPr>
              <w:jc w:val="right"/>
              <w:ind w:right="105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139</w:t>
            </w: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ind w:left="1120"/>
              <w:spacing w:after="0"/>
              <w:rPr>
                <w:sz w:val="20"/>
                <w:szCs w:val="20"/>
                <w:color w:val="auto"/>
              </w:rPr>
            </w:pPr>
            <w:r>
              <w:rPr>
                <w:rFonts w:ascii="Arial" w:cs="Arial" w:eastAsia="Arial" w:hAnsi="Arial"/>
                <w:sz w:val="16"/>
                <w:szCs w:val="16"/>
                <w:color w:val="auto"/>
              </w:rPr>
              <w:t>—</w:t>
            </w: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Orion Distribution Systems</w:t>
            </w:r>
          </w:p>
        </w:tc>
        <w:tc>
          <w:tcPr>
            <w:tcW w:w="120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142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ind w:left="1120"/>
              <w:spacing w:after="0"/>
              <w:rPr>
                <w:sz w:val="20"/>
                <w:szCs w:val="20"/>
                <w:color w:val="auto"/>
              </w:rPr>
            </w:pPr>
            <w:r>
              <w:rPr>
                <w:rFonts w:ascii="Arial" w:cs="Arial" w:eastAsia="Arial" w:hAnsi="Arial"/>
                <w:sz w:val="16"/>
                <w:szCs w:val="16"/>
                <w:color w:val="auto"/>
              </w:rPr>
              <w:t>12</w:t>
            </w:r>
          </w:p>
        </w:tc>
      </w:tr>
      <w:tr>
        <w:trPr>
          <w:trHeight w:val="20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110</w:t>
            </w:r>
          </w:p>
        </w:tc>
        <w:tc>
          <w:tcPr>
            <w:tcW w:w="1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ind w:left="1120"/>
              <w:spacing w:after="0"/>
              <w:rPr>
                <w:sz w:val="20"/>
                <w:szCs w:val="20"/>
                <w:color w:val="auto"/>
              </w:rPr>
            </w:pPr>
            <w:r>
              <w:rPr>
                <w:rFonts w:ascii="Arial" w:cs="Arial" w:eastAsia="Arial" w:hAnsi="Arial"/>
                <w:sz w:val="16"/>
                <w:szCs w:val="16"/>
                <w:color w:val="auto"/>
              </w:rPr>
              <w:t>31</w:t>
            </w:r>
          </w:p>
        </w:tc>
      </w:tr>
      <w:tr>
        <w:trPr>
          <w:trHeight w:val="192"/>
        </w:trPr>
        <w:tc>
          <w:tcPr>
            <w:tcW w:w="7740" w:type="dxa"/>
            <w:vAlign w:val="bottom"/>
          </w:tcPr>
          <w:p>
            <w:pPr>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tcPr>
          <w:p>
            <w:pPr>
              <w:jc w:val="right"/>
              <w:ind w:right="1053"/>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391</w:t>
            </w:r>
          </w:p>
        </w:tc>
        <w:tc>
          <w:tcPr>
            <w:tcW w:w="180" w:type="dxa"/>
            <w:vAlign w:val="bottom"/>
          </w:tcPr>
          <w:p>
            <w:pPr>
              <w:spacing w:after="0"/>
              <w:rPr>
                <w:sz w:val="16"/>
                <w:szCs w:val="16"/>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43</w:t>
            </w:r>
          </w:p>
        </w:tc>
      </w:tr>
      <w:tr>
        <w:trPr>
          <w:trHeight w:val="20"/>
        </w:trPr>
        <w:tc>
          <w:tcPr>
            <w:tcW w:w="7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NOTE 20 — SUBSEQUENT EVENTS</w:t>
      </w:r>
    </w:p>
    <w:p>
      <w:pPr>
        <w:spacing w:after="0" w:line="102" w:lineRule="exact"/>
        <w:rPr>
          <w:sz w:val="20"/>
          <w:szCs w:val="20"/>
          <w:color w:val="auto"/>
        </w:rPr>
      </w:pPr>
    </w:p>
    <w:p>
      <w:pPr>
        <w:jc w:val="both"/>
        <w:ind w:left="6" w:right="20" w:firstLine="500"/>
        <w:spacing w:after="0" w:line="342" w:lineRule="auto"/>
        <w:rPr>
          <w:sz w:val="20"/>
          <w:szCs w:val="20"/>
          <w:color w:val="auto"/>
        </w:rPr>
      </w:pPr>
      <w:r>
        <w:rPr>
          <w:rFonts w:ascii="Arial" w:cs="Arial" w:eastAsia="Arial" w:hAnsi="Arial"/>
          <w:sz w:val="13"/>
          <w:szCs w:val="13"/>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NOTE 21 — QUARTERLY FINANCIAL DATA (UNAUDITED)</w:t>
      </w:r>
    </w:p>
    <w:p>
      <w:pPr>
        <w:spacing w:after="0" w:line="102" w:lineRule="exact"/>
        <w:rPr>
          <w:sz w:val="20"/>
          <w:szCs w:val="20"/>
          <w:color w:val="auto"/>
        </w:rPr>
      </w:pPr>
    </w:p>
    <w:p>
      <w:pPr>
        <w:ind w:left="506"/>
        <w:spacing w:after="0"/>
        <w:rPr>
          <w:sz w:val="20"/>
          <w:szCs w:val="20"/>
          <w:color w:val="auto"/>
        </w:rPr>
      </w:pPr>
      <w:r>
        <w:rPr>
          <w:rFonts w:ascii="Arial" w:cs="Arial" w:eastAsia="Arial" w:hAnsi="Arial"/>
          <w:sz w:val="16"/>
          <w:szCs w:val="16"/>
          <w:color w:val="auto"/>
        </w:rPr>
        <w:t>Summary quarterly results for the years ended March 31, 2020 and March 31, 2019 are as follows:</w:t>
      </w:r>
    </w:p>
    <w:p>
      <w:pPr>
        <w:spacing w:after="0" w:line="279"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3"/>
                <w:szCs w:val="13"/>
                <w:b w:val="1"/>
                <w:bCs w:val="1"/>
                <w:color w:val="auto"/>
                <w:w w:val="88"/>
              </w:rPr>
              <w:t>Three Months Ended</w:t>
            </w: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33"/>
        </w:trPr>
        <w:tc>
          <w:tcPr>
            <w:tcW w:w="3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64"/>
              <w:spacing w:after="0" w:line="133" w:lineRule="exact"/>
              <w:rPr>
                <w:sz w:val="20"/>
                <w:szCs w:val="20"/>
                <w:color w:val="auto"/>
              </w:rPr>
            </w:pPr>
            <w:r>
              <w:rPr>
                <w:rFonts w:ascii="Arial" w:cs="Arial" w:eastAsia="Arial" w:hAnsi="Arial"/>
                <w:sz w:val="13"/>
                <w:szCs w:val="13"/>
                <w:b w:val="1"/>
                <w:bCs w:val="1"/>
                <w:color w:val="auto"/>
                <w:w w:val="92"/>
              </w:rPr>
              <w:t>March 31, 2020</w:t>
            </w: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44"/>
              <w:spacing w:after="0" w:line="133" w:lineRule="exact"/>
              <w:rPr>
                <w:sz w:val="20"/>
                <w:szCs w:val="20"/>
                <w:color w:val="auto"/>
              </w:rPr>
            </w:pPr>
            <w:r>
              <w:rPr>
                <w:rFonts w:ascii="Arial" w:cs="Arial" w:eastAsia="Arial" w:hAnsi="Arial"/>
                <w:sz w:val="13"/>
                <w:szCs w:val="13"/>
                <w:b w:val="1"/>
                <w:bCs w:val="1"/>
                <w:color w:val="auto"/>
                <w:w w:val="89"/>
              </w:rPr>
              <w:t>Dec 31, 2019</w:t>
            </w: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ind w:left="60"/>
              <w:spacing w:after="0" w:line="133" w:lineRule="exact"/>
              <w:rPr>
                <w:sz w:val="20"/>
                <w:szCs w:val="20"/>
                <w:color w:val="auto"/>
              </w:rPr>
            </w:pPr>
            <w:r>
              <w:rPr>
                <w:rFonts w:ascii="Arial" w:cs="Arial" w:eastAsia="Arial" w:hAnsi="Arial"/>
                <w:sz w:val="13"/>
                <w:szCs w:val="13"/>
                <w:b w:val="1"/>
                <w:bCs w:val="1"/>
                <w:color w:val="auto"/>
              </w:rPr>
              <w:t>Sep 30, 2019</w:t>
            </w: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24"/>
              <w:spacing w:after="0" w:line="133" w:lineRule="exact"/>
              <w:rPr>
                <w:sz w:val="20"/>
                <w:szCs w:val="20"/>
                <w:color w:val="auto"/>
              </w:rPr>
            </w:pPr>
            <w:r>
              <w:rPr>
                <w:rFonts w:ascii="Arial" w:cs="Arial" w:eastAsia="Arial" w:hAnsi="Arial"/>
                <w:sz w:val="13"/>
                <w:szCs w:val="13"/>
                <w:b w:val="1"/>
                <w:bCs w:val="1"/>
                <w:color w:val="auto"/>
                <w:w w:val="90"/>
              </w:rPr>
              <w:t>Jun 30, 2019</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44"/>
              <w:spacing w:after="0" w:line="133" w:lineRule="exact"/>
              <w:rPr>
                <w:sz w:val="20"/>
                <w:szCs w:val="20"/>
                <w:color w:val="auto"/>
              </w:rPr>
            </w:pPr>
            <w:r>
              <w:rPr>
                <w:rFonts w:ascii="Arial" w:cs="Arial" w:eastAsia="Arial" w:hAnsi="Arial"/>
                <w:sz w:val="13"/>
                <w:szCs w:val="13"/>
                <w:b w:val="1"/>
                <w:bCs w:val="1"/>
                <w:color w:val="auto"/>
              </w:rPr>
              <w:t>Total</w:t>
            </w:r>
          </w:p>
        </w:tc>
      </w:tr>
      <w:tr>
        <w:trPr>
          <w:trHeight w:val="133"/>
        </w:trPr>
        <w:tc>
          <w:tcPr>
            <w:tcW w:w="3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60" w:type="dxa"/>
            <w:vAlign w:val="bottom"/>
            <w:gridSpan w:val="5"/>
          </w:tcPr>
          <w:p>
            <w:pPr>
              <w:jc w:val="center"/>
              <w:ind w:right="220"/>
              <w:spacing w:after="0" w:line="133" w:lineRule="exact"/>
              <w:rPr>
                <w:sz w:val="20"/>
                <w:szCs w:val="20"/>
                <w:color w:val="auto"/>
              </w:rPr>
            </w:pPr>
            <w:r>
              <w:rPr>
                <w:rFonts w:ascii="Arial" w:cs="Arial" w:eastAsia="Arial" w:hAnsi="Arial"/>
                <w:sz w:val="13"/>
                <w:szCs w:val="13"/>
                <w:b w:val="1"/>
                <w:bCs w:val="1"/>
                <w:color w:val="auto"/>
                <w:w w:val="85"/>
              </w:rPr>
              <w:t>(in thousands, except per share amounts)</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Total revenue</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25,892</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34,249</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48,322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42,378</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150,841</w:t>
            </w: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Gross profit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5,775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8,274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12,791</w:t>
            </w:r>
          </w:p>
        </w:tc>
        <w:tc>
          <w:tcPr>
            <w:tcW w:w="1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10,283</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4"/>
              <w:spacing w:after="0"/>
              <w:rPr>
                <w:sz w:val="20"/>
                <w:szCs w:val="20"/>
                <w:color w:val="auto"/>
              </w:rPr>
            </w:pPr>
            <w:r>
              <w:rPr>
                <w:rFonts w:ascii="Arial" w:cs="Arial" w:eastAsia="Arial" w:hAnsi="Arial"/>
                <w:sz w:val="16"/>
                <w:szCs w:val="16"/>
                <w:color w:val="auto"/>
              </w:rPr>
              <w:t>37,123</w:t>
            </w: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Net income (loss) </w:t>
            </w:r>
            <w:r>
              <w:rPr>
                <w:rFonts w:ascii="Arial" w:cs="Arial" w:eastAsia="Arial" w:hAnsi="Arial"/>
                <w:sz w:val="13"/>
                <w:szCs w:val="13"/>
                <w:color w:val="auto"/>
              </w:rPr>
              <w:t>(1)</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2,304</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6,721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3,968</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12,462</w:t>
            </w: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Basic net income (loss) per share</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0.08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0.13</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4"/>
              <w:spacing w:after="0"/>
              <w:rPr>
                <w:sz w:val="20"/>
                <w:szCs w:val="20"/>
                <w:color w:val="auto"/>
              </w:rPr>
            </w:pPr>
            <w:r>
              <w:rPr>
                <w:rFonts w:ascii="Arial" w:cs="Arial" w:eastAsia="Arial" w:hAnsi="Arial"/>
                <w:sz w:val="16"/>
                <w:szCs w:val="16"/>
                <w:color w:val="auto"/>
              </w:rPr>
              <w:t>0.41</w:t>
            </w: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Shares used in basic per share calculation</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30,259</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30,244</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30,189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29,723</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30,105</w:t>
            </w: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Diluted net loss per share</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0.07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0.13</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4"/>
              <w:spacing w:after="0"/>
              <w:rPr>
                <w:sz w:val="20"/>
                <w:szCs w:val="20"/>
                <w:color w:val="auto"/>
              </w:rPr>
            </w:pPr>
            <w:r>
              <w:rPr>
                <w:rFonts w:ascii="Arial" w:cs="Arial" w:eastAsia="Arial" w:hAnsi="Arial"/>
                <w:sz w:val="16"/>
                <w:szCs w:val="16"/>
                <w:color w:val="auto"/>
              </w:rPr>
              <w:t>0.40</w:t>
            </w: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Shares used in diluted per share calculation</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30,259</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30,824</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30,830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30,551</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30,965</w:t>
            </w:r>
          </w:p>
        </w:tc>
      </w:tr>
      <w:tr>
        <w:trPr>
          <w:trHeight w:val="412"/>
        </w:trPr>
        <w:tc>
          <w:tcPr>
            <w:tcW w:w="3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3"/>
                <w:szCs w:val="13"/>
                <w:b w:val="1"/>
                <w:bCs w:val="1"/>
                <w:color w:val="auto"/>
                <w:w w:val="88"/>
              </w:rPr>
              <w:t>Three Months Ended</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33"/>
        </w:trPr>
        <w:tc>
          <w:tcPr>
            <w:tcW w:w="3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224"/>
              <w:spacing w:after="0" w:line="133" w:lineRule="exact"/>
              <w:rPr>
                <w:sz w:val="20"/>
                <w:szCs w:val="20"/>
                <w:color w:val="auto"/>
              </w:rPr>
            </w:pPr>
            <w:r>
              <w:rPr>
                <w:rFonts w:ascii="Arial" w:cs="Arial" w:eastAsia="Arial" w:hAnsi="Arial"/>
                <w:sz w:val="13"/>
                <w:szCs w:val="13"/>
                <w:b w:val="1"/>
                <w:bCs w:val="1"/>
                <w:color w:val="auto"/>
              </w:rPr>
              <w:t>Mar 31, 2019</w:t>
            </w: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44"/>
              <w:spacing w:after="0" w:line="133" w:lineRule="exact"/>
              <w:rPr>
                <w:sz w:val="20"/>
                <w:szCs w:val="20"/>
                <w:color w:val="auto"/>
              </w:rPr>
            </w:pPr>
            <w:r>
              <w:rPr>
                <w:rFonts w:ascii="Arial" w:cs="Arial" w:eastAsia="Arial" w:hAnsi="Arial"/>
                <w:sz w:val="13"/>
                <w:szCs w:val="13"/>
                <w:b w:val="1"/>
                <w:bCs w:val="1"/>
                <w:color w:val="auto"/>
                <w:w w:val="89"/>
              </w:rPr>
              <w:t>Dec 31, 2018</w:t>
            </w: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ind w:left="60"/>
              <w:spacing w:after="0" w:line="133" w:lineRule="exact"/>
              <w:rPr>
                <w:sz w:val="20"/>
                <w:szCs w:val="20"/>
                <w:color w:val="auto"/>
              </w:rPr>
            </w:pPr>
            <w:r>
              <w:rPr>
                <w:rFonts w:ascii="Arial" w:cs="Arial" w:eastAsia="Arial" w:hAnsi="Arial"/>
                <w:sz w:val="13"/>
                <w:szCs w:val="13"/>
                <w:b w:val="1"/>
                <w:bCs w:val="1"/>
                <w:color w:val="auto"/>
              </w:rPr>
              <w:t>Sep 30, 2018</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24"/>
              <w:spacing w:after="0" w:line="133" w:lineRule="exact"/>
              <w:rPr>
                <w:sz w:val="20"/>
                <w:szCs w:val="20"/>
                <w:color w:val="auto"/>
              </w:rPr>
            </w:pPr>
            <w:r>
              <w:rPr>
                <w:rFonts w:ascii="Arial" w:cs="Arial" w:eastAsia="Arial" w:hAnsi="Arial"/>
                <w:sz w:val="13"/>
                <w:szCs w:val="13"/>
                <w:b w:val="1"/>
                <w:bCs w:val="1"/>
                <w:color w:val="auto"/>
                <w:w w:val="90"/>
              </w:rPr>
              <w:t>Jun 30, 2018</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44"/>
              <w:spacing w:after="0" w:line="133" w:lineRule="exact"/>
              <w:rPr>
                <w:sz w:val="20"/>
                <w:szCs w:val="20"/>
                <w:color w:val="auto"/>
              </w:rPr>
            </w:pPr>
            <w:r>
              <w:rPr>
                <w:rFonts w:ascii="Arial" w:cs="Arial" w:eastAsia="Arial" w:hAnsi="Arial"/>
                <w:sz w:val="13"/>
                <w:szCs w:val="13"/>
                <w:b w:val="1"/>
                <w:bCs w:val="1"/>
                <w:color w:val="auto"/>
              </w:rPr>
              <w:t>Total</w:t>
            </w:r>
          </w:p>
        </w:tc>
      </w:tr>
      <w:tr>
        <w:trPr>
          <w:trHeight w:val="133"/>
        </w:trPr>
        <w:tc>
          <w:tcPr>
            <w:tcW w:w="3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60" w:type="dxa"/>
            <w:vAlign w:val="bottom"/>
            <w:gridSpan w:val="5"/>
          </w:tcPr>
          <w:p>
            <w:pPr>
              <w:jc w:val="center"/>
              <w:ind w:right="220"/>
              <w:spacing w:after="0" w:line="133" w:lineRule="exact"/>
              <w:rPr>
                <w:sz w:val="20"/>
                <w:szCs w:val="20"/>
                <w:color w:val="auto"/>
              </w:rPr>
            </w:pPr>
            <w:r>
              <w:rPr>
                <w:rFonts w:ascii="Arial" w:cs="Arial" w:eastAsia="Arial" w:hAnsi="Arial"/>
                <w:sz w:val="13"/>
                <w:szCs w:val="13"/>
                <w:b w:val="1"/>
                <w:bCs w:val="1"/>
                <w:color w:val="auto"/>
                <w:w w:val="85"/>
              </w:rPr>
              <w:t>(in thousands, except per share amounts)</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Total revenue</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22,443</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16,291</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13,198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13,822</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65,754</w:t>
            </w: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Gross profit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4,384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4,170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2,542</w:t>
            </w:r>
          </w:p>
        </w:tc>
        <w:tc>
          <w:tcPr>
            <w:tcW w:w="1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3,456</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4"/>
              <w:spacing w:after="0"/>
              <w:rPr>
                <w:sz w:val="20"/>
                <w:szCs w:val="20"/>
                <w:color w:val="auto"/>
              </w:rPr>
            </w:pPr>
            <w:r>
              <w:rPr>
                <w:rFonts w:ascii="Arial" w:cs="Arial" w:eastAsia="Arial" w:hAnsi="Arial"/>
                <w:sz w:val="16"/>
                <w:szCs w:val="16"/>
                <w:color w:val="auto"/>
              </w:rPr>
              <w:t>14,552</w:t>
            </w: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(662)</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(2,692)</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(6,674)</w:t>
            </w: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Basic net loss per share</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(0.02)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(0.09)</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(0.23)</w:t>
            </w: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Shares used in basic per share calculation</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29,590</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29,569</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29,488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29,070</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29,430</w:t>
            </w: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Diluted net loss per share</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(0.02)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(0.09)</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(0.23)</w:t>
            </w: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Shares used in diluted per share calculation</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29,590</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29,569</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29,488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29,070</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29,430</w:t>
            </w:r>
          </w:p>
        </w:tc>
      </w:tr>
    </w:tbl>
    <w:p>
      <w:pPr>
        <w:spacing w:after="0" w:line="199" w:lineRule="exact"/>
        <w:rPr>
          <w:sz w:val="20"/>
          <w:szCs w:val="20"/>
          <w:color w:val="auto"/>
        </w:rPr>
      </w:pPr>
    </w:p>
    <w:p>
      <w:pPr>
        <w:ind w:left="646" w:hanging="646"/>
        <w:spacing w:after="0"/>
        <w:tabs>
          <w:tab w:leader="none" w:pos="646"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a $0.4 million restructuring charge during the three months ended March 31, 2020.</w:t>
      </w:r>
    </w:p>
    <w:p>
      <w:pPr>
        <w:spacing w:after="0" w:line="193" w:lineRule="exact"/>
        <w:rPr>
          <w:sz w:val="20"/>
          <w:szCs w:val="20"/>
          <w:color w:val="auto"/>
        </w:rPr>
      </w:pPr>
    </w:p>
    <w:p>
      <w:pPr>
        <w:ind w:left="6" w:firstLine="500"/>
        <w:spacing w:after="0" w:line="266" w:lineRule="auto"/>
        <w:rPr>
          <w:sz w:val="20"/>
          <w:szCs w:val="20"/>
          <w:color w:val="auto"/>
        </w:rPr>
      </w:pPr>
      <w:r>
        <w:rPr>
          <w:rFonts w:ascii="Arial" w:cs="Arial" w:eastAsia="Arial" w:hAnsi="Arial"/>
          <w:sz w:val="16"/>
          <w:szCs w:val="16"/>
          <w:color w:val="auto"/>
        </w:rPr>
        <w:t>The four quarters for net earnings per share may not add to the total year because of differences in the weighted average number of shares outstanding during the quarters and the year.</w:t>
      </w:r>
    </w:p>
    <w:p>
      <w:pPr>
        <w:spacing w:after="0" w:line="247" w:lineRule="exact"/>
        <w:rPr>
          <w:sz w:val="20"/>
          <w:szCs w:val="20"/>
          <w:color w:val="auto"/>
        </w:rPr>
      </w:pPr>
    </w:p>
    <w:p>
      <w:pPr>
        <w:ind w:left="6"/>
        <w:spacing w:after="0"/>
        <w:tabs>
          <w:tab w:leader="none" w:pos="725"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02" w:lineRule="exact"/>
        <w:rPr>
          <w:sz w:val="20"/>
          <w:szCs w:val="20"/>
          <w:color w:val="auto"/>
        </w:rPr>
      </w:pPr>
    </w:p>
    <w:p>
      <w:pPr>
        <w:ind w:left="506"/>
        <w:spacing w:after="0"/>
        <w:rPr>
          <w:sz w:val="20"/>
          <w:szCs w:val="20"/>
          <w:color w:val="auto"/>
        </w:rPr>
      </w:pPr>
      <w:r>
        <w:rPr>
          <w:rFonts w:ascii="Arial" w:cs="Arial" w:eastAsia="Arial" w:hAnsi="Arial"/>
          <w:sz w:val="16"/>
          <w:szCs w:val="16"/>
          <w:color w:val="auto"/>
        </w:rPr>
        <w:t>None</w:t>
      </w:r>
    </w:p>
    <w:p>
      <w:pPr>
        <w:spacing w:after="0" w:line="28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ITEM 9A. CONTROLS AND PROCEDURES</w:t>
      </w:r>
    </w:p>
    <w:p>
      <w:pPr>
        <w:spacing w:after="0" w:line="9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9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470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6"/>
          </w:cols>
          <w:pgMar w:left="314" w:top="315" w:right="319" w:bottom="1440" w:gutter="0" w:footer="0" w:header="0"/>
        </w:sectPr>
      </w:pPr>
    </w:p>
    <w:bookmarkStart w:id="85" w:name="page86"/>
    <w:bookmarkEnd w:id="85"/>
    <w:p>
      <w:pPr>
        <w:jc w:val="both"/>
        <w:ind w:firstLine="500"/>
        <w:spacing w:after="0" w:line="25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We maintain disclosure controls and procedures that are designed to ensure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171" w:lineRule="exact"/>
        <w:rPr>
          <w:sz w:val="20"/>
          <w:szCs w:val="20"/>
          <w:color w:val="auto"/>
        </w:rPr>
      </w:pPr>
    </w:p>
    <w:p>
      <w:pPr>
        <w:jc w:val="both"/>
        <w:ind w:right="20" w:firstLine="500"/>
        <w:spacing w:after="0" w:line="252" w:lineRule="auto"/>
        <w:rPr>
          <w:sz w:val="20"/>
          <w:szCs w:val="20"/>
          <w:color w:val="auto"/>
        </w:rPr>
      </w:pPr>
      <w:r>
        <w:rPr>
          <w:rFonts w:ascii="Arial" w:cs="Arial" w:eastAsia="Arial" w:hAnsi="Arial"/>
          <w:sz w:val="16"/>
          <w:szCs w:val="16"/>
          <w:color w:val="auto"/>
        </w:rPr>
        <w:t>Our management evaluated, with the participation of our Chief Executive Officer and our Chief Financial Officer, the effectiveness of our disclosure controls and procedures and our internal control over financial reporting as of March 31, 2020, pursuant to Exchange Act Rule 13a-15(b) and 15d-15. Based on that evaluation, our Chief Executive Officer and our Chief Financial Officer have concluded that our disclosure controls and procedures were effective at a level of reasonable assurance as of March 31, 2020.</w:t>
      </w:r>
    </w:p>
    <w:p>
      <w:pPr>
        <w:spacing w:after="0" w:line="169" w:lineRule="exact"/>
        <w:rPr>
          <w:sz w:val="20"/>
          <w:szCs w:val="20"/>
          <w:color w:val="auto"/>
        </w:rPr>
      </w:pPr>
    </w:p>
    <w:p>
      <w:pPr>
        <w:jc w:val="both"/>
        <w:ind w:right="20" w:firstLine="500"/>
        <w:spacing w:after="0" w:line="299" w:lineRule="auto"/>
        <w:rPr>
          <w:sz w:val="20"/>
          <w:szCs w:val="20"/>
          <w:color w:val="auto"/>
        </w:rPr>
      </w:pPr>
      <w:r>
        <w:rPr>
          <w:rFonts w:ascii="Arial" w:cs="Arial" w:eastAsia="Arial" w:hAnsi="Arial"/>
          <w:sz w:val="15"/>
          <w:szCs w:val="15"/>
          <w:color w:val="auto"/>
        </w:rPr>
        <w:t>Management, including our Chief Executive Officer and Chief Financial Officer, believes the consolidated financial statements included in this Annual Report on Form 10-K fairly represent in all material respects our financial condition, results of operations and cash flows at and for the periods presented in accordance with GAAP.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02" w:lineRule="exact"/>
        <w:rPr>
          <w:sz w:val="20"/>
          <w:szCs w:val="20"/>
          <w:color w:val="auto"/>
        </w:rPr>
      </w:pPr>
    </w:p>
    <w:p>
      <w:pPr>
        <w:jc w:val="both"/>
        <w:ind w:firstLine="500"/>
        <w:spacing w:after="0" w:line="329"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27" w:lineRule="exact"/>
        <w:rPr>
          <w:sz w:val="20"/>
          <w:szCs w:val="20"/>
          <w:color w:val="auto"/>
        </w:rPr>
      </w:pPr>
    </w:p>
    <w:p>
      <w:pPr>
        <w:ind w:left="860" w:hanging="372"/>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98" w:lineRule="exact"/>
        <w:rPr>
          <w:rFonts w:ascii="Arial" w:cs="Arial" w:eastAsia="Arial" w:hAnsi="Arial"/>
          <w:sz w:val="16"/>
          <w:szCs w:val="16"/>
          <w:color w:val="auto"/>
        </w:rPr>
      </w:pPr>
    </w:p>
    <w:p>
      <w:pPr>
        <w:ind w:left="860" w:right="20" w:hanging="372"/>
        <w:spacing w:after="0" w:line="266"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62" w:lineRule="exact"/>
        <w:rPr>
          <w:rFonts w:ascii="Arial" w:cs="Arial" w:eastAsia="Arial" w:hAnsi="Arial"/>
          <w:sz w:val="16"/>
          <w:szCs w:val="16"/>
          <w:color w:val="auto"/>
        </w:rPr>
      </w:pPr>
    </w:p>
    <w:p>
      <w:pPr>
        <w:ind w:left="860" w:right="20" w:hanging="372"/>
        <w:spacing w:after="0" w:line="266"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our financial statements.</w:t>
      </w:r>
    </w:p>
    <w:p>
      <w:pPr>
        <w:spacing w:after="0" w:line="157"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 Based on our assessment, management believes that, as of March 31, 2020, our internal control over financial reporting was effective.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02"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There were no changes in our internal control over financial reporting during the quarter ended March 31, 2020, that have materially affected, or are reasonably likely to materially affect, our internal control over financial reporting.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ITEM 9B. OTHER INFORMATION</w:t>
      </w:r>
    </w:p>
    <w:p>
      <w:pPr>
        <w:spacing w:after="0" w:line="19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6"/>
          <w:szCs w:val="16"/>
          <w:color w:val="auto"/>
        </w:rPr>
        <w:t>On June 1, 2020, we amended each of our existing Executive Employment and Severance Agreements (the “Employment Agreements”) with of Michael A. Altschaefl, William T. Hull and Scott A Green (each, a “NEO” and, collectively, the “NEOs”). The primary purpose of the amendments was to update and harmonize certain of the terms of employment for each of our NEOs and make technical updates to comply with applicable laws.</w:t>
      </w:r>
    </w:p>
    <w:p>
      <w:pPr>
        <w:spacing w:after="0" w:line="167" w:lineRule="exact"/>
        <w:rPr>
          <w:sz w:val="20"/>
          <w:szCs w:val="20"/>
          <w:color w:val="auto"/>
        </w:rPr>
      </w:pPr>
    </w:p>
    <w:p>
      <w:pPr>
        <w:jc w:val="both"/>
        <w:ind w:right="20" w:firstLine="500"/>
        <w:spacing w:after="0" w:line="255" w:lineRule="auto"/>
        <w:rPr>
          <w:sz w:val="20"/>
          <w:szCs w:val="20"/>
          <w:color w:val="auto"/>
        </w:rPr>
      </w:pPr>
      <w:r>
        <w:rPr>
          <w:rFonts w:ascii="Arial" w:cs="Arial" w:eastAsia="Arial" w:hAnsi="Arial"/>
          <w:sz w:val="16"/>
          <w:szCs w:val="16"/>
          <w:color w:val="auto"/>
        </w:rPr>
        <w:t>The Employment Agreements were amended to provide that Messrs. Altschaefl, Hull and Green will be paid base salaries of $425,000, $350,000 and $350,000, respectively. Each NEO will continue to be eligible to participate in our annual and/or long-term bonus plans as well as our employee benefit plans made available to senior executives.</w:t>
      </w:r>
    </w:p>
    <w:p>
      <w:pPr>
        <w:spacing w:after="0" w:line="167"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The Employment Agreements were amended to provide that each NEO’s Employment Agreement will remain in place at all times while employed with us (rather than providing for a specific term with automatic renewals).</w:t>
      </w:r>
    </w:p>
    <w:p>
      <w:pPr>
        <w:spacing w:after="0" w:line="157" w:lineRule="exact"/>
        <w:rPr>
          <w:sz w:val="20"/>
          <w:szCs w:val="20"/>
          <w:color w:val="auto"/>
        </w:rPr>
      </w:pPr>
    </w:p>
    <w:p>
      <w:pPr>
        <w:jc w:val="both"/>
        <w:ind w:firstLine="500"/>
        <w:spacing w:after="0" w:line="269" w:lineRule="auto"/>
        <w:rPr>
          <w:sz w:val="20"/>
          <w:szCs w:val="20"/>
          <w:color w:val="auto"/>
        </w:rPr>
      </w:pPr>
      <w:r>
        <w:rPr>
          <w:rFonts w:ascii="Arial" w:cs="Arial" w:eastAsia="Arial" w:hAnsi="Arial"/>
          <w:sz w:val="15"/>
          <w:szCs w:val="15"/>
          <w:color w:val="auto"/>
        </w:rPr>
        <w:t>The amendments to the Employment Agreements harmonize the severance benefits that each of the NEOs would be entitled to receive upon a qualifying termination for “Cause” or “Good Reason” (as defined in the Employment Agreements). The severance benefits payable to Mr. Altschaefl upon a qualifying termination remain unchanged, while Messrs. Hull and Green will now also receive a pro-rata cash bonus for their year of termination as part of their severance benefit (which was previously only available to Mr. Altschaefl) upon a qualifying employment termination. The amended and restated Employment Agreements also provide that upon a qualifying termination not in connection with a change in control, we will accelerate the vesting of the portion of the NEOs’ unvested equity awards that would vest within two years of termination. Except as described in this paragraph, the severance benefits for each of our NEOs upon a qualifying termination remain unchanged.</w:t>
      </w:r>
    </w:p>
    <w:p>
      <w:pPr>
        <w:spacing w:after="0" w:line="158"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In addition, Mr. Hull’s Employment Agreement was amended to provide that Mr. Hull will be subject to customary non-compete and non-solicit obligations for a period of 24 months (previously 18 months) following his termination of employment.</w:t>
      </w:r>
    </w:p>
    <w:p>
      <w:pPr>
        <w:spacing w:after="0" w:line="157"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The foregoing description of the amendments to the Employment Agreements are qualified in its entirety by reference to the full text of the amended and restated Employment Agreements, copies of which are filed herewith as Exhibits 10.16, 10.17 and 10.18 and are each incorporated herein by reference.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b w:val="1"/>
          <w:bCs w:val="1"/>
          <w:color w:val="auto"/>
        </w:rPr>
        <w:t>PART III</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02" w:lineRule="exact"/>
        <w:rPr>
          <w:sz w:val="20"/>
          <w:szCs w:val="20"/>
          <w:color w:val="auto"/>
        </w:rPr>
      </w:pPr>
    </w:p>
    <w:p>
      <w:pPr>
        <w:jc w:val="both"/>
        <w:ind w:firstLine="500"/>
        <w:spacing w:after="0" w:line="266" w:lineRule="auto"/>
        <w:rPr>
          <w:sz w:val="20"/>
          <w:szCs w:val="20"/>
          <w:color w:val="auto"/>
        </w:rPr>
      </w:pPr>
      <w:r>
        <w:rPr>
          <w:rFonts w:ascii="Arial" w:cs="Arial" w:eastAsia="Arial" w:hAnsi="Arial"/>
          <w:sz w:val="16"/>
          <w:szCs w:val="16"/>
          <w:color w:val="auto"/>
        </w:rPr>
        <w:t>The information required by this item with respect to directors, executive officers and corporate governance is incorporated by reference to our Proxy Statement for our 2020 Annual Meeting of Shareholders to be filed with the SEC within 120 days after the end of the fiscal year ended March 31, 2020.</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Conduct</w:t>
      </w:r>
    </w:p>
    <w:p>
      <w:pPr>
        <w:spacing w:after="0" w:line="102" w:lineRule="exact"/>
        <w:rPr>
          <w:sz w:val="20"/>
          <w:szCs w:val="20"/>
          <w:color w:val="auto"/>
        </w:rPr>
      </w:pPr>
    </w:p>
    <w:p>
      <w:pPr>
        <w:jc w:val="both"/>
        <w:ind w:firstLine="500"/>
        <w:spacing w:after="0" w:line="342" w:lineRule="auto"/>
        <w:rPr>
          <w:sz w:val="20"/>
          <w:szCs w:val="20"/>
          <w:color w:val="auto"/>
        </w:rPr>
      </w:pPr>
      <w:r>
        <w:rPr>
          <w:rFonts w:ascii="Arial" w:cs="Arial" w:eastAsia="Arial" w:hAnsi="Arial"/>
          <w:sz w:val="13"/>
          <w:szCs w:val="13"/>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www.orionlighting.com. Future material amendments or waivers relating to the Code of Conduct will be disclosed on our web site referenced in this paragraph within four business days following the date of such amendment or waiver.</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02"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The information required by this item is incorporated by reference to our Proxy Statement for our 2020 Annual Meeting of Shareholders to be filed with the SEC within 120 days after the end of the fiscal year ended March 31, 2020.</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SHAREHOLDER MATTERS</w:t>
      </w:r>
    </w:p>
    <w:p>
      <w:pPr>
        <w:spacing w:after="0" w:line="102" w:lineRule="exact"/>
        <w:rPr>
          <w:sz w:val="20"/>
          <w:szCs w:val="20"/>
          <w:color w:val="auto"/>
        </w:rPr>
      </w:pPr>
    </w:p>
    <w:p>
      <w:pPr>
        <w:jc w:val="both"/>
        <w:ind w:firstLine="500"/>
        <w:spacing w:after="0" w:line="342" w:lineRule="auto"/>
        <w:rPr>
          <w:sz w:val="20"/>
          <w:szCs w:val="20"/>
          <w:color w:val="auto"/>
        </w:rPr>
      </w:pPr>
      <w:r>
        <w:rPr>
          <w:rFonts w:ascii="Arial" w:cs="Arial" w:eastAsia="Arial" w:hAnsi="Arial"/>
          <w:sz w:val="13"/>
          <w:szCs w:val="13"/>
          <w:color w:val="auto"/>
        </w:rPr>
        <w:t xml:space="preserve">See Item 5, </w:t>
      </w:r>
      <w:r>
        <w:rPr>
          <w:rFonts w:ascii="Arial" w:cs="Arial" w:eastAsia="Arial" w:hAnsi="Arial"/>
          <w:sz w:val="13"/>
          <w:szCs w:val="13"/>
          <w:i w:val="1"/>
          <w:iCs w:val="1"/>
          <w:color w:val="auto"/>
        </w:rPr>
        <w:t>Market for Registrant’s Common Equity, Related Shareholder Matters and Issuer Purchaser of Securities</w:t>
      </w:r>
      <w:r>
        <w:rPr>
          <w:rFonts w:ascii="Arial" w:cs="Arial" w:eastAsia="Arial" w:hAnsi="Arial"/>
          <w:sz w:val="13"/>
          <w:szCs w:val="13"/>
          <w:color w:val="auto"/>
        </w:rPr>
        <w:t>, under the heading “Equity Compensation Plan Information” for information regarding our securities authorized for issuance under equity compensation plans. The additional information required by this item is incorporated by reference to our Proxy Statement for its 2020 Annual Meeting of Shareholders to be filed with the SEC within 120 days after the end of the fiscal year ended March 31, 2020.</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02"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The information required by this item is incorporated by reference to our Proxy Statement for our 2020 Annual Meeting of Shareholders to be filed with the SEC within 120 days after the end of the fiscal year ended March 31, 2020.</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02"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The information required by this item is incorporated by reference to our Proxy Statement for our 2020 Annual Meeting of Shareholders to be filed with the SEC within 120 days after the end of the fiscal year ended March 31, 2020.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88" w:name="page89"/>
    <w:bookmarkEnd w:id="88"/>
    <w:p>
      <w:pPr>
        <w:jc w:val="right"/>
        <w:ind w:right="4199"/>
        <w:spacing w:after="0"/>
        <w:rPr>
          <w:sz w:val="20"/>
          <w:szCs w:val="20"/>
          <w:color w:val="auto"/>
        </w:rPr>
      </w:pPr>
      <w:r>
        <w:rPr>
          <w:rFonts w:ascii="Arial" w:cs="Arial" w:eastAsia="Arial" w:hAnsi="Arial"/>
          <w:sz w:val="16"/>
          <w:szCs w:val="16"/>
          <w:b w:val="1"/>
          <w:bCs w:val="1"/>
          <w:color w:val="auto"/>
        </w:rPr>
        <w:t>PART IV</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98" w:lineRule="exact"/>
        <w:rPr>
          <w:sz w:val="20"/>
          <w:szCs w:val="20"/>
          <w:color w:val="auto"/>
        </w:rPr>
      </w:pPr>
    </w:p>
    <w:p>
      <w:pPr>
        <w:ind w:left="860" w:hanging="372"/>
        <w:spacing w:after="0"/>
        <w:tabs>
          <w:tab w:leader="none" w:pos="86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financial statements are set forth in Item 8 of this Form 10-K.</w:t>
      </w:r>
    </w:p>
    <w:p>
      <w:pPr>
        <w:spacing w:after="0" w:line="38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470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139"/>
          </w:cols>
          <w:pgMar w:left="320" w:top="311"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4"/>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20" w:type="dxa"/>
            <w:vAlign w:val="bottom"/>
            <w:gridSpan w:val="12"/>
          </w:tcPr>
          <w:p>
            <w:pPr>
              <w:ind w:left="580"/>
              <w:spacing w:after="0"/>
              <w:rPr>
                <w:sz w:val="20"/>
                <w:szCs w:val="20"/>
                <w:color w:val="auto"/>
              </w:rPr>
            </w:pPr>
            <w:r>
              <w:rPr>
                <w:rFonts w:ascii="Arial" w:cs="Arial" w:eastAsia="Arial" w:hAnsi="Arial"/>
                <w:sz w:val="16"/>
                <w:szCs w:val="16"/>
                <w:b w:val="1"/>
                <w:bCs w:val="1"/>
                <w:color w:val="auto"/>
              </w:rPr>
              <w:t>EXHIBIT INDEX</w:t>
            </w:r>
          </w:p>
        </w:tc>
        <w:tc>
          <w:tcPr>
            <w:tcW w:w="20" w:type="dxa"/>
            <w:vAlign w:val="bottom"/>
          </w:tcPr>
          <w:p>
            <w:pPr>
              <w:spacing w:after="0"/>
              <w:rPr>
                <w:sz w:val="17"/>
                <w:szCs w:val="17"/>
                <w:color w:val="auto"/>
              </w:rPr>
            </w:pPr>
          </w:p>
        </w:tc>
      </w:tr>
      <w:tr>
        <w:trPr>
          <w:trHeight w:val="342"/>
        </w:trPr>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Number</w:t>
            </w:r>
          </w:p>
        </w:tc>
        <w:tc>
          <w:tcPr>
            <w:tcW w:w="10280" w:type="dxa"/>
            <w:vAlign w:val="bottom"/>
            <w:gridSpan w:val="19"/>
          </w:tcPr>
          <w:p>
            <w:pPr>
              <w:spacing w:after="0"/>
              <w:rPr>
                <w:sz w:val="20"/>
                <w:szCs w:val="20"/>
                <w:color w:val="auto"/>
              </w:rPr>
            </w:pPr>
            <w:r>
              <w:rPr>
                <w:rFonts w:ascii="Arial" w:cs="Arial" w:eastAsia="Arial" w:hAnsi="Arial"/>
                <w:sz w:val="13"/>
                <w:szCs w:val="13"/>
                <w:b w:val="1"/>
                <w:bCs w:val="1"/>
                <w:color w:val="auto"/>
              </w:rPr>
              <w:t>Exhibit Title</w:t>
            </w:r>
          </w:p>
        </w:tc>
        <w:tc>
          <w:tcPr>
            <w:tcW w:w="20" w:type="dxa"/>
            <w:vAlign w:val="bottom"/>
          </w:tcPr>
          <w:p>
            <w:pPr>
              <w:spacing w:after="0"/>
              <w:rPr>
                <w:sz w:val="24"/>
                <w:szCs w:val="24"/>
                <w:color w:val="auto"/>
              </w:rPr>
            </w:pPr>
          </w:p>
        </w:tc>
      </w:tr>
      <w:tr>
        <w:trPr>
          <w:trHeight w:val="251"/>
        </w:trPr>
        <w:tc>
          <w:tcPr>
            <w:tcW w:w="7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3.1</w:t>
            </w:r>
          </w:p>
        </w:tc>
        <w:tc>
          <w:tcPr>
            <w:tcW w:w="200" w:type="dxa"/>
            <w:vAlign w:val="bottom"/>
          </w:tcPr>
          <w:p>
            <w:pPr>
              <w:spacing w:after="0"/>
              <w:rPr>
                <w:sz w:val="21"/>
                <w:szCs w:val="21"/>
                <w:color w:val="auto"/>
              </w:rPr>
            </w:pPr>
          </w:p>
        </w:tc>
        <w:tc>
          <w:tcPr>
            <w:tcW w:w="10280" w:type="dxa"/>
            <w:vAlign w:val="bottom"/>
            <w:tcBorders>
              <w:top w:val="single" w:sz="8" w:color="auto"/>
            </w:tcBorders>
            <w:gridSpan w:val="19"/>
          </w:tcPr>
          <w:p>
            <w:pPr>
              <w:spacing w:after="0"/>
              <w:rPr>
                <w:rFonts w:ascii="Arial" w:cs="Arial" w:eastAsia="Arial" w:hAnsi="Arial"/>
                <w:sz w:val="16"/>
                <w:szCs w:val="16"/>
                <w:color w:val="0000EE"/>
                <w:w w:val="90"/>
              </w:rPr>
            </w:pPr>
            <w:hyperlink r:id="rId121">
              <w:r>
                <w:rPr>
                  <w:rFonts w:ascii="Arial" w:cs="Arial" w:eastAsia="Arial" w:hAnsi="Arial"/>
                  <w:sz w:val="16"/>
                  <w:szCs w:val="16"/>
                  <w:color w:val="0000EE"/>
                  <w:w w:val="90"/>
                </w:rPr>
                <w:t>Amended and Restated Articles of Incorporation of Orion Energy Systems, Inc., filed as Exhibit 3.3 to the Registrant’s Form S-1 filed August 20, 2007, is hereby</w:t>
              </w:r>
            </w:hyperlink>
          </w:p>
        </w:tc>
        <w:tc>
          <w:tcPr>
            <w:tcW w:w="20" w:type="dxa"/>
            <w:vAlign w:val="bottom"/>
          </w:tcPr>
          <w:p>
            <w:pPr>
              <w:spacing w:after="0"/>
              <w:rPr>
                <w:sz w:val="21"/>
                <w:szCs w:val="21"/>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Borders>
              <w:top w:val="single" w:sz="8" w:color="0000EE"/>
              <w:bottom w:val="single" w:sz="8" w:color="0000EE"/>
            </w:tcBorders>
            <w:gridSpan w:val="4"/>
          </w:tcPr>
          <w:p>
            <w:pPr>
              <w:spacing w:after="0" w:line="168" w:lineRule="exact"/>
              <w:rPr>
                <w:rFonts w:ascii="Arial" w:cs="Arial" w:eastAsia="Arial" w:hAnsi="Arial"/>
                <w:sz w:val="16"/>
                <w:szCs w:val="16"/>
                <w:color w:val="0000EE"/>
                <w:w w:val="87"/>
              </w:rPr>
            </w:pPr>
            <w:hyperlink r:id="rId121">
              <w:r>
                <w:rPr>
                  <w:rFonts w:ascii="Arial" w:cs="Arial" w:eastAsia="Arial" w:hAnsi="Arial"/>
                  <w:sz w:val="16"/>
                  <w:szCs w:val="16"/>
                  <w:color w:val="0000EE"/>
                  <w:w w:val="87"/>
                </w:rPr>
                <w:t>incorporated by reference.</w:t>
              </w:r>
            </w:hyperlink>
          </w:p>
        </w:tc>
        <w:tc>
          <w:tcPr>
            <w:tcW w:w="8480" w:type="dxa"/>
            <w:vAlign w:val="bottom"/>
            <w:tcBorders>
              <w:top w:val="single" w:sz="8" w:color="0000EE"/>
            </w:tcBorders>
            <w:gridSpan w:val="13"/>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74"/>
        </w:trPr>
        <w:tc>
          <w:tcPr>
            <w:tcW w:w="7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200" w:type="dxa"/>
            <w:vAlign w:val="bottom"/>
          </w:tcPr>
          <w:p>
            <w:pPr>
              <w:spacing w:after="0"/>
              <w:rPr>
                <w:sz w:val="23"/>
                <w:szCs w:val="23"/>
                <w:color w:val="auto"/>
              </w:rPr>
            </w:pPr>
          </w:p>
        </w:tc>
        <w:tc>
          <w:tcPr>
            <w:tcW w:w="10280" w:type="dxa"/>
            <w:vAlign w:val="bottom"/>
            <w:tcBorders>
              <w:bottom w:val="single" w:sz="8" w:color="0000EE"/>
            </w:tcBorders>
            <w:gridSpan w:val="19"/>
          </w:tcPr>
          <w:p>
            <w:pPr>
              <w:spacing w:after="0"/>
              <w:rPr>
                <w:rFonts w:ascii="Arial" w:cs="Arial" w:eastAsia="Arial" w:hAnsi="Arial"/>
                <w:sz w:val="16"/>
                <w:szCs w:val="16"/>
                <w:color w:val="0000EE"/>
                <w:w w:val="92"/>
              </w:rPr>
            </w:pPr>
            <w:hyperlink r:id="rId122">
              <w:r>
                <w:rPr>
                  <w:rFonts w:ascii="Arial" w:cs="Arial" w:eastAsia="Arial" w:hAnsi="Arial"/>
                  <w:sz w:val="16"/>
                  <w:szCs w:val="16"/>
                  <w:color w:val="0000EE"/>
                  <w:w w:val="92"/>
                </w:rPr>
                <w:t>Amended and Restated Bylaws of Orion Energy Systems, Inc., filed as Exhibit 3.1 to the Registrant’s Form 8-K filed May 22, 2020, is hereby incorporated by</w:t>
              </w:r>
            </w:hyperlink>
          </w:p>
        </w:tc>
        <w:tc>
          <w:tcPr>
            <w:tcW w:w="20" w:type="dxa"/>
            <w:vAlign w:val="bottom"/>
          </w:tcPr>
          <w:p>
            <w:pPr>
              <w:spacing w:after="0"/>
              <w:rPr>
                <w:sz w:val="23"/>
                <w:szCs w:val="23"/>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80" w:type="dxa"/>
            <w:vAlign w:val="bottom"/>
            <w:gridSpan w:val="19"/>
          </w:tcPr>
          <w:p>
            <w:pPr>
              <w:spacing w:after="0" w:line="168" w:lineRule="exact"/>
              <w:rPr>
                <w:rFonts w:ascii="Arial" w:cs="Arial" w:eastAsia="Arial" w:hAnsi="Arial"/>
                <w:sz w:val="16"/>
                <w:szCs w:val="16"/>
                <w:color w:val="0000EE"/>
              </w:rPr>
            </w:pPr>
            <w:hyperlink r:id="rId122">
              <w:r>
                <w:rPr>
                  <w:rFonts w:ascii="Arial" w:cs="Arial" w:eastAsia="Arial" w:hAnsi="Arial"/>
                  <w:sz w:val="16"/>
                  <w:szCs w:val="16"/>
                  <w:color w:val="0000EE"/>
                </w:rPr>
                <w:t>reference.</w:t>
              </w:r>
            </w:hyperlink>
          </w:p>
        </w:tc>
        <w:tc>
          <w:tcPr>
            <w:tcW w:w="20" w:type="dxa"/>
            <w:vAlign w:val="bottom"/>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7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00" w:type="dxa"/>
            <w:vAlign w:val="bottom"/>
          </w:tcPr>
          <w:p>
            <w:pPr>
              <w:spacing w:after="0"/>
              <w:rPr>
                <w:sz w:val="23"/>
                <w:szCs w:val="23"/>
                <w:color w:val="auto"/>
              </w:rPr>
            </w:pPr>
          </w:p>
        </w:tc>
        <w:tc>
          <w:tcPr>
            <w:tcW w:w="10280" w:type="dxa"/>
            <w:vAlign w:val="bottom"/>
            <w:tcBorders>
              <w:bottom w:val="single" w:sz="8" w:color="0000EE"/>
            </w:tcBorders>
            <w:gridSpan w:val="19"/>
          </w:tcPr>
          <w:p>
            <w:pPr>
              <w:spacing w:after="0"/>
              <w:rPr>
                <w:rFonts w:ascii="Arial" w:cs="Arial" w:eastAsia="Arial" w:hAnsi="Arial"/>
                <w:sz w:val="16"/>
                <w:szCs w:val="16"/>
                <w:color w:val="0000EE"/>
                <w:w w:val="89"/>
              </w:rPr>
            </w:pPr>
            <w:hyperlink r:id="rId123">
              <w:r>
                <w:rPr>
                  <w:rFonts w:ascii="Arial" w:cs="Arial" w:eastAsia="Arial" w:hAnsi="Arial"/>
                  <w:sz w:val="16"/>
                  <w:szCs w:val="16"/>
                  <w:color w:val="0000EE"/>
                  <w:w w:val="89"/>
                </w:rPr>
                <w:t>Rights Agreement, dated as of January 7, 2009, between Orion Energy Systems, Inc. and Wells Fargo Bank, N.A., which includes as Exhibit A thereto the Form of</w:t>
              </w:r>
            </w:hyperlink>
          </w:p>
        </w:tc>
        <w:tc>
          <w:tcPr>
            <w:tcW w:w="20" w:type="dxa"/>
            <w:vAlign w:val="bottom"/>
          </w:tcPr>
          <w:p>
            <w:pPr>
              <w:spacing w:after="0"/>
              <w:rPr>
                <w:sz w:val="23"/>
                <w:szCs w:val="23"/>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80" w:type="dxa"/>
            <w:vAlign w:val="bottom"/>
            <w:tcBorders>
              <w:bottom w:val="single" w:sz="8" w:color="0000EE"/>
            </w:tcBorders>
            <w:gridSpan w:val="19"/>
          </w:tcPr>
          <w:p>
            <w:pPr>
              <w:spacing w:after="0" w:line="168" w:lineRule="exact"/>
              <w:rPr>
                <w:rFonts w:ascii="Arial" w:cs="Arial" w:eastAsia="Arial" w:hAnsi="Arial"/>
                <w:sz w:val="16"/>
                <w:szCs w:val="16"/>
                <w:color w:val="0000EE"/>
                <w:w w:val="89"/>
              </w:rPr>
            </w:pPr>
            <w:hyperlink r:id="rId123">
              <w:r>
                <w:rPr>
                  <w:rFonts w:ascii="Arial" w:cs="Arial" w:eastAsia="Arial" w:hAnsi="Arial"/>
                  <w:sz w:val="16"/>
                  <w:szCs w:val="16"/>
                  <w:color w:val="0000EE"/>
                  <w:w w:val="89"/>
                </w:rPr>
                <w:t>Right Certificate and as Exhibit B thereto the Summary of Common Share Purchase Rights, filed as Exhibit 4.1 to the Registrant’s Form 8-A filed January 8, 2009,</w:t>
              </w:r>
            </w:hyperlink>
          </w:p>
        </w:tc>
        <w:tc>
          <w:tcPr>
            <w:tcW w:w="20" w:type="dxa"/>
            <w:vAlign w:val="bottom"/>
          </w:tcPr>
          <w:p>
            <w:pPr>
              <w:spacing w:after="0"/>
              <w:rPr>
                <w:sz w:val="14"/>
                <w:szCs w:val="14"/>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80" w:type="dxa"/>
            <w:vAlign w:val="bottom"/>
            <w:gridSpan w:val="19"/>
          </w:tcPr>
          <w:p>
            <w:pPr>
              <w:spacing w:after="0" w:line="168" w:lineRule="exact"/>
              <w:rPr>
                <w:rFonts w:ascii="Arial" w:cs="Arial" w:eastAsia="Arial" w:hAnsi="Arial"/>
                <w:sz w:val="16"/>
                <w:szCs w:val="16"/>
                <w:color w:val="0000EE"/>
              </w:rPr>
            </w:pPr>
            <w:hyperlink r:id="rId123">
              <w:r>
                <w:rPr>
                  <w:rFonts w:ascii="Arial" w:cs="Arial" w:eastAsia="Arial" w:hAnsi="Arial"/>
                  <w:sz w:val="16"/>
                  <w:szCs w:val="16"/>
                  <w:color w:val="0000EE"/>
                </w:rPr>
                <w:t>is hereby incorporated by reference.</w:t>
              </w:r>
            </w:hyperlink>
          </w:p>
        </w:tc>
        <w:tc>
          <w:tcPr>
            <w:tcW w:w="20" w:type="dxa"/>
            <w:vAlign w:val="bottom"/>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7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200" w:type="dxa"/>
            <w:vAlign w:val="bottom"/>
          </w:tcPr>
          <w:p>
            <w:pPr>
              <w:spacing w:after="0"/>
              <w:rPr>
                <w:sz w:val="23"/>
                <w:szCs w:val="23"/>
                <w:color w:val="auto"/>
              </w:rPr>
            </w:pPr>
          </w:p>
        </w:tc>
        <w:tc>
          <w:tcPr>
            <w:tcW w:w="10280" w:type="dxa"/>
            <w:vAlign w:val="bottom"/>
            <w:gridSpan w:val="19"/>
          </w:tcPr>
          <w:p>
            <w:pPr>
              <w:spacing w:after="0"/>
              <w:rPr>
                <w:rFonts w:ascii="Arial" w:cs="Arial" w:eastAsia="Arial" w:hAnsi="Arial"/>
                <w:sz w:val="16"/>
                <w:szCs w:val="16"/>
                <w:color w:val="0000EE"/>
                <w:w w:val="89"/>
              </w:rPr>
            </w:pPr>
            <w:hyperlink r:id="rId124">
              <w:r>
                <w:rPr>
                  <w:rFonts w:ascii="Arial" w:cs="Arial" w:eastAsia="Arial" w:hAnsi="Arial"/>
                  <w:sz w:val="16"/>
                  <w:szCs w:val="16"/>
                  <w:color w:val="0000EE"/>
                  <w:w w:val="89"/>
                </w:rPr>
                <w:t>Amendment No. 1 to the Rights Agreement, dated as of January 3, 2019, between the Company and Equiniti Trust Company (as successor to Wells Fargo Bank,</w:t>
              </w:r>
            </w:hyperlink>
          </w:p>
        </w:tc>
        <w:tc>
          <w:tcPr>
            <w:tcW w:w="20" w:type="dxa"/>
            <w:vAlign w:val="bottom"/>
          </w:tcPr>
          <w:p>
            <w:pPr>
              <w:spacing w:after="0"/>
              <w:rPr>
                <w:sz w:val="23"/>
                <w:szCs w:val="23"/>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20" w:type="dxa"/>
            <w:vAlign w:val="bottom"/>
            <w:tcBorders>
              <w:top w:val="single" w:sz="8" w:color="0000EE"/>
              <w:bottom w:val="single" w:sz="8" w:color="0000EE"/>
            </w:tcBorders>
            <w:gridSpan w:val="15"/>
          </w:tcPr>
          <w:p>
            <w:pPr>
              <w:spacing w:after="0" w:line="168" w:lineRule="exact"/>
              <w:rPr>
                <w:rFonts w:ascii="Arial" w:cs="Arial" w:eastAsia="Arial" w:hAnsi="Arial"/>
                <w:sz w:val="16"/>
                <w:szCs w:val="16"/>
                <w:color w:val="0000EE"/>
                <w:w w:val="89"/>
              </w:rPr>
            </w:pPr>
            <w:hyperlink r:id="rId124">
              <w:r>
                <w:rPr>
                  <w:rFonts w:ascii="Arial" w:cs="Arial" w:eastAsia="Arial" w:hAnsi="Arial"/>
                  <w:sz w:val="16"/>
                  <w:szCs w:val="16"/>
                  <w:color w:val="0000EE"/>
                  <w:w w:val="89"/>
                </w:rPr>
                <w:t>N.A.), as Rights Agent, filed as Exhibit 4.1 to the Registrants Form 8-K filed January 3, 2019, is hereby incorporated by reference.</w:t>
              </w:r>
            </w:hyperlink>
          </w:p>
        </w:tc>
        <w:tc>
          <w:tcPr>
            <w:tcW w:w="2040" w:type="dxa"/>
            <w:vAlign w:val="bottom"/>
            <w:tcBorders>
              <w:top w:val="single" w:sz="8" w:color="0000EE"/>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4"/>
        </w:trPr>
        <w:tc>
          <w:tcPr>
            <w:tcW w:w="7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200" w:type="dxa"/>
            <w:vAlign w:val="bottom"/>
          </w:tcPr>
          <w:p>
            <w:pPr>
              <w:spacing w:after="0"/>
              <w:rPr>
                <w:sz w:val="23"/>
                <w:szCs w:val="23"/>
                <w:color w:val="auto"/>
              </w:rPr>
            </w:pPr>
          </w:p>
        </w:tc>
        <w:tc>
          <w:tcPr>
            <w:tcW w:w="10280" w:type="dxa"/>
            <w:vAlign w:val="bottom"/>
            <w:tcBorders>
              <w:bottom w:val="single" w:sz="8" w:color="0000EE"/>
            </w:tcBorders>
            <w:gridSpan w:val="19"/>
          </w:tcPr>
          <w:p>
            <w:pPr>
              <w:spacing w:after="0"/>
              <w:rPr>
                <w:rFonts w:ascii="Arial" w:cs="Arial" w:eastAsia="Arial" w:hAnsi="Arial"/>
                <w:sz w:val="16"/>
                <w:szCs w:val="16"/>
                <w:color w:val="0000EE"/>
                <w:w w:val="94"/>
              </w:rPr>
            </w:pPr>
            <w:hyperlink r:id="rId125">
              <w:r>
                <w:rPr>
                  <w:rFonts w:ascii="Arial" w:cs="Arial" w:eastAsia="Arial" w:hAnsi="Arial"/>
                  <w:sz w:val="16"/>
                  <w:szCs w:val="16"/>
                  <w:color w:val="0000EE"/>
                  <w:w w:val="94"/>
                </w:rPr>
                <w:t>Description of Orion Energy Systems, Inc. Capital Stock, filed as Exhibit 4.3 to the Registrant’s Form 10-K filed on June 5, 2019 is hereby incorporated by</w:t>
              </w:r>
            </w:hyperlink>
          </w:p>
        </w:tc>
        <w:tc>
          <w:tcPr>
            <w:tcW w:w="20" w:type="dxa"/>
            <w:vAlign w:val="bottom"/>
          </w:tcPr>
          <w:p>
            <w:pPr>
              <w:spacing w:after="0"/>
              <w:rPr>
                <w:sz w:val="23"/>
                <w:szCs w:val="23"/>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80" w:type="dxa"/>
            <w:vAlign w:val="bottom"/>
            <w:gridSpan w:val="19"/>
          </w:tcPr>
          <w:p>
            <w:pPr>
              <w:spacing w:after="0" w:line="168" w:lineRule="exact"/>
              <w:rPr>
                <w:rFonts w:ascii="Arial" w:cs="Arial" w:eastAsia="Arial" w:hAnsi="Arial"/>
                <w:sz w:val="16"/>
                <w:szCs w:val="16"/>
                <w:color w:val="0000EE"/>
              </w:rPr>
            </w:pPr>
            <w:hyperlink r:id="rId125">
              <w:r>
                <w:rPr>
                  <w:rFonts w:ascii="Arial" w:cs="Arial" w:eastAsia="Arial" w:hAnsi="Arial"/>
                  <w:sz w:val="16"/>
                  <w:szCs w:val="16"/>
                  <w:color w:val="0000EE"/>
                </w:rPr>
                <w:t>reference.</w:t>
              </w:r>
            </w:hyperlink>
          </w:p>
        </w:tc>
        <w:tc>
          <w:tcPr>
            <w:tcW w:w="20" w:type="dxa"/>
            <w:vAlign w:val="bottom"/>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200" w:type="dxa"/>
            <w:vAlign w:val="bottom"/>
          </w:tcPr>
          <w:p>
            <w:pPr>
              <w:spacing w:after="0"/>
              <w:rPr>
                <w:sz w:val="23"/>
                <w:szCs w:val="23"/>
                <w:color w:val="auto"/>
              </w:rPr>
            </w:pPr>
          </w:p>
        </w:tc>
        <w:tc>
          <w:tcPr>
            <w:tcW w:w="10280" w:type="dxa"/>
            <w:vAlign w:val="bottom"/>
            <w:gridSpan w:val="19"/>
          </w:tcPr>
          <w:p>
            <w:pPr>
              <w:spacing w:after="0"/>
              <w:rPr>
                <w:rFonts w:ascii="Arial" w:cs="Arial" w:eastAsia="Arial" w:hAnsi="Arial"/>
                <w:sz w:val="16"/>
                <w:szCs w:val="16"/>
                <w:color w:val="0000EE"/>
                <w:w w:val="89"/>
              </w:rPr>
            </w:pPr>
            <w:hyperlink r:id="rId126">
              <w:r>
                <w:rPr>
                  <w:rFonts w:ascii="Arial" w:cs="Arial" w:eastAsia="Arial" w:hAnsi="Arial"/>
                  <w:sz w:val="16"/>
                  <w:szCs w:val="16"/>
                  <w:color w:val="0000EE"/>
                  <w:w w:val="89"/>
                </w:rPr>
                <w:t>Business Financing Agreement dated as of October 26, 2018 among Orion Energy Systems, Inc., Western Alliance Bank, as lender, and the subsidiary borrowers</w:t>
              </w:r>
            </w:hyperlink>
          </w:p>
        </w:tc>
        <w:tc>
          <w:tcPr>
            <w:tcW w:w="20" w:type="dxa"/>
            <w:vAlign w:val="bottom"/>
          </w:tcPr>
          <w:p>
            <w:pPr>
              <w:spacing w:after="0"/>
              <w:rPr>
                <w:sz w:val="23"/>
                <w:szCs w:val="23"/>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760" w:type="dxa"/>
            <w:vAlign w:val="bottom"/>
            <w:tcBorders>
              <w:top w:val="single" w:sz="8" w:color="0000EE"/>
              <w:bottom w:val="single" w:sz="8" w:color="0000EE"/>
            </w:tcBorders>
            <w:gridSpan w:val="14"/>
          </w:tcPr>
          <w:p>
            <w:pPr>
              <w:spacing w:after="0" w:line="168" w:lineRule="exact"/>
              <w:rPr>
                <w:rFonts w:ascii="Arial" w:cs="Arial" w:eastAsia="Arial" w:hAnsi="Arial"/>
                <w:sz w:val="16"/>
                <w:szCs w:val="16"/>
                <w:color w:val="0000EE"/>
                <w:w w:val="89"/>
              </w:rPr>
            </w:pPr>
            <w:hyperlink r:id="rId126">
              <w:r>
                <w:rPr>
                  <w:rFonts w:ascii="Arial" w:cs="Arial" w:eastAsia="Arial" w:hAnsi="Arial"/>
                  <w:sz w:val="16"/>
                  <w:szCs w:val="16"/>
                  <w:color w:val="0000EE"/>
                  <w:w w:val="89"/>
                </w:rPr>
                <w:t>party thereto, filed as Exhibit 10.1 to Registrant’s Form 8-K filed on October 30, 2018, is hereby incorporated by reference.</w:t>
              </w:r>
            </w:hyperlink>
          </w:p>
        </w:tc>
        <w:tc>
          <w:tcPr>
            <w:tcW w:w="2500" w:type="dxa"/>
            <w:vAlign w:val="bottom"/>
            <w:tcBorders>
              <w:top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4"/>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200" w:type="dxa"/>
            <w:vAlign w:val="bottom"/>
          </w:tcPr>
          <w:p>
            <w:pPr>
              <w:spacing w:after="0"/>
              <w:rPr>
                <w:sz w:val="23"/>
                <w:szCs w:val="23"/>
                <w:color w:val="auto"/>
              </w:rPr>
            </w:pPr>
          </w:p>
        </w:tc>
        <w:tc>
          <w:tcPr>
            <w:tcW w:w="10280" w:type="dxa"/>
            <w:vAlign w:val="bottom"/>
            <w:tcBorders>
              <w:bottom w:val="single" w:sz="8" w:color="0000EE"/>
            </w:tcBorders>
            <w:gridSpan w:val="19"/>
          </w:tcPr>
          <w:p>
            <w:pPr>
              <w:spacing w:after="0"/>
              <w:rPr>
                <w:rFonts w:ascii="Arial" w:cs="Arial" w:eastAsia="Arial" w:hAnsi="Arial"/>
                <w:sz w:val="16"/>
                <w:szCs w:val="16"/>
                <w:color w:val="0000EE"/>
                <w:w w:val="91"/>
              </w:rPr>
            </w:pPr>
            <w:hyperlink r:id="rId127">
              <w:r>
                <w:rPr>
                  <w:rFonts w:ascii="Arial" w:cs="Arial" w:eastAsia="Arial" w:hAnsi="Arial"/>
                  <w:sz w:val="16"/>
                  <w:szCs w:val="16"/>
                  <w:color w:val="0000EE"/>
                  <w:w w:val="91"/>
                </w:rPr>
                <w:t>Amendment No. 1 to Business Financing Agreement, dated as of June 3, 2019 among Orion Energy Systems, Inc., Western Alliance Bank, as lender, and the</w:t>
              </w:r>
            </w:hyperlink>
          </w:p>
        </w:tc>
        <w:tc>
          <w:tcPr>
            <w:tcW w:w="20" w:type="dxa"/>
            <w:vAlign w:val="bottom"/>
          </w:tcPr>
          <w:p>
            <w:pPr>
              <w:spacing w:after="0"/>
              <w:rPr>
                <w:sz w:val="23"/>
                <w:szCs w:val="23"/>
                <w:color w:val="auto"/>
              </w:rPr>
            </w:pPr>
          </w:p>
        </w:tc>
      </w:tr>
      <w:tr>
        <w:trPr>
          <w:trHeight w:val="202"/>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80" w:type="dxa"/>
            <w:vAlign w:val="bottom"/>
            <w:gridSpan w:val="19"/>
          </w:tcPr>
          <w:p>
            <w:pPr>
              <w:spacing w:after="0"/>
              <w:rPr>
                <w:rFonts w:ascii="Arial" w:cs="Arial" w:eastAsia="Arial" w:hAnsi="Arial"/>
                <w:sz w:val="16"/>
                <w:szCs w:val="16"/>
                <w:u w:val="single" w:color="auto"/>
                <w:color w:val="0000EE"/>
              </w:rPr>
            </w:pPr>
            <w:hyperlink r:id="rId127">
              <w:r>
                <w:rPr>
                  <w:rFonts w:ascii="Arial" w:cs="Arial" w:eastAsia="Arial" w:hAnsi="Arial"/>
                  <w:sz w:val="16"/>
                  <w:szCs w:val="16"/>
                  <w:u w:val="single" w:color="auto"/>
                  <w:color w:val="0000EE"/>
                </w:rPr>
                <w:t>subsidiary borrowers party thereto filed as Exhibit 10.2 to the Registrant’s Form 10-K filed on June 5, 2019 is hereby incorporated by reference.**</w:t>
              </w:r>
            </w:hyperlink>
          </w:p>
        </w:tc>
        <w:tc>
          <w:tcPr>
            <w:tcW w:w="20" w:type="dxa"/>
            <w:vAlign w:val="bottom"/>
          </w:tcPr>
          <w:p>
            <w:pPr>
              <w:spacing w:after="0"/>
              <w:rPr>
                <w:sz w:val="17"/>
                <w:szCs w:val="17"/>
                <w:color w:val="auto"/>
              </w:rPr>
            </w:pPr>
          </w:p>
        </w:tc>
      </w:tr>
      <w:tr>
        <w:trPr>
          <w:trHeight w:val="260"/>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200" w:type="dxa"/>
            <w:vAlign w:val="bottom"/>
          </w:tcPr>
          <w:p>
            <w:pPr>
              <w:spacing w:after="0"/>
              <w:rPr>
                <w:sz w:val="22"/>
                <w:szCs w:val="22"/>
                <w:color w:val="auto"/>
              </w:rPr>
            </w:pPr>
          </w:p>
        </w:tc>
        <w:tc>
          <w:tcPr>
            <w:tcW w:w="10280" w:type="dxa"/>
            <w:vAlign w:val="bottom"/>
            <w:tcBorders>
              <w:bottom w:val="single" w:sz="8" w:color="0000EE"/>
            </w:tcBorders>
            <w:gridSpan w:val="19"/>
          </w:tcPr>
          <w:p>
            <w:pPr>
              <w:spacing w:after="0"/>
              <w:rPr>
                <w:rFonts w:ascii="Arial" w:cs="Arial" w:eastAsia="Arial" w:hAnsi="Arial"/>
                <w:sz w:val="16"/>
                <w:szCs w:val="16"/>
                <w:color w:val="0000EE"/>
                <w:w w:val="90"/>
              </w:rPr>
            </w:pPr>
            <w:hyperlink r:id="rId128">
              <w:r>
                <w:rPr>
                  <w:rFonts w:ascii="Arial" w:cs="Arial" w:eastAsia="Arial" w:hAnsi="Arial"/>
                  <w:sz w:val="16"/>
                  <w:szCs w:val="16"/>
                  <w:color w:val="0000EE"/>
                  <w:w w:val="90"/>
                </w:rPr>
                <w:t>Amendment No. 2 to Business Financing Agreement, dated as of August 2, 2019 among Orion Energy Systems, Inc., Western Alliance Bank, as lender, and the</w:t>
              </w:r>
            </w:hyperlink>
          </w:p>
        </w:tc>
        <w:tc>
          <w:tcPr>
            <w:tcW w:w="20" w:type="dxa"/>
            <w:vAlign w:val="bottom"/>
          </w:tcPr>
          <w:p>
            <w:pPr>
              <w:spacing w:after="0"/>
              <w:rPr>
                <w:sz w:val="22"/>
                <w:szCs w:val="22"/>
                <w:color w:val="auto"/>
              </w:rPr>
            </w:pPr>
          </w:p>
        </w:tc>
      </w:tr>
      <w:tr>
        <w:trPr>
          <w:trHeight w:val="202"/>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80" w:type="dxa"/>
            <w:vAlign w:val="bottom"/>
            <w:gridSpan w:val="19"/>
          </w:tcPr>
          <w:p>
            <w:pPr>
              <w:spacing w:after="0"/>
              <w:rPr>
                <w:rFonts w:ascii="Arial" w:cs="Arial" w:eastAsia="Arial" w:hAnsi="Arial"/>
                <w:sz w:val="16"/>
                <w:szCs w:val="16"/>
                <w:u w:val="single" w:color="auto"/>
                <w:color w:val="0000EE"/>
                <w:w w:val="99"/>
              </w:rPr>
            </w:pPr>
            <w:hyperlink r:id="rId128">
              <w:r>
                <w:rPr>
                  <w:rFonts w:ascii="Arial" w:cs="Arial" w:eastAsia="Arial" w:hAnsi="Arial"/>
                  <w:sz w:val="16"/>
                  <w:szCs w:val="16"/>
                  <w:u w:val="single" w:color="auto"/>
                  <w:color w:val="0000EE"/>
                  <w:w w:val="99"/>
                </w:rPr>
                <w:t>subsidiary borrowers party thereto filed as Exhibit 10.2 to the Registrant’s Form 10-Q filed on August 5, 2019 is hereby incorporated by reference.</w:t>
              </w:r>
            </w:hyperlink>
          </w:p>
        </w:tc>
        <w:tc>
          <w:tcPr>
            <w:tcW w:w="20" w:type="dxa"/>
            <w:vAlign w:val="bottom"/>
          </w:tcPr>
          <w:p>
            <w:pPr>
              <w:spacing w:after="0"/>
              <w:rPr>
                <w:sz w:val="17"/>
                <w:szCs w:val="17"/>
                <w:color w:val="auto"/>
              </w:rPr>
            </w:pPr>
          </w:p>
        </w:tc>
      </w:tr>
      <w:tr>
        <w:trPr>
          <w:trHeight w:val="260"/>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200" w:type="dxa"/>
            <w:vAlign w:val="bottom"/>
          </w:tcPr>
          <w:p>
            <w:pPr>
              <w:spacing w:after="0"/>
              <w:rPr>
                <w:sz w:val="22"/>
                <w:szCs w:val="22"/>
                <w:color w:val="auto"/>
              </w:rPr>
            </w:pPr>
          </w:p>
        </w:tc>
        <w:tc>
          <w:tcPr>
            <w:tcW w:w="10280" w:type="dxa"/>
            <w:vAlign w:val="bottom"/>
            <w:gridSpan w:val="19"/>
          </w:tcPr>
          <w:p>
            <w:pPr>
              <w:spacing w:after="0"/>
              <w:rPr>
                <w:rFonts w:ascii="Arial" w:cs="Arial" w:eastAsia="Arial" w:hAnsi="Arial"/>
                <w:sz w:val="16"/>
                <w:szCs w:val="16"/>
                <w:color w:val="0000EE"/>
                <w:w w:val="90"/>
              </w:rPr>
            </w:pPr>
            <w:hyperlink r:id="rId129">
              <w:r>
                <w:rPr>
                  <w:rFonts w:ascii="Arial" w:cs="Arial" w:eastAsia="Arial" w:hAnsi="Arial"/>
                  <w:sz w:val="16"/>
                  <w:szCs w:val="16"/>
                  <w:color w:val="0000EE"/>
                  <w:w w:val="90"/>
                </w:rPr>
                <w:t>Amendment No. 3 to Business Financing Agreement dated as of November 21, 2019 among Orion Energy Systems, Inc., Western Alliance Bank, as lender, and</w:t>
              </w:r>
            </w:hyperlink>
          </w:p>
        </w:tc>
        <w:tc>
          <w:tcPr>
            <w:tcW w:w="20" w:type="dxa"/>
            <w:vAlign w:val="bottom"/>
          </w:tcPr>
          <w:p>
            <w:pPr>
              <w:spacing w:after="0"/>
              <w:rPr>
                <w:sz w:val="22"/>
                <w:szCs w:val="22"/>
                <w:color w:val="auto"/>
              </w:rPr>
            </w:pPr>
          </w:p>
        </w:tc>
      </w:tr>
      <w:tr>
        <w:trPr>
          <w:trHeight w:val="202"/>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60" w:type="dxa"/>
            <w:vAlign w:val="bottom"/>
            <w:tcBorders>
              <w:top w:val="single" w:sz="8" w:color="0000EE"/>
            </w:tcBorders>
            <w:gridSpan w:val="18"/>
          </w:tcPr>
          <w:p>
            <w:pPr>
              <w:spacing w:after="0"/>
              <w:rPr>
                <w:rFonts w:ascii="Arial" w:cs="Arial" w:eastAsia="Arial" w:hAnsi="Arial"/>
                <w:sz w:val="16"/>
                <w:szCs w:val="16"/>
                <w:u w:val="single" w:color="auto"/>
                <w:color w:val="0000EE"/>
                <w:w w:val="95"/>
              </w:rPr>
            </w:pPr>
            <w:hyperlink r:id="rId129">
              <w:r>
                <w:rPr>
                  <w:rFonts w:ascii="Arial" w:cs="Arial" w:eastAsia="Arial" w:hAnsi="Arial"/>
                  <w:sz w:val="16"/>
                  <w:szCs w:val="16"/>
                  <w:u w:val="single" w:color="auto"/>
                  <w:color w:val="0000EE"/>
                  <w:w w:val="95"/>
                </w:rPr>
                <w:t>the subsidiary borrowers party thereto filed as Exhibit 10.1 to the Registrant’s Form 8-K filed on November 22, 2019 is hereby incorporated by reference.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0"/>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200" w:type="dxa"/>
            <w:vAlign w:val="bottom"/>
          </w:tcPr>
          <w:p>
            <w:pPr>
              <w:spacing w:after="0"/>
              <w:rPr>
                <w:sz w:val="22"/>
                <w:szCs w:val="22"/>
                <w:color w:val="auto"/>
              </w:rPr>
            </w:pPr>
          </w:p>
        </w:tc>
        <w:tc>
          <w:tcPr>
            <w:tcW w:w="10280" w:type="dxa"/>
            <w:vAlign w:val="bottom"/>
            <w:tcBorders>
              <w:bottom w:val="single" w:sz="8" w:color="0000EE"/>
            </w:tcBorders>
            <w:gridSpan w:val="19"/>
          </w:tcPr>
          <w:p>
            <w:pPr>
              <w:spacing w:after="0"/>
              <w:rPr>
                <w:rFonts w:ascii="Arial" w:cs="Arial" w:eastAsia="Arial" w:hAnsi="Arial"/>
                <w:sz w:val="16"/>
                <w:szCs w:val="16"/>
                <w:color w:val="0000EE"/>
                <w:w w:val="89"/>
              </w:rPr>
            </w:pPr>
            <w:hyperlink r:id="rId130">
              <w:r>
                <w:rPr>
                  <w:rFonts w:ascii="Arial" w:cs="Arial" w:eastAsia="Arial" w:hAnsi="Arial"/>
                  <w:sz w:val="16"/>
                  <w:szCs w:val="16"/>
                  <w:color w:val="0000EE"/>
                  <w:w w:val="89"/>
                </w:rPr>
                <w:t>Orion Energy Systems, Inc. 2004 Stock and Incentive Awards Plan, filed as Exhibit 10.9 to the Registrant’s Form S-1 filed August 20, 2007, is hereby incorporated</w:t>
              </w:r>
            </w:hyperlink>
          </w:p>
        </w:tc>
        <w:tc>
          <w:tcPr>
            <w:tcW w:w="20" w:type="dxa"/>
            <w:vAlign w:val="bottom"/>
          </w:tcPr>
          <w:p>
            <w:pPr>
              <w:spacing w:after="0"/>
              <w:rPr>
                <w:sz w:val="22"/>
                <w:szCs w:val="22"/>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0000EE"/>
            </w:tcBorders>
            <w:gridSpan w:val="3"/>
          </w:tcPr>
          <w:p>
            <w:pPr>
              <w:spacing w:after="0" w:line="168" w:lineRule="exact"/>
              <w:rPr>
                <w:rFonts w:ascii="Arial" w:cs="Arial" w:eastAsia="Arial" w:hAnsi="Arial"/>
                <w:sz w:val="16"/>
                <w:szCs w:val="16"/>
                <w:color w:val="0000EE"/>
                <w:w w:val="88"/>
              </w:rPr>
            </w:pPr>
            <w:hyperlink r:id="rId130">
              <w:r>
                <w:rPr>
                  <w:rFonts w:ascii="Arial" w:cs="Arial" w:eastAsia="Arial" w:hAnsi="Arial"/>
                  <w:sz w:val="16"/>
                  <w:szCs w:val="16"/>
                  <w:color w:val="0000EE"/>
                  <w:w w:val="88"/>
                </w:rPr>
                <w:t>by reference.*</w:t>
              </w:r>
            </w:hyperlink>
          </w:p>
        </w:tc>
        <w:tc>
          <w:tcPr>
            <w:tcW w:w="9380" w:type="dxa"/>
            <w:vAlign w:val="bottom"/>
            <w:gridSpan w:val="16"/>
          </w:tcPr>
          <w:p>
            <w:pPr>
              <w:spacing w:after="0"/>
              <w:rPr>
                <w:sz w:val="14"/>
                <w:szCs w:val="14"/>
                <w:color w:val="auto"/>
              </w:rPr>
            </w:pPr>
          </w:p>
        </w:tc>
        <w:tc>
          <w:tcPr>
            <w:tcW w:w="20" w:type="dxa"/>
            <w:vAlign w:val="bottom"/>
          </w:tcPr>
          <w:p>
            <w:pPr>
              <w:spacing w:after="0"/>
              <w:rPr>
                <w:sz w:val="14"/>
                <w:szCs w:val="14"/>
                <w:color w:val="auto"/>
              </w:rPr>
            </w:pPr>
          </w:p>
        </w:tc>
      </w:tr>
      <w:tr>
        <w:trPr>
          <w:trHeight w:val="274"/>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200" w:type="dxa"/>
            <w:vAlign w:val="bottom"/>
          </w:tcPr>
          <w:p>
            <w:pPr>
              <w:spacing w:after="0"/>
              <w:rPr>
                <w:sz w:val="23"/>
                <w:szCs w:val="23"/>
                <w:color w:val="auto"/>
              </w:rPr>
            </w:pPr>
          </w:p>
        </w:tc>
        <w:tc>
          <w:tcPr>
            <w:tcW w:w="10280" w:type="dxa"/>
            <w:vAlign w:val="bottom"/>
            <w:tcBorders>
              <w:bottom w:val="single" w:sz="8" w:color="0000EE"/>
            </w:tcBorders>
            <w:gridSpan w:val="19"/>
          </w:tcPr>
          <w:p>
            <w:pPr>
              <w:spacing w:after="0"/>
              <w:rPr>
                <w:rFonts w:ascii="Arial" w:cs="Arial" w:eastAsia="Arial" w:hAnsi="Arial"/>
                <w:sz w:val="16"/>
                <w:szCs w:val="16"/>
                <w:color w:val="0000EE"/>
                <w:w w:val="92"/>
              </w:rPr>
            </w:pPr>
            <w:hyperlink r:id="rId131">
              <w:r>
                <w:rPr>
                  <w:rFonts w:ascii="Arial" w:cs="Arial" w:eastAsia="Arial" w:hAnsi="Arial"/>
                  <w:sz w:val="16"/>
                  <w:szCs w:val="16"/>
                  <w:color w:val="0000EE"/>
                  <w:w w:val="92"/>
                </w:rPr>
                <w:t>Amendment to Orion Energy Systems, Inc. 2004 Stock and Incentive Awards Plan, filed September 9, 2011 as Appendix A to the Registrant’s definitive proxy</w:t>
              </w:r>
            </w:hyperlink>
          </w:p>
        </w:tc>
        <w:tc>
          <w:tcPr>
            <w:tcW w:w="20" w:type="dxa"/>
            <w:vAlign w:val="bottom"/>
          </w:tcPr>
          <w:p>
            <w:pPr>
              <w:spacing w:after="0"/>
              <w:rPr>
                <w:sz w:val="23"/>
                <w:szCs w:val="23"/>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80" w:type="dxa"/>
            <w:vAlign w:val="bottom"/>
            <w:gridSpan w:val="19"/>
          </w:tcPr>
          <w:p>
            <w:pPr>
              <w:spacing w:after="0" w:line="168" w:lineRule="exact"/>
              <w:rPr>
                <w:rFonts w:ascii="Arial" w:cs="Arial" w:eastAsia="Arial" w:hAnsi="Arial"/>
                <w:sz w:val="16"/>
                <w:szCs w:val="16"/>
                <w:color w:val="0000EE"/>
              </w:rPr>
            </w:pPr>
            <w:hyperlink r:id="rId131">
              <w:r>
                <w:rPr>
                  <w:rFonts w:ascii="Arial" w:cs="Arial" w:eastAsia="Arial" w:hAnsi="Arial"/>
                  <w:sz w:val="16"/>
                  <w:szCs w:val="16"/>
                  <w:color w:val="0000EE"/>
                </w:rPr>
                <w:t>statement is hereby incorporated by reference.*</w:t>
              </w:r>
            </w:hyperlink>
          </w:p>
        </w:tc>
        <w:tc>
          <w:tcPr>
            <w:tcW w:w="20" w:type="dxa"/>
            <w:vAlign w:val="bottom"/>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200" w:type="dxa"/>
            <w:vAlign w:val="bottom"/>
          </w:tcPr>
          <w:p>
            <w:pPr>
              <w:spacing w:after="0"/>
              <w:rPr>
                <w:sz w:val="23"/>
                <w:szCs w:val="23"/>
                <w:color w:val="auto"/>
              </w:rPr>
            </w:pPr>
          </w:p>
        </w:tc>
        <w:tc>
          <w:tcPr>
            <w:tcW w:w="10280" w:type="dxa"/>
            <w:vAlign w:val="bottom"/>
            <w:gridSpan w:val="19"/>
          </w:tcPr>
          <w:p>
            <w:pPr>
              <w:spacing w:after="0"/>
              <w:rPr>
                <w:rFonts w:ascii="Arial" w:cs="Arial" w:eastAsia="Arial" w:hAnsi="Arial"/>
                <w:sz w:val="16"/>
                <w:szCs w:val="16"/>
                <w:color w:val="0000EE"/>
                <w:w w:val="93"/>
              </w:rPr>
            </w:pPr>
            <w:hyperlink r:id="rId132">
              <w:r>
                <w:rPr>
                  <w:rFonts w:ascii="Arial" w:cs="Arial" w:eastAsia="Arial" w:hAnsi="Arial"/>
                  <w:sz w:val="16"/>
                  <w:szCs w:val="16"/>
                  <w:color w:val="0000EE"/>
                  <w:w w:val="93"/>
                </w:rPr>
                <w:t>Form of Stock Option Agreement under the Orion Energy Systems, Inc. 2004 Equity Incentive Plan, filed as Exhibit 10.10 to the Registrant’s Form S-1 filed</w:t>
              </w:r>
            </w:hyperlink>
          </w:p>
        </w:tc>
        <w:tc>
          <w:tcPr>
            <w:tcW w:w="20" w:type="dxa"/>
            <w:vAlign w:val="bottom"/>
          </w:tcPr>
          <w:p>
            <w:pPr>
              <w:spacing w:after="0"/>
              <w:rPr>
                <w:sz w:val="23"/>
                <w:szCs w:val="23"/>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tcBorders>
              <w:top w:val="single" w:sz="8" w:color="0000EE"/>
              <w:bottom w:val="single" w:sz="8" w:color="0000EE"/>
            </w:tcBorders>
            <w:gridSpan w:val="7"/>
          </w:tcPr>
          <w:p>
            <w:pPr>
              <w:spacing w:after="0" w:line="168" w:lineRule="exact"/>
              <w:rPr>
                <w:rFonts w:ascii="Arial" w:cs="Arial" w:eastAsia="Arial" w:hAnsi="Arial"/>
                <w:sz w:val="16"/>
                <w:szCs w:val="16"/>
                <w:color w:val="0000EE"/>
                <w:w w:val="88"/>
              </w:rPr>
            </w:pPr>
            <w:hyperlink r:id="rId132">
              <w:r>
                <w:rPr>
                  <w:rFonts w:ascii="Arial" w:cs="Arial" w:eastAsia="Arial" w:hAnsi="Arial"/>
                  <w:sz w:val="16"/>
                  <w:szCs w:val="16"/>
                  <w:color w:val="0000EE"/>
                  <w:w w:val="88"/>
                </w:rPr>
                <w:t>August 20, 2007, is hereby incorporated by reference.*</w:t>
              </w:r>
            </w:hyperlink>
          </w:p>
        </w:tc>
        <w:tc>
          <w:tcPr>
            <w:tcW w:w="680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4"/>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200" w:type="dxa"/>
            <w:vAlign w:val="bottom"/>
          </w:tcPr>
          <w:p>
            <w:pPr>
              <w:spacing w:after="0"/>
              <w:rPr>
                <w:sz w:val="23"/>
                <w:szCs w:val="23"/>
                <w:color w:val="auto"/>
              </w:rPr>
            </w:pPr>
          </w:p>
        </w:tc>
        <w:tc>
          <w:tcPr>
            <w:tcW w:w="10280" w:type="dxa"/>
            <w:vAlign w:val="bottom"/>
            <w:gridSpan w:val="19"/>
          </w:tcPr>
          <w:p>
            <w:pPr>
              <w:spacing w:after="0"/>
              <w:rPr>
                <w:rFonts w:ascii="Arial" w:cs="Arial" w:eastAsia="Arial" w:hAnsi="Arial"/>
                <w:sz w:val="16"/>
                <w:szCs w:val="16"/>
                <w:color w:val="0000EE"/>
                <w:w w:val="91"/>
              </w:rPr>
            </w:pPr>
            <w:hyperlink r:id="rId133">
              <w:r>
                <w:rPr>
                  <w:rFonts w:ascii="Arial" w:cs="Arial" w:eastAsia="Arial" w:hAnsi="Arial"/>
                  <w:sz w:val="16"/>
                  <w:szCs w:val="16"/>
                  <w:color w:val="0000EE"/>
                  <w:w w:val="91"/>
                </w:rPr>
                <w:t>Form of Stock Option Agreement as of May 14, 2013 under the Orion Energy Systems, Inc. 2004 Stock and Incentive Awards Plan, filed as Exhibit 10.7 to the</w:t>
              </w:r>
            </w:hyperlink>
          </w:p>
        </w:tc>
        <w:tc>
          <w:tcPr>
            <w:tcW w:w="20" w:type="dxa"/>
            <w:vAlign w:val="bottom"/>
          </w:tcPr>
          <w:p>
            <w:pPr>
              <w:spacing w:after="0"/>
              <w:rPr>
                <w:sz w:val="23"/>
                <w:szCs w:val="23"/>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60" w:type="dxa"/>
            <w:vAlign w:val="bottom"/>
            <w:tcBorders>
              <w:top w:val="single" w:sz="8" w:color="0000EE"/>
            </w:tcBorders>
            <w:gridSpan w:val="18"/>
          </w:tcPr>
          <w:p>
            <w:pPr>
              <w:spacing w:after="0" w:line="168" w:lineRule="exact"/>
              <w:rPr>
                <w:rFonts w:ascii="Arial" w:cs="Arial" w:eastAsia="Arial" w:hAnsi="Arial"/>
                <w:sz w:val="16"/>
                <w:szCs w:val="16"/>
                <w:color w:val="0000EE"/>
              </w:rPr>
            </w:pPr>
            <w:hyperlink r:id="rId133">
              <w:r>
                <w:rPr>
                  <w:rFonts w:ascii="Arial" w:cs="Arial" w:eastAsia="Arial" w:hAnsi="Arial"/>
                  <w:sz w:val="16"/>
                  <w:szCs w:val="16"/>
                  <w:color w:val="0000EE"/>
                </w:rPr>
                <w:t>Registrant’s Form 10-K filed on June 13, 2014, is hereby incorporated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30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780" w:type="dxa"/>
            <w:vAlign w:val="bottom"/>
          </w:tcPr>
          <w:p>
            <w:pPr>
              <w:jc w:val="center"/>
              <w:ind w:right="2"/>
              <w:spacing w:after="0"/>
              <w:rPr>
                <w:sz w:val="20"/>
                <w:szCs w:val="20"/>
                <w:color w:val="auto"/>
              </w:rPr>
            </w:pPr>
            <w:r>
              <w:rPr>
                <w:rFonts w:ascii="Arial" w:cs="Arial" w:eastAsia="Arial" w:hAnsi="Arial"/>
                <w:sz w:val="16"/>
                <w:szCs w:val="16"/>
                <w:color w:val="auto"/>
                <w:w w:val="83"/>
              </w:rPr>
              <w:t>10.9</w:t>
            </w:r>
          </w:p>
        </w:tc>
        <w:tc>
          <w:tcPr>
            <w:tcW w:w="200" w:type="dxa"/>
            <w:vAlign w:val="bottom"/>
          </w:tcPr>
          <w:p>
            <w:pPr>
              <w:spacing w:after="0"/>
              <w:rPr>
                <w:sz w:val="23"/>
                <w:szCs w:val="23"/>
                <w:color w:val="auto"/>
              </w:rPr>
            </w:pPr>
          </w:p>
        </w:tc>
        <w:tc>
          <w:tcPr>
            <w:tcW w:w="10280" w:type="dxa"/>
            <w:vAlign w:val="bottom"/>
            <w:tcBorders>
              <w:bottom w:val="single" w:sz="8" w:color="0000EE"/>
            </w:tcBorders>
            <w:gridSpan w:val="19"/>
          </w:tcPr>
          <w:p>
            <w:pPr>
              <w:spacing w:after="0"/>
              <w:rPr>
                <w:rFonts w:ascii="Arial" w:cs="Arial" w:eastAsia="Arial" w:hAnsi="Arial"/>
                <w:sz w:val="16"/>
                <w:szCs w:val="16"/>
                <w:color w:val="0000EE"/>
                <w:w w:val="89"/>
              </w:rPr>
            </w:pPr>
            <w:hyperlink r:id="rId134">
              <w:r>
                <w:rPr>
                  <w:rFonts w:ascii="Arial" w:cs="Arial" w:eastAsia="Arial" w:hAnsi="Arial"/>
                  <w:sz w:val="16"/>
                  <w:szCs w:val="16"/>
                  <w:color w:val="0000EE"/>
                  <w:w w:val="89"/>
                </w:rPr>
                <w:t>Orion Energy Systems, Inc. 2016 Omnibus Incentive Plan, as amended and restated, filed as Annex A to the Registrant’s Definitive Proxy Statement on Schedule</w:t>
              </w:r>
            </w:hyperlink>
          </w:p>
        </w:tc>
        <w:tc>
          <w:tcPr>
            <w:tcW w:w="20" w:type="dxa"/>
            <w:vAlign w:val="bottom"/>
          </w:tcPr>
          <w:p>
            <w:pPr>
              <w:spacing w:after="0"/>
              <w:rPr>
                <w:sz w:val="23"/>
                <w:szCs w:val="23"/>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80" w:type="dxa"/>
            <w:vAlign w:val="bottom"/>
            <w:gridSpan w:val="19"/>
          </w:tcPr>
          <w:p>
            <w:pPr>
              <w:spacing w:after="0" w:line="168" w:lineRule="exact"/>
              <w:rPr>
                <w:rFonts w:ascii="Arial" w:cs="Arial" w:eastAsia="Arial" w:hAnsi="Arial"/>
                <w:sz w:val="16"/>
                <w:szCs w:val="16"/>
                <w:color w:val="0000EE"/>
              </w:rPr>
            </w:pPr>
            <w:hyperlink r:id="rId134">
              <w:r>
                <w:rPr>
                  <w:rFonts w:ascii="Arial" w:cs="Arial" w:eastAsia="Arial" w:hAnsi="Arial"/>
                  <w:sz w:val="16"/>
                  <w:szCs w:val="16"/>
                  <w:color w:val="0000EE"/>
                </w:rPr>
                <w:t>14A filed on June 21, 2019, is hereby incorporated by reference.*</w:t>
              </w:r>
            </w:hyperlink>
          </w:p>
        </w:tc>
        <w:tc>
          <w:tcPr>
            <w:tcW w:w="20" w:type="dxa"/>
            <w:vAlign w:val="bottom"/>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30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200" w:type="dxa"/>
            <w:vAlign w:val="bottom"/>
          </w:tcPr>
          <w:p>
            <w:pPr>
              <w:spacing w:after="0"/>
              <w:rPr>
                <w:sz w:val="23"/>
                <w:szCs w:val="23"/>
                <w:color w:val="auto"/>
              </w:rPr>
            </w:pPr>
          </w:p>
        </w:tc>
        <w:tc>
          <w:tcPr>
            <w:tcW w:w="10280" w:type="dxa"/>
            <w:vAlign w:val="bottom"/>
            <w:tcBorders>
              <w:bottom w:val="single" w:sz="8" w:color="0000EE"/>
            </w:tcBorders>
            <w:gridSpan w:val="19"/>
          </w:tcPr>
          <w:p>
            <w:pPr>
              <w:spacing w:after="0"/>
              <w:rPr>
                <w:rFonts w:ascii="Arial" w:cs="Arial" w:eastAsia="Arial" w:hAnsi="Arial"/>
                <w:sz w:val="16"/>
                <w:szCs w:val="16"/>
                <w:color w:val="0000EE"/>
                <w:w w:val="90"/>
              </w:rPr>
            </w:pPr>
            <w:hyperlink r:id="rId135">
              <w:r>
                <w:rPr>
                  <w:rFonts w:ascii="Arial" w:cs="Arial" w:eastAsia="Arial" w:hAnsi="Arial"/>
                  <w:sz w:val="16"/>
                  <w:szCs w:val="16"/>
                  <w:color w:val="0000EE"/>
                  <w:w w:val="90"/>
                </w:rPr>
                <w:t>Form of Non-Employee Director Tandem Restricted Stock and Cash Award Agreement under the Orion Energy Systems, Inc. 2016 Omnibus Incentive Plan, filed</w:t>
              </w:r>
            </w:hyperlink>
          </w:p>
        </w:tc>
        <w:tc>
          <w:tcPr>
            <w:tcW w:w="20" w:type="dxa"/>
            <w:vAlign w:val="bottom"/>
          </w:tcPr>
          <w:p>
            <w:pPr>
              <w:spacing w:after="0"/>
              <w:rPr>
                <w:sz w:val="23"/>
                <w:szCs w:val="23"/>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80" w:type="dxa"/>
            <w:vAlign w:val="bottom"/>
            <w:gridSpan w:val="19"/>
          </w:tcPr>
          <w:p>
            <w:pPr>
              <w:spacing w:after="0" w:line="168" w:lineRule="exact"/>
              <w:rPr>
                <w:rFonts w:ascii="Arial" w:cs="Arial" w:eastAsia="Arial" w:hAnsi="Arial"/>
                <w:sz w:val="16"/>
                <w:szCs w:val="16"/>
                <w:color w:val="0000EE"/>
              </w:rPr>
            </w:pPr>
            <w:hyperlink r:id="rId135">
              <w:r>
                <w:rPr>
                  <w:rFonts w:ascii="Arial" w:cs="Arial" w:eastAsia="Arial" w:hAnsi="Arial"/>
                  <w:sz w:val="16"/>
                  <w:szCs w:val="16"/>
                  <w:color w:val="0000EE"/>
                </w:rPr>
                <w:t>as Exhibit 4.5 to the Registrant’s Form S-8 filed August 10, 2016, is hereby incorporated by reference.*</w:t>
              </w:r>
            </w:hyperlink>
          </w:p>
        </w:tc>
        <w:tc>
          <w:tcPr>
            <w:tcW w:w="20" w:type="dxa"/>
            <w:vAlign w:val="bottom"/>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600" w:type="dxa"/>
            <w:vAlign w:val="bottom"/>
            <w:gridSpan w:val="7"/>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780" w:type="dxa"/>
            <w:vAlign w:val="bottom"/>
          </w:tcPr>
          <w:p>
            <w:pPr>
              <w:jc w:val="center"/>
              <w:ind w:right="2"/>
              <w:spacing w:after="0"/>
              <w:rPr>
                <w:sz w:val="20"/>
                <w:szCs w:val="20"/>
                <w:color w:val="auto"/>
              </w:rPr>
            </w:pPr>
            <w:r>
              <w:rPr>
                <w:rFonts w:ascii="Arial" w:cs="Arial" w:eastAsia="Arial" w:hAnsi="Arial"/>
                <w:sz w:val="16"/>
                <w:szCs w:val="16"/>
                <w:color w:val="auto"/>
                <w:w w:val="84"/>
              </w:rPr>
              <w:t>10.11</w:t>
            </w:r>
          </w:p>
        </w:tc>
        <w:tc>
          <w:tcPr>
            <w:tcW w:w="200" w:type="dxa"/>
            <w:vAlign w:val="bottom"/>
          </w:tcPr>
          <w:p>
            <w:pPr>
              <w:spacing w:after="0"/>
              <w:rPr>
                <w:sz w:val="23"/>
                <w:szCs w:val="23"/>
                <w:color w:val="auto"/>
              </w:rPr>
            </w:pPr>
          </w:p>
        </w:tc>
        <w:tc>
          <w:tcPr>
            <w:tcW w:w="10280" w:type="dxa"/>
            <w:vAlign w:val="bottom"/>
            <w:tcBorders>
              <w:bottom w:val="single" w:sz="8" w:color="0000EE"/>
            </w:tcBorders>
            <w:gridSpan w:val="19"/>
          </w:tcPr>
          <w:p>
            <w:pPr>
              <w:spacing w:after="0"/>
              <w:rPr>
                <w:rFonts w:ascii="Arial" w:cs="Arial" w:eastAsia="Arial" w:hAnsi="Arial"/>
                <w:sz w:val="16"/>
                <w:szCs w:val="16"/>
                <w:color w:val="0000EE"/>
                <w:w w:val="91"/>
              </w:rPr>
            </w:pPr>
            <w:hyperlink r:id="rId136">
              <w:r>
                <w:rPr>
                  <w:rFonts w:ascii="Arial" w:cs="Arial" w:eastAsia="Arial" w:hAnsi="Arial"/>
                  <w:sz w:val="16"/>
                  <w:szCs w:val="16"/>
                  <w:color w:val="0000EE"/>
                  <w:w w:val="91"/>
                </w:rPr>
                <w:t>Form of Non-Employee Director Restricted Stock Award Agreement under the Orion Energy Systems, Inc. 2016 Omnibus Incentive Plan, filed as Exhibit 4.6 to</w:t>
              </w:r>
            </w:hyperlink>
          </w:p>
        </w:tc>
        <w:tc>
          <w:tcPr>
            <w:tcW w:w="20" w:type="dxa"/>
            <w:vAlign w:val="bottom"/>
          </w:tcPr>
          <w:p>
            <w:pPr>
              <w:spacing w:after="0"/>
              <w:rPr>
                <w:sz w:val="23"/>
                <w:szCs w:val="23"/>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80" w:type="dxa"/>
            <w:vAlign w:val="bottom"/>
            <w:gridSpan w:val="19"/>
          </w:tcPr>
          <w:p>
            <w:pPr>
              <w:spacing w:after="0" w:line="168" w:lineRule="exact"/>
              <w:rPr>
                <w:rFonts w:ascii="Arial" w:cs="Arial" w:eastAsia="Arial" w:hAnsi="Arial"/>
                <w:sz w:val="16"/>
                <w:szCs w:val="16"/>
                <w:color w:val="0000EE"/>
              </w:rPr>
            </w:pPr>
            <w:hyperlink r:id="rId136">
              <w:r>
                <w:rPr>
                  <w:rFonts w:ascii="Arial" w:cs="Arial" w:eastAsia="Arial" w:hAnsi="Arial"/>
                  <w:sz w:val="16"/>
                  <w:szCs w:val="16"/>
                  <w:color w:val="0000EE"/>
                </w:rPr>
                <w:t>the Registrant’s Form S-8 filed August 10, 2016, is hereby incorporated by reference.*</w:t>
              </w:r>
            </w:hyperlink>
          </w:p>
        </w:tc>
        <w:tc>
          <w:tcPr>
            <w:tcW w:w="20" w:type="dxa"/>
            <w:vAlign w:val="bottom"/>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600" w:type="dxa"/>
            <w:vAlign w:val="bottom"/>
            <w:gridSpan w:val="7"/>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200" w:type="dxa"/>
            <w:vAlign w:val="bottom"/>
          </w:tcPr>
          <w:p>
            <w:pPr>
              <w:spacing w:after="0"/>
              <w:rPr>
                <w:sz w:val="23"/>
                <w:szCs w:val="23"/>
                <w:color w:val="auto"/>
              </w:rPr>
            </w:pPr>
          </w:p>
        </w:tc>
        <w:tc>
          <w:tcPr>
            <w:tcW w:w="10280" w:type="dxa"/>
            <w:vAlign w:val="bottom"/>
            <w:tcBorders>
              <w:bottom w:val="single" w:sz="8" w:color="0000EE"/>
            </w:tcBorders>
            <w:gridSpan w:val="19"/>
          </w:tcPr>
          <w:p>
            <w:pPr>
              <w:spacing w:after="0"/>
              <w:rPr>
                <w:rFonts w:ascii="Arial" w:cs="Arial" w:eastAsia="Arial" w:hAnsi="Arial"/>
                <w:sz w:val="16"/>
                <w:szCs w:val="16"/>
                <w:color w:val="0000EE"/>
                <w:w w:val="89"/>
              </w:rPr>
            </w:pPr>
            <w:hyperlink r:id="rId137">
              <w:r>
                <w:rPr>
                  <w:rFonts w:ascii="Arial" w:cs="Arial" w:eastAsia="Arial" w:hAnsi="Arial"/>
                  <w:sz w:val="16"/>
                  <w:szCs w:val="16"/>
                  <w:color w:val="0000EE"/>
                  <w:w w:val="89"/>
                </w:rPr>
                <w:t>Form of Executive Tandem Restricted Stock and Cash Award Agreement under the Orion Energy Systems, Inc. 2016 Omnibus Incentive Plan, filed as Exhibit 4.7</w:t>
              </w:r>
            </w:hyperlink>
          </w:p>
        </w:tc>
        <w:tc>
          <w:tcPr>
            <w:tcW w:w="20" w:type="dxa"/>
            <w:vAlign w:val="bottom"/>
          </w:tcPr>
          <w:p>
            <w:pPr>
              <w:spacing w:after="0"/>
              <w:rPr>
                <w:sz w:val="23"/>
                <w:szCs w:val="23"/>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80" w:type="dxa"/>
            <w:vAlign w:val="bottom"/>
            <w:gridSpan w:val="19"/>
          </w:tcPr>
          <w:p>
            <w:pPr>
              <w:spacing w:after="0" w:line="168" w:lineRule="exact"/>
              <w:rPr>
                <w:rFonts w:ascii="Arial" w:cs="Arial" w:eastAsia="Arial" w:hAnsi="Arial"/>
                <w:sz w:val="16"/>
                <w:szCs w:val="16"/>
                <w:color w:val="0000EE"/>
              </w:rPr>
            </w:pPr>
            <w:hyperlink r:id="rId137">
              <w:r>
                <w:rPr>
                  <w:rFonts w:ascii="Arial" w:cs="Arial" w:eastAsia="Arial" w:hAnsi="Arial"/>
                  <w:sz w:val="16"/>
                  <w:szCs w:val="16"/>
                  <w:color w:val="0000EE"/>
                </w:rPr>
                <w:t>to the Registrant’s Form S-8 filed August 10, 2016, is hereby incorporated by reference.*</w:t>
              </w:r>
            </w:hyperlink>
          </w:p>
        </w:tc>
        <w:tc>
          <w:tcPr>
            <w:tcW w:w="20" w:type="dxa"/>
            <w:vAlign w:val="bottom"/>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600" w:type="dxa"/>
            <w:vAlign w:val="bottom"/>
            <w:gridSpan w:val="7"/>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200" w:type="dxa"/>
            <w:vAlign w:val="bottom"/>
          </w:tcPr>
          <w:p>
            <w:pPr>
              <w:spacing w:after="0"/>
              <w:rPr>
                <w:sz w:val="23"/>
                <w:szCs w:val="23"/>
                <w:color w:val="auto"/>
              </w:rPr>
            </w:pPr>
          </w:p>
        </w:tc>
        <w:tc>
          <w:tcPr>
            <w:tcW w:w="10280" w:type="dxa"/>
            <w:vAlign w:val="bottom"/>
            <w:gridSpan w:val="19"/>
          </w:tcPr>
          <w:p>
            <w:pPr>
              <w:spacing w:after="0"/>
              <w:rPr>
                <w:rFonts w:ascii="Arial" w:cs="Arial" w:eastAsia="Arial" w:hAnsi="Arial"/>
                <w:sz w:val="16"/>
                <w:szCs w:val="16"/>
                <w:color w:val="0000EE"/>
                <w:w w:val="90"/>
              </w:rPr>
            </w:pPr>
            <w:hyperlink r:id="rId138">
              <w:r>
                <w:rPr>
                  <w:rFonts w:ascii="Arial" w:cs="Arial" w:eastAsia="Arial" w:hAnsi="Arial"/>
                  <w:sz w:val="16"/>
                  <w:szCs w:val="16"/>
                  <w:color w:val="0000EE"/>
                  <w:w w:val="90"/>
                </w:rPr>
                <w:t>Form of Executive Restricted Stock Award Agreement under the Orion Energy Systems, Inc. 2016 Omnibus Incentive Plan, filed as Exhibit 4.8 to the Registrant’s</w:t>
              </w:r>
            </w:hyperlink>
          </w:p>
        </w:tc>
        <w:tc>
          <w:tcPr>
            <w:tcW w:w="20" w:type="dxa"/>
            <w:vAlign w:val="bottom"/>
          </w:tcPr>
          <w:p>
            <w:pPr>
              <w:spacing w:after="0"/>
              <w:rPr>
                <w:sz w:val="23"/>
                <w:szCs w:val="23"/>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60" w:type="dxa"/>
            <w:vAlign w:val="bottom"/>
            <w:tcBorders>
              <w:top w:val="single" w:sz="8" w:color="0000EE"/>
            </w:tcBorders>
            <w:gridSpan w:val="18"/>
          </w:tcPr>
          <w:p>
            <w:pPr>
              <w:spacing w:after="0" w:line="168" w:lineRule="exact"/>
              <w:rPr>
                <w:rFonts w:ascii="Arial" w:cs="Arial" w:eastAsia="Arial" w:hAnsi="Arial"/>
                <w:sz w:val="16"/>
                <w:szCs w:val="16"/>
                <w:color w:val="0000EE"/>
              </w:rPr>
            </w:pPr>
            <w:hyperlink r:id="rId138">
              <w:r>
                <w:rPr>
                  <w:rFonts w:ascii="Arial" w:cs="Arial" w:eastAsia="Arial" w:hAnsi="Arial"/>
                  <w:sz w:val="16"/>
                  <w:szCs w:val="16"/>
                  <w:color w:val="0000EE"/>
                </w:rPr>
                <w:t>Form S-8 filed August 10, 2016, is hereby incorporated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600" w:type="dxa"/>
            <w:vAlign w:val="bottom"/>
            <w:gridSpan w:val="7"/>
            <w:shd w:val="clear" w:color="auto" w:fill="0000EE"/>
          </w:tcPr>
          <w:p>
            <w:pPr>
              <w:spacing w:after="0" w:line="20" w:lineRule="exact"/>
              <w:rPr>
                <w:sz w:val="1"/>
                <w:szCs w:val="1"/>
                <w:color w:val="auto"/>
              </w:rPr>
            </w:pPr>
          </w:p>
        </w:tc>
        <w:tc>
          <w:tcPr>
            <w:tcW w:w="570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8"/>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200" w:type="dxa"/>
            <w:vAlign w:val="bottom"/>
          </w:tcPr>
          <w:p>
            <w:pPr>
              <w:spacing w:after="0"/>
              <w:rPr>
                <w:sz w:val="24"/>
                <w:szCs w:val="24"/>
                <w:color w:val="auto"/>
              </w:rPr>
            </w:pPr>
          </w:p>
        </w:tc>
        <w:tc>
          <w:tcPr>
            <w:tcW w:w="10280" w:type="dxa"/>
            <w:vAlign w:val="bottom"/>
            <w:gridSpan w:val="19"/>
          </w:tcPr>
          <w:p>
            <w:pPr>
              <w:spacing w:after="0"/>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Orion Energy Systems, Inc. Non-Employee Director Compensation Plan, updated and effective as of February 7, 2020*+</w:t>
              </w:r>
            </w:hyperlink>
          </w:p>
        </w:tc>
        <w:tc>
          <w:tcPr>
            <w:tcW w:w="20" w:type="dxa"/>
            <w:vAlign w:val="bottom"/>
          </w:tcPr>
          <w:p>
            <w:pPr>
              <w:spacing w:after="0"/>
              <w:rPr>
                <w:sz w:val="24"/>
                <w:szCs w:val="24"/>
                <w:color w:val="auto"/>
              </w:rPr>
            </w:pPr>
          </w:p>
        </w:tc>
      </w:tr>
      <w:tr>
        <w:trPr>
          <w:trHeight w:val="260"/>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200" w:type="dxa"/>
            <w:vAlign w:val="bottom"/>
          </w:tcPr>
          <w:p>
            <w:pPr>
              <w:spacing w:after="0"/>
              <w:rPr>
                <w:sz w:val="22"/>
                <w:szCs w:val="22"/>
                <w:color w:val="auto"/>
              </w:rPr>
            </w:pPr>
          </w:p>
        </w:tc>
        <w:tc>
          <w:tcPr>
            <w:tcW w:w="10120" w:type="dxa"/>
            <w:vAlign w:val="bottom"/>
            <w:tcBorders>
              <w:bottom w:val="single" w:sz="8" w:color="0000EE"/>
            </w:tcBorders>
            <w:gridSpan w:val="16"/>
          </w:tcPr>
          <w:p>
            <w:pPr>
              <w:spacing w:after="0"/>
              <w:rPr>
                <w:rFonts w:ascii="Arial" w:cs="Arial" w:eastAsia="Arial" w:hAnsi="Arial"/>
                <w:sz w:val="16"/>
                <w:szCs w:val="16"/>
                <w:color w:val="0000EE"/>
                <w:w w:val="87"/>
              </w:rPr>
            </w:pPr>
            <w:hyperlink w:anchor="page94">
              <w:r>
                <w:rPr>
                  <w:rFonts w:ascii="Arial" w:cs="Arial" w:eastAsia="Arial" w:hAnsi="Arial"/>
                  <w:sz w:val="16"/>
                  <w:szCs w:val="16"/>
                  <w:color w:val="0000EE"/>
                  <w:w w:val="87"/>
                </w:rPr>
                <w:t>Amended and Restated Executive Employment and Severance Agreement, dated as of June 1, 2020, by and between Orion Energy Systems, Inc. and Michael W.</w:t>
              </w:r>
            </w:hyperlink>
          </w:p>
        </w:tc>
        <w:tc>
          <w:tcPr>
            <w:tcW w:w="16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r>
      <w:tr>
        <w:trPr>
          <w:trHeight w:val="168"/>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0000EE"/>
            </w:tcBorders>
            <w:gridSpan w:val="2"/>
          </w:tcPr>
          <w:p>
            <w:pPr>
              <w:spacing w:after="0" w:line="168" w:lineRule="exact"/>
              <w:rPr>
                <w:rFonts w:ascii="Arial" w:cs="Arial" w:eastAsia="Arial" w:hAnsi="Arial"/>
                <w:sz w:val="16"/>
                <w:szCs w:val="16"/>
                <w:color w:val="0000EE"/>
                <w:w w:val="94"/>
              </w:rPr>
            </w:pPr>
            <w:hyperlink w:anchor="page94">
              <w:r>
                <w:rPr>
                  <w:rFonts w:ascii="Arial" w:cs="Arial" w:eastAsia="Arial" w:hAnsi="Arial"/>
                  <w:sz w:val="16"/>
                  <w:szCs w:val="16"/>
                  <w:color w:val="0000EE"/>
                  <w:w w:val="94"/>
                </w:rPr>
                <w:t>Altschaefl*+</w:t>
              </w:r>
            </w:hyperlink>
          </w:p>
        </w:tc>
        <w:tc>
          <w:tcPr>
            <w:tcW w:w="9460" w:type="dxa"/>
            <w:vAlign w:val="bottom"/>
            <w:gridSpan w:val="17"/>
          </w:tcPr>
          <w:p>
            <w:pPr>
              <w:spacing w:after="0"/>
              <w:rPr>
                <w:sz w:val="14"/>
                <w:szCs w:val="14"/>
                <w:color w:val="auto"/>
              </w:rPr>
            </w:pPr>
          </w:p>
        </w:tc>
        <w:tc>
          <w:tcPr>
            <w:tcW w:w="20" w:type="dxa"/>
            <w:vAlign w:val="bottom"/>
          </w:tcPr>
          <w:p>
            <w:pPr>
              <w:spacing w:after="0"/>
              <w:rPr>
                <w:sz w:val="14"/>
                <w:szCs w:val="14"/>
                <w:color w:val="auto"/>
              </w:rPr>
            </w:pPr>
          </w:p>
        </w:tc>
      </w:tr>
      <w:tr>
        <w:trPr>
          <w:trHeight w:val="497"/>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gridSpan w:val="10"/>
          </w:tcPr>
          <w:p>
            <w:pPr>
              <w:ind w:left="456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9"/>
        </w:trPr>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-6985</wp:posOffset>
            </wp:positionV>
            <wp:extent cx="762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1" w:right="299" w:bottom="1440" w:gutter="0" w:footer="0" w:header="0"/>
        </w:sectPr>
      </w:pPr>
    </w:p>
    <w:bookmarkStart w:id="90" w:name="page91"/>
    <w:bookmarkEnd w:id="90"/>
    <w:p>
      <w:pPr>
        <w:ind w:left="986" w:right="20" w:hanging="779"/>
        <w:spacing w:after="0" w:line="266" w:lineRule="auto"/>
        <w:tabs>
          <w:tab w:leader="none" w:pos="965" w:val="left"/>
        </w:tabs>
        <w:rPr>
          <w:rFonts w:ascii="Arial" w:cs="Arial" w:eastAsia="Arial" w:hAnsi="Arial"/>
          <w:sz w:val="16"/>
          <w:szCs w:val="16"/>
          <w:u w:val="single" w:color="auto"/>
          <w:color w:val="0000EE"/>
        </w:rPr>
      </w:pPr>
      <w:r>
        <w:rPr>
          <w:rFonts w:ascii="Arial" w:cs="Arial" w:eastAsia="Arial" w:hAnsi="Arial"/>
          <w:sz w:val="16"/>
          <w:szCs w:val="16"/>
          <w:color w:val="auto"/>
        </w:rPr>
        <w:t>10.16</w:t>
      </w:r>
      <w:r>
        <w:rPr>
          <w:sz w:val="20"/>
          <w:szCs w:val="20"/>
          <w:color w:val="auto"/>
        </w:rPr>
        <w:tab/>
      </w:r>
      <w:hyperlink w:anchor="page113">
        <w:r>
          <w:rPr>
            <w:rFonts w:ascii="Arial" w:cs="Arial" w:eastAsia="Arial" w:hAnsi="Arial"/>
            <w:sz w:val="16"/>
            <w:szCs w:val="16"/>
            <w:u w:val="single" w:color="auto"/>
            <w:color w:val="0000EE"/>
          </w:rPr>
          <w:t>Amended and Restated Executive Employment and Severance Agreement, dated as of June 1, 2020, by and between Orion Energy Systems, Inc. and William T.</w:t>
        </w:r>
      </w:hyperlink>
      <w:r>
        <w:rPr>
          <w:rFonts w:ascii="Arial" w:cs="Arial" w:eastAsia="Arial" w:hAnsi="Arial"/>
          <w:sz w:val="16"/>
          <w:szCs w:val="16"/>
          <w:u w:val="single" w:color="auto"/>
          <w:color w:val="0000EE"/>
        </w:rPr>
        <w:t xml:space="preserve"> </w:t>
      </w:r>
      <w:hyperlink w:anchor="page113">
        <w:r>
          <w:rPr>
            <w:rFonts w:ascii="Arial" w:cs="Arial" w:eastAsia="Arial" w:hAnsi="Arial"/>
            <w:sz w:val="16"/>
            <w:szCs w:val="16"/>
            <w:u w:val="single" w:color="auto"/>
            <w:color w:val="0000EE"/>
          </w:rPr>
          <w:t>Hull*+</w:t>
        </w:r>
      </w:hyperlink>
    </w:p>
    <w:p>
      <w:pPr>
        <w:spacing w:after="0" w:line="75" w:lineRule="exact"/>
        <w:rPr>
          <w:sz w:val="20"/>
          <w:szCs w:val="20"/>
          <w:color w:val="auto"/>
        </w:rPr>
      </w:pPr>
    </w:p>
    <w:p>
      <w:pPr>
        <w:ind w:left="986" w:hanging="779"/>
        <w:spacing w:after="0" w:line="266" w:lineRule="auto"/>
        <w:tabs>
          <w:tab w:leader="none" w:pos="965" w:val="left"/>
        </w:tabs>
        <w:rPr>
          <w:rFonts w:ascii="Arial" w:cs="Arial" w:eastAsia="Arial" w:hAnsi="Arial"/>
          <w:sz w:val="16"/>
          <w:szCs w:val="16"/>
          <w:u w:val="single" w:color="auto"/>
          <w:color w:val="0000EE"/>
        </w:rPr>
      </w:pPr>
      <w:r>
        <w:rPr>
          <w:rFonts w:ascii="Arial" w:cs="Arial" w:eastAsia="Arial" w:hAnsi="Arial"/>
          <w:sz w:val="16"/>
          <w:szCs w:val="16"/>
          <w:color w:val="auto"/>
        </w:rPr>
        <w:t>10.17</w:t>
      </w:r>
      <w:r>
        <w:rPr>
          <w:sz w:val="20"/>
          <w:szCs w:val="20"/>
          <w:color w:val="auto"/>
        </w:rPr>
        <w:tab/>
      </w:r>
      <w:hyperlink w:anchor="page131">
        <w:r>
          <w:rPr>
            <w:rFonts w:ascii="Arial" w:cs="Arial" w:eastAsia="Arial" w:hAnsi="Arial"/>
            <w:sz w:val="16"/>
            <w:szCs w:val="16"/>
            <w:u w:val="single" w:color="auto"/>
            <w:color w:val="0000EE"/>
          </w:rPr>
          <w:t>Amended and Restated Executive Employment and Severance Agreement, dated as of June 1, 2020, by and between Orion Energy Systems, Inc. and Scott A.</w:t>
        </w:r>
      </w:hyperlink>
      <w:r>
        <w:rPr>
          <w:rFonts w:ascii="Arial" w:cs="Arial" w:eastAsia="Arial" w:hAnsi="Arial"/>
          <w:sz w:val="16"/>
          <w:szCs w:val="16"/>
          <w:u w:val="single" w:color="auto"/>
          <w:color w:val="0000EE"/>
        </w:rPr>
        <w:t xml:space="preserve"> </w:t>
      </w:r>
      <w:hyperlink w:anchor="page131">
        <w:r>
          <w:rPr>
            <w:rFonts w:ascii="Arial" w:cs="Arial" w:eastAsia="Arial" w:hAnsi="Arial"/>
            <w:sz w:val="16"/>
            <w:szCs w:val="16"/>
            <w:u w:val="single" w:color="auto"/>
            <w:color w:val="0000EE"/>
          </w:rPr>
          <w:t>Green*+</w:t>
        </w:r>
      </w:hyperlink>
    </w:p>
    <w:p>
      <w:pPr>
        <w:spacing w:after="0" w:line="75" w:lineRule="exact"/>
        <w:rPr>
          <w:sz w:val="20"/>
          <w:szCs w:val="20"/>
          <w:color w:val="auto"/>
        </w:rPr>
      </w:pPr>
    </w:p>
    <w:p>
      <w:pPr>
        <w:ind w:left="986" w:right="80" w:hanging="802"/>
        <w:spacing w:after="0" w:line="266" w:lineRule="auto"/>
        <w:tabs>
          <w:tab w:leader="none" w:pos="965" w:val="left"/>
        </w:tabs>
        <w:rPr>
          <w:rFonts w:ascii="Arial" w:cs="Arial" w:eastAsia="Arial" w:hAnsi="Arial"/>
          <w:sz w:val="16"/>
          <w:szCs w:val="16"/>
          <w:u w:val="single" w:color="auto"/>
          <w:color w:val="0000EE"/>
        </w:rPr>
      </w:pPr>
      <w:r>
        <w:rPr>
          <w:rFonts w:ascii="Arial" w:cs="Arial" w:eastAsia="Arial" w:hAnsi="Arial"/>
          <w:sz w:val="16"/>
          <w:szCs w:val="16"/>
          <w:color w:val="auto"/>
        </w:rPr>
        <w:t>10.18</w:t>
      </w:r>
      <w:r>
        <w:rPr>
          <w:sz w:val="20"/>
          <w:szCs w:val="20"/>
          <w:color w:val="auto"/>
        </w:rPr>
        <w:tab/>
      </w:r>
      <w:hyperlink r:id="rId141">
        <w:r>
          <w:rPr>
            <w:rFonts w:ascii="Arial" w:cs="Arial" w:eastAsia="Arial" w:hAnsi="Arial"/>
            <w:sz w:val="16"/>
            <w:szCs w:val="16"/>
            <w:u w:val="single" w:color="auto"/>
            <w:color w:val="0000EE"/>
          </w:rPr>
          <w:t>Mutual Retirement and Severance Agreement, dated as of June 30, 2017, by and between Orion Energy Systems, Inc. and Michael J. Potts, filed as Exhibit 10.1 to</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the Registrant's Form 8-K filed on June 30, 2017, is hereby incorporated by reference. *</w:t>
        </w:r>
      </w:hyperlink>
    </w:p>
    <w:p>
      <w:pPr>
        <w:spacing w:after="0" w:line="75" w:lineRule="exact"/>
        <w:rPr>
          <w:sz w:val="20"/>
          <w:szCs w:val="20"/>
          <w:color w:val="auto"/>
        </w:rPr>
      </w:pPr>
    </w:p>
    <w:p>
      <w:pPr>
        <w:ind w:left="246"/>
        <w:spacing w:after="0"/>
        <w:tabs>
          <w:tab w:leader="none" w:pos="965" w:val="left"/>
        </w:tabs>
        <w:rPr>
          <w:rFonts w:ascii="Arial" w:cs="Arial" w:eastAsia="Arial" w:hAnsi="Arial"/>
          <w:sz w:val="13"/>
          <w:szCs w:val="13"/>
          <w:u w:val="single" w:color="auto"/>
          <w:color w:val="0000EE"/>
        </w:rPr>
      </w:pPr>
      <w:r>
        <w:rPr>
          <w:rFonts w:ascii="Arial" w:cs="Arial" w:eastAsia="Arial" w:hAnsi="Arial"/>
          <w:sz w:val="16"/>
          <w:szCs w:val="16"/>
          <w:color w:val="auto"/>
        </w:rPr>
        <w:t>21.1</w:t>
      </w:r>
      <w:r>
        <w:rPr>
          <w:sz w:val="20"/>
          <w:szCs w:val="20"/>
          <w:color w:val="auto"/>
        </w:rPr>
        <w:tab/>
      </w:r>
      <w:hyperlink w:anchor="page150">
        <w:r>
          <w:rPr>
            <w:rFonts w:ascii="Arial" w:cs="Arial" w:eastAsia="Arial" w:hAnsi="Arial"/>
            <w:sz w:val="13"/>
            <w:szCs w:val="13"/>
            <w:u w:val="single" w:color="auto"/>
            <w:color w:val="0000EE"/>
          </w:rPr>
          <w:t>Subsidiaries of Orion Energy Systems, Inc.+</w:t>
        </w:r>
      </w:hyperlink>
    </w:p>
    <w:p>
      <w:pPr>
        <w:spacing w:after="0" w:line="110" w:lineRule="exact"/>
        <w:rPr>
          <w:sz w:val="20"/>
          <w:szCs w:val="20"/>
          <w:color w:val="auto"/>
        </w:rPr>
      </w:pPr>
    </w:p>
    <w:p>
      <w:pPr>
        <w:ind w:left="246"/>
        <w:spacing w:after="0"/>
        <w:tabs>
          <w:tab w:leader="none" w:pos="965" w:val="left"/>
        </w:tabs>
        <w:rPr>
          <w:rFonts w:ascii="Arial" w:cs="Arial" w:eastAsia="Arial" w:hAnsi="Arial"/>
          <w:sz w:val="13"/>
          <w:szCs w:val="13"/>
          <w:u w:val="single" w:color="auto"/>
          <w:color w:val="0000EE"/>
        </w:rPr>
      </w:pPr>
      <w:r>
        <w:rPr>
          <w:rFonts w:ascii="Arial" w:cs="Arial" w:eastAsia="Arial" w:hAnsi="Arial"/>
          <w:sz w:val="16"/>
          <w:szCs w:val="16"/>
          <w:color w:val="auto"/>
        </w:rPr>
        <w:t>23.1</w:t>
      </w:r>
      <w:r>
        <w:rPr>
          <w:sz w:val="20"/>
          <w:szCs w:val="20"/>
          <w:color w:val="auto"/>
        </w:rPr>
        <w:tab/>
      </w:r>
      <w:hyperlink w:anchor="page151">
        <w:r>
          <w:rPr>
            <w:rFonts w:ascii="Arial" w:cs="Arial" w:eastAsia="Arial" w:hAnsi="Arial"/>
            <w:sz w:val="13"/>
            <w:szCs w:val="13"/>
            <w:u w:val="single" w:color="auto"/>
            <w:color w:val="0000EE"/>
          </w:rPr>
          <w:t>Consent of Independent Registered Public Accounting Firm. +</w:t>
        </w:r>
      </w:hyperlink>
    </w:p>
    <w:p>
      <w:pPr>
        <w:spacing w:after="0" w:line="110" w:lineRule="exact"/>
        <w:rPr>
          <w:sz w:val="20"/>
          <w:szCs w:val="20"/>
          <w:color w:val="auto"/>
        </w:rPr>
      </w:pPr>
    </w:p>
    <w:p>
      <w:pPr>
        <w:ind w:left="986" w:right="20" w:hanging="743"/>
        <w:spacing w:after="0" w:line="266" w:lineRule="auto"/>
        <w:tabs>
          <w:tab w:leader="none" w:pos="965" w:val="left"/>
        </w:tabs>
        <w:rPr>
          <w:rFonts w:ascii="Arial" w:cs="Arial" w:eastAsia="Arial" w:hAnsi="Arial"/>
          <w:sz w:val="16"/>
          <w:szCs w:val="16"/>
          <w:u w:val="single" w:color="auto"/>
          <w:color w:val="0000EE"/>
        </w:rPr>
      </w:pPr>
      <w:r>
        <w:rPr>
          <w:rFonts w:ascii="Arial" w:cs="Arial" w:eastAsia="Arial" w:hAnsi="Arial"/>
          <w:sz w:val="16"/>
          <w:szCs w:val="16"/>
          <w:color w:val="auto"/>
        </w:rPr>
        <w:t>31.1</w:t>
      </w:r>
      <w:r>
        <w:rPr>
          <w:sz w:val="20"/>
          <w:szCs w:val="20"/>
          <w:color w:val="auto"/>
        </w:rPr>
        <w:tab/>
      </w:r>
      <w:hyperlink w:anchor="page152">
        <w:r>
          <w:rPr>
            <w:rFonts w:ascii="Arial" w:cs="Arial" w:eastAsia="Arial" w:hAnsi="Arial"/>
            <w:sz w:val="16"/>
            <w:szCs w:val="16"/>
            <w:u w:val="single" w:color="auto"/>
            <w:color w:val="0000EE"/>
          </w:rPr>
          <w:t>Certification of Chief Executive Officer of Orion Energy Systems, Inc. pursuant to Rule 13a-14(a) or Rule 15d-14(a) promulgated under the Securities Exchange</w:t>
        </w:r>
      </w:hyperlink>
      <w:r>
        <w:rPr>
          <w:rFonts w:ascii="Arial" w:cs="Arial" w:eastAsia="Arial" w:hAnsi="Arial"/>
          <w:sz w:val="16"/>
          <w:szCs w:val="16"/>
          <w:u w:val="single" w:color="auto"/>
          <w:color w:val="0000EE"/>
        </w:rPr>
        <w:t xml:space="preserve"> </w:t>
      </w:r>
      <w:hyperlink w:anchor="page152">
        <w:r>
          <w:rPr>
            <w:rFonts w:ascii="Arial" w:cs="Arial" w:eastAsia="Arial" w:hAnsi="Arial"/>
            <w:sz w:val="16"/>
            <w:szCs w:val="16"/>
            <w:u w:val="single" w:color="auto"/>
            <w:color w:val="0000EE"/>
          </w:rPr>
          <w:t>Act of 1934, as amended. +</w:t>
        </w:r>
      </w:hyperlink>
    </w:p>
    <w:p>
      <w:pPr>
        <w:spacing w:after="0" w:line="75" w:lineRule="exact"/>
        <w:rPr>
          <w:sz w:val="20"/>
          <w:szCs w:val="20"/>
          <w:color w:val="auto"/>
        </w:rPr>
      </w:pPr>
    </w:p>
    <w:p>
      <w:pPr>
        <w:ind w:left="986" w:right="20" w:hanging="743"/>
        <w:spacing w:after="0" w:line="266" w:lineRule="auto"/>
        <w:tabs>
          <w:tab w:leader="none" w:pos="965" w:val="left"/>
        </w:tabs>
        <w:rPr>
          <w:rFonts w:ascii="Arial" w:cs="Arial" w:eastAsia="Arial" w:hAnsi="Arial"/>
          <w:sz w:val="16"/>
          <w:szCs w:val="16"/>
          <w:u w:val="single" w:color="auto"/>
          <w:color w:val="0000EE"/>
        </w:rPr>
      </w:pPr>
      <w:r>
        <w:rPr>
          <w:rFonts w:ascii="Arial" w:cs="Arial" w:eastAsia="Arial" w:hAnsi="Arial"/>
          <w:sz w:val="16"/>
          <w:szCs w:val="16"/>
          <w:color w:val="auto"/>
        </w:rPr>
        <w:t>31.2</w:t>
      </w:r>
      <w:r>
        <w:rPr>
          <w:sz w:val="20"/>
          <w:szCs w:val="20"/>
          <w:color w:val="auto"/>
        </w:rPr>
        <w:tab/>
      </w:r>
      <w:hyperlink w:anchor="page153">
        <w:r>
          <w:rPr>
            <w:rFonts w:ascii="Arial" w:cs="Arial" w:eastAsia="Arial" w:hAnsi="Arial"/>
            <w:sz w:val="16"/>
            <w:szCs w:val="16"/>
            <w:u w:val="single" w:color="auto"/>
            <w:color w:val="0000EE"/>
          </w:rPr>
          <w:t>Certification of Chief Financial Officer of Orion Energy Systems, Inc. pursuant to Rule 13a-14(a) or Rule 15d-14(a) promulgated under the Securities Exchange</w:t>
        </w:r>
      </w:hyperlink>
      <w:r>
        <w:rPr>
          <w:rFonts w:ascii="Arial" w:cs="Arial" w:eastAsia="Arial" w:hAnsi="Arial"/>
          <w:sz w:val="16"/>
          <w:szCs w:val="16"/>
          <w:u w:val="single" w:color="auto"/>
          <w:color w:val="0000EE"/>
        </w:rPr>
        <w:t xml:space="preserve"> </w:t>
      </w:r>
      <w:hyperlink w:anchor="page153">
        <w:r>
          <w:rPr>
            <w:rFonts w:ascii="Arial" w:cs="Arial" w:eastAsia="Arial" w:hAnsi="Arial"/>
            <w:sz w:val="16"/>
            <w:szCs w:val="16"/>
            <w:u w:val="single" w:color="auto"/>
            <w:color w:val="0000EE"/>
          </w:rPr>
          <w:t>Act of 1934, as amended. +</w:t>
        </w:r>
      </w:hyperlink>
    </w:p>
    <w:p>
      <w:pPr>
        <w:spacing w:after="0" w:line="75" w:lineRule="exact"/>
        <w:rPr>
          <w:sz w:val="20"/>
          <w:szCs w:val="20"/>
          <w:color w:val="auto"/>
        </w:rPr>
      </w:pPr>
    </w:p>
    <w:p>
      <w:pPr>
        <w:ind w:left="986" w:right="20" w:hanging="743"/>
        <w:spacing w:after="0" w:line="299" w:lineRule="auto"/>
        <w:tabs>
          <w:tab w:leader="none" w:pos="965" w:val="left"/>
        </w:tabs>
        <w:rPr>
          <w:rFonts w:ascii="Arial" w:cs="Arial" w:eastAsia="Arial" w:hAnsi="Arial"/>
          <w:sz w:val="15"/>
          <w:szCs w:val="15"/>
          <w:u w:val="single" w:color="auto"/>
          <w:color w:val="0000EE"/>
        </w:rPr>
      </w:pPr>
      <w:r>
        <w:rPr>
          <w:rFonts w:ascii="Arial" w:cs="Arial" w:eastAsia="Arial" w:hAnsi="Arial"/>
          <w:sz w:val="16"/>
          <w:szCs w:val="16"/>
          <w:color w:val="auto"/>
        </w:rPr>
        <w:t>32.1</w:t>
      </w:r>
      <w:r>
        <w:rPr>
          <w:sz w:val="20"/>
          <w:szCs w:val="20"/>
          <w:color w:val="auto"/>
        </w:rPr>
        <w:tab/>
      </w:r>
      <w:hyperlink w:anchor="page154">
        <w:r>
          <w:rPr>
            <w:rFonts w:ascii="Arial" w:cs="Arial" w:eastAsia="Arial" w:hAnsi="Arial"/>
            <w:sz w:val="15"/>
            <w:szCs w:val="15"/>
            <w:u w:val="single" w:color="auto"/>
            <w:color w:val="0000EE"/>
          </w:rPr>
          <w:t>Certification of Chief Executive Officer and Chief Financial Officer of Orion Energy Systems, Inc. pursuant to Rule 13a-14(b) promulgated under the Securities</w:t>
        </w:r>
      </w:hyperlink>
      <w:r>
        <w:rPr>
          <w:rFonts w:ascii="Arial" w:cs="Arial" w:eastAsia="Arial" w:hAnsi="Arial"/>
          <w:sz w:val="15"/>
          <w:szCs w:val="15"/>
          <w:u w:val="single" w:color="auto"/>
          <w:color w:val="0000EE"/>
        </w:rPr>
        <w:t xml:space="preserve"> </w:t>
      </w:r>
      <w:hyperlink w:anchor="page154">
        <w:r>
          <w:rPr>
            <w:rFonts w:ascii="Arial" w:cs="Arial" w:eastAsia="Arial" w:hAnsi="Arial"/>
            <w:sz w:val="15"/>
            <w:szCs w:val="15"/>
            <w:u w:val="single" w:color="auto"/>
            <w:color w:val="0000EE"/>
          </w:rPr>
          <w:t>Exchange Act of 1934, as amended, and 18 U.S.C. Section 1350, as adopted pursuant to Section 906 of the Sarbanes-Oxley Act of 2002. +</w:t>
        </w:r>
      </w:hyperlink>
    </w:p>
    <w:p>
      <w:pPr>
        <w:spacing w:after="0" w:line="53" w:lineRule="exact"/>
        <w:rPr>
          <w:sz w:val="20"/>
          <w:szCs w:val="20"/>
          <w:color w:val="auto"/>
        </w:rPr>
      </w:pPr>
    </w:p>
    <w:p>
      <w:pPr>
        <w:ind w:left="986" w:hanging="715"/>
        <w:spacing w:after="0"/>
        <w:tabs>
          <w:tab w:leader="none" w:pos="986" w:val="left"/>
        </w:tabs>
        <w:numPr>
          <w:ilvl w:val="0"/>
          <w:numId w:val="28"/>
        </w:numPr>
        <w:rPr>
          <w:rFonts w:ascii="Arial" w:cs="Arial" w:eastAsia="Arial" w:hAnsi="Arial"/>
          <w:sz w:val="16"/>
          <w:szCs w:val="16"/>
          <w:color w:val="auto"/>
        </w:rPr>
      </w:pPr>
      <w:r>
        <w:rPr>
          <w:rFonts w:ascii="Arial" w:cs="Arial" w:eastAsia="Arial" w:hAnsi="Arial"/>
          <w:sz w:val="16"/>
          <w:szCs w:val="16"/>
          <w:color w:val="auto"/>
        </w:rPr>
        <w:t>101.INS XBRL Instance Document+</w:t>
      </w:r>
    </w:p>
    <w:p>
      <w:pPr>
        <w:spacing w:after="0" w:line="110" w:lineRule="exact"/>
        <w:rPr>
          <w:rFonts w:ascii="Arial" w:cs="Arial" w:eastAsia="Arial" w:hAnsi="Arial"/>
          <w:sz w:val="16"/>
          <w:szCs w:val="16"/>
          <w:color w:val="auto"/>
        </w:rPr>
      </w:pPr>
    </w:p>
    <w:p>
      <w:pPr>
        <w:ind w:left="986"/>
        <w:spacing w:after="0"/>
        <w:rPr>
          <w:rFonts w:ascii="Arial" w:cs="Arial" w:eastAsia="Arial" w:hAnsi="Arial"/>
          <w:sz w:val="16"/>
          <w:szCs w:val="16"/>
          <w:color w:val="auto"/>
        </w:rPr>
      </w:pPr>
      <w:r>
        <w:rPr>
          <w:rFonts w:ascii="Arial" w:cs="Arial" w:eastAsia="Arial" w:hAnsi="Arial"/>
          <w:sz w:val="16"/>
          <w:szCs w:val="16"/>
          <w:color w:val="auto"/>
        </w:rPr>
        <w:t>101.SCH Taxonomy extension schema document+</w:t>
      </w:r>
    </w:p>
    <w:p>
      <w:pPr>
        <w:spacing w:after="0" w:line="110" w:lineRule="exact"/>
        <w:rPr>
          <w:rFonts w:ascii="Arial" w:cs="Arial" w:eastAsia="Arial" w:hAnsi="Arial"/>
          <w:sz w:val="16"/>
          <w:szCs w:val="16"/>
          <w:color w:val="auto"/>
        </w:rPr>
      </w:pPr>
    </w:p>
    <w:p>
      <w:pPr>
        <w:ind w:left="986"/>
        <w:spacing w:after="0"/>
        <w:rPr>
          <w:rFonts w:ascii="Arial" w:cs="Arial" w:eastAsia="Arial" w:hAnsi="Arial"/>
          <w:sz w:val="16"/>
          <w:szCs w:val="16"/>
          <w:color w:val="auto"/>
        </w:rPr>
      </w:pPr>
      <w:r>
        <w:rPr>
          <w:rFonts w:ascii="Arial" w:cs="Arial" w:eastAsia="Arial" w:hAnsi="Arial"/>
          <w:sz w:val="16"/>
          <w:szCs w:val="16"/>
          <w:color w:val="auto"/>
        </w:rPr>
        <w:t>101.CAL Taxonomy extension calculation linkbase document+</w:t>
      </w:r>
    </w:p>
    <w:p>
      <w:pPr>
        <w:spacing w:after="0" w:line="110" w:lineRule="exact"/>
        <w:rPr>
          <w:rFonts w:ascii="Arial" w:cs="Arial" w:eastAsia="Arial" w:hAnsi="Arial"/>
          <w:sz w:val="16"/>
          <w:szCs w:val="16"/>
          <w:color w:val="auto"/>
        </w:rPr>
      </w:pPr>
    </w:p>
    <w:p>
      <w:pPr>
        <w:ind w:left="986"/>
        <w:spacing w:after="0"/>
        <w:rPr>
          <w:rFonts w:ascii="Arial" w:cs="Arial" w:eastAsia="Arial" w:hAnsi="Arial"/>
          <w:sz w:val="16"/>
          <w:szCs w:val="16"/>
          <w:color w:val="auto"/>
        </w:rPr>
      </w:pPr>
      <w:r>
        <w:rPr>
          <w:rFonts w:ascii="Arial" w:cs="Arial" w:eastAsia="Arial" w:hAnsi="Arial"/>
          <w:sz w:val="16"/>
          <w:szCs w:val="16"/>
          <w:color w:val="auto"/>
        </w:rPr>
        <w:t>101.DEF Taxonomy extension definition linkbase document+</w:t>
      </w:r>
    </w:p>
    <w:p>
      <w:pPr>
        <w:spacing w:after="0" w:line="110" w:lineRule="exact"/>
        <w:rPr>
          <w:rFonts w:ascii="Arial" w:cs="Arial" w:eastAsia="Arial" w:hAnsi="Arial"/>
          <w:sz w:val="16"/>
          <w:szCs w:val="16"/>
          <w:color w:val="auto"/>
        </w:rPr>
      </w:pPr>
    </w:p>
    <w:p>
      <w:pPr>
        <w:ind w:left="986"/>
        <w:spacing w:after="0"/>
        <w:rPr>
          <w:rFonts w:ascii="Arial" w:cs="Arial" w:eastAsia="Arial" w:hAnsi="Arial"/>
          <w:sz w:val="16"/>
          <w:szCs w:val="16"/>
          <w:color w:val="auto"/>
        </w:rPr>
      </w:pPr>
      <w:r>
        <w:rPr>
          <w:rFonts w:ascii="Arial" w:cs="Arial" w:eastAsia="Arial" w:hAnsi="Arial"/>
          <w:sz w:val="16"/>
          <w:szCs w:val="16"/>
          <w:color w:val="auto"/>
        </w:rPr>
        <w:t>101.LAB Taxonomy extension label linkbase document+</w:t>
      </w:r>
    </w:p>
    <w:p>
      <w:pPr>
        <w:spacing w:after="0" w:line="110" w:lineRule="exact"/>
        <w:rPr>
          <w:rFonts w:ascii="Arial" w:cs="Arial" w:eastAsia="Arial" w:hAnsi="Arial"/>
          <w:sz w:val="16"/>
          <w:szCs w:val="16"/>
          <w:color w:val="auto"/>
        </w:rPr>
      </w:pPr>
    </w:p>
    <w:p>
      <w:pPr>
        <w:ind w:left="986"/>
        <w:spacing w:after="0"/>
        <w:rPr>
          <w:rFonts w:ascii="Arial" w:cs="Arial" w:eastAsia="Arial" w:hAnsi="Arial"/>
          <w:sz w:val="16"/>
          <w:szCs w:val="16"/>
          <w:color w:val="auto"/>
        </w:rPr>
      </w:pPr>
      <w:r>
        <w:rPr>
          <w:rFonts w:ascii="Arial" w:cs="Arial" w:eastAsia="Arial" w:hAnsi="Arial"/>
          <w:sz w:val="16"/>
          <w:szCs w:val="16"/>
          <w:color w:val="auto"/>
        </w:rPr>
        <w:t>101.PRE Taxonomy extension presentation linkbase document+</w:t>
      </w:r>
    </w:p>
    <w:p>
      <w:pPr>
        <w:spacing w:after="0" w:line="216" w:lineRule="exact"/>
        <w:rPr>
          <w:sz w:val="20"/>
          <w:szCs w:val="20"/>
          <w:color w:val="auto"/>
        </w:rPr>
      </w:pPr>
    </w:p>
    <w:p>
      <w:pPr>
        <w:ind w:left="506"/>
        <w:spacing w:after="0"/>
        <w:rPr>
          <w:sz w:val="20"/>
          <w:szCs w:val="20"/>
          <w:color w:val="auto"/>
        </w:rPr>
      </w:pPr>
      <w:r>
        <w:rPr>
          <w:rFonts w:ascii="Arial" w:cs="Arial" w:eastAsia="Arial" w:hAnsi="Arial"/>
          <w:sz w:val="16"/>
          <w:szCs w:val="16"/>
          <w:color w:val="auto"/>
        </w:rPr>
        <w:t>Documents incorporated by reference by Orion Energy Systems, Inc. are filed with the Securities and Exchange Commission under File No. 001-33887.</w:t>
      </w:r>
    </w:p>
    <w:p>
      <w:pPr>
        <w:spacing w:after="0" w:line="145" w:lineRule="exact"/>
        <w:rPr>
          <w:sz w:val="20"/>
          <w:szCs w:val="20"/>
          <w:color w:val="auto"/>
        </w:rPr>
      </w:pPr>
    </w:p>
    <w:p>
      <w:pPr>
        <w:ind w:left="486" w:hanging="486"/>
        <w:spacing w:after="0"/>
        <w:tabs>
          <w:tab w:leader="none" w:pos="486"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16" w:lineRule="exact"/>
        <w:rPr>
          <w:sz w:val="20"/>
          <w:szCs w:val="20"/>
          <w:color w:val="auto"/>
        </w:rPr>
      </w:pPr>
    </w:p>
    <w:p>
      <w:pPr>
        <w:ind w:left="486" w:hanging="486"/>
        <w:spacing w:after="0" w:line="245" w:lineRule="auto"/>
        <w:tabs>
          <w:tab w:leader="none" w:pos="486"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Rule 601(6)(10) of Regulation S-K. The omitted information is not material and would likely cause competitive harm to the Registrant if publicly disclosed.</w:t>
      </w:r>
    </w:p>
    <w:p>
      <w:pPr>
        <w:spacing w:after="0" w:line="1" w:lineRule="exact"/>
        <w:rPr>
          <w:sz w:val="20"/>
          <w:szCs w:val="20"/>
          <w:color w:val="auto"/>
        </w:rPr>
      </w:pPr>
    </w:p>
    <w:p>
      <w:pPr>
        <w:ind w:left="486" w:hanging="486"/>
        <w:spacing w:after="0"/>
        <w:tabs>
          <w:tab w:leader="none" w:pos="486"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7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ITEM 16. FORM 10-K SUMMARY</w:t>
      </w:r>
    </w:p>
    <w:p>
      <w:pPr>
        <w:spacing w:after="0" w:line="102" w:lineRule="exact"/>
        <w:rPr>
          <w:sz w:val="20"/>
          <w:szCs w:val="20"/>
          <w:color w:val="auto"/>
        </w:rPr>
      </w:pPr>
    </w:p>
    <w:p>
      <w:pPr>
        <w:ind w:left="506"/>
        <w:spacing w:after="0"/>
        <w:rPr>
          <w:sz w:val="20"/>
          <w:szCs w:val="20"/>
          <w:color w:val="auto"/>
        </w:rPr>
      </w:pPr>
      <w:r>
        <w:rPr>
          <w:rFonts w:ascii="Arial" w:cs="Arial" w:eastAsia="Arial" w:hAnsi="Arial"/>
          <w:sz w:val="16"/>
          <w:szCs w:val="16"/>
          <w:color w:val="auto"/>
        </w:rPr>
        <w:t>None.</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470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6"/>
          </w:cols>
          <w:pgMar w:left="314" w:top="315" w:right="31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auto"/>
        </w:rPr>
        <w:t>SIGNATURES</w:t>
      </w:r>
    </w:p>
    <w:p>
      <w:pPr>
        <w:spacing w:after="0" w:line="197" w:lineRule="exact"/>
        <w:rPr>
          <w:sz w:val="20"/>
          <w:szCs w:val="20"/>
          <w:color w:val="auto"/>
        </w:rPr>
      </w:pPr>
    </w:p>
    <w:p>
      <w:pPr>
        <w:ind w:right="20" w:firstLine="500"/>
        <w:spacing w:after="0" w:line="26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Annual Report on Form 10-K to be signed on its behalf by the undersigned, thereunto duly authorized, on June 5, 2020.</w:t>
      </w:r>
    </w:p>
    <w:p>
      <w:pPr>
        <w:spacing w:after="0" w:line="18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ORION ENERGY SYSTEMS, INC.</w:t>
      </w:r>
    </w:p>
    <w:p>
      <w:pPr>
        <w:spacing w:after="0" w:line="110" w:lineRule="exact"/>
        <w:rPr>
          <w:sz w:val="20"/>
          <w:szCs w:val="20"/>
          <w:color w:val="auto"/>
        </w:rPr>
      </w:pPr>
    </w:p>
    <w:tbl>
      <w:tblPr>
        <w:tblLayout w:type="fixed"/>
        <w:tblInd w:w="7200" w:type="dxa"/>
        <w:tblCellMar>
          <w:top w:w="0" w:type="dxa"/>
          <w:left w:w="0" w:type="dxa"/>
          <w:bottom w:w="0" w:type="dxa"/>
          <w:right w:w="0" w:type="dxa"/>
        </w:tblCellMar>
      </w:tblPr>
      <w:tr>
        <w:trPr>
          <w:trHeight w:val="200"/>
        </w:trPr>
        <w:tc>
          <w:tcPr>
            <w:tcW w:w="580" w:type="dxa"/>
            <w:vAlign w:val="bottom"/>
          </w:tcPr>
          <w:p>
            <w:pPr>
              <w:spacing w:after="0"/>
              <w:rPr>
                <w:sz w:val="20"/>
                <w:szCs w:val="20"/>
                <w:color w:val="auto"/>
              </w:rPr>
            </w:pPr>
            <w:r>
              <w:rPr>
                <w:rFonts w:ascii="Arial" w:cs="Arial" w:eastAsia="Arial" w:hAnsi="Arial"/>
                <w:sz w:val="16"/>
                <w:szCs w:val="16"/>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MICHAEL W. ALTSCHAEFL</w:t>
            </w:r>
          </w:p>
        </w:tc>
      </w:tr>
      <w:tr>
        <w:trPr>
          <w:trHeight w:val="168"/>
        </w:trPr>
        <w:tc>
          <w:tcPr>
            <w:tcW w:w="580" w:type="dxa"/>
            <w:vAlign w:val="bottom"/>
          </w:tcPr>
          <w:p>
            <w:pPr>
              <w:spacing w:after="0"/>
              <w:rPr>
                <w:sz w:val="14"/>
                <w:szCs w:val="14"/>
                <w:color w:val="auto"/>
              </w:rPr>
            </w:pPr>
          </w:p>
        </w:tc>
        <w:tc>
          <w:tcPr>
            <w:tcW w:w="3480" w:type="dxa"/>
            <w:vAlign w:val="bottom"/>
          </w:tcPr>
          <w:p>
            <w:pPr>
              <w:spacing w:after="0" w:line="168" w:lineRule="exact"/>
              <w:rPr>
                <w:sz w:val="20"/>
                <w:szCs w:val="20"/>
                <w:color w:val="auto"/>
              </w:rPr>
            </w:pPr>
            <w:r>
              <w:rPr>
                <w:rFonts w:ascii="Arial" w:cs="Arial" w:eastAsia="Arial" w:hAnsi="Arial"/>
                <w:sz w:val="16"/>
                <w:szCs w:val="16"/>
                <w:color w:val="auto"/>
              </w:rPr>
              <w:t>Michael W. Altschaefl</w:t>
            </w:r>
          </w:p>
        </w:tc>
      </w:tr>
      <w:tr>
        <w:trPr>
          <w:trHeight w:val="200"/>
        </w:trPr>
        <w:tc>
          <w:tcPr>
            <w:tcW w:w="58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Chief Executive Officer and Board Chair</w:t>
            </w:r>
          </w:p>
        </w:tc>
      </w:tr>
    </w:tbl>
    <w:p>
      <w:pPr>
        <w:spacing w:after="0" w:line="200" w:lineRule="exact"/>
        <w:rPr>
          <w:sz w:val="20"/>
          <w:szCs w:val="20"/>
          <w:color w:val="auto"/>
        </w:rPr>
      </w:pPr>
    </w:p>
    <w:p>
      <w:pPr>
        <w:jc w:val="both"/>
        <w:ind w:right="20" w:firstLine="500"/>
        <w:spacing w:after="0" w:line="266" w:lineRule="auto"/>
        <w:rPr>
          <w:sz w:val="20"/>
          <w:szCs w:val="20"/>
          <w:color w:val="auto"/>
        </w:rPr>
      </w:pPr>
      <w:r>
        <w:rPr>
          <w:rFonts w:ascii="Arial" w:cs="Arial" w:eastAsia="Arial" w:hAnsi="Arial"/>
          <w:sz w:val="16"/>
          <w:szCs w:val="16"/>
          <w:color w:val="auto"/>
        </w:rPr>
        <w:t>Pursuant to the requirements of the Securities Exchange Act of 1934, this Annual Report on Form 10-K has been signed by the following persons on behalf of the Registrant in the capacities indicated on June 5,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Signature</w:t>
            </w:r>
          </w:p>
        </w:tc>
        <w:tc>
          <w:tcPr>
            <w:tcW w:w="220" w:type="dxa"/>
            <w:vAlign w:val="bottom"/>
          </w:tcPr>
          <w:p>
            <w:pPr>
              <w:spacing w:after="0"/>
              <w:rPr>
                <w:sz w:val="13"/>
                <w:szCs w:val="13"/>
                <w:color w:val="auto"/>
              </w:rPr>
            </w:pPr>
          </w:p>
        </w:tc>
        <w:tc>
          <w:tcPr>
            <w:tcW w:w="5520" w:type="dxa"/>
            <w:vAlign w:val="bottom"/>
            <w:tcBorders>
              <w:bottom w:val="single" w:sz="8" w:color="auto"/>
            </w:tcBorders>
          </w:tcPr>
          <w:p>
            <w:pPr>
              <w:ind w:left="2640"/>
              <w:spacing w:after="0"/>
              <w:rPr>
                <w:sz w:val="20"/>
                <w:szCs w:val="20"/>
                <w:color w:val="auto"/>
              </w:rPr>
            </w:pPr>
            <w:r>
              <w:rPr>
                <w:rFonts w:ascii="Arial" w:cs="Arial" w:eastAsia="Arial" w:hAnsi="Arial"/>
                <w:sz w:val="13"/>
                <w:szCs w:val="13"/>
                <w:b w:val="1"/>
                <w:bCs w:val="1"/>
                <w:color w:val="auto"/>
              </w:rPr>
              <w:t>Title</w:t>
            </w:r>
          </w:p>
        </w:tc>
      </w:tr>
      <w:tr>
        <w:trPr>
          <w:trHeight w:val="285"/>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Michael W. Altschaefl</w:t>
            </w:r>
          </w:p>
        </w:tc>
        <w:tc>
          <w:tcPr>
            <w:tcW w:w="22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Arial" w:cs="Arial" w:eastAsia="Arial" w:hAnsi="Arial"/>
                <w:sz w:val="16"/>
                <w:szCs w:val="16"/>
                <w:color w:val="auto"/>
              </w:rPr>
              <w:t>Chief Executive Officer and Board Chair (Principal</w:t>
            </w:r>
          </w:p>
        </w:tc>
      </w:tr>
      <w:tr>
        <w:trPr>
          <w:trHeight w:val="193"/>
        </w:trPr>
        <w:tc>
          <w:tcPr>
            <w:tcW w:w="5520" w:type="dxa"/>
            <w:vAlign w:val="bottom"/>
          </w:tcPr>
          <w:p>
            <w:pPr>
              <w:jc w:val="center"/>
              <w:spacing w:after="0"/>
              <w:rPr>
                <w:sz w:val="20"/>
                <w:szCs w:val="20"/>
                <w:color w:val="auto"/>
              </w:rPr>
            </w:pPr>
            <w:r>
              <w:rPr>
                <w:rFonts w:ascii="Arial" w:cs="Arial" w:eastAsia="Arial" w:hAnsi="Arial"/>
                <w:sz w:val="16"/>
                <w:szCs w:val="16"/>
                <w:color w:val="auto"/>
                <w:w w:val="91"/>
              </w:rPr>
              <w:t>Michael W. Altschaefl</w:t>
            </w:r>
          </w:p>
        </w:tc>
        <w:tc>
          <w:tcPr>
            <w:tcW w:w="220" w:type="dxa"/>
            <w:vAlign w:val="bottom"/>
          </w:tcPr>
          <w:p>
            <w:pPr>
              <w:spacing w:after="0"/>
              <w:rPr>
                <w:sz w:val="16"/>
                <w:szCs w:val="16"/>
                <w:color w:val="auto"/>
              </w:rPr>
            </w:pPr>
          </w:p>
        </w:tc>
        <w:tc>
          <w:tcPr>
            <w:tcW w:w="5520" w:type="dxa"/>
            <w:vAlign w:val="bottom"/>
          </w:tcPr>
          <w:p>
            <w:pPr>
              <w:ind w:left="60"/>
              <w:spacing w:after="0" w:line="180" w:lineRule="exact"/>
              <w:rPr>
                <w:sz w:val="20"/>
                <w:szCs w:val="20"/>
                <w:color w:val="auto"/>
              </w:rPr>
            </w:pPr>
            <w:r>
              <w:rPr>
                <w:rFonts w:ascii="Arial" w:cs="Arial" w:eastAsia="Arial" w:hAnsi="Arial"/>
                <w:sz w:val="16"/>
                <w:szCs w:val="16"/>
                <w:color w:val="auto"/>
              </w:rPr>
              <w:t>Executive Officer)</w:t>
            </w:r>
          </w:p>
        </w:tc>
      </w:tr>
      <w:tr>
        <w:trPr>
          <w:trHeight w:val="282"/>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William T. Hull</w:t>
            </w:r>
          </w:p>
        </w:tc>
        <w:tc>
          <w:tcPr>
            <w:tcW w:w="22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Arial" w:cs="Arial" w:eastAsia="Arial" w:hAnsi="Arial"/>
                <w:sz w:val="16"/>
                <w:szCs w:val="16"/>
                <w:color w:val="auto"/>
              </w:rPr>
              <w:t>Chief Financial Officer, Chief Accounting Officer and</w:t>
            </w:r>
          </w:p>
        </w:tc>
      </w:tr>
      <w:tr>
        <w:trPr>
          <w:trHeight w:val="193"/>
        </w:trPr>
        <w:tc>
          <w:tcPr>
            <w:tcW w:w="5520" w:type="dxa"/>
            <w:vAlign w:val="bottom"/>
          </w:tcPr>
          <w:p>
            <w:pPr>
              <w:jc w:val="center"/>
              <w:spacing w:after="0"/>
              <w:rPr>
                <w:sz w:val="20"/>
                <w:szCs w:val="20"/>
                <w:color w:val="auto"/>
              </w:rPr>
            </w:pPr>
            <w:r>
              <w:rPr>
                <w:rFonts w:ascii="Arial" w:cs="Arial" w:eastAsia="Arial" w:hAnsi="Arial"/>
                <w:sz w:val="16"/>
                <w:szCs w:val="16"/>
                <w:color w:val="auto"/>
                <w:w w:val="97"/>
              </w:rPr>
              <w:t>William T. Hull</w:t>
            </w:r>
          </w:p>
        </w:tc>
        <w:tc>
          <w:tcPr>
            <w:tcW w:w="220" w:type="dxa"/>
            <w:vAlign w:val="bottom"/>
          </w:tcPr>
          <w:p>
            <w:pPr>
              <w:spacing w:after="0"/>
              <w:rPr>
                <w:sz w:val="16"/>
                <w:szCs w:val="16"/>
                <w:color w:val="auto"/>
              </w:rPr>
            </w:pPr>
          </w:p>
        </w:tc>
        <w:tc>
          <w:tcPr>
            <w:tcW w:w="5520" w:type="dxa"/>
            <w:vAlign w:val="bottom"/>
          </w:tcPr>
          <w:p>
            <w:pPr>
              <w:ind w:left="60"/>
              <w:spacing w:after="0" w:line="180" w:lineRule="exact"/>
              <w:rPr>
                <w:sz w:val="20"/>
                <w:szCs w:val="20"/>
                <w:color w:val="auto"/>
              </w:rPr>
            </w:pPr>
            <w:r>
              <w:rPr>
                <w:rFonts w:ascii="Arial" w:cs="Arial" w:eastAsia="Arial" w:hAnsi="Arial"/>
                <w:sz w:val="16"/>
                <w:szCs w:val="16"/>
                <w:color w:val="auto"/>
              </w:rPr>
              <w:t>Treasurer (Principal Financial Officer)</w:t>
            </w:r>
          </w:p>
        </w:tc>
      </w:tr>
      <w:tr>
        <w:trPr>
          <w:trHeight w:val="282"/>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Anthony L. Otten</w:t>
            </w:r>
          </w:p>
        </w:tc>
        <w:tc>
          <w:tcPr>
            <w:tcW w:w="22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Arial" w:cs="Arial" w:eastAsia="Arial" w:hAnsi="Arial"/>
                <w:sz w:val="16"/>
                <w:szCs w:val="16"/>
                <w:color w:val="auto"/>
              </w:rPr>
              <w:t>Lead Independent Director</w:t>
            </w:r>
          </w:p>
        </w:tc>
      </w:tr>
      <w:tr>
        <w:trPr>
          <w:trHeight w:val="192"/>
        </w:trPr>
        <w:tc>
          <w:tcPr>
            <w:tcW w:w="5520" w:type="dxa"/>
            <w:vAlign w:val="bottom"/>
          </w:tcPr>
          <w:p>
            <w:pPr>
              <w:jc w:val="center"/>
              <w:spacing w:after="0"/>
              <w:rPr>
                <w:sz w:val="20"/>
                <w:szCs w:val="20"/>
                <w:color w:val="auto"/>
              </w:rPr>
            </w:pPr>
            <w:r>
              <w:rPr>
                <w:rFonts w:ascii="Arial" w:cs="Arial" w:eastAsia="Arial" w:hAnsi="Arial"/>
                <w:sz w:val="16"/>
                <w:szCs w:val="16"/>
                <w:color w:val="auto"/>
                <w:w w:val="93"/>
              </w:rPr>
              <w:t>Anthony L. Otten</w:t>
            </w:r>
          </w:p>
        </w:tc>
        <w:tc>
          <w:tcPr>
            <w:tcW w:w="2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282"/>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Alan B. Howe</w:t>
            </w:r>
          </w:p>
        </w:tc>
        <w:tc>
          <w:tcPr>
            <w:tcW w:w="22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Arial" w:cs="Arial" w:eastAsia="Arial" w:hAnsi="Arial"/>
                <w:sz w:val="16"/>
                <w:szCs w:val="16"/>
                <w:color w:val="auto"/>
              </w:rPr>
              <w:t>Director</w:t>
            </w:r>
          </w:p>
        </w:tc>
      </w:tr>
      <w:tr>
        <w:trPr>
          <w:trHeight w:val="192"/>
        </w:trPr>
        <w:tc>
          <w:tcPr>
            <w:tcW w:w="5520" w:type="dxa"/>
            <w:vAlign w:val="bottom"/>
          </w:tcPr>
          <w:p>
            <w:pPr>
              <w:jc w:val="center"/>
              <w:spacing w:after="0"/>
              <w:rPr>
                <w:sz w:val="20"/>
                <w:szCs w:val="20"/>
                <w:color w:val="auto"/>
              </w:rPr>
            </w:pPr>
            <w:r>
              <w:rPr>
                <w:rFonts w:ascii="Arial" w:cs="Arial" w:eastAsia="Arial" w:hAnsi="Arial"/>
                <w:sz w:val="16"/>
                <w:szCs w:val="16"/>
                <w:color w:val="auto"/>
                <w:w w:val="92"/>
              </w:rPr>
              <w:t>Alan B. Howe</w:t>
            </w:r>
          </w:p>
        </w:tc>
        <w:tc>
          <w:tcPr>
            <w:tcW w:w="2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282"/>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 Michael J. Potts</w:t>
            </w:r>
          </w:p>
        </w:tc>
        <w:tc>
          <w:tcPr>
            <w:tcW w:w="22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Arial" w:cs="Arial" w:eastAsia="Arial" w:hAnsi="Arial"/>
                <w:sz w:val="16"/>
                <w:szCs w:val="16"/>
                <w:color w:val="auto"/>
              </w:rPr>
              <w:t>Director</w:t>
            </w:r>
          </w:p>
        </w:tc>
      </w:tr>
      <w:tr>
        <w:trPr>
          <w:trHeight w:val="192"/>
        </w:trPr>
        <w:tc>
          <w:tcPr>
            <w:tcW w:w="5520" w:type="dxa"/>
            <w:vAlign w:val="bottom"/>
          </w:tcPr>
          <w:p>
            <w:pPr>
              <w:jc w:val="center"/>
              <w:spacing w:after="0"/>
              <w:rPr>
                <w:sz w:val="20"/>
                <w:szCs w:val="20"/>
                <w:color w:val="auto"/>
              </w:rPr>
            </w:pPr>
            <w:r>
              <w:rPr>
                <w:rFonts w:ascii="Arial" w:cs="Arial" w:eastAsia="Arial" w:hAnsi="Arial"/>
                <w:sz w:val="16"/>
                <w:szCs w:val="16"/>
                <w:color w:val="auto"/>
                <w:w w:val="88"/>
              </w:rPr>
              <w:t>Michael J. Potts</w:t>
            </w:r>
          </w:p>
        </w:tc>
        <w:tc>
          <w:tcPr>
            <w:tcW w:w="2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282"/>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Ellen B. Richstone</w:t>
            </w:r>
          </w:p>
        </w:tc>
        <w:tc>
          <w:tcPr>
            <w:tcW w:w="22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Arial" w:cs="Arial" w:eastAsia="Arial" w:hAnsi="Arial"/>
                <w:sz w:val="16"/>
                <w:szCs w:val="16"/>
                <w:color w:val="auto"/>
              </w:rPr>
              <w:t>Director</w:t>
            </w:r>
          </w:p>
        </w:tc>
      </w:tr>
      <w:tr>
        <w:trPr>
          <w:trHeight w:val="192"/>
        </w:trPr>
        <w:tc>
          <w:tcPr>
            <w:tcW w:w="5520" w:type="dxa"/>
            <w:vAlign w:val="bottom"/>
          </w:tcPr>
          <w:p>
            <w:pPr>
              <w:jc w:val="center"/>
              <w:spacing w:after="0"/>
              <w:rPr>
                <w:sz w:val="20"/>
                <w:szCs w:val="20"/>
                <w:color w:val="auto"/>
              </w:rPr>
            </w:pPr>
            <w:r>
              <w:rPr>
                <w:rFonts w:ascii="Arial" w:cs="Arial" w:eastAsia="Arial" w:hAnsi="Arial"/>
                <w:sz w:val="16"/>
                <w:szCs w:val="16"/>
                <w:color w:val="auto"/>
                <w:w w:val="90"/>
              </w:rPr>
              <w:t>Ellen B. Richstone</w:t>
            </w:r>
          </w:p>
        </w:tc>
        <w:tc>
          <w:tcPr>
            <w:tcW w:w="2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282"/>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Mark C. Williamson</w:t>
            </w:r>
          </w:p>
        </w:tc>
        <w:tc>
          <w:tcPr>
            <w:tcW w:w="22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Arial" w:cs="Arial" w:eastAsia="Arial" w:hAnsi="Arial"/>
                <w:sz w:val="16"/>
                <w:szCs w:val="16"/>
                <w:color w:val="auto"/>
              </w:rPr>
              <w:t>Director</w:t>
            </w:r>
          </w:p>
        </w:tc>
      </w:tr>
      <w:tr>
        <w:trPr>
          <w:trHeight w:val="192"/>
        </w:trPr>
        <w:tc>
          <w:tcPr>
            <w:tcW w:w="5520" w:type="dxa"/>
            <w:vAlign w:val="bottom"/>
          </w:tcPr>
          <w:p>
            <w:pPr>
              <w:jc w:val="center"/>
              <w:spacing w:after="0"/>
              <w:rPr>
                <w:sz w:val="20"/>
                <w:szCs w:val="20"/>
                <w:color w:val="auto"/>
              </w:rPr>
            </w:pPr>
            <w:r>
              <w:rPr>
                <w:rFonts w:ascii="Arial" w:cs="Arial" w:eastAsia="Arial" w:hAnsi="Arial"/>
                <w:sz w:val="16"/>
                <w:szCs w:val="16"/>
                <w:color w:val="auto"/>
                <w:w w:val="92"/>
              </w:rPr>
              <w:t>Mark C. Williamson</w:t>
            </w:r>
          </w:p>
        </w:tc>
        <w:tc>
          <w:tcPr>
            <w:tcW w:w="2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282"/>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 Kenneth M. Young</w:t>
            </w:r>
          </w:p>
        </w:tc>
        <w:tc>
          <w:tcPr>
            <w:tcW w:w="22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Arial" w:cs="Arial" w:eastAsia="Arial" w:hAnsi="Arial"/>
                <w:sz w:val="16"/>
                <w:szCs w:val="16"/>
                <w:color w:val="auto"/>
              </w:rPr>
              <w:t>Director</w:t>
            </w:r>
          </w:p>
        </w:tc>
      </w:tr>
      <w:tr>
        <w:trPr>
          <w:trHeight w:val="192"/>
        </w:trPr>
        <w:tc>
          <w:tcPr>
            <w:tcW w:w="5520" w:type="dxa"/>
            <w:vAlign w:val="bottom"/>
          </w:tcPr>
          <w:p>
            <w:pPr>
              <w:jc w:val="center"/>
              <w:spacing w:after="0"/>
              <w:rPr>
                <w:sz w:val="20"/>
                <w:szCs w:val="20"/>
                <w:color w:val="auto"/>
              </w:rPr>
            </w:pPr>
            <w:r>
              <w:rPr>
                <w:rFonts w:ascii="Arial" w:cs="Arial" w:eastAsia="Arial" w:hAnsi="Arial"/>
                <w:sz w:val="16"/>
                <w:szCs w:val="16"/>
                <w:color w:val="auto"/>
                <w:w w:val="90"/>
              </w:rPr>
              <w:t>Kenneth M. Young</w:t>
            </w:r>
          </w:p>
        </w:tc>
        <w:tc>
          <w:tcPr>
            <w:tcW w:w="2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552"/>
        </w:trPr>
        <w:tc>
          <w:tcPr>
            <w:tcW w:w="55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9"/>
              </w:rPr>
              <w:t>93</w:t>
            </w:r>
          </w:p>
        </w:tc>
        <w:tc>
          <w:tcPr>
            <w:tcW w:w="5520" w:type="dxa"/>
            <w:vAlign w:val="bottom"/>
          </w:tcPr>
          <w:p>
            <w:pPr>
              <w:spacing w:after="0"/>
              <w:rPr>
                <w:sz w:val="24"/>
                <w:szCs w:val="24"/>
                <w:color w:val="auto"/>
              </w:rPr>
            </w:pPr>
          </w:p>
        </w:tc>
      </w:tr>
    </w:tbl>
    <w:p>
      <w:pPr>
        <w:sectPr>
          <w:pgSz w:w="11900" w:h="16838" w:orient="portrait"/>
          <w:cols w:equalWidth="0" w:num="1">
            <w:col w:w="11260"/>
          </w:cols>
          <w:pgMar w:left="320" w:top="311" w:right="319" w:bottom="1440" w:gutter="0" w:footer="0" w:header="0"/>
        </w:sectPr>
      </w:pPr>
    </w:p>
    <w:bookmarkStart w:id="92" w:name="page93"/>
    <w:bookmarkEnd w:id="92"/>
    <w:p>
      <w:pPr>
        <w:ind w:left="10360"/>
        <w:spacing w:after="0"/>
        <w:rPr>
          <w:sz w:val="20"/>
          <w:szCs w:val="20"/>
          <w:color w:val="auto"/>
        </w:rPr>
      </w:pPr>
      <w:r>
        <w:rPr>
          <w:rFonts w:ascii="Arial" w:cs="Arial" w:eastAsia="Arial" w:hAnsi="Arial"/>
          <w:sz w:val="16"/>
          <w:szCs w:val="16"/>
          <w:b w:val="1"/>
          <w:bCs w:val="1"/>
          <w:color w:val="auto"/>
        </w:rPr>
        <w:t>Exhibit 10.14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100" w:type="dxa"/>
            <w:vAlign w:val="bottom"/>
            <w:gridSpan w:val="2"/>
          </w:tcPr>
          <w:p>
            <w:pPr>
              <w:jc w:val="center"/>
              <w:ind w:right="2262"/>
              <w:spacing w:after="0"/>
              <w:rPr>
                <w:sz w:val="20"/>
                <w:szCs w:val="20"/>
                <w:color w:val="auto"/>
              </w:rPr>
            </w:pPr>
            <w:r>
              <w:rPr>
                <w:rFonts w:ascii="Arial" w:cs="Arial" w:eastAsia="Arial" w:hAnsi="Arial"/>
                <w:sz w:val="19"/>
                <w:szCs w:val="19"/>
                <w:color w:val="auto"/>
                <w:w w:val="89"/>
              </w:rPr>
              <w:t>Orion Energy Systems, Inc.</w:t>
            </w: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100" w:type="dxa"/>
            <w:vAlign w:val="bottom"/>
            <w:gridSpan w:val="2"/>
          </w:tcPr>
          <w:p>
            <w:pPr>
              <w:jc w:val="center"/>
              <w:ind w:right="2242"/>
              <w:spacing w:after="0" w:line="212" w:lineRule="exact"/>
              <w:rPr>
                <w:sz w:val="20"/>
                <w:szCs w:val="20"/>
                <w:color w:val="auto"/>
              </w:rPr>
            </w:pPr>
            <w:r>
              <w:rPr>
                <w:rFonts w:ascii="Arial" w:cs="Arial" w:eastAsia="Arial" w:hAnsi="Arial"/>
                <w:sz w:val="19"/>
                <w:szCs w:val="19"/>
                <w:color w:val="auto"/>
                <w:w w:val="90"/>
              </w:rPr>
              <w:t>Non-Employee Director Compensation Plan</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100" w:type="dxa"/>
            <w:vAlign w:val="bottom"/>
            <w:gridSpan w:val="2"/>
          </w:tcPr>
          <w:p>
            <w:pPr>
              <w:jc w:val="center"/>
              <w:ind w:right="2262"/>
              <w:spacing w:after="0"/>
              <w:rPr>
                <w:sz w:val="20"/>
                <w:szCs w:val="20"/>
                <w:color w:val="auto"/>
              </w:rPr>
            </w:pPr>
            <w:r>
              <w:rPr>
                <w:rFonts w:ascii="Arial" w:cs="Arial" w:eastAsia="Arial" w:hAnsi="Arial"/>
                <w:sz w:val="19"/>
                <w:szCs w:val="19"/>
                <w:color w:val="auto"/>
                <w:w w:val="90"/>
              </w:rPr>
              <w:t>Updated and Effective February 7, 2020</w:t>
            </w:r>
          </w:p>
        </w:tc>
        <w:tc>
          <w:tcPr>
            <w:tcW w:w="0" w:type="dxa"/>
            <w:vAlign w:val="bottom"/>
          </w:tcPr>
          <w:p>
            <w:pPr>
              <w:spacing w:after="0"/>
              <w:rPr>
                <w:sz w:val="1"/>
                <w:szCs w:val="1"/>
                <w:color w:val="auto"/>
              </w:rPr>
            </w:pPr>
          </w:p>
        </w:tc>
      </w:tr>
      <w:tr>
        <w:trPr>
          <w:trHeight w:val="272"/>
        </w:trPr>
        <w:tc>
          <w:tcPr>
            <w:tcW w:w="5160" w:type="dxa"/>
            <w:vAlign w:val="bottom"/>
            <w:gridSpan w:val="3"/>
          </w:tcPr>
          <w:p>
            <w:pPr>
              <w:spacing w:after="0"/>
              <w:rPr>
                <w:sz w:val="20"/>
                <w:szCs w:val="20"/>
                <w:color w:val="auto"/>
              </w:rPr>
            </w:pPr>
            <w:r>
              <w:rPr>
                <w:rFonts w:ascii="Arial" w:cs="Arial" w:eastAsia="Arial" w:hAnsi="Arial"/>
                <w:sz w:val="16"/>
                <w:szCs w:val="16"/>
                <w:color w:val="auto"/>
              </w:rPr>
              <w:t>1.Annual cash retainer:</w:t>
            </w:r>
          </w:p>
        </w:tc>
        <w:tc>
          <w:tcPr>
            <w:tcW w:w="6180" w:type="dxa"/>
            <w:vAlign w:val="bottom"/>
          </w:tcPr>
          <w:p>
            <w:pPr>
              <w:ind w:left="400"/>
              <w:spacing w:after="0"/>
              <w:rPr>
                <w:sz w:val="20"/>
                <w:szCs w:val="20"/>
                <w:color w:val="auto"/>
              </w:rPr>
            </w:pPr>
            <w:r>
              <w:rPr>
                <w:rFonts w:ascii="Arial" w:cs="Arial" w:eastAsia="Arial" w:hAnsi="Arial"/>
                <w:sz w:val="16"/>
                <w:szCs w:val="16"/>
                <w:color w:val="auto"/>
              </w:rPr>
              <w:t>$40,000 (cash or stock)</w:t>
            </w:r>
            <w:r>
              <w:rPr>
                <w:rFonts w:ascii="Arial" w:cs="Arial" w:eastAsia="Arial" w:hAnsi="Arial"/>
                <w:sz w:val="13"/>
                <w:szCs w:val="13"/>
                <w:color w:val="auto"/>
              </w:rPr>
              <w:t>1</w:t>
            </w:r>
            <w:r>
              <w:rPr>
                <w:rFonts w:ascii="Arial" w:cs="Arial" w:eastAsia="Arial" w:hAnsi="Arial"/>
                <w:sz w:val="16"/>
                <w:szCs w:val="16"/>
                <w:color w:val="auto"/>
              </w:rPr>
              <w:t xml:space="preserve"> ($10,000 paid quarterly)</w:t>
            </w:r>
          </w:p>
        </w:tc>
        <w:tc>
          <w:tcPr>
            <w:tcW w:w="0" w:type="dxa"/>
            <w:vAlign w:val="bottom"/>
          </w:tcPr>
          <w:p>
            <w:pPr>
              <w:spacing w:after="0"/>
              <w:rPr>
                <w:sz w:val="1"/>
                <w:szCs w:val="1"/>
                <w:color w:val="auto"/>
              </w:rPr>
            </w:pPr>
          </w:p>
        </w:tc>
      </w:tr>
      <w:tr>
        <w:trPr>
          <w:trHeight w:val="282"/>
        </w:trPr>
        <w:tc>
          <w:tcPr>
            <w:tcW w:w="5160" w:type="dxa"/>
            <w:vAlign w:val="bottom"/>
            <w:gridSpan w:val="3"/>
          </w:tcPr>
          <w:p>
            <w:pPr>
              <w:spacing w:after="0"/>
              <w:rPr>
                <w:sz w:val="20"/>
                <w:szCs w:val="20"/>
                <w:color w:val="auto"/>
              </w:rPr>
            </w:pPr>
            <w:r>
              <w:rPr>
                <w:rFonts w:ascii="Arial" w:cs="Arial" w:eastAsia="Arial" w:hAnsi="Arial"/>
                <w:sz w:val="16"/>
                <w:szCs w:val="16"/>
                <w:color w:val="auto"/>
              </w:rPr>
              <w:t>2.Board meeting fee:</w:t>
            </w:r>
          </w:p>
        </w:tc>
        <w:tc>
          <w:tcPr>
            <w:tcW w:w="6180" w:type="dxa"/>
            <w:vAlign w:val="bottom"/>
          </w:tcPr>
          <w:p>
            <w:pPr>
              <w:ind w:left="40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82"/>
        </w:trPr>
        <w:tc>
          <w:tcPr>
            <w:tcW w:w="5160" w:type="dxa"/>
            <w:vAlign w:val="bottom"/>
            <w:gridSpan w:val="3"/>
          </w:tcPr>
          <w:p>
            <w:pPr>
              <w:spacing w:after="0"/>
              <w:rPr>
                <w:sz w:val="20"/>
                <w:szCs w:val="20"/>
                <w:color w:val="auto"/>
              </w:rPr>
            </w:pPr>
            <w:r>
              <w:rPr>
                <w:rFonts w:ascii="Arial" w:cs="Arial" w:eastAsia="Arial" w:hAnsi="Arial"/>
                <w:sz w:val="16"/>
                <w:szCs w:val="16"/>
                <w:color w:val="auto"/>
              </w:rPr>
              <w:t>3.Committee meeting fee</w:t>
            </w:r>
          </w:p>
        </w:tc>
        <w:tc>
          <w:tcPr>
            <w:tcW w:w="6180" w:type="dxa"/>
            <w:vAlign w:val="bottom"/>
          </w:tcPr>
          <w:p>
            <w:pPr>
              <w:ind w:left="40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82"/>
        </w:trPr>
        <w:tc>
          <w:tcPr>
            <w:tcW w:w="5160" w:type="dxa"/>
            <w:vAlign w:val="bottom"/>
            <w:gridSpan w:val="3"/>
          </w:tcPr>
          <w:p>
            <w:pPr>
              <w:spacing w:after="0"/>
              <w:rPr>
                <w:sz w:val="20"/>
                <w:szCs w:val="20"/>
                <w:color w:val="auto"/>
              </w:rPr>
            </w:pPr>
            <w:r>
              <w:rPr>
                <w:rFonts w:ascii="Arial" w:cs="Arial" w:eastAsia="Arial" w:hAnsi="Arial"/>
                <w:sz w:val="16"/>
                <w:szCs w:val="16"/>
                <w:color w:val="auto"/>
              </w:rPr>
              <w:t>4.Annual restricted stock grant:</w:t>
            </w:r>
          </w:p>
        </w:tc>
        <w:tc>
          <w:tcPr>
            <w:tcW w:w="6180" w:type="dxa"/>
            <w:vAlign w:val="bottom"/>
          </w:tcPr>
          <w:p>
            <w:pPr>
              <w:ind w:left="400"/>
              <w:spacing w:after="0"/>
              <w:rPr>
                <w:sz w:val="20"/>
                <w:szCs w:val="20"/>
                <w:color w:val="auto"/>
              </w:rPr>
            </w:pPr>
            <w:r>
              <w:rPr>
                <w:rFonts w:ascii="Arial" w:cs="Arial" w:eastAsia="Arial" w:hAnsi="Arial"/>
                <w:sz w:val="16"/>
                <w:szCs w:val="16"/>
                <w:color w:val="auto"/>
                <w:w w:val="87"/>
              </w:rPr>
              <w:t>$45,000 grant date fair market value (option to accept tandem restricted stock (60%) and res</w:t>
            </w:r>
          </w:p>
        </w:tc>
        <w:tc>
          <w:tcPr>
            <w:tcW w:w="0" w:type="dxa"/>
            <w:vAlign w:val="bottom"/>
          </w:tcPr>
          <w:p>
            <w:pPr>
              <w:spacing w:after="0"/>
              <w:rPr>
                <w:sz w:val="1"/>
                <w:szCs w:val="1"/>
                <w:color w:val="auto"/>
              </w:rPr>
            </w:pPr>
          </w:p>
        </w:tc>
      </w:tr>
      <w:tr>
        <w:trPr>
          <w:trHeight w:val="282"/>
        </w:trPr>
        <w:tc>
          <w:tcPr>
            <w:tcW w:w="5160" w:type="dxa"/>
            <w:vAlign w:val="bottom"/>
            <w:gridSpan w:val="3"/>
          </w:tcPr>
          <w:p>
            <w:pPr>
              <w:spacing w:after="0"/>
              <w:rPr>
                <w:sz w:val="20"/>
                <w:szCs w:val="20"/>
                <w:color w:val="auto"/>
              </w:rPr>
            </w:pPr>
            <w:r>
              <w:rPr>
                <w:rFonts w:ascii="Arial" w:cs="Arial" w:eastAsia="Arial" w:hAnsi="Arial"/>
                <w:sz w:val="16"/>
                <w:szCs w:val="16"/>
                <w:color w:val="auto"/>
              </w:rPr>
              <w:t>5.Annual Lead Director retainer:</w:t>
            </w:r>
          </w:p>
        </w:tc>
        <w:tc>
          <w:tcPr>
            <w:tcW w:w="6180" w:type="dxa"/>
            <w:vAlign w:val="bottom"/>
          </w:tcPr>
          <w:p>
            <w:pPr>
              <w:ind w:left="400"/>
              <w:spacing w:after="0"/>
              <w:rPr>
                <w:sz w:val="20"/>
                <w:szCs w:val="20"/>
                <w:color w:val="auto"/>
              </w:rPr>
            </w:pPr>
            <w:r>
              <w:rPr>
                <w:rFonts w:ascii="Arial" w:cs="Arial" w:eastAsia="Arial" w:hAnsi="Arial"/>
                <w:sz w:val="16"/>
                <w:szCs w:val="16"/>
                <w:color w:val="auto"/>
              </w:rPr>
              <w:t>$40,000 (cash or stock)</w:t>
            </w:r>
            <w:r>
              <w:rPr>
                <w:rFonts w:ascii="Arial" w:cs="Arial" w:eastAsia="Arial" w:hAnsi="Arial"/>
                <w:sz w:val="13"/>
                <w:szCs w:val="13"/>
                <w:color w:val="auto"/>
              </w:rPr>
              <w:t>1</w:t>
            </w:r>
            <w:r>
              <w:rPr>
                <w:rFonts w:ascii="Arial" w:cs="Arial" w:eastAsia="Arial" w:hAnsi="Arial"/>
                <w:sz w:val="16"/>
                <w:szCs w:val="16"/>
                <w:color w:val="auto"/>
              </w:rPr>
              <w:t xml:space="preserve"> ($10,000 paid quarterly)</w:t>
            </w:r>
          </w:p>
        </w:tc>
        <w:tc>
          <w:tcPr>
            <w:tcW w:w="0" w:type="dxa"/>
            <w:vAlign w:val="bottom"/>
          </w:tcPr>
          <w:p>
            <w:pPr>
              <w:spacing w:after="0"/>
              <w:rPr>
                <w:sz w:val="1"/>
                <w:szCs w:val="1"/>
                <w:color w:val="auto"/>
              </w:rPr>
            </w:pPr>
          </w:p>
        </w:tc>
      </w:tr>
      <w:tr>
        <w:trPr>
          <w:trHeight w:val="282"/>
        </w:trPr>
        <w:tc>
          <w:tcPr>
            <w:tcW w:w="5160" w:type="dxa"/>
            <w:vAlign w:val="bottom"/>
            <w:gridSpan w:val="3"/>
          </w:tcPr>
          <w:p>
            <w:pPr>
              <w:spacing w:after="0"/>
              <w:rPr>
                <w:sz w:val="20"/>
                <w:szCs w:val="20"/>
                <w:color w:val="auto"/>
              </w:rPr>
            </w:pPr>
            <w:r>
              <w:rPr>
                <w:rFonts w:ascii="Arial" w:cs="Arial" w:eastAsia="Arial" w:hAnsi="Arial"/>
                <w:sz w:val="16"/>
                <w:szCs w:val="16"/>
                <w:color w:val="auto"/>
              </w:rPr>
              <w:t>6.Annual Audit Committee Chair retainer:</w:t>
            </w:r>
          </w:p>
        </w:tc>
        <w:tc>
          <w:tcPr>
            <w:tcW w:w="6180" w:type="dxa"/>
            <w:vAlign w:val="bottom"/>
          </w:tcPr>
          <w:p>
            <w:pPr>
              <w:ind w:left="400"/>
              <w:spacing w:after="0"/>
              <w:rPr>
                <w:sz w:val="20"/>
                <w:szCs w:val="20"/>
                <w:color w:val="auto"/>
              </w:rPr>
            </w:pPr>
            <w:r>
              <w:rPr>
                <w:rFonts w:ascii="Arial" w:cs="Arial" w:eastAsia="Arial" w:hAnsi="Arial"/>
                <w:sz w:val="16"/>
                <w:szCs w:val="16"/>
                <w:color w:val="auto"/>
              </w:rPr>
              <w:t>$30,000 (cash or stock)</w:t>
            </w:r>
            <w:r>
              <w:rPr>
                <w:rFonts w:ascii="Arial" w:cs="Arial" w:eastAsia="Arial" w:hAnsi="Arial"/>
                <w:sz w:val="13"/>
                <w:szCs w:val="13"/>
                <w:color w:val="auto"/>
              </w:rPr>
              <w:t>1</w:t>
            </w:r>
            <w:r>
              <w:rPr>
                <w:rFonts w:ascii="Arial" w:cs="Arial" w:eastAsia="Arial" w:hAnsi="Arial"/>
                <w:sz w:val="16"/>
                <w:szCs w:val="16"/>
                <w:color w:val="auto"/>
              </w:rPr>
              <w:t xml:space="preserve"> ($7,500 paid quarterly)</w:t>
            </w:r>
          </w:p>
        </w:tc>
        <w:tc>
          <w:tcPr>
            <w:tcW w:w="0" w:type="dxa"/>
            <w:vAlign w:val="bottom"/>
          </w:tcPr>
          <w:p>
            <w:pPr>
              <w:spacing w:after="0"/>
              <w:rPr>
                <w:sz w:val="1"/>
                <w:szCs w:val="1"/>
                <w:color w:val="auto"/>
              </w:rPr>
            </w:pPr>
          </w:p>
        </w:tc>
      </w:tr>
      <w:tr>
        <w:trPr>
          <w:trHeight w:val="282"/>
        </w:trPr>
        <w:tc>
          <w:tcPr>
            <w:tcW w:w="5160" w:type="dxa"/>
            <w:vAlign w:val="bottom"/>
            <w:gridSpan w:val="3"/>
          </w:tcPr>
          <w:p>
            <w:pPr>
              <w:spacing w:after="0"/>
              <w:rPr>
                <w:sz w:val="20"/>
                <w:szCs w:val="20"/>
                <w:color w:val="auto"/>
              </w:rPr>
            </w:pPr>
            <w:r>
              <w:rPr>
                <w:rFonts w:ascii="Arial" w:cs="Arial" w:eastAsia="Arial" w:hAnsi="Arial"/>
                <w:sz w:val="16"/>
                <w:szCs w:val="16"/>
                <w:color w:val="auto"/>
              </w:rPr>
              <w:t>7.Annual Compensation Committee Chair retainer:</w:t>
            </w:r>
          </w:p>
        </w:tc>
        <w:tc>
          <w:tcPr>
            <w:tcW w:w="6180" w:type="dxa"/>
            <w:vAlign w:val="bottom"/>
          </w:tcPr>
          <w:p>
            <w:pPr>
              <w:ind w:left="400"/>
              <w:spacing w:after="0"/>
              <w:rPr>
                <w:sz w:val="20"/>
                <w:szCs w:val="20"/>
                <w:color w:val="auto"/>
              </w:rPr>
            </w:pPr>
            <w:r>
              <w:rPr>
                <w:rFonts w:ascii="Arial" w:cs="Arial" w:eastAsia="Arial" w:hAnsi="Arial"/>
                <w:sz w:val="16"/>
                <w:szCs w:val="16"/>
                <w:color w:val="auto"/>
              </w:rPr>
              <w:t>$20,000 (cash or stock)</w:t>
            </w:r>
            <w:r>
              <w:rPr>
                <w:rFonts w:ascii="Arial" w:cs="Arial" w:eastAsia="Arial" w:hAnsi="Arial"/>
                <w:sz w:val="13"/>
                <w:szCs w:val="13"/>
                <w:color w:val="auto"/>
              </w:rPr>
              <w:t>1</w:t>
            </w:r>
            <w:r>
              <w:rPr>
                <w:rFonts w:ascii="Arial" w:cs="Arial" w:eastAsia="Arial" w:hAnsi="Arial"/>
                <w:sz w:val="16"/>
                <w:szCs w:val="16"/>
                <w:color w:val="auto"/>
              </w:rPr>
              <w:t xml:space="preserve"> ($5,000 paid quarterly)</w:t>
            </w:r>
          </w:p>
        </w:tc>
        <w:tc>
          <w:tcPr>
            <w:tcW w:w="0" w:type="dxa"/>
            <w:vAlign w:val="bottom"/>
          </w:tcPr>
          <w:p>
            <w:pPr>
              <w:spacing w:after="0"/>
              <w:rPr>
                <w:sz w:val="1"/>
                <w:szCs w:val="1"/>
                <w:color w:val="auto"/>
              </w:rPr>
            </w:pPr>
          </w:p>
        </w:tc>
      </w:tr>
      <w:tr>
        <w:trPr>
          <w:trHeight w:val="284"/>
        </w:trPr>
        <w:tc>
          <w:tcPr>
            <w:tcW w:w="5160" w:type="dxa"/>
            <w:vAlign w:val="bottom"/>
            <w:gridSpan w:val="3"/>
          </w:tcPr>
          <w:p>
            <w:pPr>
              <w:spacing w:after="0"/>
              <w:rPr>
                <w:sz w:val="20"/>
                <w:szCs w:val="20"/>
                <w:color w:val="auto"/>
              </w:rPr>
            </w:pPr>
            <w:r>
              <w:rPr>
                <w:rFonts w:ascii="Arial" w:cs="Arial" w:eastAsia="Arial" w:hAnsi="Arial"/>
                <w:sz w:val="16"/>
                <w:szCs w:val="16"/>
                <w:color w:val="auto"/>
                <w:w w:val="96"/>
              </w:rPr>
              <w:t>8.Annual Nominating and Corporate Governance Committee Chair retainer:</w:t>
            </w:r>
          </w:p>
        </w:tc>
        <w:tc>
          <w:tcPr>
            <w:tcW w:w="6180" w:type="dxa"/>
            <w:vAlign w:val="bottom"/>
          </w:tcPr>
          <w:p>
            <w:pPr>
              <w:ind w:left="400"/>
              <w:spacing w:after="0"/>
              <w:rPr>
                <w:sz w:val="20"/>
                <w:szCs w:val="20"/>
                <w:color w:val="auto"/>
              </w:rPr>
            </w:pPr>
            <w:r>
              <w:rPr>
                <w:rFonts w:ascii="Arial" w:cs="Arial" w:eastAsia="Arial" w:hAnsi="Arial"/>
                <w:sz w:val="16"/>
                <w:szCs w:val="16"/>
                <w:color w:val="auto"/>
              </w:rPr>
              <w:t>$20,000 (cash or stock) 1 ($5,000 paid quarterly)</w:t>
            </w:r>
          </w:p>
        </w:tc>
        <w:tc>
          <w:tcPr>
            <w:tcW w:w="0" w:type="dxa"/>
            <w:vAlign w:val="bottom"/>
          </w:tcPr>
          <w:p>
            <w:pPr>
              <w:spacing w:after="0"/>
              <w:rPr>
                <w:sz w:val="1"/>
                <w:szCs w:val="1"/>
                <w:color w:val="auto"/>
              </w:rPr>
            </w:pPr>
          </w:p>
        </w:tc>
      </w:tr>
      <w:tr>
        <w:trPr>
          <w:trHeight w:val="280"/>
        </w:trPr>
        <w:tc>
          <w:tcPr>
            <w:tcW w:w="5160" w:type="dxa"/>
            <w:vAlign w:val="bottom"/>
            <w:gridSpan w:val="3"/>
          </w:tcPr>
          <w:p>
            <w:pPr>
              <w:spacing w:after="0"/>
              <w:rPr>
                <w:sz w:val="20"/>
                <w:szCs w:val="20"/>
                <w:color w:val="auto"/>
              </w:rPr>
            </w:pPr>
            <w:r>
              <w:rPr>
                <w:rFonts w:ascii="Arial" w:cs="Arial" w:eastAsia="Arial" w:hAnsi="Arial"/>
                <w:sz w:val="16"/>
                <w:szCs w:val="16"/>
                <w:color w:val="auto"/>
              </w:rPr>
              <w:t>9.Reimburse out-of-pocket expenses:</w:t>
            </w:r>
          </w:p>
        </w:tc>
        <w:tc>
          <w:tcPr>
            <w:tcW w:w="6180" w:type="dxa"/>
            <w:vAlign w:val="bottom"/>
          </w:tcPr>
          <w:p>
            <w:pPr>
              <w:ind w:left="4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71"/>
        </w:trPr>
        <w:tc>
          <w:tcPr>
            <w:tcW w:w="5160" w:type="dxa"/>
            <w:vAlign w:val="bottom"/>
            <w:gridSpan w:val="3"/>
          </w:tcPr>
          <w:p>
            <w:pPr>
              <w:spacing w:after="0"/>
              <w:rPr>
                <w:sz w:val="20"/>
                <w:szCs w:val="20"/>
                <w:color w:val="auto"/>
              </w:rPr>
            </w:pPr>
            <w:r>
              <w:rPr>
                <w:rFonts w:ascii="Arial" w:cs="Arial" w:eastAsia="Arial" w:hAnsi="Arial"/>
                <w:sz w:val="16"/>
                <w:szCs w:val="16"/>
                <w:color w:val="auto"/>
              </w:rPr>
              <w:t>10.Non-Employee Director Early Retirement Plan</w:t>
            </w:r>
          </w:p>
        </w:tc>
        <w:tc>
          <w:tcPr>
            <w:tcW w:w="6180" w:type="dxa"/>
            <w:vAlign w:val="bottom"/>
          </w:tcPr>
          <w:p>
            <w:pPr>
              <w:ind w:left="400"/>
              <w:spacing w:after="0"/>
              <w:rPr>
                <w:sz w:val="20"/>
                <w:szCs w:val="20"/>
                <w:color w:val="auto"/>
              </w:rPr>
            </w:pPr>
            <w:r>
              <w:rPr>
                <w:rFonts w:ascii="Arial" w:cs="Arial" w:eastAsia="Arial" w:hAnsi="Arial"/>
                <w:sz w:val="16"/>
                <w:szCs w:val="16"/>
                <w:color w:val="auto"/>
                <w:w w:val="91"/>
              </w:rPr>
              <w:t>a.Upon the recommendation of the Compensation Committee and the approval of the Bo</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w w:val="97"/>
              </w:rPr>
              <w:t>employee director who voluntarily retires from the Board prior to the end of his o</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w w:val="93"/>
              </w:rPr>
              <w:t>voluntarily decides not to stand for re-election at the end of his or her stated term w</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w w:val="88"/>
              </w:rPr>
              <w:t>vesting of up to all of his or her then outstanding unvested restricted stock, restricted ca</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w w:val="92"/>
              </w:rPr>
              <w:t>when such vesting would otherwise occur if such director remained on the Board on</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w w:val="92"/>
              </w:rPr>
              <w:t>additional terms and conditions, if any, as may be determined necessary or appropr</w:t>
            </w: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rPr>
              <w:t>Committee and the Board of Directors.</w:t>
            </w:r>
          </w:p>
        </w:tc>
        <w:tc>
          <w:tcPr>
            <w:tcW w:w="0" w:type="dxa"/>
            <w:vAlign w:val="bottom"/>
          </w:tcPr>
          <w:p>
            <w:pPr>
              <w:spacing w:after="0"/>
              <w:rPr>
                <w:sz w:val="1"/>
                <w:szCs w:val="1"/>
                <w:color w:val="auto"/>
              </w:rPr>
            </w:pPr>
          </w:p>
        </w:tc>
      </w:tr>
      <w:tr>
        <w:trPr>
          <w:trHeight w:val="271"/>
        </w:trPr>
        <w:tc>
          <w:tcPr>
            <w:tcW w:w="4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6180" w:type="dxa"/>
            <w:vAlign w:val="bottom"/>
          </w:tcPr>
          <w:p>
            <w:pPr>
              <w:ind w:left="400"/>
              <w:spacing w:after="0"/>
              <w:rPr>
                <w:sz w:val="20"/>
                <w:szCs w:val="20"/>
                <w:color w:val="auto"/>
              </w:rPr>
            </w:pPr>
            <w:r>
              <w:rPr>
                <w:rFonts w:ascii="Arial" w:cs="Arial" w:eastAsia="Arial" w:hAnsi="Arial"/>
                <w:sz w:val="16"/>
                <w:szCs w:val="16"/>
                <w:color w:val="auto"/>
                <w:w w:val="93"/>
              </w:rPr>
              <w:t>b.Upon the recommendation of the Compensation Committee and approval by the Boa</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w w:val="97"/>
              </w:rPr>
              <w:t>employee director who voluntarily retires from the Board prior to the end of his o</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w w:val="93"/>
              </w:rPr>
              <w:t>voluntarily decides not to stand for re-election at the end of his or her stated term w</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w w:val="88"/>
              </w:rPr>
              <w:t>services fee of $200 per hour for any time spent at the request of the Company on Com</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w w:val="90"/>
              </w:rPr>
              <w:t>reimbursement for all out-of-pocket expenses, subject to such additional terms and co</w:t>
            </w: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w w:val="88"/>
              </w:rPr>
              <w:t>determined necessary or appropriate by the Compensation Committee and the Board of</w:t>
            </w:r>
          </w:p>
        </w:tc>
        <w:tc>
          <w:tcPr>
            <w:tcW w:w="0" w:type="dxa"/>
            <w:vAlign w:val="bottom"/>
          </w:tcPr>
          <w:p>
            <w:pPr>
              <w:spacing w:after="0"/>
              <w:rPr>
                <w:sz w:val="1"/>
                <w:szCs w:val="1"/>
                <w:color w:val="auto"/>
              </w:rPr>
            </w:pPr>
          </w:p>
        </w:tc>
      </w:tr>
      <w:tr>
        <w:trPr>
          <w:trHeight w:val="271"/>
        </w:trPr>
        <w:tc>
          <w:tcPr>
            <w:tcW w:w="4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6180" w:type="dxa"/>
            <w:vAlign w:val="bottom"/>
          </w:tcPr>
          <w:p>
            <w:pPr>
              <w:ind w:left="400"/>
              <w:spacing w:after="0"/>
              <w:rPr>
                <w:sz w:val="20"/>
                <w:szCs w:val="20"/>
                <w:color w:val="auto"/>
              </w:rPr>
            </w:pPr>
            <w:r>
              <w:rPr>
                <w:rFonts w:ascii="Arial" w:cs="Arial" w:eastAsia="Arial" w:hAnsi="Arial"/>
                <w:sz w:val="16"/>
                <w:szCs w:val="16"/>
                <w:color w:val="auto"/>
                <w:w w:val="90"/>
              </w:rPr>
              <w:t>c.Upon approval of the Compensation Committee, any non-employee director who volunta</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w w:val="89"/>
              </w:rPr>
              <w:t>prior to the end of his or her stated term or who voluntarily decides not to stand for re-e</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w w:val="91"/>
              </w:rPr>
              <w:t>her stated term will be entitled to an extension of the terms of all vested stock options</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w w:val="88"/>
              </w:rPr>
              <w:t>the Compensation Committee that shall not exceed the dates on which such term would</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w w:val="87"/>
              </w:rPr>
              <w:t>such director remained on the Board on such dates, subject to such additional terms and</w:t>
            </w: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rPr>
              <w:t>be determined necessary or appropriate by the Compensation Committee.</w:t>
            </w:r>
          </w:p>
        </w:tc>
        <w:tc>
          <w:tcPr>
            <w:tcW w:w="0" w:type="dxa"/>
            <w:vAlign w:val="bottom"/>
          </w:tcPr>
          <w:p>
            <w:pPr>
              <w:spacing w:after="0"/>
              <w:rPr>
                <w:sz w:val="1"/>
                <w:szCs w:val="1"/>
                <w:color w:val="auto"/>
              </w:rPr>
            </w:pPr>
          </w:p>
        </w:tc>
      </w:tr>
      <w:tr>
        <w:trPr>
          <w:trHeight w:val="319"/>
        </w:trPr>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9100" w:type="dxa"/>
            <w:vAlign w:val="bottom"/>
            <w:gridSpan w:val="2"/>
            <w:vMerge w:val="restart"/>
          </w:tcPr>
          <w:p>
            <w:pPr>
              <w:jc w:val="right"/>
              <w:ind w:right="22"/>
              <w:spacing w:after="0"/>
              <w:rPr>
                <w:sz w:val="20"/>
                <w:szCs w:val="20"/>
                <w:color w:val="auto"/>
              </w:rPr>
            </w:pPr>
            <w:r>
              <w:rPr>
                <w:rFonts w:ascii="Arial" w:cs="Arial" w:eastAsia="Arial" w:hAnsi="Arial"/>
                <w:sz w:val="16"/>
                <w:szCs w:val="16"/>
                <w:color w:val="auto"/>
                <w:w w:val="90"/>
              </w:rPr>
              <w:t>compensation to be chosen by each individual prior to each fiscal year. Number of shares to be issued on third business day after release of</w:t>
            </w:r>
          </w:p>
        </w:tc>
        <w:tc>
          <w:tcPr>
            <w:tcW w:w="0" w:type="dxa"/>
            <w:vAlign w:val="bottom"/>
          </w:tcPr>
          <w:p>
            <w:pPr>
              <w:spacing w:after="0"/>
              <w:rPr>
                <w:sz w:val="1"/>
                <w:szCs w:val="1"/>
                <w:color w:val="auto"/>
              </w:rPr>
            </w:pPr>
          </w:p>
        </w:tc>
      </w:tr>
      <w:tr>
        <w:trPr>
          <w:trHeight w:val="167"/>
        </w:trPr>
        <w:tc>
          <w:tcPr>
            <w:tcW w:w="480" w:type="dxa"/>
            <w:vAlign w:val="bottom"/>
          </w:tcPr>
          <w:p>
            <w:pPr>
              <w:ind w:left="60"/>
              <w:spacing w:after="0"/>
              <w:rPr>
                <w:sz w:val="20"/>
                <w:szCs w:val="20"/>
                <w:color w:val="auto"/>
              </w:rPr>
            </w:pPr>
            <w:r>
              <w:rPr>
                <w:rFonts w:ascii="Arial" w:cs="Arial" w:eastAsia="Arial" w:hAnsi="Arial"/>
                <w:sz w:val="13"/>
                <w:szCs w:val="13"/>
                <w:color w:val="auto"/>
              </w:rPr>
              <w:t>1</w:t>
            </w:r>
          </w:p>
        </w:tc>
        <w:tc>
          <w:tcPr>
            <w:tcW w:w="1760" w:type="dxa"/>
            <w:vAlign w:val="bottom"/>
          </w:tcPr>
          <w:p>
            <w:pPr>
              <w:ind w:left="1140"/>
              <w:spacing w:after="0" w:line="168" w:lineRule="exact"/>
              <w:rPr>
                <w:sz w:val="20"/>
                <w:szCs w:val="20"/>
                <w:color w:val="auto"/>
              </w:rPr>
            </w:pPr>
            <w:r>
              <w:rPr>
                <w:rFonts w:ascii="Arial" w:cs="Arial" w:eastAsia="Arial" w:hAnsi="Arial"/>
                <w:sz w:val="16"/>
                <w:szCs w:val="16"/>
                <w:color w:val="auto"/>
              </w:rPr>
              <w:t>Form of</w:t>
            </w:r>
          </w:p>
        </w:tc>
        <w:tc>
          <w:tcPr>
            <w:tcW w:w="9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10860" w:type="dxa"/>
            <w:vAlign w:val="bottom"/>
            <w:gridSpan w:val="3"/>
          </w:tcPr>
          <w:p>
            <w:pPr>
              <w:ind w:left="360"/>
              <w:spacing w:after="0"/>
              <w:rPr>
                <w:sz w:val="20"/>
                <w:szCs w:val="20"/>
                <w:color w:val="auto"/>
              </w:rPr>
            </w:pPr>
            <w:r>
              <w:rPr>
                <w:rFonts w:ascii="Arial" w:cs="Arial" w:eastAsia="Arial" w:hAnsi="Arial"/>
                <w:sz w:val="16"/>
                <w:szCs w:val="16"/>
                <w:color w:val="auto"/>
              </w:rPr>
              <w:t>annual (or quarterly, in case of quarterly retainer payments) earnings announcement based on closing price on such date.</w:t>
            </w:r>
          </w:p>
        </w:tc>
        <w:tc>
          <w:tcPr>
            <w:tcW w:w="0" w:type="dxa"/>
            <w:vAlign w:val="bottom"/>
          </w:tcPr>
          <w:p>
            <w:pPr>
              <w:spacing w:after="0"/>
              <w:rPr>
                <w:sz w:val="1"/>
                <w:szCs w:val="1"/>
                <w:color w:val="auto"/>
              </w:rPr>
            </w:pPr>
          </w:p>
        </w:tc>
      </w:tr>
      <w:tr>
        <w:trPr>
          <w:trHeight w:val="271"/>
        </w:trPr>
        <w:tc>
          <w:tcPr>
            <w:tcW w:w="480" w:type="dxa"/>
            <w:vAlign w:val="bottom"/>
          </w:tcPr>
          <w:p>
            <w:pPr>
              <w:ind w:left="60"/>
              <w:spacing w:after="0"/>
              <w:rPr>
                <w:sz w:val="20"/>
                <w:szCs w:val="20"/>
                <w:color w:val="auto"/>
              </w:rPr>
            </w:pPr>
            <w:r>
              <w:rPr>
                <w:rFonts w:ascii="Arial" w:cs="Arial" w:eastAsia="Arial" w:hAnsi="Arial"/>
                <w:sz w:val="13"/>
                <w:szCs w:val="13"/>
                <w:color w:val="auto"/>
              </w:rPr>
              <w:t>2</w:t>
            </w:r>
          </w:p>
        </w:tc>
        <w:tc>
          <w:tcPr>
            <w:tcW w:w="10860" w:type="dxa"/>
            <w:vAlign w:val="bottom"/>
            <w:gridSpan w:val="3"/>
          </w:tcPr>
          <w:p>
            <w:pPr>
              <w:jc w:val="right"/>
              <w:ind w:right="22"/>
              <w:spacing w:after="0"/>
              <w:rPr>
                <w:sz w:val="20"/>
                <w:szCs w:val="20"/>
                <w:color w:val="auto"/>
              </w:rPr>
            </w:pPr>
            <w:r>
              <w:rPr>
                <w:rFonts w:ascii="Arial" w:cs="Arial" w:eastAsia="Arial" w:hAnsi="Arial"/>
                <w:sz w:val="16"/>
                <w:szCs w:val="16"/>
                <w:color w:val="auto"/>
              </w:rPr>
              <w:t>Annual restricted stock grant on third business day after annual earnings announcement with the number of restricted shares equal to dollar amount</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0860" w:type="dxa"/>
            <w:vAlign w:val="bottom"/>
            <w:gridSpan w:val="3"/>
          </w:tcPr>
          <w:p>
            <w:pPr>
              <w:jc w:val="right"/>
              <w:ind w:right="22"/>
              <w:spacing w:after="0"/>
              <w:rPr>
                <w:sz w:val="20"/>
                <w:szCs w:val="20"/>
                <w:color w:val="auto"/>
              </w:rPr>
            </w:pPr>
            <w:r>
              <w:rPr>
                <w:rFonts w:ascii="Arial" w:cs="Arial" w:eastAsia="Arial" w:hAnsi="Arial"/>
                <w:sz w:val="16"/>
                <w:szCs w:val="16"/>
                <w:color w:val="auto"/>
                <w:w w:val="92"/>
              </w:rPr>
              <w:t>divided by the closing sale price on such date – vest 1/3 each year on the anniversary of the date of grant. Each director shall have the option to elect the award 60%</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0860" w:type="dxa"/>
            <w:vAlign w:val="bottom"/>
            <w:gridSpan w:val="3"/>
          </w:tcPr>
          <w:p>
            <w:pPr>
              <w:jc w:val="right"/>
              <w:ind w:right="22"/>
              <w:spacing w:after="0"/>
              <w:rPr>
                <w:sz w:val="20"/>
                <w:szCs w:val="20"/>
                <w:color w:val="auto"/>
              </w:rPr>
            </w:pPr>
            <w:r>
              <w:rPr>
                <w:rFonts w:ascii="Arial" w:cs="Arial" w:eastAsia="Arial" w:hAnsi="Arial"/>
                <w:sz w:val="16"/>
                <w:szCs w:val="16"/>
                <w:color w:val="auto"/>
                <w:w w:val="94"/>
              </w:rPr>
              <w:t>in restricted stock and 40% in restricted cash with each vesting 1/3 each year on the anniversary of the date of grant or in all restricted stock on the same vesting</w:t>
            </w: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10860" w:type="dxa"/>
            <w:vAlign w:val="bottom"/>
            <w:gridSpan w:val="3"/>
          </w:tcPr>
          <w:p>
            <w:pPr>
              <w:ind w:left="360"/>
              <w:spacing w:after="0"/>
              <w:rPr>
                <w:sz w:val="20"/>
                <w:szCs w:val="20"/>
                <w:color w:val="auto"/>
              </w:rPr>
            </w:pPr>
            <w:r>
              <w:rPr>
                <w:rFonts w:ascii="Arial" w:cs="Arial" w:eastAsia="Arial" w:hAnsi="Arial"/>
                <w:sz w:val="16"/>
                <w:szCs w:val="16"/>
                <w:color w:val="auto"/>
                <w:w w:val="89"/>
              </w:rPr>
              <w:t>schedule. The election to accept the award in 60% restricted stock and 40% restricted cash must be conveyed to the Company by the director prior to the grant date.</w:t>
            </w:r>
          </w:p>
        </w:tc>
        <w:tc>
          <w:tcPr>
            <w:tcW w:w="0" w:type="dxa"/>
            <w:vAlign w:val="bottom"/>
          </w:tcPr>
          <w:p>
            <w:pPr>
              <w:spacing w:after="0"/>
              <w:rPr>
                <w:sz w:val="1"/>
                <w:szCs w:val="1"/>
                <w:color w:val="auto"/>
              </w:rPr>
            </w:pPr>
          </w:p>
        </w:tc>
      </w:tr>
    </w:tbl>
    <w:p>
      <w:pPr>
        <w:sectPr>
          <w:pgSz w:w="11900" w:h="16838" w:orient="portrait"/>
          <w:cols w:equalWidth="0" w:num="1">
            <w:col w:w="11340"/>
          </w:cols>
          <w:pgMar w:left="320" w:top="123" w:right="239" w:bottom="1440" w:gutter="0" w:footer="0" w:header="0"/>
        </w:sectPr>
      </w:pPr>
    </w:p>
    <w:bookmarkStart w:id="93" w:name="page94"/>
    <w:bookmarkEnd w:id="93"/>
    <w:p>
      <w:pPr>
        <w:ind w:left="10360"/>
        <w:spacing w:after="0"/>
        <w:rPr>
          <w:sz w:val="20"/>
          <w:szCs w:val="20"/>
          <w:color w:val="auto"/>
        </w:rPr>
      </w:pPr>
      <w:r>
        <w:rPr>
          <w:rFonts w:ascii="Arial" w:cs="Arial" w:eastAsia="Arial" w:hAnsi="Arial"/>
          <w:sz w:val="13"/>
          <w:szCs w:val="13"/>
          <w:b w:val="1"/>
          <w:bCs w:val="1"/>
          <w:color w:val="auto"/>
        </w:rPr>
        <w:t>Exhibit 10.15</w:t>
      </w:r>
    </w:p>
    <w:p>
      <w:pPr>
        <w:sectPr>
          <w:pgSz w:w="11900" w:h="16838" w:orient="portrait"/>
          <w:cols w:equalWidth="0" w:num="1">
            <w:col w:w="11260"/>
          </w:cols>
          <w:pgMar w:left="320" w:top="123" w:right="31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Name of Executive:</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Position:</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color w:val="auto"/>
        </w:rPr>
        <w:t>Michael W. Altschaefl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Chief Executive Officer</w:t>
      </w:r>
    </w:p>
    <w:p>
      <w:pPr>
        <w:spacing w:after="0" w:line="189" w:lineRule="exact"/>
        <w:rPr>
          <w:sz w:val="20"/>
          <w:szCs w:val="20"/>
          <w:color w:val="auto"/>
        </w:rPr>
      </w:pPr>
    </w:p>
    <w:p>
      <w:pPr>
        <w:sectPr>
          <w:pgSz w:w="11900" w:h="16838" w:orient="portrait"/>
          <w:cols w:equalWidth="0" w:num="2">
            <w:col w:w="4780" w:space="720"/>
            <w:col w:w="5760"/>
          </w:cols>
          <w:pgMar w:left="320" w:top="123" w:right="319" w:bottom="1440" w:gutter="0" w:footer="0" w:header="0"/>
          <w:type w:val="continuous"/>
        </w:sectPr>
      </w:pPr>
    </w:p>
    <w:p>
      <w:pPr>
        <w:spacing w:after="0"/>
        <w:rPr>
          <w:sz w:val="20"/>
          <w:szCs w:val="20"/>
          <w:color w:val="auto"/>
        </w:rPr>
      </w:pPr>
      <w:r>
        <w:rPr>
          <w:rFonts w:ascii="Arial" w:cs="Arial" w:eastAsia="Arial" w:hAnsi="Arial"/>
          <w:sz w:val="16"/>
          <w:szCs w:val="16"/>
          <w:color w:val="auto"/>
        </w:rPr>
        <w:t>Fiscal Year 2021 Base Salary:</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Arial" w:cs="Arial" w:eastAsia="Arial" w:hAnsi="Arial"/>
          <w:sz w:val="17"/>
          <w:szCs w:val="17"/>
          <w:color w:val="auto"/>
        </w:rPr>
        <w:t>$425,000</w:t>
      </w:r>
    </w:p>
    <w:p>
      <w:pPr>
        <w:spacing w:after="0" w:line="200" w:lineRule="exact"/>
        <w:rPr>
          <w:sz w:val="20"/>
          <w:szCs w:val="20"/>
          <w:color w:val="auto"/>
        </w:rPr>
      </w:pPr>
    </w:p>
    <w:p>
      <w:pPr>
        <w:sectPr>
          <w:pgSz w:w="11900" w:h="16838" w:orient="portrait"/>
          <w:cols w:equalWidth="0" w:num="2">
            <w:col w:w="5480" w:space="720"/>
            <w:col w:w="5060"/>
          </w:cols>
          <w:pgMar w:left="320" w:top="123" w:right="31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June 1, 2020</w:t>
      </w:r>
    </w:p>
    <w:p>
      <w:pPr>
        <w:spacing w:after="0" w:line="211" w:lineRule="exact"/>
        <w:rPr>
          <w:sz w:val="20"/>
          <w:szCs w:val="20"/>
          <w:color w:val="auto"/>
        </w:rPr>
      </w:pPr>
    </w:p>
    <w:p>
      <w:pPr>
        <w:sectPr>
          <w:pgSz w:w="11900" w:h="16838" w:orient="portrait"/>
          <w:cols w:equalWidth="0" w:num="2">
            <w:col w:w="4360" w:space="720"/>
            <w:col w:w="6180"/>
          </w:cols>
          <w:pgMar w:left="320" w:top="123" w:right="31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Pre-Change of Control Severance Multiplier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2.0x</w:t>
      </w:r>
    </w:p>
    <w:p>
      <w:pPr>
        <w:spacing w:after="0" w:line="210" w:lineRule="exact"/>
        <w:rPr>
          <w:sz w:val="20"/>
          <w:szCs w:val="20"/>
          <w:color w:val="auto"/>
        </w:rPr>
      </w:pPr>
    </w:p>
    <w:p>
      <w:pPr>
        <w:sectPr>
          <w:pgSz w:w="11900" w:h="16838" w:orient="portrait"/>
          <w:cols w:equalWidth="0" w:num="2">
            <w:col w:w="6800" w:space="720"/>
            <w:col w:w="3740"/>
          </w:cols>
          <w:pgMar w:left="320" w:top="123" w:right="319"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color w:val="auto"/>
        </w:rPr>
        <w:t>AMENDED AND RESTATED EXECUTIVE EMPLOYMENT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 SEVERANCE AGREEMENT</w:t>
      </w:r>
    </w:p>
    <w:p>
      <w:pPr>
        <w:spacing w:after="0" w:line="166" w:lineRule="exact"/>
        <w:rPr>
          <w:sz w:val="20"/>
          <w:szCs w:val="20"/>
          <w:color w:val="auto"/>
        </w:rPr>
      </w:pPr>
    </w:p>
    <w:p>
      <w:pPr>
        <w:jc w:val="both"/>
        <w:ind w:right="20" w:firstLine="1732"/>
        <w:spacing w:after="0"/>
        <w:rPr>
          <w:sz w:val="20"/>
          <w:szCs w:val="20"/>
          <w:color w:val="auto"/>
        </w:rPr>
      </w:pPr>
      <w:r>
        <w:rPr>
          <w:rFonts w:ascii="Arial" w:cs="Arial" w:eastAsia="Arial" w:hAnsi="Arial"/>
          <w:sz w:val="19"/>
          <w:szCs w:val="19"/>
          <w:color w:val="auto"/>
        </w:rPr>
        <w:t>This Amended and Restated Executive Employment and Severance Agreement (“Agreement”) is between the executive named above (“Executive”) and Orion Energy Systems, Inc. (“Orion” or the “Company”), effective as of the effective date set forth above (“Effective Date”), and amends and restates in its entirety the existing Executive Employment and Severance Agreement between the Executive and the Company dated and effective as of June 8, 2017 (“Prior Agreement”).</w:t>
      </w:r>
    </w:p>
    <w:p>
      <w:pPr>
        <w:spacing w:after="0" w:line="155" w:lineRule="exact"/>
        <w:rPr>
          <w:sz w:val="20"/>
          <w:szCs w:val="20"/>
          <w:color w:val="auto"/>
        </w:rPr>
      </w:pPr>
    </w:p>
    <w:p>
      <w:pPr>
        <w:jc w:val="both"/>
        <w:ind w:right="20" w:firstLine="1732"/>
        <w:spacing w:after="0" w:line="26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Executive is currently serving as Board Chair and was appointed by the Board on May 25, 2017 as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then new Chief Executive Officer and thereafter the Company and the Executive entered into the Prior Agreement.</w:t>
      </w:r>
    </w:p>
    <w:p>
      <w:pPr>
        <w:spacing w:after="0" w:line="135" w:lineRule="exact"/>
        <w:rPr>
          <w:sz w:val="20"/>
          <w:szCs w:val="20"/>
          <w:color w:val="auto"/>
        </w:rPr>
      </w:pPr>
    </w:p>
    <w:p>
      <w:pPr>
        <w:jc w:val="both"/>
        <w:ind w:firstLine="1732"/>
        <w:spacing w:after="0" w:line="24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and Executive desire to amend and restate the terms and conditions on which Executive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to be employed by the Company as the Company’s Chief Executive Officer on and after the Effective Date, and pursuant to which Executive will receive severance in the event that Executive separates from service with the Company under certain conditions or the Company experiences a Change of Control.</w:t>
      </w:r>
    </w:p>
    <w:p>
      <w:pPr>
        <w:spacing w:after="0" w:line="154" w:lineRule="exact"/>
        <w:rPr>
          <w:sz w:val="20"/>
          <w:szCs w:val="20"/>
          <w:color w:val="auto"/>
        </w:rPr>
      </w:pPr>
    </w:p>
    <w:p>
      <w:pPr>
        <w:ind w:left="172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for good and valuable consideration, the parties agree as follows:</w:t>
      </w:r>
    </w:p>
    <w:p>
      <w:pPr>
        <w:spacing w:after="0" w:line="182" w:lineRule="exact"/>
        <w:rPr>
          <w:sz w:val="20"/>
          <w:szCs w:val="20"/>
          <w:color w:val="auto"/>
        </w:rPr>
      </w:pPr>
    </w:p>
    <w:p>
      <w:pPr>
        <w:jc w:val="both"/>
        <w:ind w:firstLine="1726"/>
        <w:spacing w:after="0" w:line="242" w:lineRule="auto"/>
        <w:tabs>
          <w:tab w:leader="none" w:pos="2437"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Effective Date; Term</w:t>
      </w:r>
      <w:r>
        <w:rPr>
          <w:rFonts w:ascii="Arial" w:cs="Arial" w:eastAsia="Arial" w:hAnsi="Arial"/>
          <w:sz w:val="19"/>
          <w:szCs w:val="19"/>
          <w:color w:val="auto"/>
        </w:rPr>
        <w:t>. This Agreement shall become effective on the Effective Date and shall continue until</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as set forth in Section 4 hereof. Termination of this Agreement will not affect the rights or obligations of the parties hereunder arising out of, or relating to, circumstances occurring prior to the termination of this Agreement, which rights and obligations will survive the termination of this Agreement.</w:t>
      </w:r>
    </w:p>
    <w:p>
      <w:pPr>
        <w:spacing w:after="0" w:line="154" w:lineRule="exact"/>
        <w:rPr>
          <w:rFonts w:ascii="Arial" w:cs="Arial" w:eastAsia="Arial" w:hAnsi="Arial"/>
          <w:sz w:val="19"/>
          <w:szCs w:val="19"/>
          <w:color w:val="auto"/>
        </w:rPr>
      </w:pPr>
    </w:p>
    <w:p>
      <w:pPr>
        <w:ind w:left="2440" w:hanging="714"/>
        <w:spacing w:after="0"/>
        <w:tabs>
          <w:tab w:leader="none" w:pos="2440"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Agreement, the following terms shall have the meanings ascribed to them:</w:t>
      </w:r>
    </w:p>
    <w:p>
      <w:pPr>
        <w:spacing w:after="0" w:line="193" w:lineRule="exact"/>
        <w:rPr>
          <w:sz w:val="20"/>
          <w:szCs w:val="20"/>
          <w:color w:val="auto"/>
        </w:rPr>
      </w:pPr>
    </w:p>
    <w:p>
      <w:pPr>
        <w:jc w:val="both"/>
        <w:ind w:left="860" w:firstLine="799"/>
        <w:spacing w:after="0" w:line="238" w:lineRule="auto"/>
        <w:tabs>
          <w:tab w:leader="none" w:pos="2433"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Accrued Benefits</w:t>
      </w:r>
      <w:r>
        <w:rPr>
          <w:rFonts w:ascii="Arial" w:cs="Arial" w:eastAsia="Arial" w:hAnsi="Arial"/>
          <w:sz w:val="19"/>
          <w:szCs w:val="19"/>
          <w:color w:val="auto"/>
        </w:rPr>
        <w:t>” shall mean the following amounts, payable as described herein: (i) all Base Salary for the time period ending with the Termination Date; (ii) reimbursement for any and all monies advanced in connection with the Executive’s employment for reasonable and necessary expenses incurred by the Executive on behalf of the Company for the time period ending with the Termination Date; (iii) any and all other cash earned through the Termination Date and deferred at the election of the Executive or pursuant to any deferred compensation plan then in effect; and (iv) all other payments and benefits to which the Executive (or in the event of the Executive’s death, the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259080</wp:posOffset>
            </wp:positionV>
            <wp:extent cx="716470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94" w:name="page95"/>
    <w:bookmarkEnd w:id="94"/>
    <w:p>
      <w:pPr>
        <w:jc w:val="both"/>
        <w:ind w:left="860"/>
        <w:spacing w:after="0" w:line="238" w:lineRule="auto"/>
        <w:rPr>
          <w:sz w:val="20"/>
          <w:szCs w:val="20"/>
          <w:color w:val="auto"/>
        </w:rPr>
      </w:pPr>
      <w:r>
        <w:rPr>
          <w:rFonts w:ascii="Arial" w:cs="Arial" w:eastAsia="Arial" w:hAnsi="Arial"/>
          <w:sz w:val="19"/>
          <w:szCs w:val="19"/>
          <w:color w:val="auto"/>
        </w:rPr>
        <w:t>surviving spouse or other beneficiary), including those provided pursuant to Exhibit A, is entitled on the Termination Date under the terms of any benefit plan of the Company, excluding severance payments under any Company severance policy, practice or agreement in effect on the Termination Date. Payment of Accrued Benefits shall be made promptly in accordance with the Company’s prevailing practice with respect to clauses (i) and (ii) or, with respect to clauses (iii) and (iv), pursuant to the terms of the benefit plan or practice establishing such benefits.</w:t>
      </w:r>
    </w:p>
    <w:p>
      <w:pPr>
        <w:spacing w:after="0" w:line="158" w:lineRule="exact"/>
        <w:rPr>
          <w:sz w:val="20"/>
          <w:szCs w:val="20"/>
          <w:color w:val="auto"/>
        </w:rPr>
      </w:pPr>
    </w:p>
    <w:p>
      <w:pPr>
        <w:ind w:left="2440" w:hanging="781"/>
        <w:spacing w:after="0"/>
        <w:tabs>
          <w:tab w:leader="none" w:pos="2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Salary</w:t>
      </w:r>
      <w:r>
        <w:rPr>
          <w:rFonts w:ascii="Arial" w:cs="Arial" w:eastAsia="Arial" w:hAnsi="Arial"/>
          <w:sz w:val="18"/>
          <w:szCs w:val="18"/>
          <w:color w:val="auto"/>
        </w:rPr>
        <w:t>” shall mean the Executive’s annual base salary with the Company as in effect from time to time.</w:t>
      </w:r>
    </w:p>
    <w:p>
      <w:pPr>
        <w:spacing w:after="0" w:line="193" w:lineRule="exact"/>
        <w:rPr>
          <w:rFonts w:ascii="Arial" w:cs="Arial" w:eastAsia="Arial" w:hAnsi="Arial"/>
          <w:sz w:val="18"/>
          <w:szCs w:val="18"/>
          <w:color w:val="auto"/>
        </w:rPr>
      </w:pPr>
    </w:p>
    <w:p>
      <w:pPr>
        <w:ind w:left="860" w:firstLine="799"/>
        <w:spacing w:after="0" w:line="262" w:lineRule="auto"/>
        <w:tabs>
          <w:tab w:leader="none" w:pos="2433" w:val="left"/>
        </w:tabs>
        <w:numPr>
          <w:ilvl w:val="1"/>
          <w:numId w:val="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shall mean the board of directors of Orion or a committee of such Board authorized to act on its behalf in certain circumstances, including the Compensation Committee of the Board.</w:t>
      </w:r>
    </w:p>
    <w:p>
      <w:pPr>
        <w:spacing w:after="0" w:line="134" w:lineRule="exact"/>
        <w:rPr>
          <w:rFonts w:ascii="Arial" w:cs="Arial" w:eastAsia="Arial" w:hAnsi="Arial"/>
          <w:sz w:val="19"/>
          <w:szCs w:val="19"/>
          <w:color w:val="auto"/>
        </w:rPr>
      </w:pPr>
    </w:p>
    <w:p>
      <w:pPr>
        <w:jc w:val="both"/>
        <w:ind w:left="860" w:firstLine="799"/>
        <w:spacing w:after="0" w:line="273" w:lineRule="auto"/>
        <w:tabs>
          <w:tab w:leader="none" w:pos="2443" w:val="left"/>
        </w:tabs>
        <w:numPr>
          <w:ilvl w:val="1"/>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shall mean a good faith finding by the Board that Executive has (i) failed, neglected, or refused to perform his employment duties related to his position or as from time to time assigned to him (other than due to death or Disability);</w:t>
      </w:r>
    </w:p>
    <w:p>
      <w:pPr>
        <w:jc w:val="both"/>
        <w:ind w:left="860"/>
        <w:spacing w:after="0" w:line="266" w:lineRule="auto"/>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committed any willful, intentional, or grossly negligent act having the effect of materially injuring the interest, business, or reputation of the Company; (iii) violated or failed to comply in any material respect with the Company’s published rules, regulations, or policies, as in effect or amended from time to time; (iv) committed an act constituting a felony or misdemeanor involving moral turpitude, fraud, theft, or dishonesty; (v) misappropriated or embezzled any property of the Company (whether or not such act constitutes a felony or misdemeanor); or (vi) breached any material provision of this Agreement or any other applicable confidentiality, non-compete, non-solicit, general release, covenant not-to-sue, equity award agreement, or other agreement with the Company.</w:t>
      </w:r>
    </w:p>
    <w:p>
      <w:pPr>
        <w:spacing w:after="0" w:line="137" w:lineRule="exact"/>
        <w:rPr>
          <w:rFonts w:ascii="Arial" w:cs="Arial" w:eastAsia="Arial" w:hAnsi="Arial"/>
          <w:sz w:val="17"/>
          <w:szCs w:val="17"/>
          <w:color w:val="auto"/>
        </w:rPr>
      </w:pPr>
    </w:p>
    <w:p>
      <w:pPr>
        <w:ind w:left="2440" w:hanging="781"/>
        <w:spacing w:after="0"/>
        <w:tabs>
          <w:tab w:leader="none" w:pos="2440" w:val="left"/>
        </w:tabs>
        <w:numPr>
          <w:ilvl w:val="1"/>
          <w:numId w:val="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and be limited to any of the following:</w:t>
      </w:r>
    </w:p>
    <w:p>
      <w:pPr>
        <w:spacing w:after="0" w:line="187" w:lineRule="exact"/>
        <w:rPr>
          <w:rFonts w:ascii="Arial" w:cs="Arial" w:eastAsia="Arial" w:hAnsi="Arial"/>
          <w:sz w:val="19"/>
          <w:szCs w:val="19"/>
          <w:color w:val="auto"/>
        </w:rPr>
      </w:pPr>
    </w:p>
    <w:p>
      <w:pPr>
        <w:jc w:val="both"/>
        <w:ind w:left="1720" w:firstLine="738"/>
        <w:spacing w:after="0" w:line="250" w:lineRule="auto"/>
        <w:tabs>
          <w:tab w:leader="none" w:pos="3195"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after the Effective Date,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153" w:lineRule="exact"/>
        <w:rPr>
          <w:rFonts w:ascii="Arial" w:cs="Arial" w:eastAsia="Arial" w:hAnsi="Arial"/>
          <w:sz w:val="18"/>
          <w:szCs w:val="18"/>
          <w:color w:val="auto"/>
        </w:rPr>
      </w:pPr>
    </w:p>
    <w:p>
      <w:pPr>
        <w:jc w:val="both"/>
        <w:ind w:left="1720" w:firstLine="738"/>
        <w:spacing w:after="0" w:line="278" w:lineRule="auto"/>
        <w:tabs>
          <w:tab w:leader="none" w:pos="3247" w:val="left"/>
        </w:tabs>
        <w:numPr>
          <w:ilvl w:val="2"/>
          <w:numId w:val="35"/>
        </w:numPr>
        <w:rPr>
          <w:rFonts w:ascii="Arial" w:cs="Arial" w:eastAsia="Arial" w:hAnsi="Arial"/>
          <w:sz w:val="17"/>
          <w:szCs w:val="17"/>
          <w:color w:val="auto"/>
        </w:rPr>
      </w:pPr>
      <w:r>
        <w:rPr>
          <w:rFonts w:ascii="Arial" w:cs="Arial" w:eastAsia="Arial" w:hAnsi="Arial"/>
          <w:sz w:val="17"/>
          <w:szCs w:val="17"/>
          <w:color w:val="auto"/>
        </w:rPr>
        <w:t>the following individuals cease for any reason to constitute a majority of the number of directors of the Company then serving: (A) individuals who, on the Effective Date,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95" w:name="page96"/>
    <w:bookmarkEnd w:id="95"/>
    <w:p>
      <w:pPr>
        <w:jc w:val="both"/>
        <w:ind w:left="1720"/>
        <w:spacing w:after="0" w:line="215" w:lineRule="exact"/>
        <w:rPr>
          <w:sz w:val="20"/>
          <w:szCs w:val="20"/>
          <w:color w:val="auto"/>
        </w:rPr>
      </w:pPr>
      <w:r>
        <w:rPr>
          <w:rFonts w:ascii="Arial" w:cs="Arial" w:eastAsia="Arial" w:hAnsi="Arial"/>
          <w:sz w:val="17"/>
          <w:szCs w:val="17"/>
          <w:color w:val="auto"/>
        </w:rPr>
        <w:t>Rule 14a</w:t>
      </w:r>
      <w:r>
        <w:rPr>
          <w:rFonts w:ascii="MS PGothic" w:cs="MS PGothic" w:eastAsia="MS PGothic" w:hAnsi="MS PGothic"/>
          <w:sz w:val="17"/>
          <w:szCs w:val="17"/>
          <w:color w:val="auto"/>
        </w:rPr>
        <w:t>‑</w:t>
      </w:r>
      <w:r>
        <w:rPr>
          <w:rFonts w:ascii="Arial" w:cs="Arial" w:eastAsia="Arial" w:hAnsi="Arial"/>
          <w:sz w:val="17"/>
          <w:szCs w:val="17"/>
          <w:color w:val="auto"/>
        </w:rPr>
        <w:t xml:space="preserve">11 of Regulation 14A under the Act) whose appointment or election by the Board or nomination for election by the Company’s shareholders was approved by a vote of at least two-thirds (2/3) of the directors then still in office who either were directors on the Effective Date, or whose appointment, election or nomination for election was previously so approved (collectively the “Continuing Directors”);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individuals who are appointed to the Board pursuant to or in accordance with the terms of an agreement relating to a merger, consolidation, or share exchange involving the Company (or any direct or indirect subsidiary of the Company) shall not be Continuing Directors for purposes of this Agreement until after such individuals are first nominated for election by a vote of at least two-thirds (2/3) of the then Continuing Directors and are thereafter elected as directors by the shareholders of the Company at a meeting of shareholders held following consummation of such merger, consolidation, or share exchange; </w:t>
      </w:r>
      <w:r>
        <w:rPr>
          <w:rFonts w:ascii="Arial" w:cs="Arial" w:eastAsia="Arial" w:hAnsi="Arial"/>
          <w:sz w:val="17"/>
          <w:szCs w:val="17"/>
          <w:i w:val="1"/>
          <w:iCs w:val="1"/>
          <w:color w:val="auto"/>
        </w:rPr>
        <w:t>and, provided further,</w:t>
      </w:r>
      <w:r>
        <w:rPr>
          <w:rFonts w:ascii="Arial" w:cs="Arial" w:eastAsia="Arial" w:hAnsi="Arial"/>
          <w:sz w:val="17"/>
          <w:szCs w:val="17"/>
          <w:color w:val="auto"/>
        </w:rPr>
        <w:t xml:space="preserve"> that in the event the failure of any such persons appointed to the Board to be Continuing Directors results in a Change of Control, the subsequent qualification of such persons as Continuing Directors shall not alter the fact that a Change of Control occurred; or</w:t>
      </w:r>
    </w:p>
    <w:p>
      <w:pPr>
        <w:spacing w:after="0" w:line="162" w:lineRule="exact"/>
        <w:rPr>
          <w:sz w:val="20"/>
          <w:szCs w:val="20"/>
          <w:color w:val="auto"/>
        </w:rPr>
      </w:pPr>
    </w:p>
    <w:p>
      <w:pPr>
        <w:jc w:val="both"/>
        <w:ind w:left="1720" w:firstLine="738"/>
        <w:spacing w:after="0" w:line="264" w:lineRule="auto"/>
        <w:tabs>
          <w:tab w:leader="none" w:pos="329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consummation of a merger, consolidation or share exchange of the Company with any other corporation or the issuance of voting securities of the Company in connection with a merger, consolidation or share exchange of the Company (or any direct or indirect subsidiary of the Company), in each case, which requires approval of the shareholders of the Company, other than (A) a merger, consolidation or share exchange which would result in the voting securities of the Company outstanding immediately prior to such merger, consolidation or share exchange continuing to represent (either by remaining outstanding or by being converted into voting securities of the surviving entity or any parent thereof) at least fifty percent (50%) of the combined voting power of the voting securities of the Company or such surviving entity or any parent thereof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 any securities acquired directly from the Company or its Affiliates after the Effective Date,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142" w:lineRule="exact"/>
        <w:rPr>
          <w:rFonts w:ascii="Arial" w:cs="Arial" w:eastAsia="Arial" w:hAnsi="Arial"/>
          <w:sz w:val="17"/>
          <w:szCs w:val="17"/>
          <w:color w:val="auto"/>
        </w:rPr>
      </w:pPr>
    </w:p>
    <w:p>
      <w:pPr>
        <w:jc w:val="both"/>
        <w:ind w:left="1720" w:firstLine="738"/>
        <w:spacing w:after="0" w:line="253" w:lineRule="auto"/>
        <w:tabs>
          <w:tab w:leader="none" w:pos="32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consummation of a plan of complete liquidation or dissolution of the Company or a sale or disposition by the Company of all or substantially all of the Company’s assets (in one transaction or a series of related transactions within any period of 24 consecutive months), in each case, which requires approval of the shareholders of the Company, other than a sale or disposition by the Company of all or substantially all of the Company’s assets to an entity at least seventy-five percent (75%) of the combined voting power of the voting securities of which are owned by Persons in substantially the same proportions as their ownership of the Company immediately prior to such sale.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96" w:name="page97"/>
    <w:bookmarkEnd w:id="96"/>
    <w:p>
      <w:pPr>
        <w:jc w:val="both"/>
        <w:ind w:left="860"/>
        <w:spacing w:after="0" w:line="238" w:lineRule="auto"/>
        <w:rPr>
          <w:sz w:val="20"/>
          <w:szCs w:val="20"/>
          <w:color w:val="auto"/>
        </w:rPr>
      </w:pPr>
      <w:r>
        <w:rPr>
          <w:rFonts w:ascii="Arial" w:cs="Arial" w:eastAsia="Arial" w:hAnsi="Arial"/>
          <w:sz w:val="19"/>
          <w:szCs w:val="19"/>
          <w:color w:val="auto"/>
        </w:rPr>
        <w:t>Notwithstanding the foregoing, no “Change of Control” shall be deemed to have occurred if there is consummated any transaction or series of integrated transactions immediately following which the record holders of the common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spacing w:after="0" w:line="164"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For purposes of this Section 2(e):</w:t>
      </w:r>
    </w:p>
    <w:p>
      <w:pPr>
        <w:spacing w:after="0" w:line="182" w:lineRule="exact"/>
        <w:rPr>
          <w:sz w:val="20"/>
          <w:szCs w:val="20"/>
          <w:color w:val="auto"/>
        </w:rPr>
      </w:pPr>
    </w:p>
    <w:p>
      <w:pPr>
        <w:ind w:left="1720" w:right="20" w:firstLine="738"/>
        <w:spacing w:after="0" w:line="283" w:lineRule="auto"/>
        <w:tabs>
          <w:tab w:leader="none" w:pos="31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 “Person” shall mean any individual, firm, partnership, corporation or other entity, including any successor (by merger or otherwise) of such entity, or a group of any of the foregoing acting in concert;</w:t>
      </w:r>
    </w:p>
    <w:p>
      <w:pPr>
        <w:spacing w:after="0" w:line="123" w:lineRule="exact"/>
        <w:rPr>
          <w:rFonts w:ascii="Arial" w:cs="Arial" w:eastAsia="Arial" w:hAnsi="Arial"/>
          <w:sz w:val="18"/>
          <w:szCs w:val="18"/>
          <w:color w:val="auto"/>
        </w:rPr>
      </w:pPr>
    </w:p>
    <w:p>
      <w:pPr>
        <w:ind w:left="1720" w:right="20" w:firstLine="738"/>
        <w:spacing w:after="0" w:line="255" w:lineRule="auto"/>
        <w:tabs>
          <w:tab w:leader="none" w:pos="3247"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terms “Affiliate” and “Associate” shall have the respective meanings ascribed to such terms in Rule 12b-2 of the General Rules and Regulations of the Act;</w:t>
      </w:r>
    </w:p>
    <w:p>
      <w:pPr>
        <w:spacing w:after="0" w:line="147" w:lineRule="exact"/>
        <w:rPr>
          <w:rFonts w:ascii="Arial" w:cs="Arial" w:eastAsia="Arial" w:hAnsi="Arial"/>
          <w:sz w:val="19"/>
          <w:szCs w:val="19"/>
          <w:color w:val="auto"/>
        </w:rPr>
      </w:pPr>
    </w:p>
    <w:p>
      <w:pPr>
        <w:ind w:left="3300" w:hanging="842"/>
        <w:spacing w:after="0"/>
        <w:tabs>
          <w:tab w:leader="none" w:pos="33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term “Act” means the Securities Exchange Act of 1934, as amended; and</w:t>
      </w:r>
    </w:p>
    <w:p>
      <w:pPr>
        <w:spacing w:after="0" w:line="181" w:lineRule="exact"/>
        <w:rPr>
          <w:rFonts w:ascii="Arial" w:cs="Arial" w:eastAsia="Arial" w:hAnsi="Arial"/>
          <w:sz w:val="19"/>
          <w:szCs w:val="19"/>
          <w:color w:val="auto"/>
        </w:rPr>
      </w:pPr>
    </w:p>
    <w:p>
      <w:pPr>
        <w:ind w:left="3300" w:hanging="842"/>
        <w:spacing w:after="0"/>
        <w:tabs>
          <w:tab w:leader="none" w:pos="33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 Person shall be deemed to be the “Beneficial Owner” of any securities which:</w:t>
      </w:r>
    </w:p>
    <w:p>
      <w:pPr>
        <w:spacing w:after="0" w:line="182" w:lineRule="exact"/>
        <w:rPr>
          <w:sz w:val="20"/>
          <w:szCs w:val="20"/>
          <w:color w:val="auto"/>
        </w:rPr>
      </w:pPr>
    </w:p>
    <w:p>
      <w:pPr>
        <w:jc w:val="both"/>
        <w:ind w:left="2600" w:firstLine="666"/>
        <w:spacing w:after="0" w:line="270" w:lineRule="auto"/>
        <w:rPr>
          <w:sz w:val="20"/>
          <w:szCs w:val="20"/>
          <w:color w:val="auto"/>
        </w:rPr>
      </w:pPr>
      <w:r>
        <w:rPr>
          <w:rFonts w:ascii="Arial" w:cs="Arial" w:eastAsia="Arial" w:hAnsi="Arial"/>
          <w:sz w:val="17"/>
          <w:szCs w:val="17"/>
          <w:color w:val="auto"/>
        </w:rPr>
        <w:t xml:space="preserve">(1) 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w:t>
      </w:r>
    </w:p>
    <w:p>
      <w:pPr>
        <w:spacing w:after="0" w:line="139" w:lineRule="exact"/>
        <w:rPr>
          <w:sz w:val="20"/>
          <w:szCs w:val="20"/>
          <w:color w:val="auto"/>
        </w:rPr>
      </w:pPr>
    </w:p>
    <w:p>
      <w:pPr>
        <w:jc w:val="both"/>
        <w:ind w:left="2600" w:firstLine="666"/>
        <w:spacing w:after="0" w:line="250" w:lineRule="auto"/>
        <w:rPr>
          <w:sz w:val="20"/>
          <w:szCs w:val="20"/>
          <w:color w:val="auto"/>
        </w:rPr>
      </w:pPr>
      <w:r>
        <w:rPr>
          <w:rFonts w:ascii="Arial" w:cs="Arial" w:eastAsia="Arial" w:hAnsi="Arial"/>
          <w:sz w:val="18"/>
          <w:szCs w:val="18"/>
          <w:color w:val="auto"/>
        </w:rPr>
        <w:t xml:space="preserve">(2) such Person or any of such Person’s Affiliates or Associates, directly or indirectly, has the right to vote or dispose of or has “beneficial ownership” of (as determined pursuant to Rule l3d-3 of the General Rules and Regulations under the Act), including pursuant to any agreement, arrangement or understanding;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Person shall not be deemed the Beneficial Owner of, or to beneficially own, any security under this clause (2) as a result of an agreement, arrangement or understanding to vote such security if the agreement, arrangement or understanding: (A) arises solely from a revocable proxy or consent given to such Person in response to a public proxy or consent solicitation made pursuant to, and in accordance with, the applicable rules and regulations under the Act and (B) is not also then reportable on a Schedule l3D under the Act (or any comparable or successor report); or</w:t>
      </w:r>
    </w:p>
    <w:p>
      <w:pPr>
        <w:spacing w:after="0" w:line="154" w:lineRule="exact"/>
        <w:rPr>
          <w:sz w:val="20"/>
          <w:szCs w:val="20"/>
          <w:color w:val="auto"/>
        </w:rPr>
      </w:pPr>
    </w:p>
    <w:p>
      <w:pPr>
        <w:jc w:val="both"/>
        <w:ind w:left="2600" w:right="20" w:firstLine="666"/>
        <w:spacing w:after="0" w:line="244" w:lineRule="auto"/>
        <w:rPr>
          <w:sz w:val="20"/>
          <w:szCs w:val="20"/>
          <w:color w:val="auto"/>
        </w:rPr>
      </w:pPr>
      <w:r>
        <w:rPr>
          <w:rFonts w:ascii="Arial" w:cs="Arial" w:eastAsia="Arial" w:hAnsi="Arial"/>
          <w:sz w:val="19"/>
          <w:szCs w:val="19"/>
          <w:color w:val="auto"/>
        </w:rPr>
        <w:t>(3) are beneficially owned, directly or indirectly, by any other Person with which such Person or any of such Person’s Affiliates or Associates has any agreement, arrangement or understanding for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97" w:name="page98"/>
    <w:bookmarkEnd w:id="97"/>
    <w:p>
      <w:pPr>
        <w:ind w:left="2600"/>
        <w:spacing w:after="0" w:line="255" w:lineRule="auto"/>
        <w:rPr>
          <w:sz w:val="20"/>
          <w:szCs w:val="20"/>
          <w:color w:val="auto"/>
        </w:rPr>
      </w:pPr>
      <w:r>
        <w:rPr>
          <w:rFonts w:ascii="Arial" w:cs="Arial" w:eastAsia="Arial" w:hAnsi="Arial"/>
          <w:sz w:val="19"/>
          <w:szCs w:val="19"/>
          <w:color w:val="auto"/>
        </w:rPr>
        <w:t xml:space="preserve">purpose of acquiring, holding, voting (except pursuant to a revocable proxy as described in </w:t>
      </w:r>
      <w:r>
        <w:rPr>
          <w:rFonts w:ascii="Arial" w:cs="Arial" w:eastAsia="Arial" w:hAnsi="Arial"/>
          <w:sz w:val="19"/>
          <w:szCs w:val="19"/>
          <w:u w:val="single" w:color="auto"/>
          <w:color w:val="auto"/>
        </w:rPr>
        <w:t>clause (2)</w:t>
      </w:r>
      <w:r>
        <w:rPr>
          <w:rFonts w:ascii="Arial" w:cs="Arial" w:eastAsia="Arial" w:hAnsi="Arial"/>
          <w:sz w:val="19"/>
          <w:szCs w:val="19"/>
          <w:color w:val="auto"/>
        </w:rPr>
        <w:t xml:space="preserve"> above) or disposing of any voting securities of the Company.</w:t>
      </w:r>
    </w:p>
    <w:p>
      <w:pPr>
        <w:spacing w:after="0" w:line="142" w:lineRule="exact"/>
        <w:rPr>
          <w:sz w:val="20"/>
          <w:szCs w:val="20"/>
          <w:color w:val="auto"/>
        </w:rPr>
      </w:pPr>
    </w:p>
    <w:p>
      <w:pPr>
        <w:jc w:val="both"/>
        <w:ind w:left="860" w:firstLine="799"/>
        <w:spacing w:after="0" w:line="266" w:lineRule="auto"/>
        <w:tabs>
          <w:tab w:leader="none" w:pos="2412" w:val="left"/>
        </w:tabs>
        <w:numPr>
          <w:ilvl w:val="1"/>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 Payment</w:t>
      </w:r>
      <w:r>
        <w:rPr>
          <w:rFonts w:ascii="Arial" w:cs="Arial" w:eastAsia="Arial" w:hAnsi="Arial"/>
          <w:sz w:val="17"/>
          <w:szCs w:val="17"/>
          <w:color w:val="auto"/>
        </w:rPr>
        <w:t>” shall mean product of (i) Executive’s Base Salary at the time of such Change of Control plus the average of the annual bonuses earned by Executive with respect to each of the three completed fiscal years of Company preceding the year in which the Change of Control occurs (or such lesser number of fiscal years for which Executive was employed by Company as its Chief Executive Officer, with any partial year bonus being annualized with respect to such fiscal year), multiplied by</w:t>
      </w:r>
    </w:p>
    <w:p>
      <w:pPr>
        <w:spacing w:after="0" w:line="2" w:lineRule="exact"/>
        <w:rPr>
          <w:rFonts w:ascii="Arial" w:cs="Arial" w:eastAsia="Arial" w:hAnsi="Arial"/>
          <w:sz w:val="17"/>
          <w:szCs w:val="17"/>
          <w:color w:val="auto"/>
        </w:rPr>
      </w:pPr>
    </w:p>
    <w:p>
      <w:pPr>
        <w:ind w:left="1140" w:hanging="280"/>
        <w:spacing w:after="0"/>
        <w:tabs>
          <w:tab w:leader="none" w:pos="11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three.</w:t>
      </w:r>
    </w:p>
    <w:p>
      <w:pPr>
        <w:spacing w:after="0" w:line="159" w:lineRule="exact"/>
        <w:rPr>
          <w:rFonts w:ascii="Arial" w:cs="Arial" w:eastAsia="Arial" w:hAnsi="Arial"/>
          <w:sz w:val="19"/>
          <w:szCs w:val="19"/>
          <w:color w:val="auto"/>
        </w:rPr>
      </w:pPr>
    </w:p>
    <w:p>
      <w:pPr>
        <w:ind w:left="2440" w:hanging="781"/>
        <w:spacing w:after="0"/>
        <w:tabs>
          <w:tab w:leader="none" w:pos="2440" w:val="left"/>
        </w:tabs>
        <w:numPr>
          <w:ilvl w:val="1"/>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COBRA</w:t>
      </w:r>
      <w:r>
        <w:rPr>
          <w:rFonts w:ascii="Arial" w:cs="Arial" w:eastAsia="Arial" w:hAnsi="Arial"/>
          <w:sz w:val="19"/>
          <w:szCs w:val="19"/>
          <w:color w:val="auto"/>
        </w:rPr>
        <w:t>” shall mean the provisions of Code Section 4980B.</w:t>
      </w:r>
    </w:p>
    <w:p>
      <w:pPr>
        <w:spacing w:after="0" w:line="181" w:lineRule="exact"/>
        <w:rPr>
          <w:rFonts w:ascii="Arial" w:cs="Arial" w:eastAsia="Arial" w:hAnsi="Arial"/>
          <w:sz w:val="19"/>
          <w:szCs w:val="19"/>
          <w:color w:val="auto"/>
        </w:rPr>
      </w:pPr>
    </w:p>
    <w:p>
      <w:pPr>
        <w:jc w:val="both"/>
        <w:ind w:left="860" w:right="20" w:firstLine="799"/>
        <w:spacing w:after="0" w:line="247" w:lineRule="auto"/>
        <w:tabs>
          <w:tab w:leader="none" w:pos="2443" w:val="left"/>
        </w:tabs>
        <w:numPr>
          <w:ilvl w:val="1"/>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shall mean the Internal Revenue Code of 1986, as amended, as interpreted by rules and regulations issued pursuant thereto, all as amended and in effect from time to time. Any reference to a specific provision of the Code shall be deemed to include reference to any successor provision thereto.</w:t>
      </w:r>
    </w:p>
    <w:p>
      <w:pPr>
        <w:spacing w:after="0" w:line="149" w:lineRule="exact"/>
        <w:rPr>
          <w:rFonts w:ascii="Arial" w:cs="Arial" w:eastAsia="Arial" w:hAnsi="Arial"/>
          <w:sz w:val="19"/>
          <w:szCs w:val="19"/>
          <w:color w:val="auto"/>
        </w:rPr>
      </w:pPr>
    </w:p>
    <w:p>
      <w:pPr>
        <w:ind w:left="860" w:firstLine="799"/>
        <w:spacing w:after="0" w:line="262" w:lineRule="auto"/>
        <w:tabs>
          <w:tab w:leader="none" w:pos="2402" w:val="left"/>
        </w:tabs>
        <w:numPr>
          <w:ilvl w:val="1"/>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Competitive Business Activity</w:t>
      </w:r>
      <w:r>
        <w:rPr>
          <w:rFonts w:ascii="Arial" w:cs="Arial" w:eastAsia="Arial" w:hAnsi="Arial"/>
          <w:sz w:val="19"/>
          <w:szCs w:val="19"/>
          <w:color w:val="auto"/>
        </w:rPr>
        <w:t>” shall mean the design and manufacture of lighting, solar and/or energy efficient systems and controls for industrial, commercial and agricultural facilities.</w:t>
      </w:r>
    </w:p>
    <w:p>
      <w:pPr>
        <w:spacing w:after="0" w:line="134" w:lineRule="exact"/>
        <w:rPr>
          <w:rFonts w:ascii="Arial" w:cs="Arial" w:eastAsia="Arial" w:hAnsi="Arial"/>
          <w:sz w:val="19"/>
          <w:szCs w:val="19"/>
          <w:color w:val="auto"/>
        </w:rPr>
      </w:pPr>
    </w:p>
    <w:p>
      <w:pPr>
        <w:jc w:val="both"/>
        <w:ind w:left="860" w:firstLine="799"/>
        <w:spacing w:after="0" w:line="267" w:lineRule="auto"/>
        <w:tabs>
          <w:tab w:leader="none" w:pos="2402"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shall mean, subject to applicable law, a total and permanent disability consisting of a mental or physical disability which precludes the disabled Executive from performing the material and substantial duties of his employment. Payment of benefits for total disability under a disability insurance policy shall be conclusive as to the existence of total disability, although such payments are not required in order to establish total disability for purposes of this Agreement. The Executive has a “total and permanent disability” if he is precluded by mental or physical disability for 180 days during any twelve (12- month period. For purposes of this Agreement, an Executive shall be deemed totally and permanently disabled at the end of such 180th day. In case of a disagreement as to whether an Executive is totally and permanently disabled and, at the request of any party, the matter shall be submitted to arbitration as provided for herein, and judgment upon the award may be entered in any court having jurisdiction thereof. Any costs of such proceedings (including the reasonable legal fees of the prevailing party) shall be borne by the non-prevailing party to such arbitration.</w:t>
      </w:r>
    </w:p>
    <w:p>
      <w:pPr>
        <w:spacing w:after="0" w:line="137" w:lineRule="exact"/>
        <w:rPr>
          <w:rFonts w:ascii="Arial" w:cs="Arial" w:eastAsia="Arial" w:hAnsi="Arial"/>
          <w:sz w:val="17"/>
          <w:szCs w:val="17"/>
          <w:color w:val="auto"/>
        </w:rPr>
      </w:pPr>
    </w:p>
    <w:p>
      <w:pPr>
        <w:jc w:val="both"/>
        <w:ind w:left="860" w:right="20" w:firstLine="799"/>
        <w:spacing w:after="0" w:line="251" w:lineRule="auto"/>
        <w:tabs>
          <w:tab w:leader="none" w:pos="2443"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Release</w:t>
      </w:r>
      <w:r>
        <w:rPr>
          <w:rFonts w:ascii="Arial" w:cs="Arial" w:eastAsia="Arial" w:hAnsi="Arial"/>
          <w:sz w:val="18"/>
          <w:szCs w:val="18"/>
          <w:color w:val="auto"/>
        </w:rPr>
        <w:t>” shall mean a release of all claims that Executive, and anyone who may succeed to any claims of Executive, has or may have against Orion, its board of directors, any of its subsidiaries or affiliates, or any of their employees, directors, officers, employees, agents, plan sponsors, administrators, successors (including the Successor), fiduciaries, or attorneys, including but not limited to claims arising out of Executive’s employment with, and termination of employment from, the Company, but excluding claims for (i) Severance Payments, Change of Control Payments, Accrued Benefits and benefits due pursuant to this Agreement and (ii) any salary, bonus, equity, accrued vacation, expense reimbursement and other ordinary payments or benefits earned or otherwise due with respect to the period prior to the date of any Separation from Service. The General Release shall be in a form that is reasonably acceptable to the Company or the Board.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98" w:name="page99"/>
    <w:bookmarkEnd w:id="98"/>
    <w:p>
      <w:pPr>
        <w:jc w:val="both"/>
        <w:ind w:left="860" w:firstLine="799"/>
        <w:spacing w:after="0" w:line="260" w:lineRule="auto"/>
        <w:tabs>
          <w:tab w:leader="none" w:pos="240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shall mean the occurrence of any of the following without the consent of Executive: (i) a material diminution in the Executive’s Base Salary; (ii) a material diminution in the Executive’s authority, duties or responsibilities; (iii) a material change in the geographic location at which the Executive must perform services; or (iv) a material breach by Orion of any provisions of this Agreement or any equity award agreement with the Company to which the Executive is a party.</w:t>
      </w:r>
    </w:p>
    <w:p>
      <w:pPr>
        <w:spacing w:after="0" w:line="138" w:lineRule="exact"/>
        <w:rPr>
          <w:rFonts w:ascii="Arial" w:cs="Arial" w:eastAsia="Arial" w:hAnsi="Arial"/>
          <w:sz w:val="18"/>
          <w:szCs w:val="18"/>
          <w:color w:val="auto"/>
        </w:rPr>
      </w:pPr>
    </w:p>
    <w:p>
      <w:pPr>
        <w:jc w:val="both"/>
        <w:ind w:left="860" w:firstLine="799"/>
        <w:spacing w:after="0"/>
        <w:tabs>
          <w:tab w:leader="none" w:pos="2496" w:val="left"/>
        </w:tabs>
        <w:numPr>
          <w:ilvl w:val="0"/>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Separation from Service</w:t>
      </w:r>
      <w:r>
        <w:rPr>
          <w:rFonts w:ascii="Arial" w:cs="Arial" w:eastAsia="Arial" w:hAnsi="Arial"/>
          <w:sz w:val="19"/>
          <w:szCs w:val="19"/>
          <w:color w:val="auto"/>
        </w:rPr>
        <w:t>” or “</w:t>
      </w:r>
      <w:r>
        <w:rPr>
          <w:rFonts w:ascii="Arial" w:cs="Arial" w:eastAsia="Arial" w:hAnsi="Arial"/>
          <w:sz w:val="19"/>
          <w:szCs w:val="19"/>
          <w:b w:val="1"/>
          <w:bCs w:val="1"/>
          <w:color w:val="auto"/>
        </w:rPr>
        <w:t>Separated From Service</w:t>
      </w:r>
      <w:r>
        <w:rPr>
          <w:rFonts w:ascii="Arial" w:cs="Arial" w:eastAsia="Arial" w:hAnsi="Arial"/>
          <w:sz w:val="19"/>
          <w:szCs w:val="19"/>
          <w:color w:val="auto"/>
        </w:rPr>
        <w:t xml:space="preserve">” shall mean Executive’s termination of employment from Orion and each entity that is required to be included in Orion’s controlled group of corporations within the meaning of Code Section 414(b), or that is under common control with Orion within the meaning of Code Section 414(c);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phrase “at least 50 percent” shall be used in place of the phrase “ at least 80 percent” each place it appears therein or in the regulations thereunder (collectively, “409A affiliates”). Notwithstanding the foregoing:</w:t>
      </w:r>
    </w:p>
    <w:p>
      <w:pPr>
        <w:spacing w:after="0" w:line="160" w:lineRule="exact"/>
        <w:rPr>
          <w:rFonts w:ascii="Arial" w:cs="Arial" w:eastAsia="Arial" w:hAnsi="Arial"/>
          <w:sz w:val="19"/>
          <w:szCs w:val="19"/>
          <w:color w:val="auto"/>
        </w:rPr>
      </w:pPr>
    </w:p>
    <w:p>
      <w:pPr>
        <w:jc w:val="both"/>
        <w:ind w:left="1720" w:firstLine="738"/>
        <w:spacing w:after="0" w:line="287" w:lineRule="auto"/>
        <w:tabs>
          <w:tab w:leader="none" w:pos="3195" w:val="left"/>
        </w:tabs>
        <w:numPr>
          <w:ilvl w:val="1"/>
          <w:numId w:val="40"/>
        </w:numPr>
        <w:rPr>
          <w:rFonts w:ascii="Arial" w:cs="Arial" w:eastAsia="Arial" w:hAnsi="Arial"/>
          <w:sz w:val="17"/>
          <w:szCs w:val="17"/>
          <w:color w:val="auto"/>
        </w:rPr>
      </w:pPr>
      <w:r>
        <w:rPr>
          <w:rFonts w:ascii="Arial" w:cs="Arial" w:eastAsia="Arial" w:hAnsi="Arial"/>
          <w:sz w:val="17"/>
          <w:szCs w:val="17"/>
          <w:color w:val="auto"/>
        </w:rPr>
        <w:t>If Executive takes a leave of absence for purposes of military leave, sick leave or other bona fide leave of absence, Executive will not be deemed to have incurred a Separation from Service for the first six (6) months of the leave of absence, or if longer, for so long as Executive’s right to reemployment is provided either by statute or by contract.</w:t>
      </w:r>
    </w:p>
    <w:p>
      <w:pPr>
        <w:spacing w:after="0" w:line="122" w:lineRule="exact"/>
        <w:rPr>
          <w:rFonts w:ascii="Arial" w:cs="Arial" w:eastAsia="Arial" w:hAnsi="Arial"/>
          <w:sz w:val="17"/>
          <w:szCs w:val="17"/>
          <w:color w:val="auto"/>
        </w:rPr>
      </w:pPr>
    </w:p>
    <w:p>
      <w:pPr>
        <w:jc w:val="both"/>
        <w:ind w:left="1720" w:firstLine="738"/>
        <w:spacing w:after="0" w:line="287" w:lineRule="auto"/>
        <w:tabs>
          <w:tab w:leader="none" w:pos="3247" w:val="left"/>
        </w:tabs>
        <w:numPr>
          <w:ilvl w:val="1"/>
          <w:numId w:val="40"/>
        </w:numPr>
        <w:rPr>
          <w:rFonts w:ascii="Arial" w:cs="Arial" w:eastAsia="Arial" w:hAnsi="Arial"/>
          <w:sz w:val="17"/>
          <w:szCs w:val="17"/>
          <w:color w:val="auto"/>
        </w:rPr>
      </w:pPr>
      <w:r>
        <w:rPr>
          <w:rFonts w:ascii="Arial" w:cs="Arial" w:eastAsia="Arial" w:hAnsi="Arial"/>
          <w:sz w:val="17"/>
          <w:szCs w:val="17"/>
          <w:color w:val="auto"/>
        </w:rPr>
        <w:t>Subject to paragraph (i), Executive shall incur a Separation from Service when the level of bona fide services provided by Executive to Orion and its 409A affiliates permanently decreases to a level of twenty percent (20%) or less of the level of services rendered by Executive, on average, during the immediately preceding 12 months of employment.</w:t>
      </w:r>
    </w:p>
    <w:p>
      <w:pPr>
        <w:spacing w:after="0" w:line="122" w:lineRule="exact"/>
        <w:rPr>
          <w:rFonts w:ascii="Arial" w:cs="Arial" w:eastAsia="Arial" w:hAnsi="Arial"/>
          <w:sz w:val="17"/>
          <w:szCs w:val="17"/>
          <w:color w:val="auto"/>
        </w:rPr>
      </w:pPr>
    </w:p>
    <w:p>
      <w:pPr>
        <w:jc w:val="both"/>
        <w:ind w:left="1720" w:firstLine="738"/>
        <w:spacing w:after="0" w:line="258" w:lineRule="auto"/>
        <w:tabs>
          <w:tab w:leader="none" w:pos="3299"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following Executive’s termination of employment, Executive continues to provide services to the Company or a 409A Affiliate in a capacity other than as an employee, Executive will not be deemed to have Separated from Service as long as Executive is providing bona fide services at a rate that is greater than twenty percent (20%) of the level of services rendered by Executive, on average, during the immediately preceding 12 months of service.</w:t>
      </w:r>
    </w:p>
    <w:p>
      <w:pPr>
        <w:spacing w:after="0" w:line="139" w:lineRule="exact"/>
        <w:rPr>
          <w:rFonts w:ascii="Arial" w:cs="Arial" w:eastAsia="Arial" w:hAnsi="Arial"/>
          <w:sz w:val="18"/>
          <w:szCs w:val="18"/>
          <w:color w:val="auto"/>
        </w:rPr>
      </w:pPr>
    </w:p>
    <w:p>
      <w:pPr>
        <w:jc w:val="both"/>
        <w:ind w:left="860" w:firstLine="799"/>
        <w:spacing w:after="0"/>
        <w:tabs>
          <w:tab w:leader="none" w:pos="2443" w:val="left"/>
        </w:tabs>
        <w:numPr>
          <w:ilvl w:val="0"/>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Severance Payment</w:t>
      </w:r>
      <w:r>
        <w:rPr>
          <w:rFonts w:ascii="Arial" w:cs="Arial" w:eastAsia="Arial" w:hAnsi="Arial"/>
          <w:sz w:val="19"/>
          <w:szCs w:val="19"/>
          <w:color w:val="auto"/>
        </w:rPr>
        <w:t>” shall mean the Executive’s Base Salary at the time of the Termination Date plus the average of the annual bonuses earned by the Executive with respect to each of the three completed fiscal years of the Company preceding the year in which the Termination Date occurs (or such lesser number of fiscal years for which the Executive was employed by the Company as its Chief Executive Officer, with any partial year’s bonus being annualized with respect to such fiscal year) multiplied by the severance multiplier set forth above.</w:t>
      </w:r>
    </w:p>
    <w:p>
      <w:pPr>
        <w:spacing w:after="0" w:line="154" w:lineRule="exact"/>
        <w:rPr>
          <w:rFonts w:ascii="Arial" w:cs="Arial" w:eastAsia="Arial" w:hAnsi="Arial"/>
          <w:sz w:val="19"/>
          <w:szCs w:val="19"/>
          <w:color w:val="auto"/>
        </w:rPr>
      </w:pPr>
    </w:p>
    <w:p>
      <w:pPr>
        <w:ind w:left="2440" w:hanging="781"/>
        <w:spacing w:after="0"/>
        <w:tabs>
          <w:tab w:leader="none" w:pos="2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w:t>
      </w:r>
      <w:r>
        <w:rPr>
          <w:rFonts w:ascii="Arial" w:cs="Arial" w:eastAsia="Arial" w:hAnsi="Arial"/>
          <w:sz w:val="17"/>
          <w:szCs w:val="17"/>
          <w:color w:val="auto"/>
        </w:rPr>
        <w:t>” shall mean the person to which this Agreement is assigned upon a Sale of Business within the meaning</w:t>
      </w:r>
    </w:p>
    <w:p>
      <w:pPr>
        <w:spacing w:after="0" w:line="38"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9"/>
          <w:szCs w:val="19"/>
          <w:color w:val="auto"/>
        </w:rPr>
        <w:t>of Section 11.</w:t>
      </w:r>
    </w:p>
    <w:p>
      <w:pPr>
        <w:spacing w:after="0" w:line="159" w:lineRule="exact"/>
        <w:rPr>
          <w:rFonts w:ascii="Arial" w:cs="Arial" w:eastAsia="Arial" w:hAnsi="Arial"/>
          <w:sz w:val="17"/>
          <w:szCs w:val="17"/>
          <w:color w:val="auto"/>
        </w:rPr>
      </w:pPr>
    </w:p>
    <w:p>
      <w:pPr>
        <w:ind w:left="860" w:firstLine="799"/>
        <w:spacing w:after="0" w:line="262" w:lineRule="auto"/>
        <w:tabs>
          <w:tab w:leader="none" w:pos="2443" w:val="left"/>
        </w:tabs>
        <w:numPr>
          <w:ilvl w:val="0"/>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Date</w:t>
      </w:r>
      <w:r>
        <w:rPr>
          <w:rFonts w:ascii="Arial" w:cs="Arial" w:eastAsia="Arial" w:hAnsi="Arial"/>
          <w:sz w:val="19"/>
          <w:szCs w:val="19"/>
          <w:color w:val="auto"/>
        </w:rPr>
        <w:t>” shall mean the date of the Executive’s termination of employment from the Company, as further described in Section 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99" w:name="page100"/>
    <w:bookmarkEnd w:id="99"/>
    <w:p>
      <w:pPr>
        <w:ind w:left="2440" w:hanging="714"/>
        <w:spacing w:after="0"/>
        <w:tabs>
          <w:tab w:leader="none" w:pos="2440"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of Executive</w:t>
      </w:r>
      <w:r>
        <w:rPr>
          <w:rFonts w:ascii="Arial" w:cs="Arial" w:eastAsia="Arial" w:hAnsi="Arial"/>
          <w:sz w:val="19"/>
          <w:szCs w:val="19"/>
          <w:color w:val="auto"/>
        </w:rPr>
        <w:t>.</w:t>
      </w:r>
    </w:p>
    <w:p>
      <w:pPr>
        <w:spacing w:after="0" w:line="182" w:lineRule="exact"/>
        <w:rPr>
          <w:sz w:val="20"/>
          <w:szCs w:val="20"/>
          <w:color w:val="auto"/>
        </w:rPr>
      </w:pPr>
    </w:p>
    <w:p>
      <w:pPr>
        <w:ind w:left="2440" w:hanging="781"/>
        <w:spacing w:after="0"/>
        <w:tabs>
          <w:tab w:leader="none" w:pos="2440"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Position</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jc w:val="both"/>
        <w:ind w:left="1720" w:firstLine="738"/>
        <w:spacing w:after="0" w:line="264" w:lineRule="auto"/>
        <w:tabs>
          <w:tab w:leader="none" w:pos="3195"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Executive shall serve in the position set forth above in a full-time capacity. In such position, Executive shall have such duties and authority as is customarily associated with such position and shall have such other titles and duties, consistent with Executive’s position, as may be assigned from time to time by the Board.</w:t>
      </w:r>
    </w:p>
    <w:p>
      <w:pPr>
        <w:spacing w:after="0" w:line="140" w:lineRule="exact"/>
        <w:rPr>
          <w:rFonts w:ascii="Arial" w:cs="Arial" w:eastAsia="Arial" w:hAnsi="Arial"/>
          <w:sz w:val="18"/>
          <w:szCs w:val="18"/>
          <w:color w:val="auto"/>
        </w:rPr>
      </w:pPr>
    </w:p>
    <w:p>
      <w:pPr>
        <w:jc w:val="both"/>
        <w:ind w:left="1720" w:right="20" w:firstLine="738"/>
        <w:spacing w:after="0" w:line="250" w:lineRule="auto"/>
        <w:tabs>
          <w:tab w:leader="none" w:pos="3247"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Executive will devote Executive’s full business time and best efforts to the performance of Executive’s duties hereunder and will not engage in any other business, profession or occupation for compensation or otherwise which would conflict or interfere with the rendition of such services either directly or indirectly, without the prior written consent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preclude Executive, subject to the prior approval of the Board, from accepting appointment to or continuing to serve on any board of directors or trustees of any business organization or any charitable organization or from continuing to serve in his current capacities at his current companies and organizations; </w:t>
      </w:r>
      <w:r>
        <w:rPr>
          <w:rFonts w:ascii="Arial" w:cs="Arial" w:eastAsia="Arial" w:hAnsi="Arial"/>
          <w:sz w:val="18"/>
          <w:szCs w:val="18"/>
          <w:i w:val="1"/>
          <w:iCs w:val="1"/>
          <w:color w:val="auto"/>
        </w:rPr>
        <w:t>further provided</w:t>
      </w:r>
      <w:r>
        <w:rPr>
          <w:rFonts w:ascii="Arial" w:cs="Arial" w:eastAsia="Arial" w:hAnsi="Arial"/>
          <w:sz w:val="18"/>
          <w:szCs w:val="18"/>
          <w:color w:val="auto"/>
        </w:rPr>
        <w:t xml:space="preserve"> in each case, and in the aggregate, that such activities do not materially conflict or interfere with the performance of Executive’s duties hereunder or conflict with Section 8.</w:t>
      </w:r>
    </w:p>
    <w:p>
      <w:pPr>
        <w:spacing w:after="0" w:line="151" w:lineRule="exact"/>
        <w:rPr>
          <w:rFonts w:ascii="Arial" w:cs="Arial" w:eastAsia="Arial" w:hAnsi="Arial"/>
          <w:sz w:val="18"/>
          <w:szCs w:val="18"/>
          <w:color w:val="auto"/>
        </w:rPr>
      </w:pPr>
    </w:p>
    <w:p>
      <w:pPr>
        <w:jc w:val="both"/>
        <w:ind w:left="860" w:firstLine="799"/>
        <w:spacing w:after="0" w:line="247" w:lineRule="auto"/>
        <w:tabs>
          <w:tab w:leader="none" w:pos="2443"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Base Salary</w:t>
      </w:r>
      <w:r>
        <w:rPr>
          <w:rFonts w:ascii="Arial" w:cs="Arial" w:eastAsia="Arial" w:hAnsi="Arial"/>
          <w:sz w:val="19"/>
          <w:szCs w:val="19"/>
          <w:color w:val="auto"/>
        </w:rPr>
        <w:t>. Orion shall pay Executive a Base Salary at the annual rate set forth above, payable in regular</w:t>
      </w:r>
      <w:r>
        <w:rPr>
          <w:rFonts w:ascii="Arial" w:cs="Arial" w:eastAsia="Arial" w:hAnsi="Arial"/>
          <w:sz w:val="19"/>
          <w:szCs w:val="19"/>
          <w:b w:val="1"/>
          <w:bCs w:val="1"/>
          <w:color w:val="auto"/>
        </w:rPr>
        <w:t xml:space="preserve"> </w:t>
      </w:r>
      <w:r>
        <w:rPr>
          <w:rFonts w:ascii="Arial" w:cs="Arial" w:eastAsia="Arial" w:hAnsi="Arial"/>
          <w:sz w:val="19"/>
          <w:szCs w:val="19"/>
          <w:color w:val="auto"/>
        </w:rPr>
        <w:t>installments in accordance with the Company’s usual payroll practices. Executive shall be entitled to such increases in Executive’s Base Salary, if any, as may be determined from time to time by the Board.</w:t>
      </w:r>
    </w:p>
    <w:p>
      <w:pPr>
        <w:spacing w:after="0" w:line="149" w:lineRule="exact"/>
        <w:rPr>
          <w:rFonts w:ascii="Arial" w:cs="Arial" w:eastAsia="Arial" w:hAnsi="Arial"/>
          <w:sz w:val="19"/>
          <w:szCs w:val="19"/>
          <w:color w:val="auto"/>
        </w:rPr>
      </w:pPr>
    </w:p>
    <w:p>
      <w:pPr>
        <w:jc w:val="both"/>
        <w:ind w:left="860" w:right="20" w:firstLine="799"/>
        <w:spacing w:after="0" w:line="247" w:lineRule="auto"/>
        <w:tabs>
          <w:tab w:leader="none" w:pos="2433"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Bonus Incentives</w:t>
      </w:r>
      <w:r>
        <w:rPr>
          <w:rFonts w:ascii="Arial" w:cs="Arial" w:eastAsia="Arial" w:hAnsi="Arial"/>
          <w:sz w:val="19"/>
          <w:szCs w:val="19"/>
          <w:color w:val="auto"/>
        </w:rPr>
        <w:t>. Executive shall be entitled to participate in such annual and/or long-term cash and equity</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 plans and programs of Orion as are generally provided to the senior executives of Orion or as otherwise provided by the Board or the Compensation Committee thereof.</w:t>
      </w:r>
    </w:p>
    <w:p>
      <w:pPr>
        <w:spacing w:after="0" w:line="149" w:lineRule="exact"/>
        <w:rPr>
          <w:rFonts w:ascii="Arial" w:cs="Arial" w:eastAsia="Arial" w:hAnsi="Arial"/>
          <w:sz w:val="19"/>
          <w:szCs w:val="19"/>
          <w:color w:val="auto"/>
        </w:rPr>
      </w:pPr>
    </w:p>
    <w:p>
      <w:pPr>
        <w:jc w:val="both"/>
        <w:ind w:left="860" w:firstLine="799"/>
        <w:spacing w:after="0" w:line="242" w:lineRule="auto"/>
        <w:tabs>
          <w:tab w:leader="none" w:pos="2443"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Equity Compensation</w:t>
      </w:r>
      <w:r>
        <w:rPr>
          <w:rFonts w:ascii="Arial" w:cs="Arial" w:eastAsia="Arial" w:hAnsi="Arial"/>
          <w:sz w:val="19"/>
          <w:szCs w:val="19"/>
          <w:color w:val="auto"/>
        </w:rPr>
        <w:t>. Executive shall be eligible to receive equity compensation awards (which may consist of</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or other types of equity awards), as determined by the Board in its discretion pursuant to Orion’s equity compensation plans and programs in effect from time to time. These awards shall be granted in the discretion of the Board, and shall include such terms and conditions, including performance objectives, as the Board deems appropriate.</w:t>
      </w:r>
    </w:p>
    <w:p>
      <w:pPr>
        <w:spacing w:after="0" w:line="154" w:lineRule="exact"/>
        <w:rPr>
          <w:rFonts w:ascii="Arial" w:cs="Arial" w:eastAsia="Arial" w:hAnsi="Arial"/>
          <w:sz w:val="19"/>
          <w:szCs w:val="19"/>
          <w:color w:val="auto"/>
        </w:rPr>
      </w:pPr>
    </w:p>
    <w:p>
      <w:pPr>
        <w:jc w:val="both"/>
        <w:ind w:left="860" w:right="20" w:firstLine="799"/>
        <w:spacing w:after="0" w:line="247" w:lineRule="auto"/>
        <w:tabs>
          <w:tab w:leader="none" w:pos="2433"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Employee Benefits</w:t>
      </w:r>
      <w:r>
        <w:rPr>
          <w:rFonts w:ascii="Arial" w:cs="Arial" w:eastAsia="Arial" w:hAnsi="Arial"/>
          <w:sz w:val="19"/>
          <w:szCs w:val="19"/>
          <w:color w:val="auto"/>
        </w:rPr>
        <w:t>. Executive shall be entitled to participate in the Company’s employee benefit plans (other than</w:t>
      </w:r>
      <w:r>
        <w:rPr>
          <w:rFonts w:ascii="Arial" w:cs="Arial" w:eastAsia="Arial" w:hAnsi="Arial"/>
          <w:sz w:val="19"/>
          <w:szCs w:val="19"/>
          <w:b w:val="1"/>
          <w:bCs w:val="1"/>
          <w:color w:val="auto"/>
        </w:rPr>
        <w:t xml:space="preserve"> </w:t>
      </w:r>
      <w:r>
        <w:rPr>
          <w:rFonts w:ascii="Arial" w:cs="Arial" w:eastAsia="Arial" w:hAnsi="Arial"/>
          <w:sz w:val="19"/>
          <w:szCs w:val="19"/>
          <w:color w:val="auto"/>
        </w:rPr>
        <w:t>annual and/or long-term incentive programs, which are addressed in subsection (c)) as in effect from time to time on the same basis as those benefits are generally made available to other senior executives of Orion.</w:t>
      </w:r>
    </w:p>
    <w:p>
      <w:pPr>
        <w:spacing w:after="0" w:line="149" w:lineRule="exact"/>
        <w:rPr>
          <w:rFonts w:ascii="Arial" w:cs="Arial" w:eastAsia="Arial" w:hAnsi="Arial"/>
          <w:sz w:val="19"/>
          <w:szCs w:val="19"/>
          <w:color w:val="auto"/>
        </w:rPr>
      </w:pPr>
    </w:p>
    <w:p>
      <w:pPr>
        <w:ind w:left="860" w:right="20" w:firstLine="799"/>
        <w:spacing w:after="0" w:line="262" w:lineRule="auto"/>
        <w:tabs>
          <w:tab w:leader="none" w:pos="2412"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Business Expenses</w:t>
      </w:r>
      <w:r>
        <w:rPr>
          <w:rFonts w:ascii="Arial" w:cs="Arial" w:eastAsia="Arial" w:hAnsi="Arial"/>
          <w:sz w:val="19"/>
          <w:szCs w:val="19"/>
          <w:color w:val="auto"/>
        </w:rPr>
        <w:t>. The reasonable business expenses incurred by Executive in the performance of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duties hereunder shall be reimbursed by the Company in accordance with Company policies.</w:t>
      </w:r>
    </w:p>
    <w:p>
      <w:pPr>
        <w:spacing w:after="0" w:line="134" w:lineRule="exact"/>
        <w:rPr>
          <w:rFonts w:ascii="Arial" w:cs="Arial" w:eastAsia="Arial" w:hAnsi="Arial"/>
          <w:sz w:val="19"/>
          <w:szCs w:val="19"/>
          <w:color w:val="auto"/>
        </w:rPr>
      </w:pPr>
    </w:p>
    <w:p>
      <w:pPr>
        <w:ind w:left="2440" w:hanging="781"/>
        <w:spacing w:after="0"/>
        <w:tabs>
          <w:tab w:leader="none" w:pos="2440"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Other Perquisites</w:t>
      </w:r>
      <w:r>
        <w:rPr>
          <w:rFonts w:ascii="Arial" w:cs="Arial" w:eastAsia="Arial" w:hAnsi="Arial"/>
          <w:sz w:val="17"/>
          <w:szCs w:val="17"/>
          <w:color w:val="auto"/>
        </w:rPr>
        <w:t>. Executive shall be entitled to receive the other benefits and perquisites set forth in Exhibit 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00" w:name="page101"/>
    <w:bookmarkEnd w:id="100"/>
    <w:p>
      <w:pPr>
        <w:jc w:val="both"/>
        <w:ind w:left="860" w:firstLine="799"/>
        <w:spacing w:after="0" w:line="260" w:lineRule="auto"/>
        <w:tabs>
          <w:tab w:leader="none" w:pos="2443"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No Compensation as Director</w:t>
      </w:r>
      <w:r>
        <w:rPr>
          <w:rFonts w:ascii="Arial" w:cs="Arial" w:eastAsia="Arial" w:hAnsi="Arial"/>
          <w:sz w:val="18"/>
          <w:szCs w:val="18"/>
          <w:color w:val="auto"/>
        </w:rPr>
        <w:t>. Executive shall not receive any compensation (whether cash or equity based) as</w:t>
      </w:r>
      <w:r>
        <w:rPr>
          <w:rFonts w:ascii="Arial" w:cs="Arial" w:eastAsia="Arial" w:hAnsi="Arial"/>
          <w:sz w:val="18"/>
          <w:szCs w:val="18"/>
          <w:b w:val="1"/>
          <w:bCs w:val="1"/>
          <w:color w:val="auto"/>
        </w:rPr>
        <w:t xml:space="preserve"> </w:t>
      </w:r>
      <w:r>
        <w:rPr>
          <w:rFonts w:ascii="Arial" w:cs="Arial" w:eastAsia="Arial" w:hAnsi="Arial"/>
          <w:sz w:val="18"/>
          <w:szCs w:val="18"/>
          <w:color w:val="auto"/>
        </w:rPr>
        <w:t>Board Chair or as a member of the Board while he serves as the Company’s Chief Executive Officer, provided that Executive shall be entitled to the continued vesting of all restricted stock awards (and related restricted cash) that were granted to Executive in his capacity as a director of the Company prior to Executive serving as the Company’s Chief Executive Officer.</w:t>
      </w:r>
    </w:p>
    <w:p>
      <w:pPr>
        <w:spacing w:after="0" w:line="144" w:lineRule="exact"/>
        <w:rPr>
          <w:sz w:val="20"/>
          <w:szCs w:val="20"/>
          <w:color w:val="auto"/>
        </w:rPr>
      </w:pPr>
    </w:p>
    <w:p>
      <w:pPr>
        <w:ind w:left="860" w:right="20"/>
        <w:spacing w:after="0" w:line="255" w:lineRule="auto"/>
        <w:rPr>
          <w:sz w:val="20"/>
          <w:szCs w:val="20"/>
          <w:color w:val="auto"/>
        </w:rPr>
      </w:pPr>
      <w:r>
        <w:rPr>
          <w:rFonts w:ascii="Arial" w:cs="Arial" w:eastAsia="Arial" w:hAnsi="Arial"/>
          <w:sz w:val="19"/>
          <w:szCs w:val="19"/>
          <w:color w:val="auto"/>
        </w:rPr>
        <w:t>All payments under this Section 3 shall be subject to payroll taxes and other withholdings in accordance with the Company’s (or the applicable employer of record) standard payroll practices and applicable law.</w:t>
      </w:r>
    </w:p>
    <w:p>
      <w:pPr>
        <w:spacing w:after="0" w:line="142" w:lineRule="exact"/>
        <w:rPr>
          <w:sz w:val="20"/>
          <w:szCs w:val="20"/>
          <w:color w:val="auto"/>
        </w:rPr>
      </w:pPr>
    </w:p>
    <w:p>
      <w:pPr>
        <w:ind w:firstLine="1726"/>
        <w:spacing w:after="0" w:line="262" w:lineRule="auto"/>
        <w:tabs>
          <w:tab w:leader="none" w:pos="2437" w:val="left"/>
        </w:tabs>
        <w:numPr>
          <w:ilvl w:val="0"/>
          <w:numId w:val="44"/>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Employment</w:t>
      </w:r>
      <w:r>
        <w:rPr>
          <w:rFonts w:ascii="Arial" w:cs="Arial" w:eastAsia="Arial" w:hAnsi="Arial"/>
          <w:sz w:val="19"/>
          <w:szCs w:val="19"/>
          <w:color w:val="auto"/>
        </w:rPr>
        <w:t>. Executive’s employment with the Company and this Agreement will terminate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such termination, as follows:</w:t>
      </w:r>
    </w:p>
    <w:p>
      <w:pPr>
        <w:spacing w:after="0" w:line="141" w:lineRule="exact"/>
        <w:rPr>
          <w:sz w:val="20"/>
          <w:szCs w:val="20"/>
          <w:color w:val="auto"/>
        </w:rPr>
      </w:pPr>
    </w:p>
    <w:p>
      <w:pPr>
        <w:ind w:left="2440" w:hanging="781"/>
        <w:spacing w:after="0"/>
        <w:tabs>
          <w:tab w:leader="none" w:pos="24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Executive’s employment will terminate upon Executive’s death.</w:t>
      </w:r>
    </w:p>
    <w:p>
      <w:pPr>
        <w:spacing w:after="0" w:line="181" w:lineRule="exact"/>
        <w:rPr>
          <w:rFonts w:ascii="Arial" w:cs="Arial" w:eastAsia="Arial" w:hAnsi="Arial"/>
          <w:sz w:val="19"/>
          <w:szCs w:val="19"/>
          <w:color w:val="auto"/>
        </w:rPr>
      </w:pPr>
    </w:p>
    <w:p>
      <w:pPr>
        <w:jc w:val="both"/>
        <w:ind w:left="860" w:firstLine="799"/>
        <w:spacing w:after="0" w:line="287" w:lineRule="auto"/>
        <w:tabs>
          <w:tab w:leader="none" w:pos="2443"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Executive is Disabled, and if within thirty (30) days after Orion notifies the Executive in writing that it intends to terminate the Executive’s employment, the Executive shall not have returned to the performance of the Executive’s duties hereunder on a full-time basis, Orion may terminate the Executive’s employment, effective immediately following the end of such thirty (30)-day period.</w:t>
      </w:r>
    </w:p>
    <w:p>
      <w:pPr>
        <w:spacing w:after="0" w:line="122" w:lineRule="exact"/>
        <w:rPr>
          <w:rFonts w:ascii="Arial" w:cs="Arial" w:eastAsia="Arial" w:hAnsi="Arial"/>
          <w:sz w:val="17"/>
          <w:szCs w:val="17"/>
          <w:color w:val="auto"/>
        </w:rPr>
      </w:pPr>
    </w:p>
    <w:p>
      <w:pPr>
        <w:jc w:val="both"/>
        <w:ind w:left="860" w:firstLine="799"/>
        <w:spacing w:after="0" w:line="263" w:lineRule="auto"/>
        <w:tabs>
          <w:tab w:leader="none" w:pos="2433" w:val="left"/>
        </w:tabs>
        <w:numPr>
          <w:ilvl w:val="0"/>
          <w:numId w:val="45"/>
        </w:numPr>
        <w:rPr>
          <w:rFonts w:ascii="Arial" w:cs="Arial" w:eastAsia="Arial" w:hAnsi="Arial"/>
          <w:sz w:val="17"/>
          <w:szCs w:val="17"/>
          <w:color w:val="auto"/>
        </w:rPr>
      </w:pPr>
      <w:r>
        <w:rPr>
          <w:rFonts w:ascii="Arial" w:cs="Arial" w:eastAsia="Arial" w:hAnsi="Arial"/>
          <w:sz w:val="17"/>
          <w:szCs w:val="17"/>
          <w:color w:val="auto"/>
        </w:rPr>
        <w:t>Orion may terminate Executive’s employment with or without Cause (other than as a result of Disability which is governed by subsection (b)) by providing written notice to Executive that indicates in reasonable detail the facts and circumstances alleged to provide a basis for such termination. If the termination is without Cause, Executive’s employment will terminate on the date specified in the written notice of termination. If the termination is for Cause, the Executive shall have thirty (30) days from the date the written notice is provided, or such longer period as Orion may determine to be appropriate, to cure any conduct or act, if curable, alleged to provide grounds for termination of Executive’s employment for Cause. If the alleged conduct or act constituting Cause is not curable, Executive’s employment will terminate on the date specified in the written notice of termination. If the alleged conduct or act constituting Cause is curable but Executive does not cure such conduct or act within the specified time period, Executive’s employment will terminate on the date immediately following the end of the cure period. Notwithstanding the foregoing, a determination of Cause shall only be made in good faith by the Board, which may terminate Executive for Cause only after providing Executive (i) written notice as set forth above, (ii) the opportunity to appear before the Board and provide rebuttal to such proposed termination, and (iii) written notice following such appearance confirming such termination and certifying that the decision to terminate Executive for Cause was approved in good faith by at least sixty-six percent (66%) of the members of the Board, excluding Executive. Unless otherwise directed by Orion, from and after the date of the written notice of proposed termination, Executive shall be relieved of his duties and responsibilities and shall be considered to be on a paid leave of absence pending any final action by the Board or the Board of Directors of the Successor confirming such proposed termination.</w:t>
      </w:r>
    </w:p>
    <w:p>
      <w:pPr>
        <w:spacing w:after="0" w:line="149" w:lineRule="exact"/>
        <w:rPr>
          <w:rFonts w:ascii="Arial" w:cs="Arial" w:eastAsia="Arial" w:hAnsi="Arial"/>
          <w:sz w:val="17"/>
          <w:szCs w:val="17"/>
          <w:color w:val="auto"/>
        </w:rPr>
      </w:pPr>
    </w:p>
    <w:p>
      <w:pPr>
        <w:jc w:val="both"/>
        <w:ind w:left="860" w:right="20" w:firstLine="799"/>
        <w:spacing w:after="0" w:line="244" w:lineRule="auto"/>
        <w:tabs>
          <w:tab w:leader="none" w:pos="2443" w:val="left"/>
        </w:tabs>
        <w:numPr>
          <w:ilvl w:val="0"/>
          <w:numId w:val="45"/>
        </w:numPr>
        <w:rPr>
          <w:rFonts w:ascii="Arial" w:cs="Arial" w:eastAsia="Arial" w:hAnsi="Arial"/>
          <w:sz w:val="19"/>
          <w:szCs w:val="19"/>
          <w:color w:val="auto"/>
        </w:rPr>
      </w:pPr>
      <w:r>
        <w:rPr>
          <w:rFonts w:ascii="Arial" w:cs="Arial" w:eastAsia="Arial" w:hAnsi="Arial"/>
          <w:sz w:val="19"/>
          <w:szCs w:val="19"/>
          <w:color w:val="auto"/>
        </w:rPr>
        <w:t>Executive may terminate his employment for or without Good Reason by providing written notice of termination to Orion that indicates in reasonable detail the facts and circumstances alleged to provide a basis for such termination. If Executive is alleging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01" w:name="page102"/>
    <w:bookmarkEnd w:id="101"/>
    <w:p>
      <w:pPr>
        <w:jc w:val="both"/>
        <w:ind w:left="860"/>
        <w:spacing w:after="0" w:line="238" w:lineRule="auto"/>
        <w:rPr>
          <w:sz w:val="20"/>
          <w:szCs w:val="20"/>
          <w:color w:val="auto"/>
        </w:rPr>
      </w:pPr>
      <w:r>
        <w:rPr>
          <w:rFonts w:ascii="Arial" w:cs="Arial" w:eastAsia="Arial" w:hAnsi="Arial"/>
          <w:sz w:val="19"/>
          <w:szCs w:val="19"/>
          <w:color w:val="auto"/>
        </w:rPr>
        <w:t>a termination for Good Reason, Executive must provide written notice to Orion of the existence of the condition constituting Good Reason within ninety (90) days of the initial existence of such condition, and Orion must have a period of at least thirty (30) days following receipt of such notice to cure such condition. If such condition is not cured by Orion within such thirty (30)-day period, Executive’s termination of employment from the Company shall be effective on the date immediately following the end of such cure period.</w:t>
      </w:r>
    </w:p>
    <w:p>
      <w:pPr>
        <w:spacing w:after="0" w:line="158" w:lineRule="exact"/>
        <w:rPr>
          <w:sz w:val="20"/>
          <w:szCs w:val="20"/>
          <w:color w:val="auto"/>
        </w:rPr>
      </w:pPr>
    </w:p>
    <w:p>
      <w:pPr>
        <w:ind w:left="2440" w:hanging="714"/>
        <w:spacing w:after="0"/>
        <w:tabs>
          <w:tab w:leader="none" w:pos="2440" w:val="left"/>
        </w:tabs>
        <w:numPr>
          <w:ilvl w:val="0"/>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Payments upon Termination</w:t>
      </w:r>
      <w:r>
        <w:rPr>
          <w:rFonts w:ascii="Arial" w:cs="Arial" w:eastAsia="Arial" w:hAnsi="Arial"/>
          <w:sz w:val="19"/>
          <w:szCs w:val="19"/>
          <w:color w:val="auto"/>
        </w:rPr>
        <w:t>.</w:t>
      </w:r>
    </w:p>
    <w:p>
      <w:pPr>
        <w:spacing w:after="0" w:line="182" w:lineRule="exact"/>
        <w:rPr>
          <w:sz w:val="20"/>
          <w:szCs w:val="20"/>
          <w:color w:val="auto"/>
        </w:rPr>
      </w:pPr>
    </w:p>
    <w:p>
      <w:pPr>
        <w:jc w:val="both"/>
        <w:ind w:left="860" w:firstLine="799"/>
        <w:spacing w:after="0" w:line="247" w:lineRule="auto"/>
        <w:tabs>
          <w:tab w:leader="none" w:pos="2433"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Entitlement to Severance. </w:t>
      </w:r>
      <w:r>
        <w:rPr>
          <w:rFonts w:ascii="Arial" w:cs="Arial" w:eastAsia="Arial" w:hAnsi="Arial"/>
          <w:sz w:val="19"/>
          <w:szCs w:val="19"/>
          <w:color w:val="auto"/>
        </w:rPr>
        <w:t>Subject to the other terms and conditions of this Agreement (including,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 Section 6 hereof), Executive shall be entitled to the Accrued Benefits, and to the severance benefits described in subsection (c), in either of the following circumstances while this Agreement is in effect:</w:t>
      </w:r>
    </w:p>
    <w:p>
      <w:pPr>
        <w:spacing w:after="0" w:line="155" w:lineRule="exact"/>
        <w:rPr>
          <w:rFonts w:ascii="Arial" w:cs="Arial" w:eastAsia="Arial" w:hAnsi="Arial"/>
          <w:sz w:val="19"/>
          <w:szCs w:val="19"/>
          <w:color w:val="auto"/>
        </w:rPr>
      </w:pPr>
    </w:p>
    <w:p>
      <w:pPr>
        <w:ind w:left="3200" w:hanging="742"/>
        <w:spacing w:after="0"/>
        <w:tabs>
          <w:tab w:leader="none" w:pos="32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Executive’s employment is terminated by Orion without Cause, except in the case of death or Disability;</w:t>
      </w:r>
    </w:p>
    <w:p>
      <w:pPr>
        <w:spacing w:after="0" w:line="32" w:lineRule="exact"/>
        <w:rPr>
          <w:rFonts w:ascii="Arial" w:cs="Arial" w:eastAsia="Arial" w:hAnsi="Arial"/>
          <w:sz w:val="17"/>
          <w:szCs w:val="17"/>
          <w:color w:val="auto"/>
        </w:rPr>
      </w:pPr>
    </w:p>
    <w:p>
      <w:pPr>
        <w:ind w:left="1720"/>
        <w:spacing w:after="0"/>
        <w:rPr>
          <w:rFonts w:ascii="Arial" w:cs="Arial" w:eastAsia="Arial" w:hAnsi="Arial"/>
          <w:sz w:val="17"/>
          <w:szCs w:val="17"/>
          <w:color w:val="auto"/>
        </w:rPr>
      </w:pPr>
      <w:r>
        <w:rPr>
          <w:rFonts w:ascii="Arial" w:cs="Arial" w:eastAsia="Arial" w:hAnsi="Arial"/>
          <w:sz w:val="19"/>
          <w:szCs w:val="19"/>
          <w:color w:val="auto"/>
        </w:rPr>
        <w:t>or</w:t>
      </w:r>
    </w:p>
    <w:p>
      <w:pPr>
        <w:spacing w:after="0" w:line="165" w:lineRule="exact"/>
        <w:rPr>
          <w:rFonts w:ascii="Arial" w:cs="Arial" w:eastAsia="Arial" w:hAnsi="Arial"/>
          <w:sz w:val="17"/>
          <w:szCs w:val="17"/>
          <w:color w:val="auto"/>
        </w:rPr>
      </w:pPr>
    </w:p>
    <w:p>
      <w:pPr>
        <w:ind w:left="3260" w:hanging="802"/>
        <w:spacing w:after="0"/>
        <w:tabs>
          <w:tab w:leader="none" w:pos="3260" w:val="left"/>
        </w:tabs>
        <w:numPr>
          <w:ilvl w:val="1"/>
          <w:numId w:val="47"/>
        </w:numPr>
        <w:rPr>
          <w:rFonts w:ascii="Arial" w:cs="Arial" w:eastAsia="Arial" w:hAnsi="Arial"/>
          <w:sz w:val="19"/>
          <w:szCs w:val="19"/>
          <w:color w:val="auto"/>
        </w:rPr>
      </w:pPr>
      <w:r>
        <w:rPr>
          <w:rFonts w:ascii="Arial" w:cs="Arial" w:eastAsia="Arial" w:hAnsi="Arial"/>
          <w:sz w:val="19"/>
          <w:szCs w:val="19"/>
          <w:color w:val="auto"/>
        </w:rPr>
        <w:t>Executive terminates his employment with the Company for Good Reason.</w:t>
      </w:r>
    </w:p>
    <w:p>
      <w:pPr>
        <w:spacing w:after="0" w:line="182" w:lineRule="exact"/>
        <w:rPr>
          <w:sz w:val="20"/>
          <w:szCs w:val="20"/>
          <w:color w:val="auto"/>
        </w:rPr>
      </w:pPr>
    </w:p>
    <w:p>
      <w:pPr>
        <w:jc w:val="both"/>
        <w:ind w:left="860"/>
        <w:spacing w:after="0" w:line="287" w:lineRule="auto"/>
        <w:rPr>
          <w:sz w:val="20"/>
          <w:szCs w:val="20"/>
          <w:color w:val="auto"/>
        </w:rPr>
      </w:pPr>
      <w:r>
        <w:rPr>
          <w:rFonts w:ascii="Arial" w:cs="Arial" w:eastAsia="Arial" w:hAnsi="Arial"/>
          <w:sz w:val="17"/>
          <w:szCs w:val="17"/>
          <w:color w:val="auto"/>
        </w:rPr>
        <w:t>If Executive dies after receiving a notice by Orion that Executive is being terminated without Cause, or after providing notice of termination for Good Reason, the Executive’s estate, heirs and beneficiaries shall be entitled to the Accrued Benefits and the severance benefits described in subsection (c) at the same time such amounts would have been paid or benefits provided to Executive had he lived.</w:t>
      </w:r>
    </w:p>
    <w:p>
      <w:pPr>
        <w:spacing w:after="0" w:line="116" w:lineRule="exact"/>
        <w:rPr>
          <w:sz w:val="20"/>
          <w:szCs w:val="20"/>
          <w:color w:val="auto"/>
        </w:rPr>
      </w:pPr>
    </w:p>
    <w:p>
      <w:pPr>
        <w:ind w:left="860" w:right="20" w:firstLine="799"/>
        <w:spacing w:after="0" w:line="321" w:lineRule="auto"/>
        <w:tabs>
          <w:tab w:leader="none" w:pos="2443"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General Release Requirement</w:t>
      </w:r>
      <w:r>
        <w:rPr>
          <w:rFonts w:ascii="Arial" w:cs="Arial" w:eastAsia="Arial" w:hAnsi="Arial"/>
          <w:sz w:val="17"/>
          <w:szCs w:val="17"/>
          <w:color w:val="auto"/>
        </w:rPr>
        <w:t>. As an additional prerequisite for receipt of the severance benefits described in</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 (c), Executive must execute, deliver to Orion, and not revoke (to the extent Executive is allowed to do so) a General Release.</w:t>
      </w:r>
    </w:p>
    <w:p>
      <w:pPr>
        <w:spacing w:after="0" w:line="88" w:lineRule="exact"/>
        <w:rPr>
          <w:rFonts w:ascii="Arial" w:cs="Arial" w:eastAsia="Arial" w:hAnsi="Arial"/>
          <w:sz w:val="17"/>
          <w:szCs w:val="17"/>
          <w:color w:val="auto"/>
        </w:rPr>
      </w:pPr>
    </w:p>
    <w:p>
      <w:pPr>
        <w:jc w:val="both"/>
        <w:ind w:left="860" w:firstLine="799"/>
        <w:spacing w:after="0" w:line="247" w:lineRule="auto"/>
        <w:tabs>
          <w:tab w:leader="none" w:pos="2433" w:val="left"/>
        </w:tabs>
        <w:numPr>
          <w:ilvl w:val="0"/>
          <w:numId w:val="48"/>
        </w:numPr>
        <w:rPr>
          <w:rFonts w:ascii="Arial" w:cs="Arial" w:eastAsia="Arial" w:hAnsi="Arial"/>
          <w:sz w:val="19"/>
          <w:szCs w:val="19"/>
          <w:color w:val="auto"/>
        </w:rPr>
      </w:pPr>
      <w:r>
        <w:rPr>
          <w:rFonts w:ascii="Arial" w:cs="Arial" w:eastAsia="Arial" w:hAnsi="Arial"/>
          <w:sz w:val="19"/>
          <w:szCs w:val="19"/>
          <w:b w:val="1"/>
          <w:bCs w:val="1"/>
          <w:color w:val="auto"/>
        </w:rPr>
        <w:t>Severance Payment; Timing and Form of Payment</w:t>
      </w:r>
      <w:r>
        <w:rPr>
          <w:rFonts w:ascii="Arial" w:cs="Arial" w:eastAsia="Arial" w:hAnsi="Arial"/>
          <w:sz w:val="19"/>
          <w:szCs w:val="19"/>
          <w:color w:val="auto"/>
        </w:rPr>
        <w:t>. Subject to Section 5(b) and the limitations imposed by</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6 and Section 7, in lieu of any severance pay under any severance pay plans, programs or policies, if Executive is entitled to severance benefits, then:</w:t>
      </w:r>
    </w:p>
    <w:p>
      <w:pPr>
        <w:spacing w:after="0" w:line="155" w:lineRule="exact"/>
        <w:rPr>
          <w:rFonts w:ascii="Arial" w:cs="Arial" w:eastAsia="Arial" w:hAnsi="Arial"/>
          <w:sz w:val="19"/>
          <w:szCs w:val="19"/>
          <w:color w:val="auto"/>
        </w:rPr>
      </w:pPr>
    </w:p>
    <w:p>
      <w:pPr>
        <w:jc w:val="both"/>
        <w:ind w:left="1720" w:firstLine="738"/>
        <w:spacing w:after="0"/>
        <w:tabs>
          <w:tab w:leader="none" w:pos="3195" w:val="left"/>
        </w:tabs>
        <w:numPr>
          <w:ilvl w:val="1"/>
          <w:numId w:val="48"/>
        </w:numPr>
        <w:rPr>
          <w:rFonts w:ascii="Arial" w:cs="Arial" w:eastAsia="Arial" w:hAnsi="Arial"/>
          <w:sz w:val="19"/>
          <w:szCs w:val="19"/>
          <w:color w:val="auto"/>
        </w:rPr>
      </w:pPr>
      <w:r>
        <w:rPr>
          <w:rFonts w:ascii="Arial" w:cs="Arial" w:eastAsia="Arial" w:hAnsi="Arial"/>
          <w:sz w:val="19"/>
          <w:szCs w:val="19"/>
          <w:color w:val="auto"/>
        </w:rPr>
        <w:t>Company shall pay Executive the Severance Payment in a lump sum within ten (10) days following the Executive’s Separation from Service, or if later, the date on which the General Release is no longer revocable, or if later, the date on which the amount payable under Section 7 is determined, but in no event may payment be made more than 2½ months after the year in which Executive’s Separation from Service occurs;</w:t>
      </w:r>
    </w:p>
    <w:p>
      <w:pPr>
        <w:spacing w:after="0" w:line="161" w:lineRule="exact"/>
        <w:rPr>
          <w:rFonts w:ascii="Arial" w:cs="Arial" w:eastAsia="Arial" w:hAnsi="Arial"/>
          <w:sz w:val="19"/>
          <w:szCs w:val="19"/>
          <w:color w:val="auto"/>
        </w:rPr>
      </w:pPr>
    </w:p>
    <w:p>
      <w:pPr>
        <w:jc w:val="both"/>
        <w:ind w:left="1720" w:right="20" w:firstLine="738"/>
        <w:spacing w:after="0" w:line="238" w:lineRule="auto"/>
        <w:tabs>
          <w:tab w:leader="none" w:pos="3247" w:val="left"/>
        </w:tabs>
        <w:numPr>
          <w:ilvl w:val="1"/>
          <w:numId w:val="48"/>
        </w:numPr>
        <w:rPr>
          <w:rFonts w:ascii="Arial" w:cs="Arial" w:eastAsia="Arial" w:hAnsi="Arial"/>
          <w:sz w:val="19"/>
          <w:szCs w:val="19"/>
          <w:color w:val="auto"/>
        </w:rPr>
      </w:pPr>
      <w:r>
        <w:rPr>
          <w:rFonts w:ascii="Arial" w:cs="Arial" w:eastAsia="Arial" w:hAnsi="Arial"/>
          <w:sz w:val="19"/>
          <w:szCs w:val="19"/>
          <w:color w:val="auto"/>
        </w:rPr>
        <w:t>At the same time that the Severance Payment is made, Company shall pay Executive a lump sum amount equal to the Executive’s annual target cash bonus opportunity (if any) as established by the Board or the Compensation Committee of the Board for the fiscal year in which the Separation from Service occurs, multiplied by a fraction, the numerator of which is the number of days that have elapsed during the annual performance period to the date of the Executive’s Separation from Service and the denominator of which is 365;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02" w:name="page103"/>
    <w:bookmarkEnd w:id="102"/>
    <w:p>
      <w:pPr>
        <w:ind w:left="1720" w:right="20" w:firstLine="738"/>
        <w:spacing w:after="0" w:line="255" w:lineRule="auto"/>
        <w:tabs>
          <w:tab w:leader="none" w:pos="3299" w:val="left"/>
        </w:tabs>
        <w:numPr>
          <w:ilvl w:val="0"/>
          <w:numId w:val="49"/>
        </w:numPr>
        <w:rPr>
          <w:rFonts w:ascii="Arial" w:cs="Arial" w:eastAsia="Arial" w:hAnsi="Arial"/>
          <w:sz w:val="19"/>
          <w:szCs w:val="19"/>
          <w:color w:val="auto"/>
        </w:rPr>
      </w:pPr>
      <w:r>
        <w:rPr>
          <w:rFonts w:ascii="Arial" w:cs="Arial" w:eastAsia="Arial" w:hAnsi="Arial"/>
          <w:sz w:val="19"/>
          <w:szCs w:val="19"/>
          <w:color w:val="auto"/>
        </w:rPr>
        <w:t>Executive shall be entitled to receive premiums from Orion for COBRA continuation coverage for the length of such coverage at the same rate as is being charged to active employees for similar coverage;</w:t>
      </w:r>
    </w:p>
    <w:p>
      <w:pPr>
        <w:spacing w:after="0" w:line="147" w:lineRule="exact"/>
        <w:rPr>
          <w:rFonts w:ascii="Arial" w:cs="Arial" w:eastAsia="Arial" w:hAnsi="Arial"/>
          <w:sz w:val="19"/>
          <w:szCs w:val="19"/>
          <w:color w:val="auto"/>
        </w:rPr>
      </w:pPr>
    </w:p>
    <w:p>
      <w:pPr>
        <w:ind w:left="1720" w:right="20" w:firstLine="738"/>
        <w:spacing w:after="0" w:line="255" w:lineRule="auto"/>
        <w:tabs>
          <w:tab w:leader="none" w:pos="3289" w:val="left"/>
        </w:tabs>
        <w:numPr>
          <w:ilvl w:val="0"/>
          <w:numId w:val="49"/>
        </w:numPr>
        <w:rPr>
          <w:rFonts w:ascii="Arial" w:cs="Arial" w:eastAsia="Arial" w:hAnsi="Arial"/>
          <w:sz w:val="19"/>
          <w:szCs w:val="19"/>
          <w:color w:val="auto"/>
        </w:rPr>
      </w:pPr>
      <w:r>
        <w:rPr>
          <w:rFonts w:ascii="Arial" w:cs="Arial" w:eastAsia="Arial" w:hAnsi="Arial"/>
          <w:sz w:val="19"/>
          <w:szCs w:val="19"/>
          <w:color w:val="auto"/>
        </w:rPr>
        <w:t>Executive shall not be entitled to receive, and shall forfeit all right to receive, the Change of Control Payment, as set forth in Section 6 below; and</w:t>
      </w:r>
    </w:p>
    <w:p>
      <w:pPr>
        <w:spacing w:after="0" w:line="147" w:lineRule="exact"/>
        <w:rPr>
          <w:rFonts w:ascii="Arial" w:cs="Arial" w:eastAsia="Arial" w:hAnsi="Arial"/>
          <w:sz w:val="19"/>
          <w:szCs w:val="19"/>
          <w:color w:val="auto"/>
        </w:rPr>
      </w:pPr>
    </w:p>
    <w:p>
      <w:pPr>
        <w:jc w:val="both"/>
        <w:ind w:left="1720" w:firstLine="738"/>
        <w:spacing w:after="0" w:line="255" w:lineRule="auto"/>
        <w:tabs>
          <w:tab w:leader="none" w:pos="32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vesting of Executive’s then unvested equity awards from the Company at the date of the Executive’s Separation from Service shall be automatically accelerated and such unvested equity awards shall be deemed to be fully vested as of the date of Executive’s Separation from Service, but only to the extent such equity awards would have otherwise vested within the twenty-four (24)-month period from the date of Executive’s Separation of Service if the Executive had continued in the employment of the Company through said vesting date(s).</w:t>
      </w:r>
    </w:p>
    <w:p>
      <w:pPr>
        <w:spacing w:after="0" w:line="148" w:lineRule="exact"/>
        <w:rPr>
          <w:sz w:val="20"/>
          <w:szCs w:val="20"/>
          <w:color w:val="auto"/>
        </w:rPr>
      </w:pPr>
    </w:p>
    <w:p>
      <w:pPr>
        <w:ind w:left="860" w:right="20"/>
        <w:spacing w:after="0" w:line="255" w:lineRule="auto"/>
        <w:rPr>
          <w:sz w:val="20"/>
          <w:szCs w:val="20"/>
          <w:color w:val="auto"/>
        </w:rPr>
      </w:pPr>
      <w:r>
        <w:rPr>
          <w:rFonts w:ascii="Arial" w:cs="Arial" w:eastAsia="Arial" w:hAnsi="Arial"/>
          <w:sz w:val="19"/>
          <w:szCs w:val="19"/>
          <w:color w:val="auto"/>
        </w:rPr>
        <w:t>All payments under this Section 5 shall be subject to payroll taxes and other withholdings in accordance with the Company’s (or the applicable employer of record’s) standard payroll practices and applicable law.</w:t>
      </w:r>
    </w:p>
    <w:p>
      <w:pPr>
        <w:spacing w:after="0" w:line="142" w:lineRule="exact"/>
        <w:rPr>
          <w:sz w:val="20"/>
          <w:szCs w:val="20"/>
          <w:color w:val="auto"/>
        </w:rPr>
      </w:pPr>
    </w:p>
    <w:p>
      <w:pPr>
        <w:jc w:val="both"/>
        <w:ind w:left="860" w:firstLine="799"/>
        <w:spacing w:after="0" w:line="238" w:lineRule="auto"/>
        <w:tabs>
          <w:tab w:leader="none" w:pos="2443"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Other Termination of Employment</w:t>
      </w:r>
      <w:r>
        <w:rPr>
          <w:rFonts w:ascii="Arial" w:cs="Arial" w:eastAsia="Arial" w:hAnsi="Arial"/>
          <w:sz w:val="19"/>
          <w:szCs w:val="19"/>
          <w:color w:val="auto"/>
        </w:rPr>
        <w:t>. If Executive’s employment terminates for any reason other than those</w:t>
      </w:r>
      <w:r>
        <w:rPr>
          <w:rFonts w:ascii="Arial" w:cs="Arial" w:eastAsia="Arial" w:hAnsi="Arial"/>
          <w:sz w:val="19"/>
          <w:szCs w:val="19"/>
          <w:b w:val="1"/>
          <w:bCs w:val="1"/>
          <w:color w:val="auto"/>
        </w:rPr>
        <w:t xml:space="preserve"> </w:t>
      </w:r>
      <w:r>
        <w:rPr>
          <w:rFonts w:ascii="Arial" w:cs="Arial" w:eastAsia="Arial" w:hAnsi="Arial"/>
          <w:sz w:val="19"/>
          <w:szCs w:val="19"/>
          <w:color w:val="auto"/>
        </w:rPr>
        <w:t>described in subsection (a), the Executive (or the Executive’s estate in the event of his death), shall be entitled to receive only the Accrued Benefits. Executive must be terminated for Cause pursuant to and in accordance with Section 4(c) of this Agreement in order for the consequences of such a Cause termination to apply to Executive under any equity award agreement with the Company to which Executive is then a party. Subject to the limitations imposed by Section 6, the Company’s obligations under this Section 5 shall survive the termination of this Agreement.</w:t>
      </w:r>
    </w:p>
    <w:p>
      <w:pPr>
        <w:spacing w:after="0" w:line="158" w:lineRule="exact"/>
        <w:rPr>
          <w:rFonts w:ascii="Arial" w:cs="Arial" w:eastAsia="Arial" w:hAnsi="Arial"/>
          <w:sz w:val="19"/>
          <w:szCs w:val="19"/>
          <w:color w:val="auto"/>
        </w:rPr>
      </w:pPr>
    </w:p>
    <w:p>
      <w:pPr>
        <w:jc w:val="both"/>
        <w:ind w:left="860" w:firstLine="799"/>
        <w:spacing w:after="0" w:line="242" w:lineRule="auto"/>
        <w:tabs>
          <w:tab w:leader="none" w:pos="2433"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D&amp;O Tail Policy</w:t>
      </w:r>
      <w:r>
        <w:rPr>
          <w:rFonts w:ascii="Arial" w:cs="Arial" w:eastAsia="Arial" w:hAnsi="Arial"/>
          <w:sz w:val="19"/>
          <w:szCs w:val="19"/>
          <w:color w:val="auto"/>
        </w:rPr>
        <w:t>. If Executive’s employment terminates for any reason, as promptly as practical following the date</w:t>
      </w:r>
      <w:r>
        <w:rPr>
          <w:rFonts w:ascii="Arial" w:cs="Arial" w:eastAsia="Arial" w:hAnsi="Arial"/>
          <w:sz w:val="19"/>
          <w:szCs w:val="19"/>
          <w:b w:val="1"/>
          <w:bCs w:val="1"/>
          <w:color w:val="auto"/>
        </w:rPr>
        <w:t xml:space="preserve"> </w:t>
      </w:r>
      <w:r>
        <w:rPr>
          <w:rFonts w:ascii="Arial" w:cs="Arial" w:eastAsia="Arial" w:hAnsi="Arial"/>
          <w:sz w:val="19"/>
          <w:szCs w:val="19"/>
          <w:color w:val="auto"/>
        </w:rPr>
        <w:t>on which Executive also ceases to serve as a member of the Board, the Company shall obtain, at its cost and expense, a six year tail director and officer insurance policy covering Executive on the same terms and conditions as the similar tail director and officer insurance policies previously obtained by the Company for its retiring directors.</w:t>
      </w:r>
    </w:p>
    <w:p>
      <w:pPr>
        <w:spacing w:after="0" w:line="154" w:lineRule="exact"/>
        <w:rPr>
          <w:sz w:val="20"/>
          <w:szCs w:val="20"/>
          <w:color w:val="auto"/>
        </w:rPr>
      </w:pPr>
    </w:p>
    <w:p>
      <w:pPr>
        <w:ind w:left="2440" w:hanging="714"/>
        <w:spacing w:after="0"/>
        <w:tabs>
          <w:tab w:leader="none" w:pos="2440" w:val="left"/>
        </w:tabs>
        <w:numPr>
          <w:ilvl w:val="0"/>
          <w:numId w:val="51"/>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Payments upon Change of Control</w:t>
      </w:r>
      <w:r>
        <w:rPr>
          <w:rFonts w:ascii="Arial" w:cs="Arial" w:eastAsia="Arial" w:hAnsi="Arial"/>
          <w:sz w:val="19"/>
          <w:szCs w:val="19"/>
          <w:b w:val="1"/>
          <w:bCs w:val="1"/>
          <w:color w:val="auto"/>
        </w:rPr>
        <w:t>.</w:t>
      </w:r>
    </w:p>
    <w:p>
      <w:pPr>
        <w:spacing w:after="0" w:line="182" w:lineRule="exact"/>
        <w:rPr>
          <w:sz w:val="20"/>
          <w:szCs w:val="20"/>
          <w:color w:val="auto"/>
        </w:rPr>
      </w:pPr>
    </w:p>
    <w:p>
      <w:pPr>
        <w:jc w:val="both"/>
        <w:ind w:left="860" w:firstLine="799"/>
        <w:spacing w:after="0" w:line="247" w:lineRule="auto"/>
        <w:tabs>
          <w:tab w:leader="none" w:pos="2433"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Entitlement to Change of Control Payment</w:t>
      </w:r>
      <w:r>
        <w:rPr>
          <w:rFonts w:ascii="Arial" w:cs="Arial" w:eastAsia="Arial" w:hAnsi="Arial"/>
          <w:sz w:val="19"/>
          <w:szCs w:val="19"/>
          <w:color w:val="auto"/>
        </w:rPr>
        <w:t>. Subject to the other terms and conditions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but not limited to the limitations imposed by Section 7, the Company shall pay Executive the Change of Control Payment and the Accrued Benefits:</w:t>
      </w:r>
    </w:p>
    <w:p>
      <w:pPr>
        <w:spacing w:after="0" w:line="155" w:lineRule="exact"/>
        <w:rPr>
          <w:rFonts w:ascii="Arial" w:cs="Arial" w:eastAsia="Arial" w:hAnsi="Arial"/>
          <w:sz w:val="19"/>
          <w:szCs w:val="19"/>
          <w:color w:val="auto"/>
        </w:rPr>
      </w:pPr>
    </w:p>
    <w:p>
      <w:pPr>
        <w:jc w:val="both"/>
        <w:ind w:left="1720" w:right="20" w:firstLine="738"/>
        <w:spacing w:after="0" w:line="244" w:lineRule="auto"/>
        <w:tabs>
          <w:tab w:leader="none" w:pos="3195" w:val="left"/>
        </w:tabs>
        <w:numPr>
          <w:ilvl w:val="1"/>
          <w:numId w:val="52"/>
        </w:numPr>
        <w:rPr>
          <w:rFonts w:ascii="Arial" w:cs="Arial" w:eastAsia="Arial" w:hAnsi="Arial"/>
          <w:sz w:val="19"/>
          <w:szCs w:val="19"/>
          <w:color w:val="auto"/>
        </w:rPr>
      </w:pPr>
      <w:r>
        <w:rPr>
          <w:rFonts w:ascii="Arial" w:cs="Arial" w:eastAsia="Arial" w:hAnsi="Arial"/>
          <w:sz w:val="19"/>
          <w:szCs w:val="19"/>
          <w:color w:val="auto"/>
        </w:rPr>
        <w:t>Upon the occurrence of a Change of Control (provided, however, that for all purposes under this Section 6, the definition of Change of Control in Section 2(e)(i) shall be modified so that the twenty (20) percent Beneficial Ownership threshold set forth therein shall be fifty (50) percent); or</w:t>
      </w:r>
    </w:p>
    <w:p>
      <w:pPr>
        <w:spacing w:after="0" w:line="157" w:lineRule="exact"/>
        <w:rPr>
          <w:rFonts w:ascii="Arial" w:cs="Arial" w:eastAsia="Arial" w:hAnsi="Arial"/>
          <w:sz w:val="19"/>
          <w:szCs w:val="19"/>
          <w:color w:val="auto"/>
        </w:rPr>
      </w:pPr>
    </w:p>
    <w:p>
      <w:pPr>
        <w:jc w:val="both"/>
        <w:ind w:left="1720" w:right="20" w:firstLine="738"/>
        <w:spacing w:after="0" w:line="244" w:lineRule="auto"/>
        <w:tabs>
          <w:tab w:leader="none" w:pos="3247" w:val="left"/>
        </w:tabs>
        <w:numPr>
          <w:ilvl w:val="1"/>
          <w:numId w:val="52"/>
        </w:numPr>
        <w:rPr>
          <w:rFonts w:ascii="Arial" w:cs="Arial" w:eastAsia="Arial" w:hAnsi="Arial"/>
          <w:sz w:val="19"/>
          <w:szCs w:val="19"/>
          <w:color w:val="auto"/>
        </w:rPr>
      </w:pPr>
      <w:r>
        <w:rPr>
          <w:rFonts w:ascii="Arial" w:cs="Arial" w:eastAsia="Arial" w:hAnsi="Arial"/>
          <w:sz w:val="19"/>
          <w:szCs w:val="19"/>
          <w:color w:val="auto"/>
        </w:rPr>
        <w:t>If, prior to a Change of Control but following the Company’s entry into a legally binding written agreement, arrangement or understanding that would result in a Change of Control, Executive’s employment is terminated by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03" w:name="page104"/>
    <w:bookmarkEnd w:id="103"/>
    <w:p>
      <w:pPr>
        <w:ind w:left="1720" w:right="20"/>
        <w:spacing w:after="0" w:line="255" w:lineRule="auto"/>
        <w:rPr>
          <w:sz w:val="20"/>
          <w:szCs w:val="20"/>
          <w:color w:val="auto"/>
        </w:rPr>
      </w:pPr>
      <w:r>
        <w:rPr>
          <w:rFonts w:ascii="Arial" w:cs="Arial" w:eastAsia="Arial" w:hAnsi="Arial"/>
          <w:sz w:val="19"/>
          <w:szCs w:val="19"/>
          <w:color w:val="auto"/>
        </w:rPr>
        <w:t>Company without Cause (except in the case of death or Disability) or Executive terminates his employment with the Company for Good Reason.</w:t>
      </w:r>
    </w:p>
    <w:p>
      <w:pPr>
        <w:spacing w:after="0" w:line="142" w:lineRule="exact"/>
        <w:rPr>
          <w:sz w:val="20"/>
          <w:szCs w:val="20"/>
          <w:color w:val="auto"/>
        </w:rPr>
      </w:pPr>
    </w:p>
    <w:p>
      <w:pPr>
        <w:jc w:val="both"/>
        <w:ind w:left="860" w:firstLine="799"/>
        <w:spacing w:after="0" w:line="238" w:lineRule="auto"/>
        <w:tabs>
          <w:tab w:leader="none" w:pos="2443"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Timing and Form of Payment</w:t>
      </w:r>
      <w:r>
        <w:rPr>
          <w:rFonts w:ascii="Arial" w:cs="Arial" w:eastAsia="Arial" w:hAnsi="Arial"/>
          <w:sz w:val="19"/>
          <w:szCs w:val="19"/>
          <w:color w:val="auto"/>
        </w:rPr>
        <w:t>. If Executive becomes entitled to the Change of Control Payment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6(a)(i), the Company shall pay Executive the Change of Control Payment and Accrued Benefits in a lump sum upon the occurrence of the Change of Control regardless of whether or not Executive remains as the Company’s Chief Executive Officer as a result of the Change of Control. If Executive becomes entitled to the Change of Control Payment pursuant to Section 6(a)(ii), the Company shall pay Executive the Change of Control Payment and Accrued Benefits in a lump sum within ten (10) days following the Executive’s Separation from Service.</w:t>
      </w:r>
    </w:p>
    <w:p>
      <w:pPr>
        <w:spacing w:after="0" w:line="158" w:lineRule="exact"/>
        <w:rPr>
          <w:rFonts w:ascii="Arial" w:cs="Arial" w:eastAsia="Arial" w:hAnsi="Arial"/>
          <w:sz w:val="19"/>
          <w:szCs w:val="19"/>
          <w:color w:val="auto"/>
        </w:rPr>
      </w:pPr>
    </w:p>
    <w:p>
      <w:pPr>
        <w:jc w:val="both"/>
        <w:ind w:left="860" w:firstLine="799"/>
        <w:spacing w:after="0" w:line="250" w:lineRule="auto"/>
        <w:tabs>
          <w:tab w:leader="none" w:pos="2433"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Expiration of Future Payment and Severance</w:t>
      </w:r>
      <w:r>
        <w:rPr>
          <w:rFonts w:ascii="Arial" w:cs="Arial" w:eastAsia="Arial" w:hAnsi="Arial"/>
          <w:sz w:val="18"/>
          <w:szCs w:val="18"/>
          <w:color w:val="auto"/>
        </w:rPr>
        <w:t>. If Executive is entitled to receive the Change of Control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then Executive shall not be entitled to receive, and shall forfeit all right to receive, the Severance Payment, as set forth in Section 5(c)(i) above. Following the payment of the Change of Control Payment by Company, Company’s obligations under Section 5 and this Section 6 shall expire, with no right or expectation by Executive to receive, and no obligation or requirement by Company to pay or provide, any additional Severance Payment or any other similar payment or benefit, provided that Executive will retain the right (if any) to the continued vesting of previously granted restricted stock awards (and any related restricted cash) pursuant to the terms of the applicable restricted stock award agreement and the right to receive the Accrued Benefits. Notwithstanding such forfeiture and expiration, the other rights and obligations under this Agreement shall survive and continue through the termination of this Agreement or for such shorter or longer periods of time as set forth herein. Subject to the foregoing, Company’s obligations under this Section 6 shall survive the termination of this Agreement.</w:t>
      </w:r>
    </w:p>
    <w:p>
      <w:pPr>
        <w:spacing w:after="0" w:line="149" w:lineRule="exact"/>
        <w:rPr>
          <w:rFonts w:ascii="Arial" w:cs="Arial" w:eastAsia="Arial" w:hAnsi="Arial"/>
          <w:sz w:val="18"/>
          <w:szCs w:val="18"/>
          <w:color w:val="auto"/>
        </w:rPr>
      </w:pPr>
    </w:p>
    <w:p>
      <w:pPr>
        <w:jc w:val="both"/>
        <w:ind w:firstLine="1726"/>
        <w:spacing w:after="0" w:line="264" w:lineRule="auto"/>
        <w:tabs>
          <w:tab w:leader="none" w:pos="2437" w:val="left"/>
        </w:tabs>
        <w:numPr>
          <w:ilvl w:val="1"/>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 on Change of Control Payments and Benefits</w:t>
      </w:r>
      <w:r>
        <w:rPr>
          <w:rFonts w:ascii="Arial" w:cs="Arial" w:eastAsia="Arial" w:hAnsi="Arial"/>
          <w:sz w:val="17"/>
          <w:szCs w:val="17"/>
          <w:color w:val="auto"/>
        </w:rPr>
        <w:t>. Notwithstanding any other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if any portion of the Change of Control Payment or any other payment under this Agreement, or under any other agreement with or plan of the Company (in the aggregate “Total Payments”), would constitute an “excess parachute payment,” then the Total Payments to be made to Executive shall be reduced such that the value of the aggregate Total Payments that Executive is entitled to receive shall be One Dollar ($1) less than the maximum amount which Executive may receive without becoming subject to the tax imposed by Code Section 4999 or which the Company may pay without loss of deduction under Code Section 280G(a);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reduction in the amount of Total Payments shall not apply if the After-Tax Value to Executive of the Total Payments prior to reduction in accordance herewith is greater than the After-Tax Value to Executive of the Total Payments are reduced in accordance herewith. For purposes of this Agreement, the terms “excess parachute payment” and “parachute payments” shall have the meanings assigned to them in Code Section 280G, and such “parachute payments” shall be valued as provided therein. Present value for purposes of this Agreement shall be calculated in accordance with Code Section 1274(b)(2). Within twenty (20) business days following delivery of the notice of termination or notice by Orion to Executive of its belief that there is a payment or benefit due Executive that will result in an excess parachute payment as defined in Code Section 280G, Executive and Orion, at Orion’s expense, shall obtain the opinion (which need not be unqualified) of nationally recognized tax counsel selected by Orion’s independent auditors and acceptable to Executive in Executive’s sole discretion, which opinion sets forth: (A) the amount of the Base Period Income, (B) the amount and present value of Total Payments, (C) the amount and present value of any excess parachute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04" w:name="page105"/>
    <w:bookmarkEnd w:id="104"/>
    <w:p>
      <w:pPr>
        <w:jc w:val="both"/>
        <w:spacing w:after="0" w:line="262" w:lineRule="auto"/>
        <w:rPr>
          <w:sz w:val="20"/>
          <w:szCs w:val="20"/>
          <w:color w:val="auto"/>
        </w:rPr>
      </w:pPr>
      <w:r>
        <w:rPr>
          <w:rFonts w:ascii="Arial" w:cs="Arial" w:eastAsia="Arial" w:hAnsi="Arial"/>
          <w:sz w:val="17"/>
          <w:szCs w:val="17"/>
          <w:color w:val="auto"/>
        </w:rPr>
        <w:t>payments without regard to the limitations of this Section 7, (D) the After-Tax Value of the Total Payments if the reduction in Total Payments contemplated under this Section 7 did not apply, and (E) the After-Tax Value of the Total Payments taking into account the reduction in Total Payments contemplated under this Section 7. As used in this Section 7, the term “Base Period Income” means an amount equal to Executive’s “annualized includible compensation for the base period” as defined in Code Section 280G(d)(1). For purposes of such opinion, the value of any noncash benefits or any deferred payment or benefit shall be determined by Orion’s independent auditors in accordance with the principles of Code Sections 280G(d)(3) and (4), which determination shall be evidenced in a certificate of such auditors addressed to Orion and Executive. For purposes of determining the “After-Tax Value” of the Total Payments, (I) Executive shall be deemed to pay federal income taxes and employment taxes at the highest marginal rate of federal income and employment taxation in the calendar year in which the Change of Control Payment is to be made and state and local income taxes at the highest marginal rates of taxation in the state and locality of Executive’s domicile for income tax purposes on the date the Change of Control Payment is to be made, net of the maximum reduction in federal income taxes that may be obtained from deduction of such state and local taxes, and (II) a reasonable compensation analysis and valuation will be performed, to the extent it would increase the Executive’s After-Tax Value of the Total Payments, of the value of the Executive’s restrictive covenants under Section 8 hereof (and any other restrictive covenants applicable to the Executive). Such opinion shall be dated as of the Termination Date and addressed to Orion and Executive and shall be binding upon the Company and Executive, and upon which the Company and the Executive may fully rely. If such opinion determines that there would be an excess parachute payment and that the After-Tax Value of the Total Payments taking into account the reduction contemplated under this Section is greater than the After-Tax Value of the Total Payments if the reduction in Total Payments contemplated under this Section did not apply, then the Change of Control Payment hereunder or any other payment determined by such counsel to be includible in Total Payments shall be reduced or eliminated as specified by Executive in writing delivered to Orion within five (5) business days of Executive’s receipt of such opinion or, if Executive fails to so notify Orion, then as Orion shall reasonably determine, so that under the bases of calculations set forth in such opinion there will be no excess parachute payment. If such legal counsel so requests in connection with the opinion required by this Section, Executive and Orion shall obtain, at Orion’s expense, and the legal counsel may rely on in providing the opinion, the advice of a firm of recognized executive compensation consultants as to the reasonableness of any item of compensation to be received by Executive. Notwithstanding the foregoing, the provisions of this Section 7, including the calculations, notices and opinions provided for herein, shall be based upon the conclusive presumption that the following are reasonable: (1) the compensation and benefits provided for in Section 3 and (2) any other compensation, including but not limited to the Accrued Benefits, earned prior to the date of Executive’s Separation from Service by the Executive pursuant to the Company’s compensation programs if such payments would have been made in the future in any event, even though the timing of such payment is triggered by the Change of Control or the Executive’s Separation from Service. If the provisions of Code Sections 280G and 4999 are repealed without succession, then this Section 7 shall be of no further force or effect.</w:t>
      </w:r>
    </w:p>
    <w:p>
      <w:pPr>
        <w:spacing w:after="0" w:line="137" w:lineRule="exact"/>
        <w:rPr>
          <w:sz w:val="20"/>
          <w:szCs w:val="20"/>
          <w:color w:val="auto"/>
        </w:rPr>
      </w:pPr>
    </w:p>
    <w:p>
      <w:pPr>
        <w:ind w:left="2440" w:hanging="714"/>
        <w:spacing w:after="0"/>
        <w:tabs>
          <w:tab w:leader="none" w:pos="2440"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Covenants by Executive</w:t>
      </w:r>
      <w:r>
        <w:rPr>
          <w:rFonts w:ascii="Arial" w:cs="Arial" w:eastAsia="Arial" w:hAnsi="Arial"/>
          <w:sz w:val="19"/>
          <w:szCs w:val="19"/>
          <w:color w:val="auto"/>
        </w:rPr>
        <w:t>.</w:t>
      </w:r>
    </w:p>
    <w:p>
      <w:pPr>
        <w:spacing w:after="0" w:line="182" w:lineRule="exact"/>
        <w:rPr>
          <w:sz w:val="20"/>
          <w:szCs w:val="20"/>
          <w:color w:val="auto"/>
        </w:rPr>
      </w:pPr>
    </w:p>
    <w:p>
      <w:pPr>
        <w:jc w:val="both"/>
        <w:ind w:left="860" w:firstLine="799"/>
        <w:spacing w:after="0" w:line="242" w:lineRule="auto"/>
        <w:tabs>
          <w:tab w:leader="none" w:pos="2433"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Confidentiality and Non-Disclosure</w:t>
      </w:r>
      <w:r>
        <w:rPr>
          <w:rFonts w:ascii="Arial" w:cs="Arial" w:eastAsia="Arial" w:hAnsi="Arial"/>
          <w:sz w:val="19"/>
          <w:szCs w:val="19"/>
          <w:color w:val="auto"/>
        </w:rPr>
        <w:t>. During Executive’s employment with the Company and for a period of two</w:t>
      </w:r>
      <w:r>
        <w:rPr>
          <w:rFonts w:ascii="Arial" w:cs="Arial" w:eastAsia="Arial" w:hAnsi="Arial"/>
          <w:sz w:val="19"/>
          <w:szCs w:val="19"/>
          <w:b w:val="1"/>
          <w:bCs w:val="1"/>
          <w:color w:val="auto"/>
        </w:rPr>
        <w:t xml:space="preserve"> </w:t>
      </w:r>
      <w:r>
        <w:rPr>
          <w:rFonts w:ascii="Arial" w:cs="Arial" w:eastAsia="Arial" w:hAnsi="Arial"/>
          <w:sz w:val="19"/>
          <w:szCs w:val="19"/>
          <w:color w:val="auto"/>
        </w:rPr>
        <w:t>years following Executive’s Separation from Service, he agrees that he will not, except in furtherance of the business of the Company, disclose, furnish, or make available to any person or use for the benefit of himself or any other person any confidential or proprietary information or data of the Company including,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05" w:name="page106"/>
    <w:bookmarkEnd w:id="105"/>
    <w:p>
      <w:pPr>
        <w:jc w:val="both"/>
        <w:ind w:left="860"/>
        <w:spacing w:after="0" w:line="283" w:lineRule="auto"/>
        <w:rPr>
          <w:sz w:val="20"/>
          <w:szCs w:val="20"/>
          <w:color w:val="auto"/>
        </w:rPr>
      </w:pPr>
      <w:r>
        <w:rPr>
          <w:rFonts w:ascii="Arial" w:cs="Arial" w:eastAsia="Arial" w:hAnsi="Arial"/>
          <w:sz w:val="16"/>
          <w:szCs w:val="16"/>
          <w:color w:val="auto"/>
        </w:rPr>
        <w:t>but not limited to, trade secrets, customer and supplier lists, pricing policies, operational methods, marketing plans or strategies, product development techniques or plans, business acquisition or disposition plans, new personnel employment plans, methods of manufacture, technical process, and formulae, designs and design projects, inventions and research projects and financial budgets and forecasts except</w:t>
      </w:r>
    </w:p>
    <w:p>
      <w:pPr>
        <w:jc w:val="both"/>
        <w:ind w:left="860"/>
        <w:spacing w:after="0" w:line="266" w:lineRule="auto"/>
        <w:tabs>
          <w:tab w:leader="none" w:pos="1087"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information which at the time is available to others in the business or generally known to the public other than as a result of disclosure by Executive not permitted hereunder, and (ii) when required to do so by a court of competent jurisdiction, by any governmental agency or by any administrative, legislative or regulatory body;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this instance Executive shall make reasonable efforts to inform the Company of any such request prior to any disclosure so as to permit the Company a meaningful opportunity to seek a protective order or similar adjudication. Upon termination of his employment with the Company, Executive will immediately return to the Company all written or electronically stored confidential or proprietary information in whatever format it is contained.</w:t>
      </w:r>
    </w:p>
    <w:p>
      <w:pPr>
        <w:spacing w:after="0" w:line="137" w:lineRule="exact"/>
        <w:rPr>
          <w:rFonts w:ascii="Arial" w:cs="Arial" w:eastAsia="Arial" w:hAnsi="Arial"/>
          <w:sz w:val="17"/>
          <w:szCs w:val="17"/>
          <w:color w:val="auto"/>
        </w:rPr>
      </w:pPr>
    </w:p>
    <w:p>
      <w:pPr>
        <w:ind w:left="2440" w:hanging="781"/>
        <w:spacing w:after="0"/>
        <w:tabs>
          <w:tab w:leader="none" w:pos="2440" w:val="left"/>
        </w:tabs>
        <w:numPr>
          <w:ilvl w:val="1"/>
          <w:numId w:val="56"/>
        </w:numPr>
        <w:rPr>
          <w:rFonts w:ascii="Arial" w:cs="Arial" w:eastAsia="Arial" w:hAnsi="Arial"/>
          <w:sz w:val="19"/>
          <w:szCs w:val="19"/>
          <w:color w:val="auto"/>
        </w:rPr>
      </w:pPr>
      <w:r>
        <w:rPr>
          <w:rFonts w:ascii="Arial" w:cs="Arial" w:eastAsia="Arial" w:hAnsi="Arial"/>
          <w:sz w:val="19"/>
          <w:szCs w:val="19"/>
          <w:b w:val="1"/>
          <w:bCs w:val="1"/>
          <w:color w:val="auto"/>
        </w:rPr>
        <w:t>Non-Competition/Non-Solicitation</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jc w:val="both"/>
        <w:ind w:left="1720" w:firstLine="738"/>
        <w:spacing w:after="0" w:line="237" w:lineRule="auto"/>
        <w:tabs>
          <w:tab w:leader="none" w:pos="3195" w:val="left"/>
        </w:tabs>
        <w:numPr>
          <w:ilvl w:val="2"/>
          <w:numId w:val="56"/>
        </w:numPr>
        <w:rPr>
          <w:rFonts w:ascii="Arial" w:cs="Arial" w:eastAsia="Arial" w:hAnsi="Arial"/>
          <w:sz w:val="19"/>
          <w:szCs w:val="19"/>
          <w:color w:val="auto"/>
        </w:rPr>
      </w:pPr>
      <w:r>
        <w:rPr>
          <w:rFonts w:ascii="Arial" w:cs="Arial" w:eastAsia="Arial" w:hAnsi="Arial"/>
          <w:sz w:val="19"/>
          <w:szCs w:val="19"/>
          <w:color w:val="auto"/>
        </w:rPr>
        <w:t>During Executive’s employment with the Company and for a period of two years following Executive’s Separation from Service, Executive agrees not to directly or indirectly engage, or assist any business or entity, in Competitive Business Activity in any capacity, including without limitation as an employee, officer, or director of, or consultant or advisor to, any person or entity engaged directly or indirectly in a business which engages in Competitive Business Activity, in North America or anywhere that Orion or its Successor does business at the time of Executive’s termination of employment, without the written consent of the Board.</w:t>
      </w:r>
    </w:p>
    <w:p>
      <w:pPr>
        <w:spacing w:after="0" w:line="164" w:lineRule="exact"/>
        <w:rPr>
          <w:rFonts w:ascii="Arial" w:cs="Arial" w:eastAsia="Arial" w:hAnsi="Arial"/>
          <w:sz w:val="19"/>
          <w:szCs w:val="19"/>
          <w:color w:val="auto"/>
        </w:rPr>
      </w:pPr>
    </w:p>
    <w:p>
      <w:pPr>
        <w:jc w:val="both"/>
        <w:ind w:left="1720" w:firstLine="738"/>
        <w:spacing w:after="0" w:line="253" w:lineRule="auto"/>
        <w:tabs>
          <w:tab w:leader="none" w:pos="3247" w:val="left"/>
        </w:tabs>
        <w:numPr>
          <w:ilvl w:val="2"/>
          <w:numId w:val="56"/>
        </w:numPr>
        <w:rPr>
          <w:rFonts w:ascii="Arial" w:cs="Arial" w:eastAsia="Arial" w:hAnsi="Arial"/>
          <w:sz w:val="18"/>
          <w:szCs w:val="18"/>
          <w:color w:val="auto"/>
        </w:rPr>
      </w:pPr>
      <w:r>
        <w:rPr>
          <w:rFonts w:ascii="Arial" w:cs="Arial" w:eastAsia="Arial" w:hAnsi="Arial"/>
          <w:sz w:val="18"/>
          <w:szCs w:val="18"/>
          <w:color w:val="auto"/>
        </w:rPr>
        <w:t>During Executive’s employment with the Company and for a period of two years following Executive’s Separation from Service, Executive agrees not to, in any form or manner, directly or indirectly, on his own behalf or in combination with others (1) solicit, induce or influence any customer, supplier, lender, lessor or any other person with a business relationship with the Company to discontinue or reduce the extent of such business relationship, or (2) recruit, solicit or otherwise induce or influence any employee of the Company that reported directly to the Executive during Executive’s employment with the Company to discontinue their employment with the Company.</w:t>
      </w:r>
    </w:p>
    <w:p>
      <w:pPr>
        <w:spacing w:after="0" w:line="143" w:lineRule="exact"/>
        <w:rPr>
          <w:rFonts w:ascii="Arial" w:cs="Arial" w:eastAsia="Arial" w:hAnsi="Arial"/>
          <w:sz w:val="18"/>
          <w:szCs w:val="18"/>
          <w:color w:val="auto"/>
        </w:rPr>
      </w:pPr>
    </w:p>
    <w:p>
      <w:pPr>
        <w:ind w:left="2440" w:hanging="781"/>
        <w:spacing w:after="0"/>
        <w:tabs>
          <w:tab w:leader="none" w:pos="2440" w:val="left"/>
        </w:tabs>
        <w:numPr>
          <w:ilvl w:val="1"/>
          <w:numId w:val="56"/>
        </w:numPr>
        <w:rPr>
          <w:rFonts w:ascii="Arial" w:cs="Arial" w:eastAsia="Arial" w:hAnsi="Arial"/>
          <w:sz w:val="19"/>
          <w:szCs w:val="19"/>
          <w:color w:val="auto"/>
        </w:rPr>
      </w:pPr>
      <w:r>
        <w:rPr>
          <w:rFonts w:ascii="Arial" w:cs="Arial" w:eastAsia="Arial" w:hAnsi="Arial"/>
          <w:sz w:val="19"/>
          <w:szCs w:val="19"/>
          <w:b w:val="1"/>
          <w:bCs w:val="1"/>
          <w:color w:val="auto"/>
        </w:rPr>
        <w:t>Disclosure and Assignment to the Company of Inventions and Innovations</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jc w:val="both"/>
        <w:ind w:left="1720" w:firstLine="738"/>
        <w:spacing w:after="0" w:line="251" w:lineRule="auto"/>
        <w:tabs>
          <w:tab w:leader="none" w:pos="3195" w:val="left"/>
        </w:tabs>
        <w:numPr>
          <w:ilvl w:val="2"/>
          <w:numId w:val="56"/>
        </w:numPr>
        <w:rPr>
          <w:rFonts w:ascii="Arial" w:cs="Arial" w:eastAsia="Arial" w:hAnsi="Arial"/>
          <w:sz w:val="18"/>
          <w:szCs w:val="18"/>
          <w:color w:val="auto"/>
        </w:rPr>
      </w:pPr>
      <w:r>
        <w:rPr>
          <w:rFonts w:ascii="Arial" w:cs="Arial" w:eastAsia="Arial" w:hAnsi="Arial"/>
          <w:sz w:val="18"/>
          <w:szCs w:val="18"/>
          <w:color w:val="auto"/>
        </w:rPr>
        <w:t>Executive agrees to disclose and assign to the Company as the Company’s exclusive property, all inventions and technical or business innovations, including but not limited to all patentable and copyrightable subject matter (collectively, the “Innovations”) developed, authored or conceived by Executive solely or jointly with others during the period of Executive’s employment, including during Executive’s employment prior to the date of this Agreement, (1) that are along the lines of the business, work or investigations of the Company to which Executive’s employment relates or as to which Executive may receive information due to Executive’s employment with the Company, or (2) that result from or are suggested by any work which Executive may do for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06" w:name="page107"/>
    <w:bookmarkEnd w:id="106"/>
    <w:p>
      <w:pPr>
        <w:ind w:left="1720" w:right="20"/>
        <w:spacing w:after="0" w:line="255" w:lineRule="auto"/>
        <w:rPr>
          <w:sz w:val="20"/>
          <w:szCs w:val="20"/>
          <w:color w:val="auto"/>
        </w:rPr>
      </w:pPr>
      <w:r>
        <w:rPr>
          <w:rFonts w:ascii="Arial" w:cs="Arial" w:eastAsia="Arial" w:hAnsi="Arial"/>
          <w:sz w:val="19"/>
          <w:szCs w:val="19"/>
          <w:color w:val="auto"/>
        </w:rPr>
        <w:t>Company or (3) that are otherwise made through the use of Company time, facilities or materials. To the extent any of the Innovations is copyrightable, each such Innovation shall be considered a “work for hire.”</w:t>
      </w:r>
    </w:p>
    <w:p>
      <w:pPr>
        <w:spacing w:after="0" w:line="148" w:lineRule="exact"/>
        <w:rPr>
          <w:sz w:val="20"/>
          <w:szCs w:val="20"/>
          <w:color w:val="auto"/>
        </w:rPr>
      </w:pPr>
    </w:p>
    <w:p>
      <w:pPr>
        <w:jc w:val="both"/>
        <w:ind w:left="1720" w:firstLine="738"/>
        <w:spacing w:after="0"/>
        <w:tabs>
          <w:tab w:leader="none" w:pos="3247" w:val="left"/>
        </w:tabs>
        <w:numPr>
          <w:ilvl w:val="1"/>
          <w:numId w:val="57"/>
        </w:numPr>
        <w:rPr>
          <w:rFonts w:ascii="Arial" w:cs="Arial" w:eastAsia="Arial" w:hAnsi="Arial"/>
          <w:sz w:val="19"/>
          <w:szCs w:val="19"/>
          <w:color w:val="auto"/>
        </w:rPr>
      </w:pPr>
      <w:r>
        <w:rPr>
          <w:rFonts w:ascii="Arial" w:cs="Arial" w:eastAsia="Arial" w:hAnsi="Arial"/>
          <w:sz w:val="19"/>
          <w:szCs w:val="19"/>
          <w:color w:val="auto"/>
        </w:rPr>
        <w:t>Executive agrees to execute all necessary papers and otherwise provide proper assistance (at the Company’s expense), during and subsequent to Executive’s employment, to enable the Company to obtain for itself or its nominees, all right, title, and interest in and to patents, copyrights, trademarks or other legal protection for such Innovations in any and all countries.</w:t>
      </w:r>
    </w:p>
    <w:p>
      <w:pPr>
        <w:spacing w:after="0" w:line="161" w:lineRule="exact"/>
        <w:rPr>
          <w:rFonts w:ascii="Arial" w:cs="Arial" w:eastAsia="Arial" w:hAnsi="Arial"/>
          <w:sz w:val="19"/>
          <w:szCs w:val="19"/>
          <w:color w:val="auto"/>
        </w:rPr>
      </w:pPr>
    </w:p>
    <w:p>
      <w:pPr>
        <w:ind w:left="3300" w:hanging="842"/>
        <w:spacing w:after="0"/>
        <w:tabs>
          <w:tab w:leader="none" w:pos="33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Executive agrees to make and maintain for the Company adequate and current written records of all such</w:t>
      </w:r>
    </w:p>
    <w:p>
      <w:pPr>
        <w:spacing w:after="0" w:line="32" w:lineRule="exact"/>
        <w:rPr>
          <w:rFonts w:ascii="Arial" w:cs="Arial" w:eastAsia="Arial" w:hAnsi="Arial"/>
          <w:sz w:val="17"/>
          <w:szCs w:val="17"/>
          <w:color w:val="auto"/>
        </w:rPr>
      </w:pPr>
    </w:p>
    <w:p>
      <w:pPr>
        <w:ind w:left="1720"/>
        <w:spacing w:after="0"/>
        <w:rPr>
          <w:rFonts w:ascii="Arial" w:cs="Arial" w:eastAsia="Arial" w:hAnsi="Arial"/>
          <w:sz w:val="17"/>
          <w:szCs w:val="17"/>
          <w:color w:val="auto"/>
        </w:rPr>
      </w:pPr>
      <w:r>
        <w:rPr>
          <w:rFonts w:ascii="Arial" w:cs="Arial" w:eastAsia="Arial" w:hAnsi="Arial"/>
          <w:sz w:val="19"/>
          <w:szCs w:val="19"/>
          <w:color w:val="auto"/>
        </w:rPr>
        <w:t>Innovations;</w:t>
      </w:r>
    </w:p>
    <w:p>
      <w:pPr>
        <w:spacing w:after="0" w:line="165" w:lineRule="exact"/>
        <w:rPr>
          <w:rFonts w:ascii="Arial" w:cs="Arial" w:eastAsia="Arial" w:hAnsi="Arial"/>
          <w:sz w:val="17"/>
          <w:szCs w:val="17"/>
          <w:color w:val="auto"/>
        </w:rPr>
      </w:pPr>
    </w:p>
    <w:p>
      <w:pPr>
        <w:jc w:val="both"/>
        <w:ind w:left="1720" w:right="20" w:firstLine="738"/>
        <w:spacing w:after="0"/>
        <w:tabs>
          <w:tab w:leader="none" w:pos="3289" w:val="left"/>
        </w:tabs>
        <w:numPr>
          <w:ilvl w:val="1"/>
          <w:numId w:val="57"/>
        </w:numPr>
        <w:rPr>
          <w:rFonts w:ascii="Arial" w:cs="Arial" w:eastAsia="Arial" w:hAnsi="Arial"/>
          <w:sz w:val="19"/>
          <w:szCs w:val="19"/>
          <w:color w:val="auto"/>
        </w:rPr>
      </w:pPr>
      <w:r>
        <w:rPr>
          <w:rFonts w:ascii="Arial" w:cs="Arial" w:eastAsia="Arial" w:hAnsi="Arial"/>
          <w:sz w:val="19"/>
          <w:szCs w:val="19"/>
          <w:color w:val="auto"/>
        </w:rPr>
        <w:t>Upon any termination of Executive’s employment, Executive agrees to deliver to the Company promptly all items which belong to the Company or which by their nature are for the use of Company employees only, including, without limitation, all written and other materials which are of a secret or confidential nature relating to the business of the Company.</w:t>
      </w:r>
    </w:p>
    <w:p>
      <w:pPr>
        <w:spacing w:after="0" w:line="161" w:lineRule="exact"/>
        <w:rPr>
          <w:rFonts w:ascii="Arial" w:cs="Arial" w:eastAsia="Arial" w:hAnsi="Arial"/>
          <w:sz w:val="19"/>
          <w:szCs w:val="19"/>
          <w:color w:val="auto"/>
        </w:rPr>
      </w:pPr>
    </w:p>
    <w:p>
      <w:pPr>
        <w:jc w:val="both"/>
        <w:ind w:left="1720" w:firstLine="738"/>
        <w:spacing w:after="0" w:line="250" w:lineRule="auto"/>
        <w:tabs>
          <w:tab w:leader="none" w:pos="3237"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the event Company is unable for any reason whatsoever to secure Executive’s signature to any lawful and necessary documents required, including those necessary for the assignment of, application for, or prosecution of any United States or foreign application for letters patent or copyright for any Innovation, Executive hereby irrevocably designates and appoints Company and its duly authorized officers and agents as Executive’s agent and attorney-in-fact, to act for and in Executive’s behalf and stead to execute and file any such applications and to do all other lawfully permitted acts to further the assignment, prosecution, and issuance of letters patent or registration of copyright thereon with the same legal force and effect as if executed by Executive. Executive hereby waives and quitclaims to Company any and all claims, of any nature whatsoever, which Executive may now have or may hereafter have for infringement of any patent or copyright resulting from any such application.</w:t>
      </w:r>
    </w:p>
    <w:p>
      <w:pPr>
        <w:spacing w:after="0" w:line="147" w:lineRule="exact"/>
        <w:rPr>
          <w:rFonts w:ascii="Arial" w:cs="Arial" w:eastAsia="Arial" w:hAnsi="Arial"/>
          <w:sz w:val="18"/>
          <w:szCs w:val="18"/>
          <w:color w:val="auto"/>
        </w:rPr>
      </w:pPr>
    </w:p>
    <w:p>
      <w:pPr>
        <w:jc w:val="both"/>
        <w:ind w:left="860" w:firstLine="799"/>
        <w:spacing w:after="0" w:line="251" w:lineRule="auto"/>
        <w:tabs>
          <w:tab w:leader="none" w:pos="2443"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Remedies Not Exclusive</w:t>
      </w:r>
      <w:r>
        <w:rPr>
          <w:rFonts w:ascii="Arial" w:cs="Arial" w:eastAsia="Arial" w:hAnsi="Arial"/>
          <w:sz w:val="18"/>
          <w:szCs w:val="18"/>
          <w:color w:val="auto"/>
        </w:rPr>
        <w:t>. In the event that Executive breaches any terms of this Section 8, Executive acknowledges</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agrees that said breach may result in the immediate and irreparable harm to the business and goodwill of the Company and that damages, if any, and remedies of law for such breach may be inadequate and indeterminable. The Company, upon Executive’s breach of this Section 8, shall therefore be entitled (in addition to and without limiting any other remedies that the Company may seek under this Agreement or otherwise at law or in equity) to (1) seek from any court of competent jurisdiction equitable relief by way of temporary or permanent injunction and without being required to post a bond, to restrain any violation of this Section 8, and for such further relief as the court may deem just or proper in law or equity, and (2) in the event that the Company shall prevail, its reasonable attorneys fees and costs and other expenses in enforcing its rights under this Section 8.</w:t>
      </w:r>
    </w:p>
    <w:p>
      <w:pPr>
        <w:spacing w:after="0" w:line="150" w:lineRule="exact"/>
        <w:rPr>
          <w:rFonts w:ascii="Arial" w:cs="Arial" w:eastAsia="Arial" w:hAnsi="Arial"/>
          <w:sz w:val="18"/>
          <w:szCs w:val="18"/>
          <w:color w:val="auto"/>
        </w:rPr>
      </w:pPr>
    </w:p>
    <w:p>
      <w:pPr>
        <w:jc w:val="both"/>
        <w:ind w:left="860" w:right="20" w:firstLine="799"/>
        <w:spacing w:after="0" w:line="247" w:lineRule="auto"/>
        <w:tabs>
          <w:tab w:leader="none" w:pos="2433" w:val="left"/>
        </w:tabs>
        <w:numPr>
          <w:ilvl w:val="0"/>
          <w:numId w:val="58"/>
        </w:numPr>
        <w:rPr>
          <w:rFonts w:ascii="Arial" w:cs="Arial" w:eastAsia="Arial" w:hAnsi="Arial"/>
          <w:sz w:val="19"/>
          <w:szCs w:val="19"/>
          <w:color w:val="auto"/>
        </w:rPr>
      </w:pPr>
      <w:r>
        <w:rPr>
          <w:rFonts w:ascii="Arial" w:cs="Arial" w:eastAsia="Arial" w:hAnsi="Arial"/>
          <w:sz w:val="19"/>
          <w:szCs w:val="19"/>
          <w:b w:val="1"/>
          <w:bCs w:val="1"/>
          <w:color w:val="auto"/>
        </w:rPr>
        <w:t>Severability of Provisions</w:t>
      </w:r>
      <w:r>
        <w:rPr>
          <w:rFonts w:ascii="Arial" w:cs="Arial" w:eastAsia="Arial" w:hAnsi="Arial"/>
          <w:sz w:val="19"/>
          <w:szCs w:val="19"/>
          <w:color w:val="auto"/>
        </w:rPr>
        <w:t>. If any restriction, limitation, or provision of this Section 8 is deemed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unreasonable, onerous, or unduly restrictive by a court of competent jurisdiction, it shall not be stricken in its entirety and held totally void and unenforceable, but shall remain effective to the maximum extent possible within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07" w:name="page108"/>
    <w:bookmarkEnd w:id="107"/>
    <w:p>
      <w:pPr>
        <w:jc w:val="both"/>
        <w:ind w:left="860" w:right="20"/>
        <w:spacing w:after="0"/>
        <w:rPr>
          <w:sz w:val="20"/>
          <w:szCs w:val="20"/>
          <w:color w:val="auto"/>
        </w:rPr>
      </w:pPr>
      <w:r>
        <w:rPr>
          <w:rFonts w:ascii="Arial" w:cs="Arial" w:eastAsia="Arial" w:hAnsi="Arial"/>
          <w:sz w:val="19"/>
          <w:szCs w:val="19"/>
          <w:color w:val="auto"/>
        </w:rPr>
        <w:t>bounds of the law. If any phrase, clause or provision of this Section 8 is declared invalid or unenforceable by a court of competent jurisdiction, such phrase, clause, or provision shall be deemed severed from this Section 8, but will not affect any other provision of this Section 8, which shall otherwise remain in full force and effect. The provisions of this Section 8 are each declared to be separate and distinct covenants by Executive.</w:t>
      </w:r>
    </w:p>
    <w:p>
      <w:pPr>
        <w:spacing w:after="0" w:line="155" w:lineRule="exact"/>
        <w:rPr>
          <w:sz w:val="20"/>
          <w:szCs w:val="20"/>
          <w:color w:val="auto"/>
        </w:rPr>
      </w:pPr>
    </w:p>
    <w:p>
      <w:pPr>
        <w:ind w:left="2420" w:hanging="761"/>
        <w:spacing w:after="0"/>
        <w:tabs>
          <w:tab w:leader="none" w:pos="2420"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Limits on Confidentiality Requirements</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jc w:val="both"/>
        <w:ind w:left="1720" w:firstLine="738"/>
        <w:spacing w:after="0" w:line="255" w:lineRule="auto"/>
        <w:tabs>
          <w:tab w:leader="none" w:pos="3195" w:val="left"/>
        </w:tabs>
        <w:numPr>
          <w:ilvl w:val="2"/>
          <w:numId w:val="59"/>
        </w:numPr>
        <w:rPr>
          <w:rFonts w:ascii="Arial" w:cs="Arial" w:eastAsia="Arial" w:hAnsi="Arial"/>
          <w:sz w:val="18"/>
          <w:szCs w:val="18"/>
          <w:color w:val="auto"/>
        </w:rPr>
      </w:pPr>
      <w:r>
        <w:rPr>
          <w:rFonts w:ascii="Arial" w:cs="Arial" w:eastAsia="Arial" w:hAnsi="Arial"/>
          <w:sz w:val="18"/>
          <w:szCs w:val="18"/>
          <w:color w:val="auto"/>
        </w:rPr>
        <w:t>Nothing in this Agreement is intended to discourage or restrict the Executive from communicating with, or making a report with, any governmental authority regarding a good faith belief of any violations of law or regulations based on information that the Executive acquired through lawful means in the course of the Executive’s employment, including such disclosures protected or required by any whistleblower law or regulation of the Securities and Exchange Commission, the Department of Labor, or any other appropriate governmental authority.</w:t>
      </w:r>
    </w:p>
    <w:p>
      <w:pPr>
        <w:spacing w:after="0" w:line="147" w:lineRule="exact"/>
        <w:rPr>
          <w:rFonts w:ascii="Arial" w:cs="Arial" w:eastAsia="Arial" w:hAnsi="Arial"/>
          <w:sz w:val="18"/>
          <w:szCs w:val="18"/>
          <w:color w:val="auto"/>
        </w:rPr>
      </w:pPr>
    </w:p>
    <w:p>
      <w:pPr>
        <w:jc w:val="both"/>
        <w:ind w:left="1720" w:firstLine="738"/>
        <w:spacing w:after="0" w:line="237" w:lineRule="auto"/>
        <w:tabs>
          <w:tab w:leader="none" w:pos="3247" w:val="left"/>
        </w:tabs>
        <w:numPr>
          <w:ilvl w:val="2"/>
          <w:numId w:val="59"/>
        </w:numPr>
        <w:rPr>
          <w:rFonts w:ascii="Arial" w:cs="Arial" w:eastAsia="Arial" w:hAnsi="Arial"/>
          <w:sz w:val="19"/>
          <w:szCs w:val="19"/>
          <w:color w:val="auto"/>
        </w:rPr>
      </w:pPr>
      <w:r>
        <w:rPr>
          <w:rFonts w:ascii="Arial" w:cs="Arial" w:eastAsia="Arial" w:hAnsi="Arial"/>
          <w:sz w:val="19"/>
          <w:szCs w:val="19"/>
          <w:color w:val="auto"/>
        </w:rPr>
        <w:t>Nothing in this Agreement is intended to discourage or restrict the Executive from reporting any theft of Trade Secrets pursuant to the Defend Trade Secrets Act of 2016 (the “DTSA”) or other applicable state or federal law. The DTSA prohibits retaliation against an employee because of whistleblower activity in connection with the disclosure of Trade Secrets, so long as any such disclosure is made either (i) in confidence to an attorney or a federal, state, or local government official and solely to report or investigate a suspected violation of the law, or (ii) under seal in a complaint or other document filed in a lawsuit or other proceeding.</w:t>
      </w:r>
    </w:p>
    <w:p>
      <w:pPr>
        <w:spacing w:after="0" w:line="164" w:lineRule="exact"/>
        <w:rPr>
          <w:rFonts w:ascii="Arial" w:cs="Arial" w:eastAsia="Arial" w:hAnsi="Arial"/>
          <w:sz w:val="19"/>
          <w:szCs w:val="19"/>
          <w:color w:val="auto"/>
        </w:rPr>
      </w:pPr>
    </w:p>
    <w:p>
      <w:pPr>
        <w:jc w:val="both"/>
        <w:ind w:left="1720" w:firstLine="738"/>
        <w:spacing w:after="0" w:line="250" w:lineRule="auto"/>
        <w:tabs>
          <w:tab w:leader="none" w:pos="3299" w:val="left"/>
        </w:tabs>
        <w:numPr>
          <w:ilvl w:val="2"/>
          <w:numId w:val="59"/>
        </w:numPr>
        <w:rPr>
          <w:rFonts w:ascii="Arial" w:cs="Arial" w:eastAsia="Arial" w:hAnsi="Arial"/>
          <w:sz w:val="18"/>
          <w:szCs w:val="18"/>
          <w:color w:val="auto"/>
        </w:rPr>
      </w:pPr>
      <w:r>
        <w:rPr>
          <w:rFonts w:ascii="Arial" w:cs="Arial" w:eastAsia="Arial" w:hAnsi="Arial"/>
          <w:sz w:val="18"/>
          <w:szCs w:val="18"/>
          <w:color w:val="auto"/>
        </w:rPr>
        <w:t>If the Executive believes that any employee or any third party has misappropriated or improperly used or disclosed Trade Secrets or Confidential Information, the Executive should report such activity through the Company’s Whistle Blower Policy (as provided in the Employee Handbook and/or any other then applicable policies and procedures of the Company) or Compliance Hotline. This Agreement is in addition to and not in lieu of any obligations to protect the Company’s Trade Secrets and Confidential Information pursuant to the Employee Handbook and/or any other then applicable policies and procedures of the Company and Code of Business Conduct and Ethics for Directors and Employees. Nothing in this Agreement shall limit, curtail or diminish the Company’s statutory rights under the DTSA, any applicable state law regarding trade secrets or common law.</w:t>
      </w:r>
    </w:p>
    <w:p>
      <w:pPr>
        <w:spacing w:after="0" w:line="151" w:lineRule="exact"/>
        <w:rPr>
          <w:rFonts w:ascii="Arial" w:cs="Arial" w:eastAsia="Arial" w:hAnsi="Arial"/>
          <w:sz w:val="18"/>
          <w:szCs w:val="18"/>
          <w:color w:val="auto"/>
        </w:rPr>
      </w:pPr>
    </w:p>
    <w:p>
      <w:pPr>
        <w:jc w:val="both"/>
        <w:ind w:right="20" w:firstLine="1726"/>
        <w:spacing w:after="0" w:line="280" w:lineRule="auto"/>
        <w:tabs>
          <w:tab w:leader="none" w:pos="2437" w:val="left"/>
        </w:tabs>
        <w:numPr>
          <w:ilvl w:val="1"/>
          <w:numId w:val="59"/>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Any notice, request, demand or other communication required or permitted herein will be deemed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properly given when personally served in writing or when deposited in the United States mail, postage prepaid, addressed to Executive at the address on file with the Company and to the Company with attention to the Chair of the Board of Directors of Orion (or the Lead Independent Director if Executive is then serving as the Chair). Either party may change its address by written notice in accordance with this paragraph.</w:t>
      </w:r>
    </w:p>
    <w:p>
      <w:pPr>
        <w:spacing w:after="0" w:line="123" w:lineRule="exact"/>
        <w:rPr>
          <w:rFonts w:ascii="Arial" w:cs="Arial" w:eastAsia="Arial" w:hAnsi="Arial"/>
          <w:sz w:val="17"/>
          <w:szCs w:val="17"/>
          <w:color w:val="auto"/>
        </w:rPr>
      </w:pPr>
    </w:p>
    <w:p>
      <w:pPr>
        <w:jc w:val="both"/>
        <w:ind w:right="20" w:firstLine="1726"/>
        <w:spacing w:after="0" w:line="242" w:lineRule="auto"/>
        <w:tabs>
          <w:tab w:leader="none" w:pos="2532" w:val="left"/>
        </w:tabs>
        <w:numPr>
          <w:ilvl w:val="1"/>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Set Off; Mitigation</w:t>
      </w:r>
      <w:r>
        <w:rPr>
          <w:rFonts w:ascii="Arial" w:cs="Arial" w:eastAsia="Arial" w:hAnsi="Arial"/>
          <w:sz w:val="19"/>
          <w:szCs w:val="19"/>
          <w:color w:val="auto"/>
        </w:rPr>
        <w:t>. The Company’s obligation to pay Executive the amounts and to provide the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shall be subject to set-off, counterclaim or recoupment of amounts owed by Executive to the Company provided, that notwithstanding any other provision of this Agreement to the contrary, in no event shall any payment under this Agreement this constitutes “nonqualified deferred compensation” for purposes of Code Section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08" w:name="page109"/>
    <w:bookmarkEnd w:id="108"/>
    <w:p>
      <w:pPr>
        <w:spacing w:after="0" w:line="255" w:lineRule="auto"/>
        <w:rPr>
          <w:sz w:val="20"/>
          <w:szCs w:val="20"/>
          <w:color w:val="auto"/>
        </w:rPr>
      </w:pPr>
      <w:r>
        <w:rPr>
          <w:rFonts w:ascii="Arial" w:cs="Arial" w:eastAsia="Arial" w:hAnsi="Arial"/>
          <w:sz w:val="19"/>
          <w:szCs w:val="19"/>
          <w:color w:val="auto"/>
        </w:rPr>
        <w:t>409A be subject to offset by any other amount unless otherwise permitted by Code Section 409A. However, Executive shall not be required to mitigate the amount of any payment provided for pursuant to this Agreement by seeking other employment or otherwise.</w:t>
      </w:r>
    </w:p>
    <w:p>
      <w:pPr>
        <w:spacing w:after="0" w:line="142" w:lineRule="exact"/>
        <w:rPr>
          <w:sz w:val="20"/>
          <w:szCs w:val="20"/>
          <w:color w:val="auto"/>
        </w:rPr>
      </w:pPr>
    </w:p>
    <w:p>
      <w:pPr>
        <w:jc w:val="both"/>
        <w:ind w:firstLine="1726"/>
        <w:spacing w:after="0" w:line="264" w:lineRule="auto"/>
        <w:tabs>
          <w:tab w:leader="none" w:pos="2525" w:val="left"/>
        </w:tabs>
        <w:numPr>
          <w:ilvl w:val="0"/>
          <w:numId w:val="60"/>
        </w:numPr>
        <w:rPr>
          <w:rFonts w:ascii="Arial" w:cs="Arial" w:eastAsia="Arial" w:hAnsi="Arial"/>
          <w:sz w:val="17"/>
          <w:szCs w:val="17"/>
          <w:color w:val="auto"/>
        </w:rPr>
      </w:pPr>
      <w:r>
        <w:rPr>
          <w:rFonts w:ascii="Arial" w:cs="Arial" w:eastAsia="Arial" w:hAnsi="Arial"/>
          <w:sz w:val="17"/>
          <w:szCs w:val="17"/>
          <w:b w:val="1"/>
          <w:bCs w:val="1"/>
          <w:u w:val="single" w:color="auto"/>
          <w:color w:val="auto"/>
        </w:rPr>
        <w:t>Benefit of Agreement</w:t>
      </w:r>
      <w:r>
        <w:rPr>
          <w:rFonts w:ascii="Arial" w:cs="Arial" w:eastAsia="Arial" w:hAnsi="Arial"/>
          <w:sz w:val="17"/>
          <w:szCs w:val="17"/>
          <w:color w:val="auto"/>
        </w:rPr>
        <w:t>. This Agreement shall inure to the benefit of and be binding upon the parties hereto and</w:t>
      </w:r>
      <w:r>
        <w:rPr>
          <w:rFonts w:ascii="Arial" w:cs="Arial" w:eastAsia="Arial" w:hAnsi="Arial"/>
          <w:sz w:val="17"/>
          <w:szCs w:val="17"/>
          <w:b w:val="1"/>
          <w:bCs w:val="1"/>
          <w:color w:val="auto"/>
        </w:rPr>
        <w:t xml:space="preserve"> </w:t>
      </w:r>
      <w:r>
        <w:rPr>
          <w:rFonts w:ascii="Arial" w:cs="Arial" w:eastAsia="Arial" w:hAnsi="Arial"/>
          <w:sz w:val="17"/>
          <w:szCs w:val="17"/>
          <w:color w:val="auto"/>
        </w:rPr>
        <w:t>their respective executors, administrators, successors and assigns. If Orion experiences a Change of Control, or otherwise sells, assigns or transfers all or substantially all of its business and assets to any person or if Orion merges into or consolidates or otherwise combines (where Orion does not survive such combination) with any person (any such event, a “Sale of Business”), then Orion shall assign all of its right, title and interest in this Agreement as of the date of such event to such person, and Orion shall cause such person, by written agreement in form and substance reasonably satisfactory to Executive, to expressly assume and agree to perform from and after the date of such assignment all of the terms, conditions and provisions imposed by this Agreement upon the Company. Failure of Orion to obtain such agreement prior to the effective date of such Sale of Business shall be a breach of this Agreement constituting “Good Reason” hereunder, except that for purposes of implementing the foregoing the date upon which such Sale of Business becomes effective shall be the Termination Date. In case of such assignment by Orion and of assumption and agreement by such person, as used in this Agreement, “Orion” shall thereafter mean the person which executes and delivers the agreement provided for in this Section 11 or which otherwise becomes bound by all the terms and provisions of this Agreement by operation of law, and this Agreement shall inure to the benefit of, and be enforceable by, such person. Executive shall, in his discretion, be entitled to proceed against any or all of such persons, any person which theretofore was such a successor to Orion, and Orion (as so defined) in any action to enforce any rights of Executive hereunder. Except as provided in this Section 11, this Agreement shall not be assignable by Orion. This Agreement shall not be terminated by the voluntary or involuntary dissolution of Orion.</w:t>
      </w:r>
    </w:p>
    <w:p>
      <w:pPr>
        <w:spacing w:after="0" w:line="139" w:lineRule="exact"/>
        <w:rPr>
          <w:rFonts w:ascii="Arial" w:cs="Arial" w:eastAsia="Arial" w:hAnsi="Arial"/>
          <w:sz w:val="17"/>
          <w:szCs w:val="17"/>
          <w:color w:val="auto"/>
        </w:rPr>
      </w:pPr>
    </w:p>
    <w:p>
      <w:pPr>
        <w:jc w:val="both"/>
        <w:ind w:firstLine="1726"/>
        <w:spacing w:after="0" w:line="275" w:lineRule="auto"/>
        <w:tabs>
          <w:tab w:leader="none" w:pos="2532" w:val="left"/>
        </w:tabs>
        <w:numPr>
          <w:ilvl w:val="0"/>
          <w:numId w:val="60"/>
        </w:numPr>
        <w:rPr>
          <w:rFonts w:ascii="Arial" w:cs="Arial" w:eastAsia="Arial" w:hAnsi="Arial"/>
          <w:sz w:val="17"/>
          <w:szCs w:val="17"/>
          <w:color w:val="auto"/>
        </w:rPr>
      </w:pPr>
      <w:r>
        <w:rPr>
          <w:rFonts w:ascii="Arial" w:cs="Arial" w:eastAsia="Arial" w:hAnsi="Arial"/>
          <w:sz w:val="17"/>
          <w:szCs w:val="17"/>
          <w:b w:val="1"/>
          <w:bCs w:val="1"/>
          <w:u w:val="single" w:color="auto"/>
          <w:color w:val="auto"/>
        </w:rPr>
        <w:t>Arbitration</w:t>
      </w:r>
      <w:r>
        <w:rPr>
          <w:rFonts w:ascii="Arial" w:cs="Arial" w:eastAsia="Arial" w:hAnsi="Arial"/>
          <w:sz w:val="17"/>
          <w:szCs w:val="17"/>
          <w:color w:val="auto"/>
        </w:rPr>
        <w:t>. Any controversy or claim arising out of or relating to this Agreement or the breach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that cannot be mutually resolved by the Executive and the Company, including any dispute as to the calculation of the Executive’s Benefits, Base Salary, Bonus Amount, Severance Payment, or any Change of Control Payment hereunder, shall be submitted to arbitration in Milwaukee, Wisconsin, in accordance with the procedures of the American Arbitration Association. The determination of the arbitrator shall be conclusive and binding on the Company and the Executive, and judgment may be entered on the arbitrator’s award in any court having jurisdiction.</w:t>
      </w:r>
    </w:p>
    <w:p>
      <w:pPr>
        <w:spacing w:after="0" w:line="127" w:lineRule="exact"/>
        <w:rPr>
          <w:rFonts w:ascii="Arial" w:cs="Arial" w:eastAsia="Arial" w:hAnsi="Arial"/>
          <w:sz w:val="17"/>
          <w:szCs w:val="17"/>
          <w:color w:val="auto"/>
        </w:rPr>
      </w:pPr>
    </w:p>
    <w:p>
      <w:pPr>
        <w:jc w:val="both"/>
        <w:ind w:firstLine="1726"/>
        <w:spacing w:after="0" w:line="260" w:lineRule="auto"/>
        <w:tabs>
          <w:tab w:leader="none" w:pos="2532"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and Jurisdiction</w:t>
      </w:r>
      <w:r>
        <w:rPr>
          <w:rFonts w:ascii="Arial" w:cs="Arial" w:eastAsia="Arial" w:hAnsi="Arial"/>
          <w:sz w:val="18"/>
          <w:szCs w:val="18"/>
          <w:color w:val="auto"/>
        </w:rPr>
        <w:t>. This Agreement is to be governed by and construed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and of the State of Wisconsin without resort to Wisconsin’s choice of law rules. Each party hereby agrees that the forum and venue for any legal or equitable action or proceeding arising out of, or in connection with, this Agreement will lie in the appropriate federal or state courts in the State of Wisconsin and specifically waives any and all objections to such jurisdiction and venue.</w:t>
      </w:r>
    </w:p>
    <w:p>
      <w:pPr>
        <w:spacing w:after="0" w:line="138" w:lineRule="exact"/>
        <w:rPr>
          <w:rFonts w:ascii="Arial" w:cs="Arial" w:eastAsia="Arial" w:hAnsi="Arial"/>
          <w:sz w:val="18"/>
          <w:szCs w:val="18"/>
          <w:color w:val="auto"/>
        </w:rPr>
      </w:pPr>
    </w:p>
    <w:p>
      <w:pPr>
        <w:ind w:firstLine="1726"/>
        <w:spacing w:after="0" w:line="262" w:lineRule="auto"/>
        <w:tabs>
          <w:tab w:leader="none" w:pos="2532" w:val="left"/>
        </w:tabs>
        <w:numPr>
          <w:ilvl w:val="0"/>
          <w:numId w:val="60"/>
        </w:numPr>
        <w:rPr>
          <w:rFonts w:ascii="Arial" w:cs="Arial" w:eastAsia="Arial" w:hAnsi="Arial"/>
          <w:sz w:val="19"/>
          <w:szCs w:val="19"/>
          <w:color w:val="auto"/>
        </w:rPr>
      </w:pPr>
      <w:r>
        <w:rPr>
          <w:rFonts w:ascii="Arial" w:cs="Arial" w:eastAsia="Arial" w:hAnsi="Arial"/>
          <w:sz w:val="19"/>
          <w:szCs w:val="19"/>
          <w:b w:val="1"/>
          <w:bCs w:val="1"/>
          <w:u w:val="single" w:color="auto"/>
          <w:color w:val="auto"/>
        </w:rPr>
        <w:t>Captions and Paragraph Headings</w:t>
      </w:r>
      <w:r>
        <w:rPr>
          <w:rFonts w:ascii="Arial" w:cs="Arial" w:eastAsia="Arial" w:hAnsi="Arial"/>
          <w:sz w:val="19"/>
          <w:szCs w:val="19"/>
          <w:color w:val="auto"/>
        </w:rPr>
        <w:t>. Captions and paragraph headings used herein are for convenience only and</w:t>
      </w:r>
      <w:r>
        <w:rPr>
          <w:rFonts w:ascii="Arial" w:cs="Arial" w:eastAsia="Arial" w:hAnsi="Arial"/>
          <w:sz w:val="19"/>
          <w:szCs w:val="19"/>
          <w:b w:val="1"/>
          <w:bCs w:val="1"/>
          <w:color w:val="auto"/>
        </w:rPr>
        <w:t xml:space="preserve"> </w:t>
      </w:r>
      <w:r>
        <w:rPr>
          <w:rFonts w:ascii="Arial" w:cs="Arial" w:eastAsia="Arial" w:hAnsi="Arial"/>
          <w:sz w:val="19"/>
          <w:szCs w:val="19"/>
          <w:color w:val="auto"/>
        </w:rPr>
        <w:t>are not a part of this Agreement and will not be used in construing it.</w:t>
      </w:r>
    </w:p>
    <w:p>
      <w:pPr>
        <w:spacing w:after="0" w:line="134" w:lineRule="exact"/>
        <w:rPr>
          <w:rFonts w:ascii="Arial" w:cs="Arial" w:eastAsia="Arial" w:hAnsi="Arial"/>
          <w:sz w:val="19"/>
          <w:szCs w:val="19"/>
          <w:color w:val="auto"/>
        </w:rPr>
      </w:pPr>
    </w:p>
    <w:p>
      <w:pPr>
        <w:jc w:val="both"/>
        <w:ind w:right="20" w:firstLine="1726"/>
        <w:spacing w:after="0" w:line="247" w:lineRule="auto"/>
        <w:tabs>
          <w:tab w:leader="none" w:pos="2532" w:val="left"/>
        </w:tabs>
        <w:numPr>
          <w:ilvl w:val="0"/>
          <w:numId w:val="60"/>
        </w:numPr>
        <w:rPr>
          <w:rFonts w:ascii="Arial" w:cs="Arial" w:eastAsia="Arial" w:hAnsi="Arial"/>
          <w:sz w:val="19"/>
          <w:szCs w:val="19"/>
          <w:color w:val="auto"/>
        </w:rPr>
      </w:pPr>
      <w:r>
        <w:rPr>
          <w:rFonts w:ascii="Arial" w:cs="Arial" w:eastAsia="Arial" w:hAnsi="Arial"/>
          <w:sz w:val="19"/>
          <w:szCs w:val="19"/>
          <w:b w:val="1"/>
          <w:bCs w:val="1"/>
          <w:u w:val="single" w:color="auto"/>
          <w:color w:val="auto"/>
        </w:rPr>
        <w:t>Invalid Provisions</w:t>
      </w:r>
      <w:r>
        <w:rPr>
          <w:rFonts w:ascii="Arial" w:cs="Arial" w:eastAsia="Arial" w:hAnsi="Arial"/>
          <w:sz w:val="19"/>
          <w:szCs w:val="19"/>
          <w:color w:val="auto"/>
        </w:rPr>
        <w:t>. Subject to Section 8(e), should any provision of this Agreement for any reason be declared</w:t>
      </w:r>
      <w:r>
        <w:rPr>
          <w:rFonts w:ascii="Arial" w:cs="Arial" w:eastAsia="Arial" w:hAnsi="Arial"/>
          <w:sz w:val="19"/>
          <w:szCs w:val="19"/>
          <w:b w:val="1"/>
          <w:bCs w:val="1"/>
          <w:color w:val="auto"/>
        </w:rPr>
        <w:t xml:space="preserve"> </w:t>
      </w:r>
      <w:r>
        <w:rPr>
          <w:rFonts w:ascii="Arial" w:cs="Arial" w:eastAsia="Arial" w:hAnsi="Arial"/>
          <w:sz w:val="19"/>
          <w:szCs w:val="19"/>
          <w:color w:val="auto"/>
        </w:rPr>
        <w:t>invalid, void, or unenforceable by a court of competent jurisdiction, the validity and binding effect of any remaining portion will not be affected, and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color w:val="auto"/>
        </w:rPr>
        <w:t>remaining portions of this Agreement will remain in full force and effect as if this Agreement had been executed with said provision eliminated.</w:t>
      </w:r>
    </w:p>
    <w:p>
      <w:pPr>
        <w:spacing w:after="0" w:line="199" w:lineRule="exact"/>
        <w:rPr>
          <w:sz w:val="20"/>
          <w:szCs w:val="20"/>
          <w:color w:val="auto"/>
        </w:rPr>
      </w:pPr>
    </w:p>
    <w:p>
      <w:pPr>
        <w:jc w:val="both"/>
        <w:ind w:firstLine="1726"/>
        <w:spacing w:after="0" w:line="247" w:lineRule="auto"/>
        <w:tabs>
          <w:tab w:leader="none" w:pos="2532" w:val="left"/>
        </w:tabs>
        <w:numPr>
          <w:ilvl w:val="0"/>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No Waiver</w:t>
      </w:r>
      <w:r>
        <w:rPr>
          <w:rFonts w:ascii="Arial" w:cs="Arial" w:eastAsia="Arial" w:hAnsi="Arial"/>
          <w:sz w:val="19"/>
          <w:szCs w:val="19"/>
          <w:color w:val="auto"/>
        </w:rPr>
        <w:t>. The failure of a party to insist upon strict adherence to any term of this Agreement on any occasion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be considered a waiver of such party’s rights or deprive such party of the right thereafter to insist upon strict adherence to that term or any other term of this Agreement.</w:t>
      </w:r>
    </w:p>
    <w:p>
      <w:pPr>
        <w:spacing w:after="0" w:line="149" w:lineRule="exact"/>
        <w:rPr>
          <w:rFonts w:ascii="Arial" w:cs="Arial" w:eastAsia="Arial" w:hAnsi="Arial"/>
          <w:sz w:val="19"/>
          <w:szCs w:val="19"/>
          <w:color w:val="auto"/>
        </w:rPr>
      </w:pPr>
    </w:p>
    <w:p>
      <w:pPr>
        <w:jc w:val="both"/>
        <w:ind w:firstLine="1726"/>
        <w:spacing w:after="0" w:line="272" w:lineRule="auto"/>
        <w:tabs>
          <w:tab w:leader="none" w:pos="2532" w:val="left"/>
        </w:tabs>
        <w:numPr>
          <w:ilvl w:val="0"/>
          <w:numId w:val="61"/>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contains the entire agreement of the parties with respect to the subject matter</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except where other agreements are specifically noted, adopted, or incorporated by reference. This Agreement otherwise supersedes the Prior Agreement and any and all other agreements, either oral or in writing, between the parties hereto with respect to the employment of Executive by Company, and all such agreements shall be void and of no effect. Each party to this Agreement acknowledges that no representations, inducements, promises, or agreements, oral or otherwise, have been made by any party, or anyone acting on behalf of any party, which are not embodied herein, and that no other agreement, statement, or promise not contained in this Agreement will be valid or binding.</w:t>
      </w:r>
    </w:p>
    <w:p>
      <w:pPr>
        <w:spacing w:after="0" w:line="129" w:lineRule="exact"/>
        <w:rPr>
          <w:rFonts w:ascii="Arial" w:cs="Arial" w:eastAsia="Arial" w:hAnsi="Arial"/>
          <w:sz w:val="17"/>
          <w:szCs w:val="17"/>
          <w:color w:val="auto"/>
        </w:rPr>
      </w:pPr>
    </w:p>
    <w:p>
      <w:pPr>
        <w:ind w:firstLine="1726"/>
        <w:spacing w:after="0" w:line="262" w:lineRule="auto"/>
        <w:tabs>
          <w:tab w:leader="none" w:pos="2532" w:val="left"/>
        </w:tabs>
        <w:numPr>
          <w:ilvl w:val="0"/>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Modification</w:t>
      </w:r>
      <w:r>
        <w:rPr>
          <w:rFonts w:ascii="Arial" w:cs="Arial" w:eastAsia="Arial" w:hAnsi="Arial"/>
          <w:sz w:val="19"/>
          <w:szCs w:val="19"/>
          <w:color w:val="auto"/>
        </w:rPr>
        <w:t>. This Agreement may not be modified or amended by oral agreement, but only by an agreement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signed by Orion and Executive.</w:t>
      </w:r>
    </w:p>
    <w:p>
      <w:pPr>
        <w:spacing w:after="0" w:line="134" w:lineRule="exact"/>
        <w:rPr>
          <w:rFonts w:ascii="Arial" w:cs="Arial" w:eastAsia="Arial" w:hAnsi="Arial"/>
          <w:sz w:val="19"/>
          <w:szCs w:val="19"/>
          <w:color w:val="auto"/>
        </w:rPr>
      </w:pPr>
    </w:p>
    <w:p>
      <w:pPr>
        <w:ind w:right="20" w:firstLine="1726"/>
        <w:spacing w:after="0" w:line="262" w:lineRule="auto"/>
        <w:tabs>
          <w:tab w:leader="none" w:pos="2532" w:val="left"/>
        </w:tabs>
        <w:numPr>
          <w:ilvl w:val="0"/>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signed in counterparts, each of which shall be an original, with the same</w:t>
      </w:r>
      <w:r>
        <w:rPr>
          <w:rFonts w:ascii="Arial" w:cs="Arial" w:eastAsia="Arial" w:hAnsi="Arial"/>
          <w:sz w:val="19"/>
          <w:szCs w:val="19"/>
          <w:b w:val="1"/>
          <w:bCs w:val="1"/>
          <w:color w:val="auto"/>
        </w:rPr>
        <w:t xml:space="preserve"> </w:t>
      </w:r>
      <w:r>
        <w:rPr>
          <w:rFonts w:ascii="Arial" w:cs="Arial" w:eastAsia="Arial" w:hAnsi="Arial"/>
          <w:sz w:val="19"/>
          <w:szCs w:val="19"/>
          <w:color w:val="auto"/>
        </w:rPr>
        <w:t>effect as if the signatures thereto and hereto were upon the same instrument.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this Agreement is effective as of the Effective Date.</w:t>
      </w: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Michael W. Altschaefl</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Name: Michael W. Altschaefl</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ORION ENERGY SYSTEMS, INC.</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Anthony L. Otten</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Anthony L. Otten</w:t>
      </w:r>
    </w:p>
    <w:p>
      <w:pPr>
        <w:ind w:left="280"/>
        <w:spacing w:after="0"/>
        <w:rPr>
          <w:sz w:val="20"/>
          <w:szCs w:val="20"/>
          <w:color w:val="auto"/>
        </w:rPr>
      </w:pPr>
      <w:r>
        <w:rPr>
          <w:rFonts w:ascii="Arial" w:cs="Arial" w:eastAsia="Arial" w:hAnsi="Arial"/>
          <w:sz w:val="19"/>
          <w:szCs w:val="19"/>
          <w:color w:val="auto"/>
        </w:rPr>
        <w:t>Lead Independent Director</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18</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6470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139"/>
          </w:cols>
          <w:pgMar w:left="320" w:top="303"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19"/>
          <w:szCs w:val="19"/>
          <w:b w:val="1"/>
          <w:bCs w:val="1"/>
          <w:color w:val="auto"/>
        </w:rPr>
        <w:t>EXHIBIT A</w:t>
      </w:r>
    </w:p>
    <w:p>
      <w:pPr>
        <w:spacing w:after="0" w:line="376"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9"/>
          <w:szCs w:val="19"/>
          <w:color w:val="auto"/>
        </w:rPr>
        <w:t>Executive:</w:t>
      </w:r>
      <w:r>
        <w:rPr>
          <w:sz w:val="20"/>
          <w:szCs w:val="20"/>
          <w:color w:val="auto"/>
        </w:rPr>
        <w:tab/>
      </w:r>
      <w:r>
        <w:rPr>
          <w:rFonts w:ascii="Arial" w:cs="Arial" w:eastAsia="Arial" w:hAnsi="Arial"/>
          <w:sz w:val="19"/>
          <w:szCs w:val="19"/>
          <w:color w:val="auto"/>
        </w:rPr>
        <w:t>Michael W. Altschaefl</w:t>
      </w:r>
    </w:p>
    <w:p>
      <w:pPr>
        <w:spacing w:after="0" w:line="370" w:lineRule="exact"/>
        <w:rPr>
          <w:sz w:val="20"/>
          <w:szCs w:val="20"/>
          <w:color w:val="auto"/>
        </w:rPr>
      </w:pPr>
    </w:p>
    <w:p>
      <w:pPr>
        <w:ind w:left="420"/>
        <w:spacing w:after="0"/>
        <w:rPr>
          <w:sz w:val="20"/>
          <w:szCs w:val="20"/>
          <w:color w:val="auto"/>
        </w:rPr>
      </w:pPr>
      <w:r>
        <w:rPr>
          <w:rFonts w:ascii="Arial" w:cs="Arial" w:eastAsia="Arial" w:hAnsi="Arial"/>
          <w:sz w:val="19"/>
          <w:szCs w:val="19"/>
          <w:u w:val="single" w:color="auto"/>
          <w:color w:val="auto"/>
        </w:rPr>
        <w:t>Benefits and Perquisites</w:t>
      </w:r>
      <w:r>
        <w:rPr>
          <w:rFonts w:ascii="Arial" w:cs="Arial" w:eastAsia="Arial" w:hAnsi="Arial"/>
          <w:sz w:val="19"/>
          <w:szCs w:val="19"/>
          <w:color w:val="auto"/>
        </w:rPr>
        <w:t>*</w:t>
      </w:r>
    </w:p>
    <w:p>
      <w:pPr>
        <w:spacing w:after="0" w:line="182" w:lineRule="exact"/>
        <w:rPr>
          <w:sz w:val="20"/>
          <w:szCs w:val="20"/>
          <w:color w:val="auto"/>
        </w:rPr>
      </w:pPr>
    </w:p>
    <w:p>
      <w:pPr>
        <w:jc w:val="both"/>
        <w:ind w:left="420" w:firstLine="8"/>
        <w:spacing w:after="0" w:line="255" w:lineRule="auto"/>
        <w:tabs>
          <w:tab w:leader="none" w:pos="573"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Note: The listed benefits and perquisites are in addition to those generally made available to all other senior executives of Orion under the Company’s employee benefit plans (other than annual and long-term cash and equity incentive plans, which are addressed in Section 3(c) of the Agreement) as in effect from time to time. Executive is entitled to participate in such benefit plans on the same basis as those benefits are generally made available to other senior executives of Orion. Currently, such company-wide benefits include: (i) 401(k) Plan; (ii) group short term disability insurance; and (iii) group health and prescription drug insurance.</w:t>
      </w:r>
    </w:p>
    <w:p>
      <w:pPr>
        <w:spacing w:after="0" w:line="336" w:lineRule="exact"/>
        <w:rPr>
          <w:sz w:val="20"/>
          <w:szCs w:val="20"/>
          <w:color w:val="auto"/>
        </w:rPr>
      </w:pPr>
    </w:p>
    <w:p>
      <w:pPr>
        <w:ind w:left="420"/>
        <w:spacing w:after="0"/>
        <w:tabs>
          <w:tab w:leader="none" w:pos="1520" w:val="left"/>
        </w:tabs>
        <w:rPr>
          <w:sz w:val="20"/>
          <w:szCs w:val="20"/>
          <w:color w:val="auto"/>
        </w:rPr>
      </w:pPr>
      <w:r>
        <w:rPr>
          <w:rFonts w:ascii="Arial" w:cs="Arial" w:eastAsia="Arial" w:hAnsi="Arial"/>
          <w:sz w:val="19"/>
          <w:szCs w:val="19"/>
          <w:u w:val="single" w:color="auto"/>
          <w:color w:val="auto"/>
        </w:rPr>
        <w:t>Benefit</w:t>
      </w:r>
      <w:r>
        <w:rPr>
          <w:sz w:val="20"/>
          <w:szCs w:val="20"/>
          <w:color w:val="auto"/>
        </w:rPr>
        <w:tab/>
      </w:r>
      <w:r>
        <w:rPr>
          <w:rFonts w:ascii="Arial" w:cs="Arial" w:eastAsia="Arial" w:hAnsi="Arial"/>
          <w:sz w:val="19"/>
          <w:szCs w:val="19"/>
          <w:u w:val="single" w:color="auto"/>
          <w:color w:val="auto"/>
        </w:rPr>
        <w:t>Amount</w:t>
      </w:r>
    </w:p>
    <w:p>
      <w:pPr>
        <w:spacing w:after="0" w:line="182" w:lineRule="exact"/>
        <w:rPr>
          <w:sz w:val="20"/>
          <w:szCs w:val="20"/>
          <w:color w:val="auto"/>
        </w:rPr>
      </w:pPr>
    </w:p>
    <w:p>
      <w:pPr>
        <w:ind w:left="840" w:hanging="422"/>
        <w:spacing w:after="0"/>
        <w:tabs>
          <w:tab w:leader="none" w:pos="8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Life Insurance $1,000,000 (face value)</w:t>
      </w:r>
    </w:p>
    <w:p>
      <w:pPr>
        <w:spacing w:after="0" w:line="181" w:lineRule="exact"/>
        <w:rPr>
          <w:rFonts w:ascii="Arial" w:cs="Arial" w:eastAsia="Arial" w:hAnsi="Arial"/>
          <w:sz w:val="19"/>
          <w:szCs w:val="19"/>
          <w:color w:val="auto"/>
        </w:rPr>
      </w:pPr>
    </w:p>
    <w:p>
      <w:pPr>
        <w:ind w:left="840" w:hanging="422"/>
        <w:spacing w:after="0"/>
        <w:tabs>
          <w:tab w:leader="none" w:pos="8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Health/Prescription Drug ReimbursementReimbursed by Company Per Current Practice</w:t>
      </w:r>
    </w:p>
    <w:p>
      <w:pPr>
        <w:spacing w:after="0" w:line="181" w:lineRule="exact"/>
        <w:rPr>
          <w:rFonts w:ascii="Arial" w:cs="Arial" w:eastAsia="Arial" w:hAnsi="Arial"/>
          <w:sz w:val="19"/>
          <w:szCs w:val="19"/>
          <w:color w:val="auto"/>
        </w:rPr>
      </w:pPr>
    </w:p>
    <w:p>
      <w:pPr>
        <w:ind w:left="840" w:hanging="422"/>
        <w:spacing w:after="0"/>
        <w:tabs>
          <w:tab w:leader="none" w:pos="8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Group Long Term Disability InsuranceReimbursed by Company Per Current Practice</w:t>
      </w:r>
    </w:p>
    <w:p>
      <w:pPr>
        <w:spacing w:after="0" w:line="181" w:lineRule="exact"/>
        <w:rPr>
          <w:rFonts w:ascii="Arial" w:cs="Arial" w:eastAsia="Arial" w:hAnsi="Arial"/>
          <w:sz w:val="19"/>
          <w:szCs w:val="19"/>
          <w:color w:val="auto"/>
        </w:rPr>
      </w:pPr>
    </w:p>
    <w:p>
      <w:pPr>
        <w:ind w:left="840" w:hanging="422"/>
        <w:spacing w:after="0"/>
        <w:tabs>
          <w:tab w:leader="none" w:pos="8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Automobile Allowance$1,000 per month</w:t>
      </w:r>
    </w:p>
    <w:p>
      <w:pPr>
        <w:spacing w:after="0" w:line="181" w:lineRule="exact"/>
        <w:rPr>
          <w:rFonts w:ascii="Arial" w:cs="Arial" w:eastAsia="Arial" w:hAnsi="Arial"/>
          <w:sz w:val="19"/>
          <w:szCs w:val="19"/>
          <w:color w:val="auto"/>
        </w:rPr>
      </w:pPr>
    </w:p>
    <w:p>
      <w:pPr>
        <w:ind w:left="840" w:hanging="422"/>
        <w:spacing w:after="0"/>
        <w:tabs>
          <w:tab w:leader="none" w:pos="8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Vacation5 weeks per year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60"/>
          </w:cols>
          <w:pgMar w:left="320" w:top="303" w:right="3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3"/>
          <w:szCs w:val="13"/>
          <w:b w:val="1"/>
          <w:bCs w:val="1"/>
          <w:color w:val="auto"/>
        </w:rPr>
        <w:t>Exhibit 10.16</w:t>
      </w:r>
    </w:p>
    <w:p>
      <w:pPr>
        <w:sectPr>
          <w:pgSz w:w="11900" w:h="16838" w:orient="portrait"/>
          <w:cols w:equalWidth="0" w:num="1">
            <w:col w:w="11260"/>
          </w:cols>
          <w:pgMar w:left="320" w:top="123" w:right="31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Name of Executive:</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Position: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Fiscal Year 2021 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William T. Hull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Executive Vice President, Chief Financial</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Officer and Treasurer</w:t>
      </w:r>
    </w:p>
    <w:p>
      <w:pPr>
        <w:ind w:left="700"/>
        <w:spacing w:after="0"/>
        <w:rPr>
          <w:sz w:val="20"/>
          <w:szCs w:val="20"/>
          <w:color w:val="auto"/>
        </w:rPr>
      </w:pPr>
      <w:r>
        <w:rPr>
          <w:rFonts w:ascii="Arial" w:cs="Arial" w:eastAsia="Arial" w:hAnsi="Arial"/>
          <w:sz w:val="19"/>
          <w:szCs w:val="19"/>
          <w:color w:val="auto"/>
        </w:rPr>
        <w:t>$350,000</w:t>
      </w:r>
    </w:p>
    <w:p>
      <w:pPr>
        <w:spacing w:after="0" w:line="5" w:lineRule="exact"/>
        <w:rPr>
          <w:sz w:val="20"/>
          <w:szCs w:val="20"/>
          <w:color w:val="auto"/>
        </w:rPr>
      </w:pPr>
    </w:p>
    <w:p>
      <w:pPr>
        <w:sectPr>
          <w:pgSz w:w="11900" w:h="16838" w:orient="portrait"/>
          <w:cols w:equalWidth="0" w:num="2">
            <w:col w:w="4780" w:space="720"/>
            <w:col w:w="5760"/>
          </w:cols>
          <w:pgMar w:left="320" w:top="123" w:right="319" w:bottom="1440" w:gutter="0" w:footer="0" w:header="0"/>
          <w:type w:val="continuous"/>
        </w:sectPr>
      </w:pPr>
    </w:p>
    <w:p>
      <w:pPr>
        <w:spacing w:after="0"/>
        <w:rPr>
          <w:sz w:val="20"/>
          <w:szCs w:val="20"/>
          <w:color w:val="auto"/>
        </w:rPr>
      </w:pPr>
      <w:r>
        <w:rPr>
          <w:rFonts w:ascii="Arial" w:cs="Arial" w:eastAsia="Arial" w:hAnsi="Arial"/>
          <w:sz w:val="17"/>
          <w:szCs w:val="17"/>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June 1, 2020</w:t>
      </w:r>
    </w:p>
    <w:p>
      <w:pPr>
        <w:spacing w:after="0" w:line="199" w:lineRule="exact"/>
        <w:rPr>
          <w:sz w:val="20"/>
          <w:szCs w:val="20"/>
          <w:color w:val="auto"/>
        </w:rPr>
      </w:pPr>
    </w:p>
    <w:p>
      <w:pPr>
        <w:sectPr>
          <w:pgSz w:w="11900" w:h="16838" w:orient="portrait"/>
          <w:cols w:equalWidth="0" w:num="2">
            <w:col w:w="4360" w:space="720"/>
            <w:col w:w="6180"/>
          </w:cols>
          <w:pgMar w:left="320" w:top="123" w:right="319" w:bottom="1440" w:gutter="0" w:footer="0" w:header="0"/>
          <w:type w:val="continuous"/>
        </w:sectPr>
      </w:pPr>
    </w:p>
    <w:p>
      <w:pPr>
        <w:spacing w:after="0"/>
        <w:rPr>
          <w:sz w:val="20"/>
          <w:szCs w:val="20"/>
          <w:color w:val="auto"/>
        </w:rPr>
      </w:pPr>
      <w:r>
        <w:rPr>
          <w:rFonts w:ascii="Arial" w:cs="Arial" w:eastAsia="Arial" w:hAnsi="Arial"/>
          <w:sz w:val="17"/>
          <w:szCs w:val="17"/>
          <w:color w:val="auto"/>
        </w:rPr>
        <w:t>Pre-Change of Control Severance Multiplier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Post-Change of Control Severance Multiplier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1x</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7"/>
          <w:szCs w:val="17"/>
          <w:color w:val="auto"/>
        </w:rPr>
        <w:t>2x</w:t>
      </w:r>
    </w:p>
    <w:p>
      <w:pPr>
        <w:spacing w:after="0" w:line="200" w:lineRule="exact"/>
        <w:rPr>
          <w:sz w:val="20"/>
          <w:szCs w:val="20"/>
          <w:color w:val="auto"/>
        </w:rPr>
      </w:pPr>
    </w:p>
    <w:p>
      <w:pPr>
        <w:sectPr>
          <w:pgSz w:w="11900" w:h="16838" w:orient="portrait"/>
          <w:cols w:equalWidth="0" w:num="2">
            <w:col w:w="6800" w:space="720"/>
            <w:col w:w="3740"/>
          </w:cols>
          <w:pgMar w:left="320" w:top="123" w:right="319" w:bottom="1440" w:gutter="0" w:footer="0" w:header="0"/>
          <w:type w:val="continuous"/>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AND RESTATED EXECUTIVE EMPLOYMENT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 SEVERANCE AGREEMENT</w:t>
      </w:r>
    </w:p>
    <w:p>
      <w:pPr>
        <w:spacing w:after="0" w:line="166" w:lineRule="exact"/>
        <w:rPr>
          <w:sz w:val="20"/>
          <w:szCs w:val="20"/>
          <w:color w:val="auto"/>
        </w:rPr>
      </w:pPr>
    </w:p>
    <w:p>
      <w:pPr>
        <w:jc w:val="both"/>
        <w:ind w:right="20" w:firstLine="1732"/>
        <w:spacing w:after="0"/>
        <w:rPr>
          <w:sz w:val="20"/>
          <w:szCs w:val="20"/>
          <w:color w:val="auto"/>
        </w:rPr>
      </w:pPr>
      <w:r>
        <w:rPr>
          <w:rFonts w:ascii="Arial" w:cs="Arial" w:eastAsia="Arial" w:hAnsi="Arial"/>
          <w:sz w:val="19"/>
          <w:szCs w:val="19"/>
          <w:color w:val="auto"/>
        </w:rPr>
        <w:t>This Amended and Restated Executive Employment Agreement (“Agreement”) is between the executive named above (“Executive”), and Orion Energy Systems, Inc. (“Orion” or the “Company”) effective as of the effective date set forth above (“Effective Date”) and amends and restates in its entirety the existing Executive Employment and Severance Agreement between the Executive and the Company dated and effective as of October 5, 2015 as amended on June 13, 2017 (“Prior Agreement”).</w:t>
      </w:r>
    </w:p>
    <w:p>
      <w:pPr>
        <w:spacing w:after="0" w:line="155" w:lineRule="exact"/>
        <w:rPr>
          <w:sz w:val="20"/>
          <w:szCs w:val="20"/>
          <w:color w:val="auto"/>
        </w:rPr>
      </w:pPr>
    </w:p>
    <w:p>
      <w:pPr>
        <w:jc w:val="both"/>
        <w:ind w:firstLine="1732"/>
        <w:spacing w:after="0" w:line="26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Executive is currently serving as the Executive Vice President, Chief Financial Officer and Treasurer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is currently subject to the Prior Agreement.</w:t>
      </w:r>
    </w:p>
    <w:p>
      <w:pPr>
        <w:spacing w:after="0" w:line="135" w:lineRule="exact"/>
        <w:rPr>
          <w:sz w:val="20"/>
          <w:szCs w:val="20"/>
          <w:color w:val="auto"/>
        </w:rPr>
      </w:pPr>
    </w:p>
    <w:p>
      <w:pPr>
        <w:jc w:val="both"/>
        <w:ind w:firstLine="1732"/>
        <w:spacing w:after="0" w:line="24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Orion and Executive desire to amend and restate the terms and conditions on which Executive will continue to</w:t>
      </w:r>
      <w:r>
        <w:rPr>
          <w:rFonts w:ascii="Arial" w:cs="Arial" w:eastAsia="Arial" w:hAnsi="Arial"/>
          <w:sz w:val="19"/>
          <w:szCs w:val="19"/>
          <w:b w:val="1"/>
          <w:bCs w:val="1"/>
          <w:color w:val="auto"/>
        </w:rPr>
        <w:t xml:space="preserve"> </w:t>
      </w:r>
      <w:r>
        <w:rPr>
          <w:rFonts w:ascii="Arial" w:cs="Arial" w:eastAsia="Arial" w:hAnsi="Arial"/>
          <w:sz w:val="19"/>
          <w:szCs w:val="19"/>
          <w:color w:val="auto"/>
        </w:rPr>
        <w:t>be employed by Orion as its Executive Vice President, Chief Financial Officer and Treasurer on and after the Effective Date, and under which Executive will receive severance in the event that Executive separates from service with Orion under certain conditions, including after the Company experiences a Change of Control.</w:t>
      </w:r>
    </w:p>
    <w:p>
      <w:pPr>
        <w:spacing w:after="0" w:line="154" w:lineRule="exact"/>
        <w:rPr>
          <w:sz w:val="20"/>
          <w:szCs w:val="20"/>
          <w:color w:val="auto"/>
        </w:rPr>
      </w:pPr>
    </w:p>
    <w:p>
      <w:pPr>
        <w:ind w:left="172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for good and valuable consideration, the parties agree as follows:</w:t>
      </w:r>
    </w:p>
    <w:p>
      <w:pPr>
        <w:spacing w:after="0" w:line="182" w:lineRule="exact"/>
        <w:rPr>
          <w:sz w:val="20"/>
          <w:szCs w:val="20"/>
          <w:color w:val="auto"/>
        </w:rPr>
      </w:pPr>
    </w:p>
    <w:p>
      <w:pPr>
        <w:jc w:val="both"/>
        <w:ind w:firstLine="1732"/>
        <w:spacing w:after="0" w:line="290" w:lineRule="auto"/>
        <w:rPr>
          <w:sz w:val="20"/>
          <w:szCs w:val="20"/>
          <w:color w:val="auto"/>
        </w:rPr>
      </w:pPr>
      <w:r>
        <w:rPr>
          <w:rFonts w:ascii="Arial" w:cs="Arial" w:eastAsia="Arial" w:hAnsi="Arial"/>
          <w:sz w:val="17"/>
          <w:szCs w:val="17"/>
          <w:color w:val="auto"/>
        </w:rPr>
        <w:t>1.</w:t>
      </w:r>
      <w:r>
        <w:rPr>
          <w:rFonts w:ascii="Arial" w:cs="Arial" w:eastAsia="Arial" w:hAnsi="Arial"/>
          <w:sz w:val="17"/>
          <w:szCs w:val="17"/>
          <w:b w:val="1"/>
          <w:bCs w:val="1"/>
          <w:u w:val="single" w:color="auto"/>
          <w:color w:val="auto"/>
        </w:rPr>
        <w:t>Effective Date; Term</w:t>
      </w:r>
      <w:r>
        <w:rPr>
          <w:rFonts w:ascii="Arial" w:cs="Arial" w:eastAsia="Arial" w:hAnsi="Arial"/>
          <w:sz w:val="17"/>
          <w:szCs w:val="17"/>
          <w:color w:val="auto"/>
        </w:rPr>
        <w:t>. This Agreement shall become effective on the Effective Date and continue until terminated as set forth in Section 4 hereof. Termination of this Agreement will not affect the rights or obligations of the parties hereunder arising out of, or relating to circumstances occurring prior to the termination of this Agreement, which rights and obligations will survive the termination of this Agreement.</w:t>
      </w:r>
    </w:p>
    <w:p>
      <w:pPr>
        <w:spacing w:after="0" w:line="115"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2.</w:t>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 For purposes of this Agreement, the following terms shall have the meanings ascribed to them:</w:t>
      </w:r>
    </w:p>
    <w:p>
      <w:pPr>
        <w:spacing w:after="0" w:line="182" w:lineRule="exact"/>
        <w:rPr>
          <w:sz w:val="20"/>
          <w:szCs w:val="20"/>
          <w:color w:val="auto"/>
        </w:rPr>
      </w:pPr>
    </w:p>
    <w:p>
      <w:pPr>
        <w:jc w:val="both"/>
        <w:ind w:left="860" w:firstLine="799"/>
        <w:spacing w:after="0" w:line="247" w:lineRule="auto"/>
        <w:rPr>
          <w:sz w:val="20"/>
          <w:szCs w:val="20"/>
          <w:color w:val="auto"/>
        </w:rPr>
      </w:pPr>
      <w:r>
        <w:rPr>
          <w:rFonts w:ascii="Arial" w:cs="Arial" w:eastAsia="Arial" w:hAnsi="Arial"/>
          <w:sz w:val="19"/>
          <w:szCs w:val="19"/>
          <w:color w:val="auto"/>
        </w:rPr>
        <w:t>(a)“</w:t>
      </w:r>
      <w:r>
        <w:rPr>
          <w:rFonts w:ascii="Arial" w:cs="Arial" w:eastAsia="Arial" w:hAnsi="Arial"/>
          <w:sz w:val="19"/>
          <w:szCs w:val="19"/>
          <w:b w:val="1"/>
          <w:bCs w:val="1"/>
          <w:color w:val="auto"/>
        </w:rPr>
        <w:t>Accrued Benefits</w:t>
      </w:r>
      <w:r>
        <w:rPr>
          <w:rFonts w:ascii="Arial" w:cs="Arial" w:eastAsia="Arial" w:hAnsi="Arial"/>
          <w:sz w:val="19"/>
          <w:szCs w:val="19"/>
          <w:color w:val="auto"/>
        </w:rPr>
        <w:t>” shall mean, as of the Termination Date, the sum of: (i) Executive’s Base Salary earned but not paid for the time period ending with the Termination Date; (ii) any other earned but unpaid amounts as of the Termination Date, and (iii) any other payments or benefits to be provided to Executive by Orion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6470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9"/>
          <w:szCs w:val="19"/>
          <w:color w:val="auto"/>
        </w:rPr>
        <w:t>any employee benefit plans or arrangements adopted by Orion, to the extent such amounts are due from Orion.</w:t>
      </w:r>
    </w:p>
    <w:p>
      <w:pPr>
        <w:spacing w:after="0" w:line="176" w:lineRule="exact"/>
        <w:rPr>
          <w:sz w:val="20"/>
          <w:szCs w:val="20"/>
          <w:color w:val="auto"/>
        </w:rPr>
      </w:pPr>
    </w:p>
    <w:p>
      <w:pPr>
        <w:jc w:val="both"/>
        <w:ind w:right="20" w:firstLine="799"/>
        <w:spacing w:after="0" w:line="262" w:lineRule="auto"/>
        <w:rPr>
          <w:sz w:val="20"/>
          <w:szCs w:val="20"/>
          <w:color w:val="auto"/>
        </w:rPr>
      </w:pPr>
      <w:r>
        <w:rPr>
          <w:rFonts w:ascii="Arial" w:cs="Arial" w:eastAsia="Arial" w:hAnsi="Arial"/>
          <w:sz w:val="19"/>
          <w:szCs w:val="19"/>
          <w:color w:val="auto"/>
        </w:rPr>
        <w:t>(b)“</w:t>
      </w:r>
      <w:r>
        <w:rPr>
          <w:rFonts w:ascii="Arial" w:cs="Arial" w:eastAsia="Arial" w:hAnsi="Arial"/>
          <w:sz w:val="19"/>
          <w:szCs w:val="19"/>
          <w:b w:val="1"/>
          <w:bCs w:val="1"/>
          <w:color w:val="auto"/>
        </w:rPr>
        <w:t>Base Salary</w:t>
      </w:r>
      <w:r>
        <w:rPr>
          <w:rFonts w:ascii="Arial" w:cs="Arial" w:eastAsia="Arial" w:hAnsi="Arial"/>
          <w:sz w:val="19"/>
          <w:szCs w:val="19"/>
          <w:color w:val="auto"/>
        </w:rPr>
        <w:t>” shall mean the Executive’s annual base salary with Orion as in effect from time to time beginning, with the initial fiscal year 2016 base salary set forth above.</w:t>
      </w:r>
    </w:p>
    <w:p>
      <w:pPr>
        <w:spacing w:after="0" w:line="135" w:lineRule="exact"/>
        <w:rPr>
          <w:sz w:val="20"/>
          <w:szCs w:val="20"/>
          <w:color w:val="auto"/>
        </w:rPr>
      </w:pPr>
    </w:p>
    <w:p>
      <w:pPr>
        <w:jc w:val="both"/>
        <w:ind w:right="20" w:firstLine="799"/>
        <w:spacing w:after="0" w:line="262" w:lineRule="auto"/>
        <w:rPr>
          <w:sz w:val="20"/>
          <w:szCs w:val="20"/>
          <w:color w:val="auto"/>
        </w:rPr>
      </w:pPr>
      <w:r>
        <w:rPr>
          <w:rFonts w:ascii="Arial" w:cs="Arial" w:eastAsia="Arial" w:hAnsi="Arial"/>
          <w:sz w:val="19"/>
          <w:szCs w:val="19"/>
          <w:color w:val="auto"/>
        </w:rPr>
        <w:t>(c)“</w:t>
      </w:r>
      <w:r>
        <w:rPr>
          <w:rFonts w:ascii="Arial" w:cs="Arial" w:eastAsia="Arial" w:hAnsi="Arial"/>
          <w:sz w:val="19"/>
          <w:szCs w:val="19"/>
          <w:b w:val="1"/>
          <w:bCs w:val="1"/>
          <w:color w:val="auto"/>
        </w:rPr>
        <w:t>Board</w:t>
      </w:r>
      <w:r>
        <w:rPr>
          <w:rFonts w:ascii="Arial" w:cs="Arial" w:eastAsia="Arial" w:hAnsi="Arial"/>
          <w:sz w:val="19"/>
          <w:szCs w:val="19"/>
          <w:color w:val="auto"/>
        </w:rPr>
        <w:t>” shall mean the board of directors of Orion or a committee of such Board authorized to act on its behalf in certain circumstances, including the Compensation Committee of the Board.</w:t>
      </w:r>
    </w:p>
    <w:p>
      <w:pPr>
        <w:spacing w:after="0" w:line="135" w:lineRule="exact"/>
        <w:rPr>
          <w:sz w:val="20"/>
          <w:szCs w:val="20"/>
          <w:color w:val="auto"/>
        </w:rPr>
      </w:pPr>
    </w:p>
    <w:p>
      <w:pPr>
        <w:jc w:val="both"/>
        <w:ind w:firstLine="799"/>
        <w:spacing w:after="0" w:line="237" w:lineRule="auto"/>
        <w:rPr>
          <w:sz w:val="20"/>
          <w:szCs w:val="20"/>
          <w:color w:val="auto"/>
        </w:rPr>
      </w:pPr>
      <w:r>
        <w:rPr>
          <w:rFonts w:ascii="Arial" w:cs="Arial" w:eastAsia="Arial" w:hAnsi="Arial"/>
          <w:sz w:val="19"/>
          <w:szCs w:val="19"/>
          <w:color w:val="auto"/>
        </w:rPr>
        <w:t>(d)“</w:t>
      </w:r>
      <w:r>
        <w:rPr>
          <w:rFonts w:ascii="Arial" w:cs="Arial" w:eastAsia="Arial" w:hAnsi="Arial"/>
          <w:sz w:val="19"/>
          <w:szCs w:val="19"/>
          <w:b w:val="1"/>
          <w:bCs w:val="1"/>
          <w:color w:val="auto"/>
        </w:rPr>
        <w:t>Cause</w:t>
      </w:r>
      <w:r>
        <w:rPr>
          <w:rFonts w:ascii="Arial" w:cs="Arial" w:eastAsia="Arial" w:hAnsi="Arial"/>
          <w:sz w:val="19"/>
          <w:szCs w:val="19"/>
          <w:color w:val="auto"/>
        </w:rPr>
        <w:t>” shall mean a good faith finding by Orion that Executive has (i) failed, neglected, or refused to perform his employment duties from time to time assigned to him (other than due to death or Disability); (ii) committed any willful, intentional, or grossly negligent act having the effect of injuring the interest, business, or reputation of Orion; (iii) violated or failed to comply in any material respect with Orion’s published rules, regulations, or policies, as in effect or amended from time to time; (iv) committed an act constituting a felony or misdemeanor involving moral turpitude, fraud, theft, or dishonesty; (v) misappropriated or embezzled any property of Orion (whether or not such act constitutes a felony or misdemeanor); or (vi) breached any material provision of this Agreement or any other applicable confidentiality, non-compete, non-solicit, general release, covenant not-to-sue, equity award agreement, or other agreement with Orion.</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(e)“</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and be limited to the occurrence of any of the following:</w:t>
      </w:r>
    </w:p>
    <w:p>
      <w:pPr>
        <w:spacing w:after="0" w:line="188" w:lineRule="exact"/>
        <w:rPr>
          <w:sz w:val="20"/>
          <w:szCs w:val="20"/>
          <w:color w:val="auto"/>
        </w:rPr>
      </w:pPr>
    </w:p>
    <w:p>
      <w:pPr>
        <w:jc w:val="both"/>
        <w:ind w:left="860" w:firstLine="732"/>
        <w:spacing w:after="0" w:line="267" w:lineRule="auto"/>
        <w:rPr>
          <w:sz w:val="20"/>
          <w:szCs w:val="20"/>
          <w:color w:val="auto"/>
        </w:rPr>
      </w:pPr>
      <w:r>
        <w:rPr>
          <w:rFonts w:ascii="Arial" w:cs="Arial" w:eastAsia="Arial" w:hAnsi="Arial"/>
          <w:sz w:val="17"/>
          <w:szCs w:val="17"/>
          <w:color w:val="auto"/>
        </w:rPr>
        <w:t>(i) the acquisition by any “person” (as such term is used in Section 13(d) and 14(d) of the Securities Exchange Act of 1934, as amended), other than (A) Orion or any of its subsidiaries, (B) a trustee or other fiduciary holding securities under any employee benefit plan of Orion or any of its subsidiaries, or (C) an underwriter temporarily holding securities pursuant to an offering of such securities, of the beneficial ownership (within the meaning of Rule 13d-3 promulgated under the Securities Exchange Act of 1934, as amended) directly or indirectly, of securities of Orion by reason of having acquired such securities during the twelve month period ending on the date of the most recent acquisition representing 20% or more of the then outstanding shares of the common stock of Orion, or the combined voting power of Orion’s then outstanding securities entitled to vote generally in the election of directors (the “Company Voting Stock”); or</w:t>
      </w:r>
    </w:p>
    <w:p>
      <w:pPr>
        <w:spacing w:after="0" w:line="143" w:lineRule="exact"/>
        <w:rPr>
          <w:sz w:val="20"/>
          <w:szCs w:val="20"/>
          <w:color w:val="auto"/>
        </w:rPr>
      </w:pPr>
    </w:p>
    <w:p>
      <w:pPr>
        <w:jc w:val="both"/>
        <w:ind w:left="860" w:firstLine="732"/>
        <w:spacing w:after="0" w:line="244" w:lineRule="auto"/>
        <w:rPr>
          <w:sz w:val="20"/>
          <w:szCs w:val="20"/>
          <w:color w:val="auto"/>
        </w:rPr>
      </w:pPr>
      <w:r>
        <w:rPr>
          <w:rFonts w:ascii="Arial" w:cs="Arial" w:eastAsia="Arial" w:hAnsi="Arial"/>
          <w:sz w:val="19"/>
          <w:szCs w:val="19"/>
          <w:color w:val="auto"/>
        </w:rPr>
        <w:t>(ii) the majority of members of Orion’s Board is replaced during any twelve (12) month period by directors whose appointment or election is not endorsed by a majority of the members of Orion’s Board before the date of the appointment or election; or</w:t>
      </w:r>
    </w:p>
    <w:p>
      <w:pPr>
        <w:spacing w:after="0" w:line="157" w:lineRule="exact"/>
        <w:rPr>
          <w:sz w:val="20"/>
          <w:szCs w:val="20"/>
          <w:color w:val="auto"/>
        </w:rPr>
      </w:pPr>
    </w:p>
    <w:p>
      <w:pPr>
        <w:jc w:val="both"/>
        <w:ind w:left="860" w:firstLine="732"/>
        <w:spacing w:after="0" w:line="244" w:lineRule="auto"/>
        <w:rPr>
          <w:sz w:val="20"/>
          <w:szCs w:val="20"/>
          <w:color w:val="auto"/>
        </w:rPr>
      </w:pPr>
      <w:r>
        <w:rPr>
          <w:rFonts w:ascii="Arial" w:cs="Arial" w:eastAsia="Arial" w:hAnsi="Arial"/>
          <w:sz w:val="19"/>
          <w:szCs w:val="19"/>
          <w:color w:val="auto"/>
        </w:rPr>
        <w:t>(iii) the consummation of a merger, consolidation, reorganization or share exchange of Orion with any other corporation or the issuance of Company Voting Stock in connection with a merger, consolidation, reorganization or share exchange of Orion which requires approval of the shareholders of Orion, other than</w:t>
      </w:r>
    </w:p>
    <w:p>
      <w:pPr>
        <w:spacing w:after="0" w:line="157"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67310</wp:posOffset>
            </wp:positionV>
            <wp:extent cx="716470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0" w:right="319" w:bottom="1440" w:gutter="0" w:footer="0" w:header="0"/>
        </w:sectPr>
      </w:pPr>
    </w:p>
    <w:bookmarkStart w:id="114" w:name="page115"/>
    <w:bookmarkEnd w:id="114"/>
    <w:p>
      <w:pPr>
        <w:jc w:val="both"/>
        <w:ind w:left="860" w:firstLine="6"/>
        <w:spacing w:after="0" w:line="249"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merger, consolidation, reorganization or share exchange which would result in the Company Voting Stock outstanding immediately prior to such merger, consolidation, reorganization or share exchange continuing to represent (either by remaining outstanding or by being converted into voting securities of the surviving entity or any parent thereof) at least fifty percent (50%) of the Company Voting Stock or such surviving entity or any parent thereof outstanding immediately after such merger, consolidation, reorganization or share exchange, or (B) a merger, consolidation or share exchange effected to implement a recapitalization of Orion (or similar transaction) in which no “person” (defined above) is or becomes the beneficial owner (within the meaning of Rule 13d-3 promulgated under the Securities Exchange Act of 1934, as amended), directly or indirectly, of securities of Orion (not including in the securities beneficially owned by such “person” (defined above) any securities acquired directly from Orion or its affiliates (within the meaning of Rule 12b-2 promulgated under the Securities Exchange Act of 1934, as amended) pursuant to the express authorization by the Board that refers to this exception) representing twenty percent (20%) or more of either the then outstanding shares of common stock of Orion or the Company Voting Stock; or</w:t>
      </w:r>
    </w:p>
    <w:p>
      <w:pPr>
        <w:spacing w:after="0" w:line="153" w:lineRule="exact"/>
        <w:rPr>
          <w:sz w:val="20"/>
          <w:szCs w:val="20"/>
          <w:color w:val="auto"/>
        </w:rPr>
      </w:pPr>
    </w:p>
    <w:p>
      <w:pPr>
        <w:jc w:val="both"/>
        <w:ind w:left="860" w:firstLine="732"/>
        <w:spacing w:after="0" w:line="237" w:lineRule="auto"/>
        <w:rPr>
          <w:sz w:val="20"/>
          <w:szCs w:val="20"/>
          <w:color w:val="auto"/>
        </w:rPr>
      </w:pPr>
      <w:r>
        <w:rPr>
          <w:rFonts w:ascii="Arial" w:cs="Arial" w:eastAsia="Arial" w:hAnsi="Arial"/>
          <w:sz w:val="19"/>
          <w:szCs w:val="19"/>
          <w:color w:val="auto"/>
        </w:rPr>
        <w:t>(iv) the consummation of a plan of complete liquidation or dissolution of Orion or a sale or disposition by Orion of all or substantially all of Orion’s assets (in one transaction or a series of related transactions within any period of 24 consecutive months), in each case, which requires approval of the shareholders of Orion, other than a sale or disposition by Orion of all or substantially all of Orion’s assets to an entity at least seventy-five percent (75%) of the combined voting power of the outstanding voting securities of which are owned by “persons” (defined above) in substantially the same proportions as their ownership of Orion immediately prior to such sale.</w:t>
      </w:r>
    </w:p>
    <w:p>
      <w:pPr>
        <w:spacing w:after="0" w:line="164" w:lineRule="exact"/>
        <w:rPr>
          <w:sz w:val="20"/>
          <w:szCs w:val="20"/>
          <w:color w:val="auto"/>
        </w:rPr>
      </w:pPr>
    </w:p>
    <w:p>
      <w:pPr>
        <w:jc w:val="both"/>
        <w:ind w:left="860" w:firstLine="732"/>
        <w:spacing w:after="0" w:line="238" w:lineRule="auto"/>
        <w:rPr>
          <w:sz w:val="20"/>
          <w:szCs w:val="20"/>
          <w:color w:val="auto"/>
        </w:rPr>
      </w:pPr>
      <w:r>
        <w:rPr>
          <w:rFonts w:ascii="Arial" w:cs="Arial" w:eastAsia="Arial" w:hAnsi="Arial"/>
          <w:sz w:val="19"/>
          <w:szCs w:val="19"/>
          <w:color w:val="auto"/>
        </w:rPr>
        <w:t>Notwithstanding the foregoing, no “Change of Control” shall be deemed to have occurred if there is consummated any transaction or series of integrated transactions immediately following which the record holders of the common stock of Orion immediately prior to such transaction or series of transactions continue to own, directly or indirectly, in the same proportions as their ownership in Orion, an entity that owns all or substantially all of the assets or Company Voting Stock of Orion immediately following such transaction or series of transactions.</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(f)</w:t>
      </w:r>
      <w:r>
        <w:rPr>
          <w:rFonts w:ascii="Arial" w:cs="Arial" w:eastAsia="Arial" w:hAnsi="Arial"/>
          <w:sz w:val="19"/>
          <w:szCs w:val="19"/>
          <w:b w:val="1"/>
          <w:bCs w:val="1"/>
          <w:color w:val="auto"/>
        </w:rPr>
        <w:t>“COBRA”</w:t>
      </w:r>
      <w:r>
        <w:rPr>
          <w:rFonts w:ascii="Arial" w:cs="Arial" w:eastAsia="Arial" w:hAnsi="Arial"/>
          <w:sz w:val="19"/>
          <w:szCs w:val="19"/>
          <w:color w:val="auto"/>
        </w:rPr>
        <w:t xml:space="preserve"> shall mean the provisions of Code Section 4980B.</w:t>
      </w:r>
    </w:p>
    <w:p>
      <w:pPr>
        <w:spacing w:after="0" w:line="182" w:lineRule="exact"/>
        <w:rPr>
          <w:sz w:val="20"/>
          <w:szCs w:val="20"/>
          <w:color w:val="auto"/>
        </w:rPr>
      </w:pPr>
    </w:p>
    <w:p>
      <w:pPr>
        <w:ind w:right="20" w:firstLine="799"/>
        <w:spacing w:after="0" w:line="262" w:lineRule="auto"/>
        <w:rPr>
          <w:sz w:val="20"/>
          <w:szCs w:val="20"/>
          <w:color w:val="auto"/>
        </w:rPr>
      </w:pPr>
      <w:r>
        <w:rPr>
          <w:rFonts w:ascii="Arial" w:cs="Arial" w:eastAsia="Arial" w:hAnsi="Arial"/>
          <w:sz w:val="19"/>
          <w:szCs w:val="19"/>
          <w:color w:val="auto"/>
        </w:rPr>
        <w:t>(g)</w:t>
      </w:r>
      <w:r>
        <w:rPr>
          <w:rFonts w:ascii="Arial" w:cs="Arial" w:eastAsia="Arial" w:hAnsi="Arial"/>
          <w:sz w:val="19"/>
          <w:szCs w:val="19"/>
          <w:b w:val="1"/>
          <w:bCs w:val="1"/>
          <w:color w:val="auto"/>
        </w:rPr>
        <w:t>“Code”</w:t>
      </w:r>
      <w:r>
        <w:rPr>
          <w:rFonts w:ascii="Arial" w:cs="Arial" w:eastAsia="Arial" w:hAnsi="Arial"/>
          <w:sz w:val="19"/>
          <w:szCs w:val="19"/>
          <w:color w:val="auto"/>
        </w:rPr>
        <w:t xml:space="preserve"> shall mean the Internal Revenue Code of 1986, as amended, as interpreted by rules and regulations issued pursuant thereto, including any successor provisions thereto.</w:t>
      </w:r>
    </w:p>
    <w:p>
      <w:pPr>
        <w:spacing w:after="0" w:line="135"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(h)“</w:t>
      </w:r>
      <w:r>
        <w:rPr>
          <w:rFonts w:ascii="Arial" w:cs="Arial" w:eastAsia="Arial" w:hAnsi="Arial"/>
          <w:sz w:val="17"/>
          <w:szCs w:val="17"/>
          <w:b w:val="1"/>
          <w:bCs w:val="1"/>
          <w:color w:val="auto"/>
        </w:rPr>
        <w:t>Competing Product</w:t>
      </w:r>
      <w:r>
        <w:rPr>
          <w:rFonts w:ascii="Arial" w:cs="Arial" w:eastAsia="Arial" w:hAnsi="Arial"/>
          <w:sz w:val="17"/>
          <w:szCs w:val="17"/>
          <w:color w:val="auto"/>
        </w:rPr>
        <w:t>” means any product or service which is sold or provided in competition with a product or service: (A) that Orion has sold or provided at any time during the twelve (12) months immediately preceding the Termination Date or</w:t>
      </w:r>
    </w:p>
    <w:p>
      <w:pPr>
        <w:spacing w:after="0" w:line="1" w:lineRule="exact"/>
        <w:rPr>
          <w:sz w:val="20"/>
          <w:szCs w:val="20"/>
          <w:color w:val="auto"/>
        </w:rPr>
      </w:pPr>
    </w:p>
    <w:p>
      <w:pPr>
        <w:ind w:left="4720" w:right="3720" w:hanging="4720"/>
        <w:spacing w:after="0" w:line="445" w:lineRule="auto"/>
        <w:tabs>
          <w:tab w:leader="none" w:pos="301"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that was designed, developed, tested, distributed, marketed, provided or produced by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-63500</wp:posOffset>
            </wp:positionV>
            <wp:extent cx="716470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0" w:right="31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Orion at any time during the twelve (12) months immediately preceding the Termination Date.</w:t>
      </w:r>
    </w:p>
    <w:p>
      <w:pPr>
        <w:spacing w:after="0" w:line="176" w:lineRule="exact"/>
        <w:rPr>
          <w:sz w:val="20"/>
          <w:szCs w:val="20"/>
          <w:color w:val="auto"/>
        </w:rPr>
      </w:pPr>
    </w:p>
    <w:p>
      <w:pPr>
        <w:jc w:val="both"/>
        <w:ind w:right="20" w:firstLine="799"/>
        <w:spacing w:after="0" w:line="242" w:lineRule="auto"/>
        <w:rPr>
          <w:sz w:val="20"/>
          <w:szCs w:val="20"/>
          <w:color w:val="auto"/>
        </w:rPr>
      </w:pPr>
      <w:r>
        <w:rPr>
          <w:rFonts w:ascii="Arial" w:cs="Arial" w:eastAsia="Arial" w:hAnsi="Arial"/>
          <w:sz w:val="19"/>
          <w:szCs w:val="19"/>
          <w:color w:val="auto"/>
        </w:rPr>
        <w:t>(i)“</w:t>
      </w:r>
      <w:r>
        <w:rPr>
          <w:rFonts w:ascii="Arial" w:cs="Arial" w:eastAsia="Arial" w:hAnsi="Arial"/>
          <w:sz w:val="19"/>
          <w:szCs w:val="19"/>
          <w:b w:val="1"/>
          <w:bCs w:val="1"/>
          <w:color w:val="auto"/>
        </w:rPr>
        <w:t>Disability</w:t>
      </w:r>
      <w:r>
        <w:rPr>
          <w:rFonts w:ascii="Arial" w:cs="Arial" w:eastAsia="Arial" w:hAnsi="Arial"/>
          <w:sz w:val="19"/>
          <w:szCs w:val="19"/>
          <w:color w:val="auto"/>
        </w:rPr>
        <w:t>” shall mean a total and permanent mental or physical disability precluding Executive from performing the material and substantial duties of his employment for 180 days during any twelve (12)-month period. For purposes of this Agreement, the Executive shall be deemed totally and permanently disabled at the end of such 180th day and which makes Executive eligible to receive benefits under Orion’s long-term disability plan.</w:t>
      </w:r>
    </w:p>
    <w:p>
      <w:pPr>
        <w:spacing w:after="0" w:line="154" w:lineRule="exact"/>
        <w:rPr>
          <w:sz w:val="20"/>
          <w:szCs w:val="20"/>
          <w:color w:val="auto"/>
        </w:rPr>
      </w:pPr>
    </w:p>
    <w:p>
      <w:pPr>
        <w:jc w:val="both"/>
        <w:ind w:firstLine="799"/>
        <w:spacing w:after="0" w:line="260" w:lineRule="auto"/>
        <w:rPr>
          <w:sz w:val="20"/>
          <w:szCs w:val="20"/>
          <w:color w:val="auto"/>
        </w:rPr>
      </w:pPr>
      <w:r>
        <w:rPr>
          <w:rFonts w:ascii="Arial" w:cs="Arial" w:eastAsia="Arial" w:hAnsi="Arial"/>
          <w:sz w:val="18"/>
          <w:szCs w:val="18"/>
          <w:color w:val="auto"/>
        </w:rPr>
        <w:t>(j)“</w:t>
      </w:r>
      <w:r>
        <w:rPr>
          <w:rFonts w:ascii="Arial" w:cs="Arial" w:eastAsia="Arial" w:hAnsi="Arial"/>
          <w:sz w:val="18"/>
          <w:szCs w:val="18"/>
          <w:b w:val="1"/>
          <w:bCs w:val="1"/>
          <w:color w:val="auto"/>
        </w:rPr>
        <w:t>Good Reason</w:t>
      </w:r>
      <w:r>
        <w:rPr>
          <w:rFonts w:ascii="Arial" w:cs="Arial" w:eastAsia="Arial" w:hAnsi="Arial"/>
          <w:sz w:val="18"/>
          <w:szCs w:val="18"/>
          <w:color w:val="auto"/>
        </w:rPr>
        <w:t>” shall mean the occurrence of any of the following without the consent of Executive: (i) a material diminution in the Executive’s Base Salary; (ii) a material change in the geographic location at which the Executive must perform services; (iii) a material diminution in the Executive’s duties, authority or responsibilities; or (iv) a material breach by Orion of any provisions of this Agreement or any equity award agreement with Orion to which the Executive is a party.</w:t>
      </w:r>
    </w:p>
    <w:p>
      <w:pPr>
        <w:spacing w:after="0" w:line="138" w:lineRule="exact"/>
        <w:rPr>
          <w:sz w:val="20"/>
          <w:szCs w:val="20"/>
          <w:color w:val="auto"/>
        </w:rPr>
      </w:pPr>
    </w:p>
    <w:p>
      <w:pPr>
        <w:jc w:val="both"/>
        <w:ind w:firstLine="799"/>
        <w:spacing w:after="0" w:line="260" w:lineRule="auto"/>
        <w:rPr>
          <w:sz w:val="20"/>
          <w:szCs w:val="20"/>
          <w:color w:val="auto"/>
        </w:rPr>
      </w:pPr>
      <w:r>
        <w:rPr>
          <w:rFonts w:ascii="Arial" w:cs="Arial" w:eastAsia="Arial" w:hAnsi="Arial"/>
          <w:sz w:val="18"/>
          <w:szCs w:val="18"/>
          <w:color w:val="auto"/>
        </w:rPr>
        <w:t>(k)“</w:t>
      </w:r>
      <w:r>
        <w:rPr>
          <w:rFonts w:ascii="Arial" w:cs="Arial" w:eastAsia="Arial" w:hAnsi="Arial"/>
          <w:sz w:val="18"/>
          <w:szCs w:val="18"/>
          <w:b w:val="1"/>
          <w:bCs w:val="1"/>
          <w:color w:val="auto"/>
        </w:rPr>
        <w:t>Key Employee</w:t>
      </w:r>
      <w:r>
        <w:rPr>
          <w:rFonts w:ascii="Arial" w:cs="Arial" w:eastAsia="Arial" w:hAnsi="Arial"/>
          <w:sz w:val="18"/>
          <w:szCs w:val="18"/>
          <w:color w:val="auto"/>
        </w:rPr>
        <w:t>” means any person who at the Termination Date is employed or engaged by Orion and with whom Executive has had material contact in the course of employment during the twelve (12) months immediately preceding the Termination Date, and (i) is a manager, officer or director of Orion; (ii) is in possession of Confidential Information and/or Trade Secrets of Orion; and/or (iii) is directly managed by or reports to Executive as of, or at any time prior to, the Termination Date.</w:t>
      </w:r>
    </w:p>
    <w:p>
      <w:pPr>
        <w:spacing w:after="0" w:line="138" w:lineRule="exact"/>
        <w:rPr>
          <w:sz w:val="20"/>
          <w:szCs w:val="20"/>
          <w:color w:val="auto"/>
        </w:rPr>
      </w:pPr>
    </w:p>
    <w:p>
      <w:pPr>
        <w:jc w:val="both"/>
        <w:ind w:right="20" w:firstLine="799"/>
        <w:spacing w:after="0" w:line="262" w:lineRule="auto"/>
        <w:rPr>
          <w:sz w:val="20"/>
          <w:szCs w:val="20"/>
          <w:color w:val="auto"/>
        </w:rPr>
      </w:pPr>
      <w:r>
        <w:rPr>
          <w:rFonts w:ascii="Arial" w:cs="Arial" w:eastAsia="Arial" w:hAnsi="Arial"/>
          <w:sz w:val="19"/>
          <w:szCs w:val="19"/>
          <w:color w:val="auto"/>
        </w:rPr>
        <w:t>(l)“</w:t>
      </w:r>
      <w:r>
        <w:rPr>
          <w:rFonts w:ascii="Arial" w:cs="Arial" w:eastAsia="Arial" w:hAnsi="Arial"/>
          <w:sz w:val="19"/>
          <w:szCs w:val="19"/>
          <w:b w:val="1"/>
          <w:bCs w:val="1"/>
          <w:color w:val="auto"/>
        </w:rPr>
        <w:t>Restricted Customer</w:t>
      </w:r>
      <w:r>
        <w:rPr>
          <w:rFonts w:ascii="Arial" w:cs="Arial" w:eastAsia="Arial" w:hAnsi="Arial"/>
          <w:sz w:val="19"/>
          <w:szCs w:val="19"/>
          <w:color w:val="auto"/>
        </w:rPr>
        <w:t>” means a customer of Orion during the twelve (12)-month period immediately preceding the Termination Date.</w:t>
      </w:r>
    </w:p>
    <w:p>
      <w:pPr>
        <w:spacing w:after="0" w:line="135" w:lineRule="exact"/>
        <w:rPr>
          <w:sz w:val="20"/>
          <w:szCs w:val="20"/>
          <w:color w:val="auto"/>
        </w:rPr>
      </w:pPr>
    </w:p>
    <w:p>
      <w:pPr>
        <w:jc w:val="both"/>
        <w:ind w:right="20" w:firstLine="799"/>
        <w:spacing w:after="0" w:line="280" w:lineRule="auto"/>
        <w:rPr>
          <w:sz w:val="20"/>
          <w:szCs w:val="20"/>
          <w:color w:val="auto"/>
        </w:rPr>
      </w:pPr>
      <w:r>
        <w:rPr>
          <w:rFonts w:ascii="Arial" w:cs="Arial" w:eastAsia="Arial" w:hAnsi="Arial"/>
          <w:sz w:val="17"/>
          <w:szCs w:val="17"/>
          <w:color w:val="auto"/>
        </w:rPr>
        <w:t>(m)“</w:t>
      </w:r>
      <w:r>
        <w:rPr>
          <w:rFonts w:ascii="Arial" w:cs="Arial" w:eastAsia="Arial" w:hAnsi="Arial"/>
          <w:sz w:val="17"/>
          <w:szCs w:val="17"/>
          <w:b w:val="1"/>
          <w:bCs w:val="1"/>
          <w:color w:val="auto"/>
        </w:rPr>
        <w:t>Restricted Territory</w:t>
      </w:r>
      <w:r>
        <w:rPr>
          <w:rFonts w:ascii="Arial" w:cs="Arial" w:eastAsia="Arial" w:hAnsi="Arial"/>
          <w:sz w:val="17"/>
          <w:szCs w:val="17"/>
          <w:color w:val="auto"/>
        </w:rPr>
        <w:t>” means Territories (as the term “Territory” is defined below) in which Orion has sold or provided products or services during the twelve (12)-month period immediately preceding the Termination Date. Notwithstanding the foregoing, the term Restricted Territory is limited to Territories in which Orion has sold or provided in excess of one hundred thousand dollars (US $100,000) in the aggregate worth of products or services in the twelve (12)-month period immediately preceding the Termination Date.</w:t>
      </w:r>
    </w:p>
    <w:p>
      <w:pPr>
        <w:spacing w:after="0" w:line="123" w:lineRule="exact"/>
        <w:rPr>
          <w:sz w:val="20"/>
          <w:szCs w:val="20"/>
          <w:color w:val="auto"/>
        </w:rPr>
      </w:pPr>
    </w:p>
    <w:p>
      <w:pPr>
        <w:jc w:val="both"/>
        <w:ind w:firstLine="799"/>
        <w:spacing w:after="0"/>
        <w:rPr>
          <w:sz w:val="20"/>
          <w:szCs w:val="20"/>
          <w:color w:val="auto"/>
        </w:rPr>
      </w:pPr>
      <w:r>
        <w:rPr>
          <w:rFonts w:ascii="Arial" w:cs="Arial" w:eastAsia="Arial" w:hAnsi="Arial"/>
          <w:sz w:val="19"/>
          <w:szCs w:val="19"/>
          <w:color w:val="auto"/>
        </w:rPr>
        <w:t>(n)“</w:t>
      </w:r>
      <w:r>
        <w:rPr>
          <w:rFonts w:ascii="Arial" w:cs="Arial" w:eastAsia="Arial" w:hAnsi="Arial"/>
          <w:sz w:val="19"/>
          <w:szCs w:val="19"/>
          <w:b w:val="1"/>
          <w:bCs w:val="1"/>
          <w:color w:val="auto"/>
        </w:rPr>
        <w:t>Separation from Service</w:t>
      </w:r>
      <w:r>
        <w:rPr>
          <w:rFonts w:ascii="Arial" w:cs="Arial" w:eastAsia="Arial" w:hAnsi="Arial"/>
          <w:sz w:val="19"/>
          <w:szCs w:val="19"/>
          <w:color w:val="auto"/>
        </w:rPr>
        <w:t xml:space="preserve">” shall have the meaning set forth in Code Section 409A and the related Treasury Regulations; </w:t>
      </w:r>
      <w:r>
        <w:rPr>
          <w:rFonts w:ascii="Arial" w:cs="Arial" w:eastAsia="Arial" w:hAnsi="Arial"/>
          <w:sz w:val="19"/>
          <w:szCs w:val="19"/>
          <w:i w:val="1"/>
          <w:iCs w:val="1"/>
          <w:color w:val="auto"/>
        </w:rPr>
        <w:t>provided</w:t>
      </w:r>
      <w:r>
        <w:rPr>
          <w:rFonts w:ascii="Arial" w:cs="Arial" w:eastAsia="Arial" w:hAnsi="Arial"/>
          <w:sz w:val="19"/>
          <w:szCs w:val="19"/>
          <w:color w:val="auto"/>
        </w:rPr>
        <w:t>, that for this purpose, a “separation from service” is deemed to occur on the date that Orion and Executive reasonably anticipate</w:t>
      </w:r>
      <w:r>
        <w:rPr>
          <w:rFonts w:ascii="Arial" w:cs="Arial" w:eastAsia="Arial" w:hAnsi="Arial"/>
          <w:sz w:val="19"/>
          <w:szCs w:val="19"/>
          <w:i w:val="1"/>
          <w:iCs w:val="1"/>
          <w:color w:val="auto"/>
        </w:rPr>
        <w:t xml:space="preserve"> </w:t>
      </w:r>
      <w:r>
        <w:rPr>
          <w:rFonts w:ascii="Arial" w:cs="Arial" w:eastAsia="Arial" w:hAnsi="Arial"/>
          <w:sz w:val="19"/>
          <w:szCs w:val="19"/>
          <w:color w:val="auto"/>
        </w:rPr>
        <w:t>that the level of bona fide services Executive would perform after that date (whether as an employee or independent contractor) would permanently decrease to no more than 50% of the average level of bona fide services provided in the immediately preceding thirty-six (36) months.</w:t>
      </w:r>
    </w:p>
    <w:p>
      <w:pPr>
        <w:spacing w:after="0" w:line="155" w:lineRule="exact"/>
        <w:rPr>
          <w:sz w:val="20"/>
          <w:szCs w:val="20"/>
          <w:color w:val="auto"/>
        </w:rPr>
      </w:pPr>
    </w:p>
    <w:p>
      <w:pPr>
        <w:jc w:val="both"/>
        <w:ind w:right="20" w:firstLine="799"/>
        <w:spacing w:after="0" w:line="268" w:lineRule="auto"/>
        <w:rPr>
          <w:sz w:val="20"/>
          <w:szCs w:val="20"/>
          <w:color w:val="auto"/>
        </w:rPr>
      </w:pPr>
      <w:r>
        <w:rPr>
          <w:rFonts w:ascii="Arial" w:cs="Arial" w:eastAsia="Arial" w:hAnsi="Arial"/>
          <w:sz w:val="18"/>
          <w:szCs w:val="18"/>
          <w:color w:val="auto"/>
        </w:rPr>
        <w:t>(o)“</w:t>
      </w:r>
      <w:r>
        <w:rPr>
          <w:rFonts w:ascii="Arial" w:cs="Arial" w:eastAsia="Arial" w:hAnsi="Arial"/>
          <w:sz w:val="18"/>
          <w:szCs w:val="18"/>
          <w:b w:val="1"/>
          <w:bCs w:val="1"/>
          <w:color w:val="auto"/>
        </w:rPr>
        <w:t>Services</w:t>
      </w:r>
      <w:r>
        <w:rPr>
          <w:rFonts w:ascii="Arial" w:cs="Arial" w:eastAsia="Arial" w:hAnsi="Arial"/>
          <w:sz w:val="18"/>
          <w:szCs w:val="18"/>
          <w:color w:val="auto"/>
        </w:rPr>
        <w:t>” means sales, financial, supervisory, management, engineering, scientific or any other services of the type performed for Orion by Executive (or one or more Orion executives managed, supervised or directed by Executive) during the final twenty-four (24) months preceding the Termination Date, but shall not include clerical, menial or manual labor.</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67310</wp:posOffset>
            </wp:positionV>
            <wp:extent cx="716470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0" w:right="319" w:bottom="1440" w:gutter="0" w:footer="0" w:header="0"/>
        </w:sectPr>
      </w:pPr>
    </w:p>
    <w:bookmarkStart w:id="116" w:name="page117"/>
    <w:bookmarkEnd w:id="116"/>
    <w:p>
      <w:pPr>
        <w:jc w:val="both"/>
        <w:ind w:firstLine="799"/>
        <w:spacing w:after="0" w:line="237" w:lineRule="auto"/>
        <w:rPr>
          <w:sz w:val="20"/>
          <w:szCs w:val="20"/>
          <w:color w:val="auto"/>
        </w:rPr>
      </w:pPr>
      <w:r>
        <w:rPr>
          <w:rFonts w:ascii="Arial" w:cs="Arial" w:eastAsia="Arial" w:hAnsi="Arial"/>
          <w:sz w:val="19"/>
          <w:szCs w:val="19"/>
          <w:color w:val="auto"/>
        </w:rPr>
        <w:t>(p)</w:t>
      </w:r>
      <w:r>
        <w:rPr>
          <w:rFonts w:ascii="Arial" w:cs="Arial" w:eastAsia="Arial" w:hAnsi="Arial"/>
          <w:sz w:val="19"/>
          <w:szCs w:val="19"/>
          <w:b w:val="1"/>
          <w:bCs w:val="1"/>
          <w:color w:val="auto"/>
        </w:rPr>
        <w:t>“Severance Payment”</w:t>
      </w:r>
      <w:r>
        <w:rPr>
          <w:rFonts w:ascii="Arial" w:cs="Arial" w:eastAsia="Arial" w:hAnsi="Arial"/>
          <w:sz w:val="19"/>
          <w:szCs w:val="19"/>
          <w:color w:val="auto"/>
        </w:rPr>
        <w:t xml:space="preserve"> shall mean the Executive’s Base Salary at the time of the Termination Date plus the average of the annual bonuses earned by the Executive with respect to each of the three completed fiscal years of Orion preceding the fiscal year in which the Termination Date occurs (or such lesser number of fiscal years for which the Executive was employed by Orion, with any partial year’s bonus being annualized with respect to such fiscal year) multiplied by the severance multiplier set forth above</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Executive’s Termination Date occurs on or following a Change of Control, the multiplier described above shall be increased to the post-Change of Control severance multiplier set forth above and any reduction in Executive’s Base Salary since the date of the Change of Control shall be ignored.</w:t>
      </w:r>
    </w:p>
    <w:p>
      <w:pPr>
        <w:spacing w:after="0" w:line="160" w:lineRule="exact"/>
        <w:rPr>
          <w:sz w:val="20"/>
          <w:szCs w:val="20"/>
          <w:color w:val="auto"/>
        </w:rPr>
      </w:pPr>
    </w:p>
    <w:p>
      <w:pPr>
        <w:jc w:val="both"/>
        <w:ind w:firstLine="799"/>
        <w:spacing w:after="0" w:line="242" w:lineRule="auto"/>
        <w:rPr>
          <w:sz w:val="20"/>
          <w:szCs w:val="20"/>
          <w:color w:val="auto"/>
        </w:rPr>
      </w:pPr>
      <w:r>
        <w:rPr>
          <w:rFonts w:ascii="Arial" w:cs="Arial" w:eastAsia="Arial" w:hAnsi="Arial"/>
          <w:sz w:val="19"/>
          <w:szCs w:val="19"/>
          <w:color w:val="auto"/>
        </w:rPr>
        <w:t>(q)“</w:t>
      </w:r>
      <w:r>
        <w:rPr>
          <w:rFonts w:ascii="Arial" w:cs="Arial" w:eastAsia="Arial" w:hAnsi="Arial"/>
          <w:sz w:val="19"/>
          <w:szCs w:val="19"/>
          <w:b w:val="1"/>
          <w:bCs w:val="1"/>
          <w:color w:val="auto"/>
        </w:rPr>
        <w:t>Strategic Customer</w:t>
      </w:r>
      <w:r>
        <w:rPr>
          <w:rFonts w:ascii="Arial" w:cs="Arial" w:eastAsia="Arial" w:hAnsi="Arial"/>
          <w:sz w:val="19"/>
          <w:szCs w:val="19"/>
          <w:color w:val="auto"/>
        </w:rPr>
        <w:t>” means a customer of Orion that has purchased a product or service from the Orion during the twelve (12)-month period immediately preceding the Termination Date, but is limited to individuals or entities concerning which Executive learned, created, or reviewed Confidential Information or Trade Secrets on behalf of Orion during the twelve (12)-month period preceding the Termination Date.</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w:t>
      </w:r>
      <w:r>
        <w:rPr>
          <w:rFonts w:ascii="Arial" w:cs="Arial" w:eastAsia="Arial" w:hAnsi="Arial"/>
          <w:sz w:val="17"/>
          <w:szCs w:val="17"/>
          <w:b w:val="1"/>
          <w:bCs w:val="1"/>
          <w:color w:val="auto"/>
        </w:rPr>
        <w:t>Termination Date</w:t>
      </w:r>
      <w:r>
        <w:rPr>
          <w:rFonts w:ascii="Arial" w:cs="Arial" w:eastAsia="Arial" w:hAnsi="Arial"/>
          <w:sz w:val="17"/>
          <w:szCs w:val="17"/>
          <w:color w:val="auto"/>
        </w:rPr>
        <w:t>” shall mean the effective date of the termination of Executive’s Employment, as further described in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Section 4.</w:t>
      </w:r>
    </w:p>
    <w:p>
      <w:pPr>
        <w:spacing w:after="0" w:line="160" w:lineRule="exact"/>
        <w:rPr>
          <w:sz w:val="20"/>
          <w:szCs w:val="20"/>
          <w:color w:val="auto"/>
        </w:rPr>
      </w:pPr>
    </w:p>
    <w:p>
      <w:pPr>
        <w:jc w:val="both"/>
        <w:ind w:right="20" w:firstLine="799"/>
        <w:spacing w:after="0" w:line="262" w:lineRule="auto"/>
        <w:rPr>
          <w:sz w:val="20"/>
          <w:szCs w:val="20"/>
          <w:color w:val="auto"/>
        </w:rPr>
      </w:pPr>
      <w:r>
        <w:rPr>
          <w:rFonts w:ascii="Arial" w:cs="Arial" w:eastAsia="Arial" w:hAnsi="Arial"/>
          <w:sz w:val="19"/>
          <w:szCs w:val="19"/>
          <w:color w:val="auto"/>
        </w:rPr>
        <w:t>(s)“</w:t>
      </w:r>
      <w:r>
        <w:rPr>
          <w:rFonts w:ascii="Arial" w:cs="Arial" w:eastAsia="Arial" w:hAnsi="Arial"/>
          <w:sz w:val="19"/>
          <w:szCs w:val="19"/>
          <w:b w:val="1"/>
          <w:bCs w:val="1"/>
          <w:color w:val="auto"/>
        </w:rPr>
        <w:t>Territory</w:t>
      </w:r>
      <w:r>
        <w:rPr>
          <w:rFonts w:ascii="Arial" w:cs="Arial" w:eastAsia="Arial" w:hAnsi="Arial"/>
          <w:sz w:val="19"/>
          <w:szCs w:val="19"/>
          <w:color w:val="auto"/>
        </w:rPr>
        <w:t>” means a state within the United States, the District of Columbia, a territory of the United States, and/or a foreign nation.</w:t>
      </w:r>
    </w:p>
    <w:p>
      <w:pPr>
        <w:spacing w:after="0" w:line="135" w:lineRule="exact"/>
        <w:rPr>
          <w:sz w:val="20"/>
          <w:szCs w:val="20"/>
          <w:color w:val="auto"/>
        </w:rPr>
      </w:pPr>
    </w:p>
    <w:p>
      <w:pPr>
        <w:ind w:right="20" w:firstLine="799"/>
        <w:spacing w:after="0" w:line="262" w:lineRule="auto"/>
        <w:tabs>
          <w:tab w:leader="none" w:pos="1024" w:val="left"/>
        </w:tabs>
        <w:numPr>
          <w:ilvl w:val="0"/>
          <w:numId w:val="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 Confidential Information</w:t>
      </w:r>
      <w:r>
        <w:rPr>
          <w:rFonts w:ascii="Arial" w:cs="Arial" w:eastAsia="Arial" w:hAnsi="Arial"/>
          <w:sz w:val="19"/>
          <w:szCs w:val="19"/>
          <w:color w:val="auto"/>
        </w:rPr>
        <w:t>” means information received by Orion from others that Orion has an obligation to treat as confidential.</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w:t>
      </w:r>
      <w:r>
        <w:rPr>
          <w:rFonts w:ascii="Arial" w:cs="Arial" w:eastAsia="Arial" w:hAnsi="Arial"/>
          <w:sz w:val="18"/>
          <w:szCs w:val="18"/>
          <w:b w:val="1"/>
          <w:bCs w:val="1"/>
          <w:color w:val="auto"/>
        </w:rPr>
        <w:t>Trade Secret</w:t>
      </w:r>
      <w:r>
        <w:rPr>
          <w:rFonts w:ascii="Arial" w:cs="Arial" w:eastAsia="Arial" w:hAnsi="Arial"/>
          <w:sz w:val="18"/>
          <w:szCs w:val="18"/>
          <w:color w:val="auto"/>
        </w:rPr>
        <w:t>” means a Trade Secret as that term is defined under Wis. Stat. § 134.90, or its successor provision.</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3.</w:t>
      </w:r>
      <w:r>
        <w:rPr>
          <w:rFonts w:ascii="Arial" w:cs="Arial" w:eastAsia="Arial" w:hAnsi="Arial"/>
          <w:sz w:val="19"/>
          <w:szCs w:val="19"/>
          <w:b w:val="1"/>
          <w:bCs w:val="1"/>
          <w:u w:val="single" w:color="auto"/>
          <w:color w:val="auto"/>
        </w:rPr>
        <w:t>Employment of Executive</w:t>
      </w:r>
      <w:r>
        <w:rPr>
          <w:rFonts w:ascii="Arial" w:cs="Arial" w:eastAsia="Arial" w:hAnsi="Arial"/>
          <w:sz w:val="19"/>
          <w:szCs w:val="19"/>
          <w:color w:val="auto"/>
        </w:rPr>
        <w:t>.</w:t>
      </w:r>
    </w:p>
    <w:p>
      <w:pPr>
        <w:spacing w:after="0" w:line="18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(a)</w:t>
      </w:r>
      <w:r>
        <w:rPr>
          <w:rFonts w:ascii="Arial" w:cs="Arial" w:eastAsia="Arial" w:hAnsi="Arial"/>
          <w:sz w:val="19"/>
          <w:szCs w:val="19"/>
          <w:b w:val="1"/>
          <w:bCs w:val="1"/>
          <w:color w:val="auto"/>
        </w:rPr>
        <w:t>Position</w:t>
      </w:r>
      <w:r>
        <w:rPr>
          <w:rFonts w:ascii="Arial" w:cs="Arial" w:eastAsia="Arial" w:hAnsi="Arial"/>
          <w:sz w:val="19"/>
          <w:szCs w:val="19"/>
          <w:color w:val="auto"/>
        </w:rPr>
        <w:t>.</w:t>
      </w:r>
    </w:p>
    <w:p>
      <w:pPr>
        <w:spacing w:after="0" w:line="188" w:lineRule="exact"/>
        <w:rPr>
          <w:sz w:val="20"/>
          <w:szCs w:val="20"/>
          <w:color w:val="auto"/>
        </w:rPr>
      </w:pPr>
    </w:p>
    <w:p>
      <w:pPr>
        <w:jc w:val="both"/>
        <w:ind w:left="860" w:right="20" w:firstLine="732"/>
        <w:spacing w:after="0" w:line="255" w:lineRule="auto"/>
        <w:rPr>
          <w:sz w:val="20"/>
          <w:szCs w:val="20"/>
          <w:color w:val="auto"/>
        </w:rPr>
      </w:pPr>
      <w:r>
        <w:rPr>
          <w:rFonts w:ascii="Arial" w:cs="Arial" w:eastAsia="Arial" w:hAnsi="Arial"/>
          <w:sz w:val="19"/>
          <w:szCs w:val="19"/>
          <w:color w:val="auto"/>
        </w:rPr>
        <w:t>(i)Executive shall serve in a full-time capacity in the position set forth above or in any other position and/or with such other duties as determined from time to time or at any time by Orion.</w:t>
      </w:r>
    </w:p>
    <w:p>
      <w:pPr>
        <w:spacing w:after="0" w:line="148" w:lineRule="exact"/>
        <w:rPr>
          <w:sz w:val="20"/>
          <w:szCs w:val="20"/>
          <w:color w:val="auto"/>
        </w:rPr>
      </w:pPr>
    </w:p>
    <w:p>
      <w:pPr>
        <w:jc w:val="both"/>
        <w:ind w:left="860" w:firstLine="732"/>
        <w:spacing w:after="0" w:line="250" w:lineRule="auto"/>
        <w:rPr>
          <w:sz w:val="20"/>
          <w:szCs w:val="20"/>
          <w:color w:val="auto"/>
        </w:rPr>
      </w:pPr>
      <w:r>
        <w:rPr>
          <w:rFonts w:ascii="Arial" w:cs="Arial" w:eastAsia="Arial" w:hAnsi="Arial"/>
          <w:sz w:val="18"/>
          <w:szCs w:val="18"/>
          <w:color w:val="auto"/>
        </w:rPr>
        <w:t xml:space="preserve">(ii)Executive will devote Executive’s full business time and best efforts to the performance of Executive’s duties hereunder and will not engage in any other business, profession or occupation for compensation or otherwise which would conflict or interfere with the rendition of such services either directly or indirectly, without the prior written consent of Orion;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nothing herein shall preclude Executive, subject to the prior approval of Orion, from accepting appointment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continuing to serve on any board of directors or trustees of any non-profit organization or any charitable organization; or no more than one (1) for-profit entity as long as Executive does not serve on an audit committee; </w:t>
      </w:r>
      <w:r>
        <w:rPr>
          <w:rFonts w:ascii="Arial" w:cs="Arial" w:eastAsia="Arial" w:hAnsi="Arial"/>
          <w:sz w:val="18"/>
          <w:szCs w:val="18"/>
          <w:i w:val="1"/>
          <w:iCs w:val="1"/>
          <w:color w:val="auto"/>
        </w:rPr>
        <w:t>further provided</w:t>
      </w:r>
      <w:r>
        <w:rPr>
          <w:rFonts w:ascii="Arial" w:cs="Arial" w:eastAsia="Arial" w:hAnsi="Arial"/>
          <w:sz w:val="18"/>
          <w:szCs w:val="18"/>
          <w:color w:val="auto"/>
        </w:rPr>
        <w:t xml:space="preserve"> in each case, and in the aggregate, that such activities do not materially conflict or interfere with the performance of Executive’s duties hereunder or conflict with Section 7.</w:t>
      </w:r>
    </w:p>
    <w:p>
      <w:pPr>
        <w:spacing w:after="0" w:line="158"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67310</wp:posOffset>
            </wp:positionV>
            <wp:extent cx="716470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14" w:right="319" w:bottom="1440" w:gutter="0" w:footer="0" w:header="0"/>
        </w:sectPr>
      </w:pPr>
    </w:p>
    <w:bookmarkStart w:id="117" w:name="page118"/>
    <w:bookmarkEnd w:id="117"/>
    <w:p>
      <w:pPr>
        <w:jc w:val="both"/>
        <w:ind w:firstLine="799"/>
        <w:spacing w:after="0" w:line="247" w:lineRule="auto"/>
        <w:rPr>
          <w:sz w:val="20"/>
          <w:szCs w:val="20"/>
          <w:color w:val="auto"/>
        </w:rPr>
      </w:pPr>
      <w:r>
        <w:rPr>
          <w:rFonts w:ascii="Arial" w:cs="Arial" w:eastAsia="Arial" w:hAnsi="Arial"/>
          <w:sz w:val="19"/>
          <w:szCs w:val="19"/>
          <w:color w:val="auto"/>
        </w:rPr>
        <w:t>(b)</w:t>
      </w:r>
      <w:r>
        <w:rPr>
          <w:rFonts w:ascii="Arial" w:cs="Arial" w:eastAsia="Arial" w:hAnsi="Arial"/>
          <w:sz w:val="19"/>
          <w:szCs w:val="19"/>
          <w:b w:val="1"/>
          <w:bCs w:val="1"/>
          <w:color w:val="auto"/>
        </w:rPr>
        <w:t>Base Salary</w:t>
      </w:r>
      <w:r>
        <w:rPr>
          <w:rFonts w:ascii="Arial" w:cs="Arial" w:eastAsia="Arial" w:hAnsi="Arial"/>
          <w:sz w:val="19"/>
          <w:szCs w:val="19"/>
          <w:color w:val="auto"/>
        </w:rPr>
        <w:t>. Orion shall pay Executive a Base Salary at the initial annual rate set forth above, payable in regular installments in accordance with Orion’s usual payroll practices. Executive shall be entitled to such increases in Executive’s Base Salary, if any, as may be determined from time to time by Orion.</w:t>
      </w:r>
    </w:p>
    <w:p>
      <w:pPr>
        <w:spacing w:after="0" w:line="149" w:lineRule="exact"/>
        <w:rPr>
          <w:sz w:val="20"/>
          <w:szCs w:val="20"/>
          <w:color w:val="auto"/>
        </w:rPr>
      </w:pPr>
    </w:p>
    <w:p>
      <w:pPr>
        <w:jc w:val="both"/>
        <w:ind w:firstLine="799"/>
        <w:spacing w:after="0"/>
        <w:rPr>
          <w:sz w:val="20"/>
          <w:szCs w:val="20"/>
          <w:color w:val="auto"/>
        </w:rPr>
      </w:pPr>
      <w:r>
        <w:rPr>
          <w:rFonts w:ascii="Arial" w:cs="Arial" w:eastAsia="Arial" w:hAnsi="Arial"/>
          <w:sz w:val="19"/>
          <w:szCs w:val="19"/>
          <w:color w:val="auto"/>
        </w:rPr>
        <w:t>(c)</w:t>
      </w:r>
      <w:r>
        <w:rPr>
          <w:rFonts w:ascii="Arial" w:cs="Arial" w:eastAsia="Arial" w:hAnsi="Arial"/>
          <w:sz w:val="19"/>
          <w:szCs w:val="19"/>
          <w:b w:val="1"/>
          <w:bCs w:val="1"/>
          <w:color w:val="auto"/>
        </w:rPr>
        <w:t>Cash Bonus Incentives</w:t>
      </w:r>
      <w:r>
        <w:rPr>
          <w:rFonts w:ascii="Arial" w:cs="Arial" w:eastAsia="Arial" w:hAnsi="Arial"/>
          <w:sz w:val="19"/>
          <w:szCs w:val="19"/>
          <w:color w:val="auto"/>
        </w:rPr>
        <w:t>. Executive shall be entitled to participate in such annual and/or long-term cash incentive compensation plans and programs of Orion as are generally provided to the senior executives of Orion, as determined by the Board in its discretion. Any cash bonuses payable to Executive will be paid at the time Orion normally pays such bonuses to its senior executives and will be subject to the terms and conditions of the applicable cash incentive compensation plans and programs, as determined by the Board in its discretion.</w:t>
      </w:r>
    </w:p>
    <w:p>
      <w:pPr>
        <w:spacing w:after="0" w:line="155" w:lineRule="exact"/>
        <w:rPr>
          <w:sz w:val="20"/>
          <w:szCs w:val="20"/>
          <w:color w:val="auto"/>
        </w:rPr>
      </w:pPr>
    </w:p>
    <w:p>
      <w:pPr>
        <w:jc w:val="both"/>
        <w:ind w:firstLine="799"/>
        <w:spacing w:after="0" w:line="242" w:lineRule="auto"/>
        <w:rPr>
          <w:sz w:val="20"/>
          <w:szCs w:val="20"/>
          <w:color w:val="auto"/>
        </w:rPr>
      </w:pPr>
      <w:r>
        <w:rPr>
          <w:rFonts w:ascii="Arial" w:cs="Arial" w:eastAsia="Arial" w:hAnsi="Arial"/>
          <w:sz w:val="19"/>
          <w:szCs w:val="19"/>
          <w:color w:val="auto"/>
        </w:rPr>
        <w:t>(d)</w:t>
      </w:r>
      <w:r>
        <w:rPr>
          <w:rFonts w:ascii="Arial" w:cs="Arial" w:eastAsia="Arial" w:hAnsi="Arial"/>
          <w:sz w:val="19"/>
          <w:szCs w:val="19"/>
          <w:b w:val="1"/>
          <w:bCs w:val="1"/>
          <w:color w:val="auto"/>
        </w:rPr>
        <w:t>Equity Compensation</w:t>
      </w:r>
      <w:r>
        <w:rPr>
          <w:rFonts w:ascii="Arial" w:cs="Arial" w:eastAsia="Arial" w:hAnsi="Arial"/>
          <w:sz w:val="19"/>
          <w:szCs w:val="19"/>
          <w:color w:val="auto"/>
        </w:rPr>
        <w:t>. Executive shall be eligible to receive equity compensation awards (which may consist of restricted stock or other types of equity awards), as determined by the Board in its discretion pursuant to Orion’s equity compensation plans and programs in effect from time to time. These awards shall be granted in the discretion of the Board, and shall include such terms and conditions, including performance objectives, as the Board deems appropriate.</w:t>
      </w:r>
    </w:p>
    <w:p>
      <w:pPr>
        <w:spacing w:after="0" w:line="154" w:lineRule="exact"/>
        <w:rPr>
          <w:sz w:val="20"/>
          <w:szCs w:val="20"/>
          <w:color w:val="auto"/>
        </w:rPr>
      </w:pPr>
    </w:p>
    <w:p>
      <w:pPr>
        <w:jc w:val="both"/>
        <w:ind w:right="20" w:firstLine="799"/>
        <w:spacing w:after="0" w:line="290" w:lineRule="auto"/>
        <w:rPr>
          <w:sz w:val="20"/>
          <w:szCs w:val="20"/>
          <w:color w:val="auto"/>
        </w:rPr>
      </w:pPr>
      <w:r>
        <w:rPr>
          <w:rFonts w:ascii="Arial" w:cs="Arial" w:eastAsia="Arial" w:hAnsi="Arial"/>
          <w:sz w:val="18"/>
          <w:szCs w:val="18"/>
          <w:color w:val="auto"/>
        </w:rPr>
        <w:t>(e)</w:t>
      </w:r>
      <w:r>
        <w:rPr>
          <w:rFonts w:ascii="Arial" w:cs="Arial" w:eastAsia="Arial" w:hAnsi="Arial"/>
          <w:sz w:val="18"/>
          <w:szCs w:val="18"/>
          <w:b w:val="1"/>
          <w:bCs w:val="1"/>
          <w:color w:val="auto"/>
        </w:rPr>
        <w:t>Employee Benefits</w:t>
      </w:r>
      <w:r>
        <w:rPr>
          <w:rFonts w:ascii="Arial" w:cs="Arial" w:eastAsia="Arial" w:hAnsi="Arial"/>
          <w:sz w:val="18"/>
          <w:szCs w:val="18"/>
          <w:color w:val="auto"/>
        </w:rPr>
        <w:t>. Executive shall be entitled to participate in Orion’s other employee benefit plans as in effect from time to time on the same basis as those benefits are generally made available to other senior executives of Orion.</w:t>
      </w:r>
    </w:p>
    <w:p>
      <w:pPr>
        <w:spacing w:after="0" w:line="112" w:lineRule="exact"/>
        <w:rPr>
          <w:sz w:val="20"/>
          <w:szCs w:val="20"/>
          <w:color w:val="auto"/>
        </w:rPr>
      </w:pPr>
    </w:p>
    <w:p>
      <w:pPr>
        <w:jc w:val="both"/>
        <w:ind w:right="20" w:firstLine="799"/>
        <w:spacing w:after="0" w:line="260" w:lineRule="auto"/>
        <w:rPr>
          <w:sz w:val="20"/>
          <w:szCs w:val="20"/>
          <w:color w:val="auto"/>
        </w:rPr>
      </w:pPr>
      <w:r>
        <w:rPr>
          <w:rFonts w:ascii="Arial" w:cs="Arial" w:eastAsia="Arial" w:hAnsi="Arial"/>
          <w:sz w:val="18"/>
          <w:szCs w:val="18"/>
          <w:color w:val="auto"/>
        </w:rPr>
        <w:t>(f)</w:t>
      </w:r>
      <w:r>
        <w:rPr>
          <w:rFonts w:ascii="Arial" w:cs="Arial" w:eastAsia="Arial" w:hAnsi="Arial"/>
          <w:sz w:val="18"/>
          <w:szCs w:val="18"/>
          <w:b w:val="1"/>
          <w:bCs w:val="1"/>
          <w:color w:val="auto"/>
        </w:rPr>
        <w:t>Business Expenses</w:t>
      </w:r>
      <w:r>
        <w:rPr>
          <w:rFonts w:ascii="Arial" w:cs="Arial" w:eastAsia="Arial" w:hAnsi="Arial"/>
          <w:sz w:val="18"/>
          <w:szCs w:val="18"/>
          <w:color w:val="auto"/>
        </w:rPr>
        <w:t>. Executive shall have a right to be reimbursed for Executive’s reasonable and appropriate business expenses which Executive actually incurs in connection with the performance of Executive’s duties and responsibilities under this Agreement in accordance with Orion’s expense reimbursement policies and procedures for its senior executives, subject to Orion’s reasonable requirements with respect to reporting and documentation of such expenses</w:t>
      </w:r>
    </w:p>
    <w:p>
      <w:pPr>
        <w:spacing w:after="0" w:line="138"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(g)</w:t>
      </w:r>
      <w:r>
        <w:rPr>
          <w:rFonts w:ascii="Arial" w:cs="Arial" w:eastAsia="Arial" w:hAnsi="Arial"/>
          <w:sz w:val="19"/>
          <w:szCs w:val="19"/>
          <w:b w:val="1"/>
          <w:bCs w:val="1"/>
          <w:color w:val="auto"/>
        </w:rPr>
        <w:t>Other Perquisites</w:t>
      </w:r>
      <w:r>
        <w:rPr>
          <w:rFonts w:ascii="Arial" w:cs="Arial" w:eastAsia="Arial" w:hAnsi="Arial"/>
          <w:sz w:val="19"/>
          <w:szCs w:val="19"/>
          <w:color w:val="auto"/>
        </w:rPr>
        <w:t>. Executive shall be entitled to receive the other benefits and perquisites set forth in Exhibit A.</w:t>
      </w:r>
    </w:p>
    <w:p>
      <w:pPr>
        <w:spacing w:after="0" w:line="188"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All payments and benefits under this Section 3 shall be subject to payroll tax and other withholdings in accordance with Orion’s standard payroll practices and applicable law.</w:t>
      </w:r>
    </w:p>
    <w:p>
      <w:pPr>
        <w:spacing w:after="0" w:line="15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4.</w:t>
      </w:r>
      <w:r>
        <w:rPr>
          <w:rFonts w:ascii="Arial" w:cs="Arial" w:eastAsia="Arial" w:hAnsi="Arial"/>
          <w:sz w:val="19"/>
          <w:szCs w:val="19"/>
          <w:b w:val="1"/>
          <w:bCs w:val="1"/>
          <w:u w:val="single" w:color="auto"/>
          <w:color w:val="auto"/>
        </w:rPr>
        <w:t>Termination of Employment</w:t>
      </w:r>
      <w:r>
        <w:rPr>
          <w:rFonts w:ascii="Arial" w:cs="Arial" w:eastAsia="Arial" w:hAnsi="Arial"/>
          <w:sz w:val="19"/>
          <w:szCs w:val="19"/>
          <w:color w:val="auto"/>
        </w:rPr>
        <w:t>. A Termination Date shall occur as follows: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(a)Executive’s employment will terminate upon Executive’s death.</w:t>
      </w:r>
    </w:p>
    <w:p>
      <w:pPr>
        <w:spacing w:after="0" w:line="182" w:lineRule="exact"/>
        <w:rPr>
          <w:sz w:val="20"/>
          <w:szCs w:val="20"/>
          <w:color w:val="auto"/>
        </w:rPr>
      </w:pPr>
    </w:p>
    <w:p>
      <w:pPr>
        <w:jc w:val="both"/>
        <w:ind w:firstLine="799"/>
        <w:spacing w:after="0"/>
        <w:rPr>
          <w:sz w:val="20"/>
          <w:szCs w:val="20"/>
          <w:color w:val="auto"/>
        </w:rPr>
      </w:pPr>
      <w:r>
        <w:rPr>
          <w:rFonts w:ascii="Arial" w:cs="Arial" w:eastAsia="Arial" w:hAnsi="Arial"/>
          <w:sz w:val="19"/>
          <w:szCs w:val="19"/>
          <w:color w:val="auto"/>
        </w:rPr>
        <w:t>(b)If Executive suffers a Disability, and if within thirty (30) days after Orion notifies the Executive in writing that it intends to terminate Executive’s employment because of such Disability, then Executive shall not have returned to the performance of Executive’s duties hereunder on a full-time basis, then Orion may terminate Executive’s employment, effective immediately following the end of such thirty (30)-day period.</w:t>
      </w:r>
    </w:p>
    <w:p>
      <w:pPr>
        <w:spacing w:after="0" w:line="161" w:lineRule="exact"/>
        <w:rPr>
          <w:sz w:val="20"/>
          <w:szCs w:val="20"/>
          <w:color w:val="auto"/>
        </w:rPr>
      </w:pPr>
    </w:p>
    <w:p>
      <w:pPr>
        <w:jc w:val="both"/>
        <w:ind w:right="20" w:firstLine="799"/>
        <w:spacing w:after="0" w:line="255" w:lineRule="auto"/>
        <w:rPr>
          <w:sz w:val="20"/>
          <w:szCs w:val="20"/>
          <w:color w:val="auto"/>
        </w:rPr>
      </w:pPr>
      <w:r>
        <w:rPr>
          <w:rFonts w:ascii="Arial" w:cs="Arial" w:eastAsia="Arial" w:hAnsi="Arial"/>
          <w:sz w:val="19"/>
          <w:szCs w:val="19"/>
          <w:color w:val="auto"/>
        </w:rPr>
        <w:t>(c)Orion may terminate Executive’s employment with or without Cause (other than as a result of Disability by providing written notice to Executive of such termination,</w:t>
      </w:r>
    </w:p>
    <w:p>
      <w:pPr>
        <w:spacing w:after="0" w:line="148"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67310</wp:posOffset>
            </wp:positionV>
            <wp:extent cx="716470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14" w:right="319" w:bottom="1440" w:gutter="0" w:footer="0" w:header="0"/>
        </w:sectPr>
      </w:pPr>
    </w:p>
    <w:bookmarkStart w:id="118" w:name="page119"/>
    <w:bookmarkEnd w:id="118"/>
    <w:p>
      <w:pPr>
        <w:jc w:val="both"/>
        <w:spacing w:after="0" w:line="264"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if Orion terminates Executive’s employment for Cause, then such written notice shall indicate in reasonable detail the</w:t>
      </w:r>
      <w:r>
        <w:rPr>
          <w:rFonts w:ascii="Arial" w:cs="Arial" w:eastAsia="Arial" w:hAnsi="Arial"/>
          <w:sz w:val="17"/>
          <w:szCs w:val="17"/>
          <w:i w:val="1"/>
          <w:iCs w:val="1"/>
          <w:color w:val="auto"/>
        </w:rPr>
        <w:t xml:space="preserve"> </w:t>
      </w:r>
      <w:r>
        <w:rPr>
          <w:rFonts w:ascii="Arial" w:cs="Arial" w:eastAsia="Arial" w:hAnsi="Arial"/>
          <w:sz w:val="17"/>
          <w:szCs w:val="17"/>
          <w:color w:val="auto"/>
        </w:rPr>
        <w:t>facts and circumstances alleged to provide a basis for such termination for Cause. If the termination is without Cause, Executive’s employment will terminate on the date specified in the written notice of termination. If the termination is for Cause, the Executive shall have thirty (30) days from the date the written notice is provided, or such longer period as Orion may determine to be appropriate, to cure any conduct or act, if curable (as determined by Orion), alleged to provide grounds for termination of Executive’s employment for Cause. If the alleged conduct or act constituting Cause is not curable (as determined by Orion), Executive’s employment will terminate on the date specified in the written notice of termination. If the alleged conduct or act constituting Cause is curable (as determined by Orion), but Executive does not cure such conduct or act within the specified time period, Executive’s employment will terminate on the date immediately following the end of the cure period. Notwithstanding the foregoing, a determination of Cause shall only be made in good faith by Orion, and after a Change of Control, Orion’s successor, which may terminate Executive for Cause only after providing Executive (i) written notice as set forth above, (ii) the opportunity to appear before the Board and provide rebuttal to such proposed termination, and (iii) written notice following such appearance confirming such termination. Unless otherwise directed by Orion, from and after the date of the written notice of proposed termination, Executive shall be relieved of his duties and responsibilities and shall be considered to be on a paid leave of absence pending any final action by Orion or the successor confirming such proposed termination.</w:t>
      </w:r>
    </w:p>
    <w:p>
      <w:pPr>
        <w:spacing w:after="0" w:line="143" w:lineRule="exact"/>
        <w:rPr>
          <w:sz w:val="20"/>
          <w:szCs w:val="20"/>
          <w:color w:val="auto"/>
        </w:rPr>
      </w:pPr>
    </w:p>
    <w:p>
      <w:pPr>
        <w:jc w:val="both"/>
        <w:ind w:firstLine="799"/>
        <w:spacing w:after="0" w:line="270" w:lineRule="auto"/>
        <w:rPr>
          <w:sz w:val="20"/>
          <w:szCs w:val="20"/>
          <w:color w:val="auto"/>
        </w:rPr>
      </w:pPr>
      <w:r>
        <w:rPr>
          <w:rFonts w:ascii="Arial" w:cs="Arial" w:eastAsia="Arial" w:hAnsi="Arial"/>
          <w:sz w:val="17"/>
          <w:szCs w:val="17"/>
          <w:color w:val="auto"/>
        </w:rPr>
        <w:t>(d)Executive may terminate his employment with or without Good Reason by providing written notice of termination to Orion that indicates in reasonable detail the facts and circumstances alleged to provide a basis for such termination. If Executive is alleging a termination for Good Reason, Executive must provide written notice to Orion of the existence of the condition constituting Good Reason within ninety (90) days of the initial existence of such condition, and Orion must have a period of at least thirty (30) days following receipt of such notice to cure such condition. If such condition is not cured by Orion within such thirty (30)-day period, Executive’s termination of employment from Orion shall be effective on the date immediately following the end of such cure period.</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5.</w:t>
      </w:r>
      <w:r>
        <w:rPr>
          <w:rFonts w:ascii="Arial" w:cs="Arial" w:eastAsia="Arial" w:hAnsi="Arial"/>
          <w:sz w:val="19"/>
          <w:szCs w:val="19"/>
          <w:b w:val="1"/>
          <w:bCs w:val="1"/>
          <w:u w:val="single" w:color="auto"/>
          <w:color w:val="auto"/>
        </w:rPr>
        <w:t>Payments upon Termination</w:t>
      </w:r>
      <w:r>
        <w:rPr>
          <w:rFonts w:ascii="Arial" w:cs="Arial" w:eastAsia="Arial" w:hAnsi="Arial"/>
          <w:sz w:val="19"/>
          <w:szCs w:val="19"/>
          <w:color w:val="auto"/>
        </w:rPr>
        <w:t>.</w:t>
      </w:r>
    </w:p>
    <w:p>
      <w:pPr>
        <w:spacing w:after="0" w:line="182" w:lineRule="exact"/>
        <w:rPr>
          <w:sz w:val="20"/>
          <w:szCs w:val="20"/>
          <w:color w:val="auto"/>
        </w:rPr>
      </w:pPr>
    </w:p>
    <w:p>
      <w:pPr>
        <w:jc w:val="both"/>
        <w:ind w:firstLine="799"/>
        <w:spacing w:after="0" w:line="247" w:lineRule="auto"/>
        <w:rPr>
          <w:sz w:val="20"/>
          <w:szCs w:val="20"/>
          <w:color w:val="auto"/>
        </w:rPr>
      </w:pPr>
      <w:r>
        <w:rPr>
          <w:rFonts w:ascii="Arial" w:cs="Arial" w:eastAsia="Arial" w:hAnsi="Arial"/>
          <w:sz w:val="19"/>
          <w:szCs w:val="19"/>
          <w:color w:val="auto"/>
        </w:rPr>
        <w:t>(a)</w:t>
      </w:r>
      <w:r>
        <w:rPr>
          <w:rFonts w:ascii="Arial" w:cs="Arial" w:eastAsia="Arial" w:hAnsi="Arial"/>
          <w:sz w:val="19"/>
          <w:szCs w:val="19"/>
          <w:b w:val="1"/>
          <w:bCs w:val="1"/>
          <w:color w:val="auto"/>
        </w:rPr>
        <w:t>Entitlement to Severance</w:t>
      </w:r>
      <w:r>
        <w:rPr>
          <w:rFonts w:ascii="Arial" w:cs="Arial" w:eastAsia="Arial" w:hAnsi="Arial"/>
          <w:sz w:val="19"/>
          <w:szCs w:val="19"/>
          <w:color w:val="auto"/>
        </w:rPr>
        <w:t>. Subject to the other terms and conditions of this Agreement, Executive shall be entitled to the Accrued Benefits, and to the Severance Payment described in subsection (c), in either of the following circumstances while this Agreement is in effect:</w:t>
      </w:r>
    </w:p>
    <w:p>
      <w:pPr>
        <w:spacing w:after="0" w:line="155" w:lineRule="exact"/>
        <w:rPr>
          <w:sz w:val="20"/>
          <w:szCs w:val="20"/>
          <w:color w:val="auto"/>
        </w:rPr>
      </w:pPr>
    </w:p>
    <w:p>
      <w:pPr>
        <w:ind w:left="1600" w:right="540"/>
        <w:spacing w:after="0" w:line="439" w:lineRule="auto"/>
        <w:rPr>
          <w:sz w:val="20"/>
          <w:szCs w:val="20"/>
          <w:color w:val="auto"/>
        </w:rPr>
      </w:pPr>
      <w:r>
        <w:rPr>
          <w:rFonts w:ascii="Arial" w:cs="Arial" w:eastAsia="Arial" w:hAnsi="Arial"/>
          <w:sz w:val="19"/>
          <w:szCs w:val="19"/>
          <w:color w:val="auto"/>
        </w:rPr>
        <w:t>(i)Executive’s employment is terminated by Orion without Cause, except in the case of death or Disability; or (ii)Executive terminates his employment with Orion for Good Reason.</w:t>
      </w:r>
    </w:p>
    <w:p>
      <w:pPr>
        <w:spacing w:after="0" w:line="1" w:lineRule="exact"/>
        <w:rPr>
          <w:sz w:val="20"/>
          <w:szCs w:val="20"/>
          <w:color w:val="auto"/>
        </w:rPr>
      </w:pPr>
    </w:p>
    <w:p>
      <w:pPr>
        <w:jc w:val="both"/>
        <w:ind w:right="20"/>
        <w:spacing w:after="0" w:line="314" w:lineRule="auto"/>
        <w:rPr>
          <w:sz w:val="20"/>
          <w:szCs w:val="20"/>
          <w:color w:val="auto"/>
        </w:rPr>
      </w:pPr>
      <w:r>
        <w:rPr>
          <w:rFonts w:ascii="Arial" w:cs="Arial" w:eastAsia="Arial" w:hAnsi="Arial"/>
          <w:sz w:val="17"/>
          <w:szCs w:val="17"/>
          <w:color w:val="auto"/>
        </w:rPr>
        <w:t>If Executive dies after receiving a notice by Orion that Executive is being terminated without Cause, or after providing notice of termination for Good Reason, the Executive’s estate, heirs and beneficiaries shall be entitled to the Accrued Benefits and the Severance</w:t>
      </w:r>
    </w:p>
    <w:p>
      <w:pPr>
        <w:spacing w:after="0" w:line="100"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67310</wp:posOffset>
            </wp:positionV>
            <wp:extent cx="716470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0" w:right="319" w:bottom="1440" w:gutter="0" w:footer="0" w:header="0"/>
        </w:sectPr>
      </w:pPr>
    </w:p>
    <w:bookmarkStart w:id="119" w:name="page120"/>
    <w:bookmarkEnd w:id="119"/>
    <w:p>
      <w:pPr>
        <w:spacing w:after="0" w:line="255" w:lineRule="auto"/>
        <w:rPr>
          <w:sz w:val="20"/>
          <w:szCs w:val="20"/>
          <w:color w:val="auto"/>
        </w:rPr>
      </w:pPr>
      <w:r>
        <w:rPr>
          <w:rFonts w:ascii="Arial" w:cs="Arial" w:eastAsia="Arial" w:hAnsi="Arial"/>
          <w:sz w:val="19"/>
          <w:szCs w:val="19"/>
          <w:color w:val="auto"/>
        </w:rPr>
        <w:t>Payment described in subsection (c) at the same time such amounts would have been paid or benefits provided to Executive had he lived.</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(b)</w:t>
      </w:r>
      <w:r>
        <w:rPr>
          <w:rFonts w:ascii="Arial" w:cs="Arial" w:eastAsia="Arial" w:hAnsi="Arial"/>
          <w:sz w:val="17"/>
          <w:szCs w:val="17"/>
          <w:b w:val="1"/>
          <w:bCs w:val="1"/>
          <w:color w:val="auto"/>
        </w:rPr>
        <w:t>General Release Requirement</w:t>
      </w:r>
      <w:r>
        <w:rPr>
          <w:rFonts w:ascii="Arial" w:cs="Arial" w:eastAsia="Arial" w:hAnsi="Arial"/>
          <w:sz w:val="17"/>
          <w:szCs w:val="17"/>
          <w:color w:val="auto"/>
        </w:rPr>
        <w:t>. Executive will not be eligible to receive any payments or benefits under Section 5(c) until</w:t>
      </w:r>
    </w:p>
    <w:p>
      <w:pPr>
        <w:spacing w:after="0" w:line="38" w:lineRule="exact"/>
        <w:rPr>
          <w:sz w:val="20"/>
          <w:szCs w:val="20"/>
          <w:color w:val="auto"/>
        </w:rPr>
      </w:pPr>
    </w:p>
    <w:p>
      <w:pPr>
        <w:jc w:val="both"/>
        <w:spacing w:after="0" w:line="255" w:lineRule="auto"/>
        <w:tabs>
          <w:tab w:leader="none" w:pos="2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Executive executes a general release of all claims arising out of his employment with, and termination of employment from, Orion in the form proscribed by and acceptable to Orion (“General Release”); and (ii) the revocation period specified in such General Release expires without such Executive exercising his right of revocation as set forth in the General Release.</w:t>
      </w:r>
    </w:p>
    <w:p>
      <w:pPr>
        <w:spacing w:after="0" w:line="142" w:lineRule="exact"/>
        <w:rPr>
          <w:sz w:val="20"/>
          <w:szCs w:val="20"/>
          <w:color w:val="auto"/>
        </w:rPr>
      </w:pPr>
    </w:p>
    <w:p>
      <w:pPr>
        <w:jc w:val="both"/>
        <w:ind w:firstLine="799"/>
        <w:spacing w:after="0" w:line="247" w:lineRule="auto"/>
        <w:rPr>
          <w:sz w:val="20"/>
          <w:szCs w:val="20"/>
          <w:color w:val="auto"/>
        </w:rPr>
      </w:pPr>
      <w:r>
        <w:rPr>
          <w:rFonts w:ascii="Arial" w:cs="Arial" w:eastAsia="Arial" w:hAnsi="Arial"/>
          <w:sz w:val="19"/>
          <w:szCs w:val="19"/>
          <w:color w:val="auto"/>
        </w:rPr>
        <w:t>(c)</w:t>
      </w:r>
      <w:r>
        <w:rPr>
          <w:rFonts w:ascii="Arial" w:cs="Arial" w:eastAsia="Arial" w:hAnsi="Arial"/>
          <w:sz w:val="19"/>
          <w:szCs w:val="19"/>
          <w:b w:val="1"/>
          <w:bCs w:val="1"/>
          <w:color w:val="auto"/>
        </w:rPr>
        <w:t>Severance Payment; Timing and Form of Severance Payment</w:t>
      </w:r>
      <w:r>
        <w:rPr>
          <w:rFonts w:ascii="Arial" w:cs="Arial" w:eastAsia="Arial" w:hAnsi="Arial"/>
          <w:sz w:val="19"/>
          <w:szCs w:val="19"/>
          <w:color w:val="auto"/>
        </w:rPr>
        <w:t>. Subject to Section 5(b) and the limitations imposed by Section 6, in lieu of any severance pay or benefits under any Orion severance pay plans, programs or policies, if Executive is entitled to severance benefits, then:</w:t>
      </w:r>
    </w:p>
    <w:p>
      <w:pPr>
        <w:spacing w:after="0" w:line="155" w:lineRule="exact"/>
        <w:rPr>
          <w:sz w:val="20"/>
          <w:szCs w:val="20"/>
          <w:color w:val="auto"/>
        </w:rPr>
      </w:pPr>
    </w:p>
    <w:p>
      <w:pPr>
        <w:jc w:val="both"/>
        <w:ind w:left="860" w:firstLine="732"/>
        <w:spacing w:after="0" w:line="237" w:lineRule="auto"/>
        <w:rPr>
          <w:sz w:val="20"/>
          <w:szCs w:val="20"/>
          <w:color w:val="auto"/>
        </w:rPr>
      </w:pPr>
      <w:r>
        <w:rPr>
          <w:rFonts w:ascii="Arial" w:cs="Arial" w:eastAsia="Arial" w:hAnsi="Arial"/>
          <w:sz w:val="19"/>
          <w:szCs w:val="19"/>
          <w:color w:val="auto"/>
        </w:rPr>
        <w:t>(i)Orion shall pay Executive the Severance Payment (plus an amount equal to the Executive’s annual target cash bonus opportunity as established by the Board for the fiscal year in which Separation from Service occurs, multiplied by a fraction, the numerator of which is the number of days that have elapsed in the fiscal year to the date of Separation from Service and the denominator is 365) on a ratable basis each month over the eighteen (18)-month period following the Termination Date, or if later, the date on which the General Release is no longer revocable, or if later, the date on which the amount payable under Section 6 is determined;</w:t>
      </w:r>
    </w:p>
    <w:p>
      <w:pPr>
        <w:spacing w:after="0" w:line="164" w:lineRule="exact"/>
        <w:rPr>
          <w:sz w:val="20"/>
          <w:szCs w:val="20"/>
          <w:color w:val="auto"/>
        </w:rPr>
      </w:pPr>
    </w:p>
    <w:p>
      <w:pPr>
        <w:jc w:val="both"/>
        <w:ind w:left="860" w:right="20" w:firstLine="732"/>
        <w:spacing w:after="0" w:line="255" w:lineRule="auto"/>
        <w:rPr>
          <w:sz w:val="20"/>
          <w:szCs w:val="20"/>
          <w:color w:val="auto"/>
        </w:rPr>
      </w:pPr>
      <w:r>
        <w:rPr>
          <w:rFonts w:ascii="Arial" w:cs="Arial" w:eastAsia="Arial" w:hAnsi="Arial"/>
          <w:sz w:val="19"/>
          <w:szCs w:val="19"/>
          <w:color w:val="auto"/>
        </w:rPr>
        <w:t>(ii)Executive shall be entitled to receive premiums from Orion for COBRA continuation coverage for the length of such coverage at the same rate as is being charged to active employees for similar coverage; and</w:t>
      </w:r>
    </w:p>
    <w:p>
      <w:pPr>
        <w:spacing w:after="0" w:line="148" w:lineRule="exact"/>
        <w:rPr>
          <w:sz w:val="20"/>
          <w:szCs w:val="20"/>
          <w:color w:val="auto"/>
        </w:rPr>
      </w:pPr>
    </w:p>
    <w:p>
      <w:pPr>
        <w:jc w:val="both"/>
        <w:ind w:left="860" w:right="20" w:firstLine="732"/>
        <w:spacing w:after="0" w:line="255" w:lineRule="auto"/>
        <w:rPr>
          <w:sz w:val="20"/>
          <w:szCs w:val="20"/>
          <w:color w:val="auto"/>
        </w:rPr>
      </w:pPr>
      <w:r>
        <w:rPr>
          <w:rFonts w:ascii="Arial" w:cs="Arial" w:eastAsia="Arial" w:hAnsi="Arial"/>
          <w:sz w:val="18"/>
          <w:szCs w:val="18"/>
          <w:color w:val="auto"/>
        </w:rPr>
        <w:t>(iii)The vesting of Executive’s then unvested equity awards from the Company at the date of the Executive’s Separation from Service shall be automatically accelerated and such unvested equity awards shall be deemed to be fully vested as of the date of Executive’s Separation from Service, but only to the extent such equity awards would have otherwise vested within the twenty-four (24)-month period from the date of Executive’s Separation of Service if the Executive had continued in the employment of the Company through said vesting date(s).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All Severance Payments and other payments and benefits under this Section 5 shall be subject to payroll taxes and other withholdings in accordance with Orion’s standard payroll practices and applicable law.</w:t>
      </w:r>
    </w:p>
    <w:p>
      <w:pPr>
        <w:spacing w:after="0" w:line="153"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(d)</w:t>
      </w:r>
      <w:r>
        <w:rPr>
          <w:rFonts w:ascii="Arial" w:cs="Arial" w:eastAsia="Arial" w:hAnsi="Arial"/>
          <w:sz w:val="18"/>
          <w:szCs w:val="18"/>
          <w:b w:val="1"/>
          <w:bCs w:val="1"/>
          <w:color w:val="auto"/>
        </w:rPr>
        <w:t>Other Termination of Employment</w:t>
      </w:r>
      <w:r>
        <w:rPr>
          <w:rFonts w:ascii="Arial" w:cs="Arial" w:eastAsia="Arial" w:hAnsi="Arial"/>
          <w:sz w:val="18"/>
          <w:szCs w:val="18"/>
          <w:color w:val="auto"/>
        </w:rPr>
        <w:t>. If Executive’s employment terminates for any reason other than those described in subsection (a), Executive (or Executive’s estate in the event of his death), shall be entitled to receive only the Accrued Benefits. Executive must be terminated for Cause pursuant to and in accordance with Section 4(c) of this Agreement in order for the consequences of such a Cause termination to apply to Executive under any equity award agreement with Orion to which Executive is then a party. Orion’s obligations under this Section 5 shall survive the termination of this Agreement.</w:t>
      </w:r>
    </w:p>
    <w:p>
      <w:pPr>
        <w:spacing w:after="0" w:line="149"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67310</wp:posOffset>
            </wp:positionV>
            <wp:extent cx="716470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0" w:right="319" w:bottom="1440" w:gutter="0" w:footer="0" w:header="0"/>
        </w:sectPr>
      </w:pPr>
    </w:p>
    <w:bookmarkStart w:id="120" w:name="page121"/>
    <w:bookmarkEnd w:id="120"/>
    <w:p>
      <w:pPr>
        <w:jc w:val="both"/>
        <w:ind w:left="6" w:firstLine="1732"/>
        <w:spacing w:after="0" w:line="267" w:lineRule="auto"/>
        <w:rPr>
          <w:sz w:val="20"/>
          <w:szCs w:val="20"/>
          <w:color w:val="auto"/>
        </w:rPr>
      </w:pPr>
      <w:r>
        <w:rPr>
          <w:rFonts w:ascii="Arial" w:cs="Arial" w:eastAsia="Arial" w:hAnsi="Arial"/>
          <w:sz w:val="17"/>
          <w:szCs w:val="17"/>
          <w:color w:val="auto"/>
        </w:rPr>
        <w:t>6.</w:t>
      </w:r>
      <w:r>
        <w:rPr>
          <w:rFonts w:ascii="Arial" w:cs="Arial" w:eastAsia="Arial" w:hAnsi="Arial"/>
          <w:sz w:val="17"/>
          <w:szCs w:val="17"/>
          <w:b w:val="1"/>
          <w:bCs w:val="1"/>
          <w:u w:val="single" w:color="auto"/>
          <w:color w:val="auto"/>
        </w:rPr>
        <w:t>Limitations on Severance Payments and Benefits</w:t>
      </w:r>
      <w:r>
        <w:rPr>
          <w:rFonts w:ascii="Arial" w:cs="Arial" w:eastAsia="Arial" w:hAnsi="Arial"/>
          <w:sz w:val="17"/>
          <w:szCs w:val="17"/>
          <w:color w:val="auto"/>
        </w:rPr>
        <w:t xml:space="preserve">. Notwithstanding any other provision of this Agreement, if any portion of the Severance Payment or any other payment under this Agreement, or under any other agreement with or plan of Orion (in the aggregate “Total Payments”), would constitute an “excess parachute payment,” then the Total Payments to be made to Executive shall be reduced such that the value of the aggregate Total Payments that Executive is entitled to receive shall be One Dollar ($1) less than the maximum amount which Executive may receive without becoming subject to the tax imposed by Code Section 4999 or which Orion may pay without loss of deduction under Code Section 280G(a);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reduction in the amount of Total Payments shall not apply if the After-Tax Value to Executive of the Total Payments prior to reduction in accordance herewith is greater than the After-Tax Value to Executive of the Total Payments are reduced in accordance herewith. For purposes of this Agreement, the terms “excess parachute payment” and “parachute payments” shall have the meanings assigned to them in Code Section 280G, and such “parachute payments” shall be valued as provided therein.</w:t>
      </w:r>
    </w:p>
    <w:p>
      <w:pPr>
        <w:spacing w:after="0" w:line="143" w:lineRule="exact"/>
        <w:rPr>
          <w:sz w:val="20"/>
          <w:szCs w:val="20"/>
          <w:color w:val="auto"/>
        </w:rPr>
      </w:pPr>
    </w:p>
    <w:p>
      <w:pPr>
        <w:jc w:val="both"/>
        <w:ind w:left="6" w:firstLine="866"/>
        <w:spacing w:after="0" w:line="261" w:lineRule="auto"/>
        <w:rPr>
          <w:sz w:val="20"/>
          <w:szCs w:val="20"/>
          <w:color w:val="auto"/>
        </w:rPr>
      </w:pPr>
      <w:r>
        <w:rPr>
          <w:rFonts w:ascii="Arial" w:cs="Arial" w:eastAsia="Arial" w:hAnsi="Arial"/>
          <w:sz w:val="17"/>
          <w:szCs w:val="17"/>
          <w:color w:val="auto"/>
        </w:rPr>
        <w:t>Within twenty (20) business days following delivery of the notice of termination or notice by Orion to Executive of its belief that there is a payment or benefit due Executive that will result in an excess parachute payment as defined in Code Section 280G, Executive and Orion, at Orion’s expense, shall obtain the opinion (which need not be unqualified) of nationally recognized tax counsel selected by Orion’s independent auditors and acceptable to Executive in Executive’s sole discretion, which opinion sets forth: (A) the amount of the Executive’s “annualized includible compensation for the base period” as defined in Code Section 280G(d)(1), (B) the amount and present value of Total Payments, (C) the amount and present value of any excess parachute payments without regard to the limitations of this Section 6, (D) the After-Tax Value of the Total Payments if the reduction in Total Payments contemplated under this Section 6 did not apply, and (E) the After-Tax Value of the Total Payments taking into account the reduction in Total Payments contemplated under this Section 6. For purposes of determining the “After-Tax Value” of Total Payments, (I) Executive shall be deemed to pay federal income taxes and employment taxes at the highest marginal rate of federal income and employment taxation in the calendar year in which the Severance Payment is to be made and state and local income taxes at the highest marginal rates of taxation in the state and locality of Executive’s domicile for income tax purposes on the date the Severance Payment is to be made, net of the maximum reduction in federal income taxes that may be obtained from deduction of such state and local taxes, and (II) a reasonable compensation analysis and valuation will be performed, to the extent it would increase the Executive’s After-Tax Value of Total Payments, of the value of the Executive’s restrictive covenants under Section 8 hereof (and any other restrictive covenants applicable to the Executive). Such opinion shall be dated as of the Termination Date and addressed to Orion and Executive and shall be binding upon Orion and Executive and upon which Orion and Executive may fully rely. If such opinion determines that there would be an excess parachute payment and that the After-Tax Value of the Total Payments taking into account the reduction contemplated under this Section is greater than the After-Tax Value of the Total Payments if the reduction in Total Payments contemplated under this Section did not apply, then the Severance Payment hereunder or any other payment determined by such counsel to be includible in Total Payments shall be reduced or eliminated as specified by Executive in writing delivered to Orion within five</w:t>
      </w:r>
    </w:p>
    <w:p>
      <w:pPr>
        <w:spacing w:after="0" w:line="1" w:lineRule="exact"/>
        <w:rPr>
          <w:sz w:val="20"/>
          <w:szCs w:val="20"/>
          <w:color w:val="auto"/>
        </w:rPr>
      </w:pPr>
    </w:p>
    <w:p>
      <w:pPr>
        <w:jc w:val="both"/>
        <w:ind w:left="6" w:right="20" w:hanging="6"/>
        <w:spacing w:after="0" w:line="277" w:lineRule="auto"/>
        <w:tabs>
          <w:tab w:leader="none" w:pos="286" w:val="left"/>
        </w:tabs>
        <w:numPr>
          <w:ilvl w:val="0"/>
          <w:numId w:val="68"/>
        </w:numPr>
        <w:rPr>
          <w:rFonts w:ascii="Arial" w:cs="Arial" w:eastAsia="Arial" w:hAnsi="Arial"/>
          <w:sz w:val="17"/>
          <w:szCs w:val="17"/>
          <w:color w:val="auto"/>
        </w:rPr>
      </w:pPr>
      <w:r>
        <w:rPr>
          <w:rFonts w:ascii="Arial" w:cs="Arial" w:eastAsia="Arial" w:hAnsi="Arial"/>
          <w:sz w:val="17"/>
          <w:szCs w:val="17"/>
          <w:color w:val="auto"/>
        </w:rPr>
        <w:t>business days of Executive’s receipt of such opinion or, if Executive fails to so notify Orion, then as Orion shall reasonably determine, so that under the bases of calculations set forth in such opinion there will be no excess parachute payment. If such legal counsel so requests in connection with the opinion required by this Section, Executive and Orion shall obtain, at Orion’s expense, and the legal counsel may rely on in providing the</w:t>
      </w:r>
    </w:p>
    <w:p>
      <w:pPr>
        <w:spacing w:after="0" w:line="131"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6470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6"/>
          </w:cols>
          <w:pgMar w:left="314" w:top="314" w:right="319" w:bottom="1440" w:gutter="0" w:footer="0" w:header="0"/>
        </w:sectPr>
      </w:pPr>
    </w:p>
    <w:bookmarkStart w:id="121" w:name="page122"/>
    <w:bookmarkEnd w:id="121"/>
    <w:p>
      <w:pPr>
        <w:jc w:val="both"/>
        <w:ind w:left="6"/>
        <w:spacing w:after="0" w:line="266" w:lineRule="auto"/>
        <w:rPr>
          <w:sz w:val="20"/>
          <w:szCs w:val="20"/>
          <w:color w:val="auto"/>
        </w:rPr>
      </w:pPr>
      <w:r>
        <w:rPr>
          <w:rFonts w:ascii="Arial" w:cs="Arial" w:eastAsia="Arial" w:hAnsi="Arial"/>
          <w:sz w:val="17"/>
          <w:szCs w:val="17"/>
          <w:color w:val="auto"/>
        </w:rPr>
        <w:t>opinion, the advice of a firm of recognized executive compensation consultants as to the reasonableness of any item of compensation to be received by Executive. Notwithstanding the foregoing, the provisions of this Section 6, including the calculations, notices and opinions provided for herein, shall be based upon the conclusive presumption that the following are reasonable: (1) the compensation and benefits provided for in Section 3 and</w:t>
      </w:r>
    </w:p>
    <w:p>
      <w:pPr>
        <w:spacing w:after="0" w:line="1" w:lineRule="exact"/>
        <w:rPr>
          <w:sz w:val="20"/>
          <w:szCs w:val="20"/>
          <w:color w:val="auto"/>
        </w:rPr>
      </w:pPr>
    </w:p>
    <w:p>
      <w:pPr>
        <w:jc w:val="both"/>
        <w:ind w:left="6" w:right="20" w:hanging="6"/>
        <w:spacing w:after="0" w:line="255" w:lineRule="auto"/>
        <w:tabs>
          <w:tab w:leader="none" w:pos="2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compensation, including but not limited to the Accrued Benefits earned prior to the date of Executive’s Separation from Service by the Executive pursuant to the Company’s compensation programs if such payments would have been made in the future in any event, even though the timing of such payment is triggered by the Change of Control or the Executive’s Separation from Service.</w:t>
      </w:r>
    </w:p>
    <w:p>
      <w:pPr>
        <w:spacing w:after="0" w:line="142" w:lineRule="exact"/>
        <w:rPr>
          <w:sz w:val="20"/>
          <w:szCs w:val="20"/>
          <w:color w:val="auto"/>
        </w:rPr>
      </w:pPr>
    </w:p>
    <w:p>
      <w:pPr>
        <w:ind w:left="1726"/>
        <w:spacing w:after="0"/>
        <w:rPr>
          <w:sz w:val="20"/>
          <w:szCs w:val="20"/>
          <w:color w:val="auto"/>
        </w:rPr>
      </w:pPr>
      <w:r>
        <w:rPr>
          <w:rFonts w:ascii="Arial" w:cs="Arial" w:eastAsia="Arial" w:hAnsi="Arial"/>
          <w:sz w:val="19"/>
          <w:szCs w:val="19"/>
          <w:color w:val="auto"/>
        </w:rPr>
        <w:t>7.</w:t>
      </w:r>
      <w:r>
        <w:rPr>
          <w:rFonts w:ascii="Arial" w:cs="Arial" w:eastAsia="Arial" w:hAnsi="Arial"/>
          <w:sz w:val="19"/>
          <w:szCs w:val="19"/>
          <w:b w:val="1"/>
          <w:bCs w:val="1"/>
          <w:u w:val="single" w:color="auto"/>
          <w:color w:val="auto"/>
        </w:rPr>
        <w:t>Covenants by Executive</w:t>
      </w:r>
      <w:r>
        <w:rPr>
          <w:rFonts w:ascii="Arial" w:cs="Arial" w:eastAsia="Arial" w:hAnsi="Arial"/>
          <w:sz w:val="19"/>
          <w:szCs w:val="19"/>
          <w:color w:val="auto"/>
        </w:rPr>
        <w:t>.</w:t>
      </w:r>
    </w:p>
    <w:p>
      <w:pPr>
        <w:spacing w:after="0" w:line="182" w:lineRule="exact"/>
        <w:rPr>
          <w:sz w:val="20"/>
          <w:szCs w:val="20"/>
          <w:color w:val="auto"/>
        </w:rPr>
      </w:pPr>
    </w:p>
    <w:p>
      <w:pPr>
        <w:jc w:val="both"/>
        <w:ind w:left="866" w:right="20" w:firstLine="799"/>
        <w:spacing w:after="0" w:line="253" w:lineRule="auto"/>
        <w:tabs>
          <w:tab w:leader="none" w:pos="2439"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Nondisclosure of Third Party Confidential Information</w:t>
      </w:r>
      <w:r>
        <w:rPr>
          <w:rFonts w:ascii="Arial" w:cs="Arial" w:eastAsia="Arial" w:hAnsi="Arial"/>
          <w:sz w:val="18"/>
          <w:szCs w:val="18"/>
          <w:color w:val="auto"/>
        </w:rPr>
        <w:t>. During Executive’s employment with Orion and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Termination Date, Executive shall not use or disclose Third Party Confidential Information for as long as the relevant third party has required Orion to maintain its confidentiality, or for so long as required by applicable law, whichever period is longer. This prohibition does not prohibit Executive’s use of general skills and know-how acquired during and prior to employment by Orion, as long as such use does not involve the use or disclosure of Third Party Confidential Information. This prohibition also does not prohibit the description by Executive of Executive’s employment history and duties, for work search or other purposes, as long as such use does not involve the use or disclosure of Third Party Confidential Information.</w:t>
      </w:r>
    </w:p>
    <w:p>
      <w:pPr>
        <w:spacing w:after="0" w:line="143" w:lineRule="exact"/>
        <w:rPr>
          <w:rFonts w:ascii="Arial" w:cs="Arial" w:eastAsia="Arial" w:hAnsi="Arial"/>
          <w:sz w:val="18"/>
          <w:szCs w:val="18"/>
          <w:color w:val="auto"/>
        </w:rPr>
      </w:pPr>
    </w:p>
    <w:p>
      <w:pPr>
        <w:jc w:val="both"/>
        <w:ind w:left="866" w:firstLine="799"/>
        <w:spacing w:after="0" w:line="242" w:lineRule="auto"/>
        <w:tabs>
          <w:tab w:leader="none" w:pos="2431" w:val="left"/>
        </w:tabs>
        <w:numPr>
          <w:ilvl w:val="0"/>
          <w:numId w:val="70"/>
        </w:numPr>
        <w:rPr>
          <w:rFonts w:ascii="Arial" w:cs="Arial" w:eastAsia="Arial" w:hAnsi="Arial"/>
          <w:sz w:val="17"/>
          <w:szCs w:val="17"/>
          <w:color w:val="auto"/>
        </w:rPr>
      </w:pPr>
      <w:r>
        <w:rPr>
          <w:rFonts w:ascii="Arial" w:cs="Arial" w:eastAsia="Arial" w:hAnsi="Arial"/>
          <w:sz w:val="19"/>
          <w:szCs w:val="19"/>
          <w:b w:val="1"/>
          <w:bCs w:val="1"/>
          <w:color w:val="auto"/>
        </w:rPr>
        <w:t>Nondisclosure of Trade Secrets</w:t>
      </w:r>
      <w:r>
        <w:rPr>
          <w:rFonts w:ascii="Arial" w:cs="Arial" w:eastAsia="Arial" w:hAnsi="Arial"/>
          <w:sz w:val="19"/>
          <w:szCs w:val="19"/>
          <w:color w:val="auto"/>
        </w:rPr>
        <w:t>. During Executive’s employment with Orion and after the Termination Date,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shall not use or disclose Orion’s Trade Secrets so long as they remain Trade Secrets. Nothing in this Agreement shall limit either Executive’s statutory and other duties not to use or disclose Orion’s Trade Secrets, or Orion’s remedies in the event Executive uses or discloses Orion’s Trade Secrets.</w:t>
      </w:r>
    </w:p>
    <w:p>
      <w:pPr>
        <w:spacing w:after="0" w:line="154" w:lineRule="exact"/>
        <w:rPr>
          <w:rFonts w:ascii="Arial" w:cs="Arial" w:eastAsia="Arial" w:hAnsi="Arial"/>
          <w:sz w:val="17"/>
          <w:szCs w:val="17"/>
          <w:color w:val="auto"/>
        </w:rPr>
      </w:pPr>
    </w:p>
    <w:p>
      <w:pPr>
        <w:jc w:val="both"/>
        <w:ind w:left="866" w:firstLine="799"/>
        <w:spacing w:after="0" w:line="250" w:lineRule="auto"/>
        <w:tabs>
          <w:tab w:leader="none" w:pos="2439"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Obligations Not to Disclose or Use Confidential Information</w:t>
      </w:r>
      <w:r>
        <w:rPr>
          <w:rFonts w:ascii="Arial" w:cs="Arial" w:eastAsia="Arial" w:hAnsi="Arial"/>
          <w:sz w:val="18"/>
          <w:szCs w:val="18"/>
          <w:color w:val="auto"/>
        </w:rPr>
        <w:t>. Except as set forth herein or as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in writing on behalf of Orion, Executive agrees that while Executive is employed by Orion and during the two (2)-year period commencing at the Termination Date, Executive will not use or disclose (except in discharging Executive’s job duties with Orion) any Confidential Information, whether such Confidential Information is in Executive’s memory or it is set forth electronically, in writing or other form. This prohibition does not prohibit Executive’s disclosure of information after it ceases to meet the definition of “Confidential Information,” or Executive’s use of general skills and know-how acquired during and prior to employment by Orion, so long as such use does not involve the use or disclosure of Confidential Information; nor does this prohibition restrict Executive from providing prospective employers with an employment history or description of Executive’s duties with Orion, so long as Executive does not use or disclose Confidential Information. Notwithstanding the foregoing, if Executive learns information in the course of employment with Orion which is subject to a law governing confidentiality or non-disclosure, Executive shall keep such</w:t>
      </w:r>
    </w:p>
    <w:p>
      <w:pPr>
        <w:spacing w:after="0" w:line="156"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6470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6"/>
          </w:cols>
          <w:pgMar w:left="314" w:top="321" w:right="3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information confidential for so long as required by law, or for two (2) years after the Termination Date, whichever period is longer.</w:t>
      </w:r>
    </w:p>
    <w:p>
      <w:pPr>
        <w:spacing w:after="0" w:line="187" w:lineRule="exact"/>
        <w:rPr>
          <w:sz w:val="20"/>
          <w:szCs w:val="20"/>
          <w:color w:val="auto"/>
        </w:rPr>
      </w:pPr>
    </w:p>
    <w:p>
      <w:pPr>
        <w:jc w:val="both"/>
        <w:ind w:firstLine="799"/>
        <w:spacing w:after="0" w:line="248" w:lineRule="auto"/>
        <w:tabs>
          <w:tab w:leader="none" w:pos="1565" w:val="left"/>
        </w:tabs>
        <w:numPr>
          <w:ilvl w:val="0"/>
          <w:numId w:val="71"/>
        </w:numPr>
        <w:rPr>
          <w:rFonts w:ascii="Arial" w:cs="Arial" w:eastAsia="Arial" w:hAnsi="Arial"/>
          <w:sz w:val="16"/>
          <w:szCs w:val="16"/>
          <w:color w:val="auto"/>
        </w:rPr>
      </w:pPr>
      <w:r>
        <w:rPr>
          <w:rFonts w:ascii="Arial" w:cs="Arial" w:eastAsia="Arial" w:hAnsi="Arial"/>
          <w:sz w:val="18"/>
          <w:szCs w:val="18"/>
          <w:b w:val="1"/>
          <w:bCs w:val="1"/>
          <w:color w:val="auto"/>
        </w:rPr>
        <w:t>Return of Property; No Copying or Transfer of Documents</w:t>
      </w:r>
      <w:r>
        <w:rPr>
          <w:rFonts w:ascii="Arial" w:cs="Arial" w:eastAsia="Arial" w:hAnsi="Arial"/>
          <w:sz w:val="18"/>
          <w:szCs w:val="18"/>
          <w:color w:val="auto"/>
        </w:rPr>
        <w:t>. All equipment, books, records, papers, notes,</w:t>
      </w:r>
      <w:r>
        <w:rPr>
          <w:rFonts w:ascii="Arial" w:cs="Arial" w:eastAsia="Arial" w:hAnsi="Arial"/>
          <w:sz w:val="18"/>
          <w:szCs w:val="18"/>
          <w:b w:val="1"/>
          <w:bCs w:val="1"/>
          <w:color w:val="auto"/>
        </w:rPr>
        <w:t xml:space="preserve"> </w:t>
      </w:r>
      <w:r>
        <w:rPr>
          <w:rFonts w:ascii="Arial" w:cs="Arial" w:eastAsia="Arial" w:hAnsi="Arial"/>
          <w:sz w:val="18"/>
          <w:szCs w:val="18"/>
          <w:color w:val="auto"/>
        </w:rPr>
        <w:t>catalogs, compilations of information, data bases, correspondence, recordings, stored data (including data or files that exist on any personal computer or other electronic storage device), software, and any physical items, including copies and duplicates, that Executive generates or develops or which come into Executive’s possession or control, which relate directly or indirectly to, or are a part of Orion’s (or its customers’) business matters, whether of a public nature or not, shall be and remain the property of Orion, and Executive shall deliver all such materials and items, and any and all copies of them, to Orion on the Termination Date. During employment or after the Termination Date, Executive will not copy, duplicate, or otherwise reproduce, or permit copying, duplicating, or reproduction of Orion documents or writings, whether stored on paper, magnetic tape, CD, electronically, or otherwise, including but not limited to notes, notebooks, letters, blueprints, manuals, drawings, sketches, specifications, formulas, financial documents, business plans, and the like, or any other documentation owned or originated by Orion and relating to Orion’s business which, from time to time, may have come into Executive’s possession, custody, or control as a result of or in the course of Executive’s employment with Orion, without the express written consent of Orion, or, as a part of Executive’s duties performed hereunder for the benefit of Orion. Executive expressly covenants and warrants, upon the Termination Date for any reason (or no reason), that Executive shall promptly deliver to Orion any and all originals and copies in Executive’s possession, custody, or control of any and all said property, documents or writings, and that Executive shall not make, retain, or transfer to any third party any copies thereof. In the event any Confidential Information or Trade Secrets are stored or otherwise kept in or on a computer hard drive or other storage device owned by or otherwise in the possession or control of Executive (collectively, “Executive Storage Device”), upon the Termination Date, Executive will present to Orion for inspection and removal of all information regarding Orion (including but not limited to Confidential Information or Trade Secrets) stored on any Executive Storage Device.</w:t>
      </w:r>
    </w:p>
    <w:p>
      <w:pPr>
        <w:spacing w:after="0" w:line="148" w:lineRule="exact"/>
        <w:rPr>
          <w:rFonts w:ascii="Arial" w:cs="Arial" w:eastAsia="Arial" w:hAnsi="Arial"/>
          <w:sz w:val="16"/>
          <w:szCs w:val="16"/>
          <w:color w:val="auto"/>
        </w:rPr>
      </w:pPr>
    </w:p>
    <w:p>
      <w:pPr>
        <w:jc w:val="both"/>
        <w:ind w:firstLine="799"/>
        <w:spacing w:after="0" w:line="237" w:lineRule="auto"/>
        <w:tabs>
          <w:tab w:leader="none" w:pos="1573" w:val="left"/>
        </w:tabs>
        <w:numPr>
          <w:ilvl w:val="0"/>
          <w:numId w:val="71"/>
        </w:numPr>
        <w:rPr>
          <w:rFonts w:ascii="Arial" w:cs="Arial" w:eastAsia="Arial" w:hAnsi="Arial"/>
          <w:sz w:val="19"/>
          <w:szCs w:val="19"/>
          <w:color w:val="auto"/>
        </w:rPr>
      </w:pPr>
      <w:r>
        <w:rPr>
          <w:rFonts w:ascii="Arial" w:cs="Arial" w:eastAsia="Arial" w:hAnsi="Arial"/>
          <w:sz w:val="19"/>
          <w:szCs w:val="19"/>
          <w:b w:val="1"/>
          <w:bCs w:val="1"/>
          <w:color w:val="auto"/>
        </w:rPr>
        <w:t>Duty of Loyalty</w:t>
      </w:r>
      <w:r>
        <w:rPr>
          <w:rFonts w:ascii="Arial" w:cs="Arial" w:eastAsia="Arial" w:hAnsi="Arial"/>
          <w:sz w:val="19"/>
          <w:szCs w:val="19"/>
          <w:color w:val="auto"/>
        </w:rPr>
        <w:t>. During Executive’s employment with Orion, Executive shall owe Orion an undivided duty of</w:t>
      </w:r>
      <w:r>
        <w:rPr>
          <w:rFonts w:ascii="Arial" w:cs="Arial" w:eastAsia="Arial" w:hAnsi="Arial"/>
          <w:sz w:val="19"/>
          <w:szCs w:val="19"/>
          <w:b w:val="1"/>
          <w:bCs w:val="1"/>
          <w:color w:val="auto"/>
        </w:rPr>
        <w:t xml:space="preserve"> </w:t>
      </w:r>
      <w:r>
        <w:rPr>
          <w:rFonts w:ascii="Arial" w:cs="Arial" w:eastAsia="Arial" w:hAnsi="Arial"/>
          <w:sz w:val="19"/>
          <w:szCs w:val="19"/>
          <w:color w:val="auto"/>
        </w:rPr>
        <w:t>loyalty, and shall take no action adverse to that duty of loyalty. Executive’s duty of loyalty to Orion includes but is not limited to a duty to promptly disclose to Orion any information that might cause Orion to take or refrain from taking any action, or which otherwise might cause Orion to alter its behavior. Without limiting the generality of the foregoing, Executive shall promptly notify Orion at any time that Executive decides to terminate employment with Orion or enter into competition with Orion, as Orion may decide at such time to limit, suspend, or terminate Executive’s employment or access to Orion’s Confidential Information, Trade Secrets, or customer relationships.</w:t>
      </w:r>
    </w:p>
    <w:p>
      <w:pPr>
        <w:spacing w:after="0" w:line="160" w:lineRule="exact"/>
        <w:rPr>
          <w:rFonts w:ascii="Arial" w:cs="Arial" w:eastAsia="Arial" w:hAnsi="Arial"/>
          <w:sz w:val="19"/>
          <w:szCs w:val="19"/>
          <w:color w:val="auto"/>
        </w:rPr>
      </w:pPr>
    </w:p>
    <w:p>
      <w:pPr>
        <w:jc w:val="both"/>
        <w:ind w:firstLine="799"/>
        <w:spacing w:after="0" w:line="247" w:lineRule="auto"/>
        <w:tabs>
          <w:tab w:leader="none" w:pos="1536" w:val="left"/>
        </w:tabs>
        <w:numPr>
          <w:ilvl w:val="0"/>
          <w:numId w:val="71"/>
        </w:numPr>
        <w:rPr>
          <w:rFonts w:ascii="Arial" w:cs="Arial" w:eastAsia="Arial" w:hAnsi="Arial"/>
          <w:sz w:val="17"/>
          <w:szCs w:val="17"/>
          <w:color w:val="auto"/>
        </w:rPr>
      </w:pPr>
      <w:r>
        <w:rPr>
          <w:rFonts w:ascii="Arial" w:cs="Arial" w:eastAsia="Arial" w:hAnsi="Arial"/>
          <w:sz w:val="19"/>
          <w:szCs w:val="19"/>
          <w:b w:val="1"/>
          <w:bCs w:val="1"/>
          <w:color w:val="auto"/>
        </w:rPr>
        <w:t>Limited Restriction on Sales to a Restricted Customer</w:t>
      </w:r>
      <w:r>
        <w:rPr>
          <w:rFonts w:ascii="Arial" w:cs="Arial" w:eastAsia="Arial" w:hAnsi="Arial"/>
          <w:sz w:val="19"/>
          <w:szCs w:val="19"/>
          <w:color w:val="auto"/>
        </w:rPr>
        <w:t>. For twenty-four (24) months following the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Date, for whatever reason, Executive shall not sell or solicit the sale of a Competing Product to a Restricted Customer and Executive shall not</w:t>
      </w:r>
    </w:p>
    <w:p>
      <w:pPr>
        <w:spacing w:after="0" w:line="155" w:lineRule="exact"/>
        <w:rPr>
          <w:sz w:val="20"/>
          <w:szCs w:val="20"/>
          <w:color w:val="auto"/>
        </w:rPr>
      </w:pPr>
    </w:p>
    <w:p>
      <w:pPr>
        <w:ind w:left="4680"/>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67310</wp:posOffset>
            </wp:positionV>
            <wp:extent cx="716470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1" w:right="31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color w:val="auto"/>
        </w:rPr>
        <w:t>perform Services as part of or in support of providing, selling or soliciting the sale of a Competing Product to a Restricted Customer.</w:t>
      </w:r>
    </w:p>
    <w:p>
      <w:pPr>
        <w:spacing w:after="0" w:line="199" w:lineRule="exact"/>
        <w:rPr>
          <w:sz w:val="20"/>
          <w:szCs w:val="20"/>
          <w:color w:val="auto"/>
        </w:rPr>
      </w:pPr>
    </w:p>
    <w:p>
      <w:pPr>
        <w:jc w:val="both"/>
        <w:ind w:firstLine="799"/>
        <w:spacing w:after="0" w:line="290" w:lineRule="auto"/>
        <w:tabs>
          <w:tab w:leader="none" w:pos="1565" w:val="left"/>
        </w:tabs>
        <w:numPr>
          <w:ilvl w:val="0"/>
          <w:numId w:val="72"/>
        </w:numPr>
        <w:rPr>
          <w:rFonts w:ascii="Arial" w:cs="Arial" w:eastAsia="Arial" w:hAnsi="Arial"/>
          <w:sz w:val="15"/>
          <w:szCs w:val="15"/>
          <w:color w:val="auto"/>
        </w:rPr>
      </w:pPr>
      <w:r>
        <w:rPr>
          <w:rFonts w:ascii="Arial" w:cs="Arial" w:eastAsia="Arial" w:hAnsi="Arial"/>
          <w:sz w:val="17"/>
          <w:szCs w:val="17"/>
          <w:b w:val="1"/>
          <w:bCs w:val="1"/>
          <w:color w:val="auto"/>
        </w:rPr>
        <w:t>Limited Restriction on Sales to a Strategic Customer</w:t>
      </w:r>
      <w:r>
        <w:rPr>
          <w:rFonts w:ascii="Arial" w:cs="Arial" w:eastAsia="Arial" w:hAnsi="Arial"/>
          <w:sz w:val="17"/>
          <w:szCs w:val="17"/>
          <w:color w:val="auto"/>
        </w:rPr>
        <w:t>. For twenty-four (24) months following the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Date, for whatever reason, Executive shall not sell or solicit the sale of a Competing Product to a Strategic Customer and Executive shall not perform Services as part of or in support of providing, selling or soliciting the sale of a Competing Product to a Strategic Customer.</w:t>
      </w:r>
    </w:p>
    <w:p>
      <w:pPr>
        <w:spacing w:after="0" w:line="115" w:lineRule="exact"/>
        <w:rPr>
          <w:rFonts w:ascii="Arial" w:cs="Arial" w:eastAsia="Arial" w:hAnsi="Arial"/>
          <w:sz w:val="15"/>
          <w:szCs w:val="15"/>
          <w:color w:val="auto"/>
        </w:rPr>
      </w:pPr>
    </w:p>
    <w:p>
      <w:pPr>
        <w:jc w:val="both"/>
        <w:ind w:right="20" w:firstLine="799"/>
        <w:spacing w:after="0" w:line="247" w:lineRule="auto"/>
        <w:tabs>
          <w:tab w:leader="none" w:pos="1565" w:val="left"/>
        </w:tabs>
        <w:numPr>
          <w:ilvl w:val="0"/>
          <w:numId w:val="72"/>
        </w:numPr>
        <w:rPr>
          <w:rFonts w:ascii="Arial" w:cs="Arial" w:eastAsia="Arial" w:hAnsi="Arial"/>
          <w:sz w:val="17"/>
          <w:szCs w:val="17"/>
          <w:color w:val="auto"/>
        </w:rPr>
      </w:pPr>
      <w:r>
        <w:rPr>
          <w:rFonts w:ascii="Arial" w:cs="Arial" w:eastAsia="Arial" w:hAnsi="Arial"/>
          <w:sz w:val="19"/>
          <w:szCs w:val="19"/>
          <w:b w:val="1"/>
          <w:bCs w:val="1"/>
          <w:color w:val="auto"/>
        </w:rPr>
        <w:t xml:space="preserve">Limited Restriction on Sales in the Restricted Territory </w:t>
      </w:r>
      <w:r>
        <w:rPr>
          <w:rFonts w:ascii="Arial" w:cs="Arial" w:eastAsia="Arial" w:hAnsi="Arial"/>
          <w:sz w:val="19"/>
          <w:szCs w:val="19"/>
          <w:color w:val="auto"/>
        </w:rPr>
        <w:t>For twenty-four (24) months following the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Date, for whatever reason, Executive shall not perform Services as part of or in support of the business of selling, soliciting the sale of or providing Competing Products in the Restricted Territory.</w:t>
      </w:r>
    </w:p>
    <w:p>
      <w:pPr>
        <w:spacing w:after="0" w:line="149" w:lineRule="exact"/>
        <w:rPr>
          <w:rFonts w:ascii="Arial" w:cs="Arial" w:eastAsia="Arial" w:hAnsi="Arial"/>
          <w:sz w:val="17"/>
          <w:szCs w:val="17"/>
          <w:color w:val="auto"/>
        </w:rPr>
      </w:pPr>
    </w:p>
    <w:p>
      <w:pPr>
        <w:jc w:val="both"/>
        <w:ind w:firstLine="799"/>
        <w:spacing w:after="0" w:line="242" w:lineRule="auto"/>
        <w:tabs>
          <w:tab w:leader="none" w:pos="1542" w:val="left"/>
        </w:tabs>
        <w:numPr>
          <w:ilvl w:val="0"/>
          <w:numId w:val="72"/>
        </w:numPr>
        <w:rPr>
          <w:rFonts w:ascii="Arial" w:cs="Arial" w:eastAsia="Arial" w:hAnsi="Arial"/>
          <w:sz w:val="19"/>
          <w:szCs w:val="19"/>
          <w:color w:val="auto"/>
        </w:rPr>
      </w:pPr>
      <w:r>
        <w:rPr>
          <w:rFonts w:ascii="Arial" w:cs="Arial" w:eastAsia="Arial" w:hAnsi="Arial"/>
          <w:sz w:val="19"/>
          <w:szCs w:val="19"/>
          <w:b w:val="1"/>
          <w:bCs w:val="1"/>
          <w:color w:val="auto"/>
        </w:rPr>
        <w:t>Limited Restriction on Design, Development, Production and Testing Activities in the Restricted Territory</w:t>
      </w:r>
      <w:r>
        <w:rPr>
          <w:rFonts w:ascii="Arial" w:cs="Arial" w:eastAsia="Arial" w:hAnsi="Arial"/>
          <w:sz w:val="19"/>
          <w:szCs w:val="19"/>
          <w:color w:val="auto"/>
        </w:rPr>
        <w:t>. For twenty-four (24) months following the Termination Date, for whatever reason, Executive shall not perform Services as</w:t>
      </w:r>
      <w:r>
        <w:rPr>
          <w:rFonts w:ascii="Arial" w:cs="Arial" w:eastAsia="Arial" w:hAnsi="Arial"/>
          <w:sz w:val="19"/>
          <w:szCs w:val="19"/>
          <w:b w:val="1"/>
          <w:bCs w:val="1"/>
          <w:color w:val="auto"/>
        </w:rPr>
        <w:t xml:space="preserve"> </w:t>
      </w:r>
      <w:r>
        <w:rPr>
          <w:rFonts w:ascii="Arial" w:cs="Arial" w:eastAsia="Arial" w:hAnsi="Arial"/>
          <w:sz w:val="19"/>
          <w:szCs w:val="19"/>
          <w:color w:val="auto"/>
        </w:rPr>
        <w:t>part of or in support of the business of designing, testing, developing or producing Competing Products for sale in the Restricted Territory.</w:t>
      </w:r>
    </w:p>
    <w:p>
      <w:pPr>
        <w:spacing w:after="0" w:line="154" w:lineRule="exact"/>
        <w:rPr>
          <w:rFonts w:ascii="Arial" w:cs="Arial" w:eastAsia="Arial" w:hAnsi="Arial"/>
          <w:sz w:val="19"/>
          <w:szCs w:val="19"/>
          <w:color w:val="auto"/>
        </w:rPr>
      </w:pPr>
    </w:p>
    <w:p>
      <w:pPr>
        <w:jc w:val="both"/>
        <w:ind w:right="20" w:firstLine="799"/>
        <w:spacing w:after="0" w:line="242" w:lineRule="auto"/>
        <w:tabs>
          <w:tab w:leader="none" w:pos="1542" w:val="left"/>
        </w:tabs>
        <w:numPr>
          <w:ilvl w:val="0"/>
          <w:numId w:val="72"/>
        </w:numPr>
        <w:rPr>
          <w:rFonts w:ascii="Arial" w:cs="Arial" w:eastAsia="Arial" w:hAnsi="Arial"/>
          <w:sz w:val="19"/>
          <w:szCs w:val="19"/>
          <w:color w:val="auto"/>
        </w:rPr>
      </w:pPr>
      <w:r>
        <w:rPr>
          <w:rFonts w:ascii="Arial" w:cs="Arial" w:eastAsia="Arial" w:hAnsi="Arial"/>
          <w:sz w:val="19"/>
          <w:szCs w:val="19"/>
          <w:b w:val="1"/>
          <w:bCs w:val="1"/>
          <w:color w:val="auto"/>
        </w:rPr>
        <w:t>Non-solicitation of Key Employees</w:t>
      </w:r>
      <w:r>
        <w:rPr>
          <w:rFonts w:ascii="Arial" w:cs="Arial" w:eastAsia="Arial" w:hAnsi="Arial"/>
          <w:sz w:val="19"/>
          <w:szCs w:val="19"/>
          <w:color w:val="auto"/>
        </w:rPr>
        <w:t>. For twenty-four (24) months following the Termination Date, for whatever</w:t>
      </w:r>
      <w:r>
        <w:rPr>
          <w:rFonts w:ascii="Arial" w:cs="Arial" w:eastAsia="Arial" w:hAnsi="Arial"/>
          <w:sz w:val="19"/>
          <w:szCs w:val="19"/>
          <w:b w:val="1"/>
          <w:bCs w:val="1"/>
          <w:color w:val="auto"/>
        </w:rPr>
        <w:t xml:space="preserve"> </w:t>
      </w:r>
      <w:r>
        <w:rPr>
          <w:rFonts w:ascii="Arial" w:cs="Arial" w:eastAsia="Arial" w:hAnsi="Arial"/>
          <w:sz w:val="19"/>
          <w:szCs w:val="19"/>
          <w:color w:val="auto"/>
        </w:rPr>
        <w:t>reason, Executive shall not, without the prior written consent of Orion, solicit a Key Employee to engage in competition with Orion, unless such Key Employee has already ceased employment with Orion. This shall not bar any Key Employee from applying for or accepting employment with any person or entity.</w:t>
      </w:r>
    </w:p>
    <w:p>
      <w:pPr>
        <w:spacing w:after="0" w:line="154" w:lineRule="exact"/>
        <w:rPr>
          <w:rFonts w:ascii="Arial" w:cs="Arial" w:eastAsia="Arial" w:hAnsi="Arial"/>
          <w:sz w:val="19"/>
          <w:szCs w:val="19"/>
          <w:color w:val="auto"/>
        </w:rPr>
      </w:pPr>
    </w:p>
    <w:p>
      <w:pPr>
        <w:ind w:left="1580" w:hanging="781"/>
        <w:spacing w:after="0"/>
        <w:tabs>
          <w:tab w:leader="none" w:pos="1580" w:val="left"/>
        </w:tabs>
        <w:numPr>
          <w:ilvl w:val="0"/>
          <w:numId w:val="72"/>
        </w:numPr>
        <w:rPr>
          <w:rFonts w:ascii="Arial" w:cs="Arial" w:eastAsia="Arial" w:hAnsi="Arial"/>
          <w:sz w:val="19"/>
          <w:szCs w:val="19"/>
          <w:color w:val="auto"/>
        </w:rPr>
      </w:pPr>
      <w:r>
        <w:rPr>
          <w:rFonts w:ascii="Arial" w:cs="Arial" w:eastAsia="Arial" w:hAnsi="Arial"/>
          <w:sz w:val="19"/>
          <w:szCs w:val="19"/>
          <w:b w:val="1"/>
          <w:bCs w:val="1"/>
          <w:color w:val="auto"/>
        </w:rPr>
        <w:t>Disclosure and Assignment to Orion of Inventions and Innovations</w:t>
      </w:r>
      <w:r>
        <w:rPr>
          <w:rFonts w:ascii="Arial" w:cs="Arial" w:eastAsia="Arial" w:hAnsi="Arial"/>
          <w:sz w:val="19"/>
          <w:szCs w:val="19"/>
          <w:color w:val="auto"/>
        </w:rPr>
        <w:t>.</w:t>
      </w:r>
    </w:p>
    <w:p>
      <w:pPr>
        <w:spacing w:after="0" w:line="188" w:lineRule="exact"/>
        <w:rPr>
          <w:sz w:val="20"/>
          <w:szCs w:val="20"/>
          <w:color w:val="auto"/>
        </w:rPr>
      </w:pPr>
    </w:p>
    <w:p>
      <w:pPr>
        <w:jc w:val="both"/>
        <w:ind w:left="860" w:firstLine="732"/>
        <w:spacing w:after="0" w:line="267" w:lineRule="auto"/>
        <w:rPr>
          <w:sz w:val="20"/>
          <w:szCs w:val="20"/>
          <w:color w:val="auto"/>
        </w:rPr>
      </w:pPr>
      <w:r>
        <w:rPr>
          <w:rFonts w:ascii="Arial" w:cs="Arial" w:eastAsia="Arial" w:hAnsi="Arial"/>
          <w:sz w:val="17"/>
          <w:szCs w:val="17"/>
          <w:color w:val="auto"/>
        </w:rPr>
        <w:t>(i)Executive agrees to disclose and assign to Orion as Orion’s exclusive property, all inventions and technical or business innovations, including but not limited to all patentable and copyrightable subject matter (collectively, the “Innovations”) developed, authored or conceived by Executive solely or jointly with others during the period of Executive’s employment, including during Executive’s employment prior to the date of this Agreement, (1) that are along the lines of the business, work or investigations of Orion to which Executive’s employment relates or as to which Executive may receive information due to Executive’s employment with Orion, or (2) that result from or are suggested by any work which Executive may do for Orion or (3) that are otherwise made through the use of Orion time, facilities or materials. To the extent any of the Innovations is copyrightable, each such Innovation shall be considered a “work for hire.”</w:t>
      </w:r>
    </w:p>
    <w:p>
      <w:pPr>
        <w:spacing w:after="0" w:line="143" w:lineRule="exact"/>
        <w:rPr>
          <w:sz w:val="20"/>
          <w:szCs w:val="20"/>
          <w:color w:val="auto"/>
        </w:rPr>
      </w:pPr>
    </w:p>
    <w:p>
      <w:pPr>
        <w:jc w:val="both"/>
        <w:ind w:left="860" w:firstLine="732"/>
        <w:spacing w:after="0" w:line="283" w:lineRule="auto"/>
        <w:rPr>
          <w:sz w:val="20"/>
          <w:szCs w:val="20"/>
          <w:color w:val="auto"/>
        </w:rPr>
      </w:pPr>
      <w:r>
        <w:rPr>
          <w:rFonts w:ascii="Arial" w:cs="Arial" w:eastAsia="Arial" w:hAnsi="Arial"/>
          <w:sz w:val="18"/>
          <w:szCs w:val="18"/>
          <w:color w:val="auto"/>
        </w:rPr>
        <w:t>(ii)Executive agrees to execute all necessary papers and otherwise provide proper assistance (at Orion’s expense), during and subsequent to Executive’s employment, to enable Orion to obtain for itself or its nominees, all</w:t>
      </w:r>
    </w:p>
    <w:p>
      <w:pPr>
        <w:spacing w:after="0" w:line="124" w:lineRule="exact"/>
        <w:rPr>
          <w:sz w:val="20"/>
          <w:szCs w:val="20"/>
          <w:color w:val="auto"/>
        </w:rPr>
      </w:pPr>
    </w:p>
    <w:p>
      <w:pPr>
        <w:ind w:left="466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67310</wp:posOffset>
            </wp:positionV>
            <wp:extent cx="716470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1" w:right="319" w:bottom="1440" w:gutter="0" w:footer="0" w:header="0"/>
        </w:sectPr>
      </w:pPr>
    </w:p>
    <w:bookmarkStart w:id="124" w:name="page125"/>
    <w:bookmarkEnd w:id="124"/>
    <w:p>
      <w:pPr>
        <w:jc w:val="both"/>
        <w:ind w:left="600"/>
        <w:spacing w:after="0" w:line="255" w:lineRule="auto"/>
        <w:rPr>
          <w:sz w:val="20"/>
          <w:szCs w:val="20"/>
          <w:color w:val="auto"/>
        </w:rPr>
      </w:pPr>
      <w:r>
        <w:rPr>
          <w:rFonts w:ascii="Arial" w:cs="Arial" w:eastAsia="Arial" w:hAnsi="Arial"/>
          <w:sz w:val="19"/>
          <w:szCs w:val="19"/>
          <w:color w:val="auto"/>
        </w:rPr>
        <w:t>right, title, and interest in and to patents, copyrights, trademarks or other legal protection for such Innovations in any and all countries.</w:t>
      </w:r>
    </w:p>
    <w:p>
      <w:pPr>
        <w:spacing w:after="0" w:line="148"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(iii)Executive agrees to make and maintain for Orion adequate and current written records of all such Innovations;</w:t>
      </w:r>
    </w:p>
    <w:p>
      <w:pPr>
        <w:spacing w:after="0" w:line="205" w:lineRule="exact"/>
        <w:rPr>
          <w:sz w:val="20"/>
          <w:szCs w:val="20"/>
          <w:color w:val="auto"/>
        </w:rPr>
      </w:pPr>
    </w:p>
    <w:p>
      <w:pPr>
        <w:jc w:val="both"/>
        <w:ind w:left="600" w:right="20" w:firstLine="732"/>
        <w:spacing w:after="0" w:line="244" w:lineRule="auto"/>
        <w:rPr>
          <w:sz w:val="20"/>
          <w:szCs w:val="20"/>
          <w:color w:val="auto"/>
        </w:rPr>
      </w:pPr>
      <w:r>
        <w:rPr>
          <w:rFonts w:ascii="Arial" w:cs="Arial" w:eastAsia="Arial" w:hAnsi="Arial"/>
          <w:sz w:val="19"/>
          <w:szCs w:val="19"/>
          <w:color w:val="auto"/>
        </w:rPr>
        <w:t>(iv)Upon the Termination Date, Executive agrees to deliver to Orion promptly all items which belong to Orion or which by their nature are for the use of Orion employees only, including, without limitation, all written and other materials which are of a secret or confidential nature relating to the business of Orion.</w:t>
      </w:r>
    </w:p>
    <w:p>
      <w:pPr>
        <w:spacing w:after="0" w:line="157" w:lineRule="exact"/>
        <w:rPr>
          <w:sz w:val="20"/>
          <w:szCs w:val="20"/>
          <w:color w:val="auto"/>
        </w:rPr>
      </w:pPr>
    </w:p>
    <w:p>
      <w:pPr>
        <w:jc w:val="both"/>
        <w:ind w:left="600" w:firstLine="732"/>
        <w:spacing w:after="0" w:line="236" w:lineRule="auto"/>
        <w:rPr>
          <w:sz w:val="20"/>
          <w:szCs w:val="20"/>
          <w:color w:val="auto"/>
        </w:rPr>
      </w:pPr>
      <w:r>
        <w:rPr>
          <w:rFonts w:ascii="Arial" w:cs="Arial" w:eastAsia="Arial" w:hAnsi="Arial"/>
          <w:sz w:val="19"/>
          <w:szCs w:val="19"/>
          <w:color w:val="auto"/>
        </w:rPr>
        <w:t>(v)In the event Orion is unable for any reason whatsoever to secure Executive’s signature to any lawful and necessary documents required, including those necessary for the assignment of, application for, or prosecution of any United States or foreign application for letters patent or copyright for any Innovation, Executive hereby irrevocably designates and appoints Orion and its duly authorized officers and agents as Executive’s agent and attorney-in-fact, to act for and in Executive’s behalf and stead to execute and file any such applications and to do all other lawfully permitted acts to further the assignment, prosecution, and issuance of letters patent or registration of copyright thereon with the same legal force and effect as if executed by Executive. Executive hereby waives and quitclaims to Orion any and all claims, of any nature whatsoever, which Executive may now have or may hereafter have for infringement of any patent or copyright resulting from any such application.</w:t>
      </w:r>
    </w:p>
    <w:p>
      <w:pPr>
        <w:spacing w:after="0" w:line="155" w:lineRule="exact"/>
        <w:rPr>
          <w:sz w:val="20"/>
          <w:szCs w:val="20"/>
          <w:color w:val="auto"/>
        </w:rPr>
      </w:pPr>
    </w:p>
    <w:p>
      <w:pPr>
        <w:jc w:val="both"/>
        <w:ind w:left="-260" w:firstLine="799"/>
        <w:spacing w:after="0" w:line="251" w:lineRule="auto"/>
        <w:tabs>
          <w:tab w:leader="none" w:pos="1282"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Remedies Not Exclusive. </w:t>
      </w:r>
      <w:r>
        <w:rPr>
          <w:rFonts w:ascii="Arial" w:cs="Arial" w:eastAsia="Arial" w:hAnsi="Arial"/>
          <w:sz w:val="18"/>
          <w:szCs w:val="18"/>
          <w:color w:val="auto"/>
        </w:rPr>
        <w:t>In the event that Executive breaches any terms of this Section 7, Executive acknowledges</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agrees that said breach may result in the immediate and irreparable harm to the business and goodwill of Orion and that damages, if any, and remedies of law for such breach may be inadequate and indeterminable. Orion, upon Executive’s breach of this Section 7, shall therefore be entitled (in addition to and without limiting any other remedies that Orion may seek under this Agreement or otherwise at law or in equity) to (1) seek from any court of competent jurisdiction equitable relief by way of temporary or permanent injunction and without being required to post a bond, to restrain any violation of this Section 7, and for such further relief as the court may deem just or proper in law or equity, and (2) in the event that Orion shall prevail, its reasonable attorney’s fees and costs and other expenses in enforcing its rights under this Section 7.</w:t>
      </w:r>
    </w:p>
    <w:p>
      <w:pPr>
        <w:spacing w:after="0" w:line="150" w:lineRule="exact"/>
        <w:rPr>
          <w:rFonts w:ascii="Arial" w:cs="Arial" w:eastAsia="Arial" w:hAnsi="Arial"/>
          <w:sz w:val="18"/>
          <w:szCs w:val="18"/>
          <w:color w:val="auto"/>
        </w:rPr>
      </w:pPr>
    </w:p>
    <w:p>
      <w:pPr>
        <w:jc w:val="both"/>
        <w:ind w:left="-260" w:right="20" w:firstLine="799"/>
        <w:spacing w:after="0" w:line="272" w:lineRule="auto"/>
        <w:tabs>
          <w:tab w:leader="none" w:pos="1376"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Severability of Provisions</w:t>
      </w:r>
      <w:r>
        <w:rPr>
          <w:rFonts w:ascii="Arial" w:cs="Arial" w:eastAsia="Arial" w:hAnsi="Arial"/>
          <w:sz w:val="17"/>
          <w:szCs w:val="17"/>
          <w:color w:val="auto"/>
        </w:rPr>
        <w:t>. If any restriction, limitation, or provision of this Section 7 is deemed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unreasonable, onerous, or unduly restrictive by a court of competent jurisdiction, it shall not be stricken in its entirety and held totally void and unenforceable, but shall remain effective to the maximum extent possible within the bounds of the law. If any phrase, clause or provision of this Section 7 is declared invalid or unenforceable by a court of competent jurisdiction, such phrase, clause, or provision shall be deemed severed from this Section 7, but will not affect any other provision of this Section 7, which shall otherwise remain in full force and effect. The provisions of this Section 7 are each declared to be separate and distinct covenants by Executive.</w:t>
      </w:r>
    </w:p>
    <w:p>
      <w:pPr>
        <w:spacing w:after="0" w:line="136"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67310</wp:posOffset>
            </wp:positionV>
            <wp:extent cx="716470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140"/>
          </w:cols>
          <w:pgMar w:left="1440" w:top="320" w:right="319" w:bottom="1440" w:gutter="0" w:footer="0" w:header="0"/>
        </w:sectPr>
      </w:pPr>
    </w:p>
    <w:bookmarkStart w:id="125" w:name="page126"/>
    <w:bookmarkEnd w:id="125"/>
    <w:p>
      <w:pPr>
        <w:ind w:left="2440" w:hanging="781"/>
        <w:spacing w:after="0"/>
        <w:tabs>
          <w:tab w:leader="none" w:pos="2440" w:val="left"/>
        </w:tabs>
        <w:numPr>
          <w:ilvl w:val="0"/>
          <w:numId w:val="74"/>
        </w:numPr>
        <w:rPr>
          <w:rFonts w:ascii="Arial" w:cs="Arial" w:eastAsia="Arial" w:hAnsi="Arial"/>
          <w:sz w:val="19"/>
          <w:szCs w:val="19"/>
          <w:color w:val="auto"/>
        </w:rPr>
      </w:pPr>
      <w:r>
        <w:rPr>
          <w:rFonts w:ascii="Arial" w:cs="Arial" w:eastAsia="Arial" w:hAnsi="Arial"/>
          <w:sz w:val="19"/>
          <w:szCs w:val="19"/>
          <w:b w:val="1"/>
          <w:bCs w:val="1"/>
          <w:color w:val="auto"/>
        </w:rPr>
        <w:t>Limits on Confidentiality Requirements.</w:t>
      </w:r>
    </w:p>
    <w:p>
      <w:pPr>
        <w:spacing w:after="0" w:line="188" w:lineRule="exact"/>
        <w:rPr>
          <w:sz w:val="20"/>
          <w:szCs w:val="20"/>
          <w:color w:val="auto"/>
        </w:rPr>
      </w:pPr>
    </w:p>
    <w:p>
      <w:pPr>
        <w:jc w:val="both"/>
        <w:ind w:left="1720" w:firstLine="732"/>
        <w:spacing w:after="0" w:line="255" w:lineRule="auto"/>
        <w:rPr>
          <w:sz w:val="20"/>
          <w:szCs w:val="20"/>
          <w:color w:val="auto"/>
        </w:rPr>
      </w:pPr>
      <w:r>
        <w:rPr>
          <w:rFonts w:ascii="Arial" w:cs="Arial" w:eastAsia="Arial" w:hAnsi="Arial"/>
          <w:sz w:val="18"/>
          <w:szCs w:val="18"/>
          <w:color w:val="auto"/>
        </w:rPr>
        <w:t>(i)Nothing in this Agreement is intended to discourage or restrict the Executive from communicating with, or making a report with, any governmental authority regarding a good faith belief of any violations of law or regulations based on information that the Executive acquired through lawful means in the course of the Executive’s employment, including such disclosures protected or required by any whistleblower law or regulation of the Securities and Exchange Commission, the Department of Labor, or any other appropriate governmental authority.</w:t>
      </w:r>
    </w:p>
    <w:p>
      <w:pPr>
        <w:spacing w:after="0" w:line="148" w:lineRule="exact"/>
        <w:rPr>
          <w:sz w:val="20"/>
          <w:szCs w:val="20"/>
          <w:color w:val="auto"/>
        </w:rPr>
      </w:pPr>
    </w:p>
    <w:p>
      <w:pPr>
        <w:jc w:val="both"/>
        <w:ind w:left="1720" w:firstLine="732"/>
        <w:spacing w:after="0" w:line="237" w:lineRule="auto"/>
        <w:rPr>
          <w:sz w:val="20"/>
          <w:szCs w:val="20"/>
          <w:color w:val="auto"/>
        </w:rPr>
      </w:pPr>
      <w:r>
        <w:rPr>
          <w:rFonts w:ascii="Arial" w:cs="Arial" w:eastAsia="Arial" w:hAnsi="Arial"/>
          <w:sz w:val="19"/>
          <w:szCs w:val="19"/>
          <w:color w:val="auto"/>
        </w:rPr>
        <w:t>(ii)Nothing in this Agreement is intended to discourage or restrict the Executive from reporting any theft of Trade Secrets pursuant to the Defend Trade Secrets Act of 2016 (the “DTSA”) or other applicable state or federal law. The DTSA prohibits retaliation against an employee because of whistleblower activity in connection with the disclosure of Trade Secrets, so long as any such disclosure is made either (i) in confidence to an attorney or a federal, state, or local government official and solely to report or investigate a suspected violation of the law, or (ii) under seal in a complaint or other document filed in a lawsuit or other proceeding.</w:t>
      </w:r>
    </w:p>
    <w:p>
      <w:pPr>
        <w:spacing w:after="0" w:line="164" w:lineRule="exact"/>
        <w:rPr>
          <w:sz w:val="20"/>
          <w:szCs w:val="20"/>
          <w:color w:val="auto"/>
        </w:rPr>
      </w:pPr>
    </w:p>
    <w:p>
      <w:pPr>
        <w:jc w:val="both"/>
        <w:ind w:left="1720" w:firstLine="732"/>
        <w:spacing w:after="0" w:line="236" w:lineRule="auto"/>
        <w:rPr>
          <w:sz w:val="20"/>
          <w:szCs w:val="20"/>
          <w:color w:val="auto"/>
        </w:rPr>
      </w:pPr>
      <w:r>
        <w:rPr>
          <w:rFonts w:ascii="Arial" w:cs="Arial" w:eastAsia="Arial" w:hAnsi="Arial"/>
          <w:sz w:val="19"/>
          <w:szCs w:val="19"/>
          <w:color w:val="auto"/>
        </w:rPr>
        <w:t>(iii)If the Executive believes that any employee or any third party has misappropriated or improperly used or disclosed Trade Secrets or Confidential Information, the Executive should report such activity through the Company’s Whistle Blower Policy (as provided in the Employee Handbook and/or any other then applicable policies and procedures of the Company) or Compliance Hotline. This Agreement is in addition to and not in lieu of any obligations to protect the Company’s Trade Secrets and Confidential Information pursuant to the Employee Handbook and/or any other then applicable policies and procedures of the Company and Code of Business Conduct and Ethics for Directors and Employees. Nothing in this Agreement shall limit, curtail or diminish the Company’s statutory rights under the DTSA, any applicable state law regarding trade secrets or common law.</w:t>
      </w:r>
    </w:p>
    <w:p>
      <w:pPr>
        <w:spacing w:after="0" w:line="158" w:lineRule="exact"/>
        <w:rPr>
          <w:sz w:val="20"/>
          <w:szCs w:val="20"/>
          <w:color w:val="auto"/>
        </w:rPr>
      </w:pPr>
    </w:p>
    <w:p>
      <w:pPr>
        <w:jc w:val="both"/>
        <w:ind w:right="20" w:firstLine="1732"/>
        <w:spacing w:after="0" w:line="242" w:lineRule="auto"/>
        <w:rPr>
          <w:sz w:val="20"/>
          <w:szCs w:val="20"/>
          <w:color w:val="auto"/>
        </w:rPr>
      </w:pPr>
      <w:r>
        <w:rPr>
          <w:rFonts w:ascii="Arial" w:cs="Arial" w:eastAsia="Arial" w:hAnsi="Arial"/>
          <w:sz w:val="19"/>
          <w:szCs w:val="19"/>
          <w:color w:val="auto"/>
        </w:rPr>
        <w:t>8.</w:t>
      </w: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Any notice, request, demand or other communication required or permitted herein will be deemed to be properly given when personally served in writing or when deposited in the United States mail, postage prepaid, addressed to Executive at the address on file at the Company and to Orion with attention to the Chief Executive Officer of Orion. Either party may change its address by written notice in accordance with this paragraph.</w:t>
      </w:r>
    </w:p>
    <w:p>
      <w:pPr>
        <w:spacing w:after="0" w:line="154" w:lineRule="exact"/>
        <w:rPr>
          <w:sz w:val="20"/>
          <w:szCs w:val="20"/>
          <w:color w:val="auto"/>
        </w:rPr>
      </w:pPr>
    </w:p>
    <w:p>
      <w:pPr>
        <w:jc w:val="both"/>
        <w:ind w:firstLine="1732"/>
        <w:spacing w:after="0" w:line="275" w:lineRule="auto"/>
        <w:rPr>
          <w:sz w:val="20"/>
          <w:szCs w:val="20"/>
          <w:color w:val="auto"/>
        </w:rPr>
      </w:pPr>
      <w:r>
        <w:rPr>
          <w:rFonts w:ascii="Arial" w:cs="Arial" w:eastAsia="Arial" w:hAnsi="Arial"/>
          <w:sz w:val="17"/>
          <w:szCs w:val="17"/>
          <w:color w:val="auto"/>
        </w:rPr>
        <w:t>9.</w:t>
      </w:r>
      <w:r>
        <w:rPr>
          <w:rFonts w:ascii="Arial" w:cs="Arial" w:eastAsia="Arial" w:hAnsi="Arial"/>
          <w:sz w:val="17"/>
          <w:szCs w:val="17"/>
          <w:b w:val="1"/>
          <w:bCs w:val="1"/>
          <w:u w:val="single" w:color="auto"/>
          <w:color w:val="auto"/>
        </w:rPr>
        <w:t>Set Off; Mitigation</w:t>
      </w:r>
      <w:r>
        <w:rPr>
          <w:rFonts w:ascii="Arial" w:cs="Arial" w:eastAsia="Arial" w:hAnsi="Arial"/>
          <w:sz w:val="17"/>
          <w:szCs w:val="17"/>
          <w:color w:val="auto"/>
        </w:rPr>
        <w:t>. Orion’s obligation to pay Executive any amounts and to provide any of the benefits hereunder shall be subject to set-off, counterclaim or recoupment of amounts owed by Executive to Orion provided, that notwithstanding any other provision of this Agreement to the contrary, in no event shall any payment under this Agreement that constitutes “nonqualified deferred compensation” for purposes of Code Section 409A be subject to the offset by any other amount unless otherwise permitted by Code Section 409A. However, Executive shall not be required to mitigate the amount of any payment pursuant to this Agreement by seeking other employment or otherwise.</w:t>
      </w:r>
    </w:p>
    <w:p>
      <w:pPr>
        <w:spacing w:after="0" w:line="127" w:lineRule="exact"/>
        <w:rPr>
          <w:sz w:val="20"/>
          <w:szCs w:val="20"/>
          <w:color w:val="auto"/>
        </w:rPr>
      </w:pPr>
    </w:p>
    <w:p>
      <w:pPr>
        <w:jc w:val="both"/>
        <w:ind w:right="20" w:firstLine="1732"/>
        <w:spacing w:after="0" w:line="321" w:lineRule="auto"/>
        <w:rPr>
          <w:sz w:val="20"/>
          <w:szCs w:val="20"/>
          <w:color w:val="auto"/>
        </w:rPr>
      </w:pPr>
      <w:r>
        <w:rPr>
          <w:rFonts w:ascii="Arial" w:cs="Arial" w:eastAsia="Arial" w:hAnsi="Arial"/>
          <w:sz w:val="17"/>
          <w:szCs w:val="17"/>
          <w:color w:val="auto"/>
        </w:rPr>
        <w:t>10.</w:t>
      </w:r>
      <w:r>
        <w:rPr>
          <w:rFonts w:ascii="Arial" w:cs="Arial" w:eastAsia="Arial" w:hAnsi="Arial"/>
          <w:sz w:val="17"/>
          <w:szCs w:val="17"/>
          <w:b w:val="1"/>
          <w:bCs w:val="1"/>
          <w:u w:val="single" w:color="auto"/>
          <w:color w:val="auto"/>
        </w:rPr>
        <w:t>Benefit of Agreement</w:t>
      </w:r>
      <w:r>
        <w:rPr>
          <w:rFonts w:ascii="Arial" w:cs="Arial" w:eastAsia="Arial" w:hAnsi="Arial"/>
          <w:sz w:val="17"/>
          <w:szCs w:val="17"/>
          <w:color w:val="auto"/>
        </w:rPr>
        <w:t>. This Agreement shall inure to the benefit of and be binding upon the parties hereto and their respective executors, administrators, successors and assigns. Orion will require any successor (whether direct or indirect, by purchase, merger,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16470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26" w:name="page127"/>
    <w:bookmarkEnd w:id="126"/>
    <w:p>
      <w:pPr>
        <w:jc w:val="both"/>
        <w:spacing w:after="0"/>
        <w:rPr>
          <w:sz w:val="20"/>
          <w:szCs w:val="20"/>
          <w:color w:val="auto"/>
        </w:rPr>
      </w:pPr>
      <w:r>
        <w:rPr>
          <w:rFonts w:ascii="Arial" w:cs="Arial" w:eastAsia="Arial" w:hAnsi="Arial"/>
          <w:sz w:val="19"/>
          <w:szCs w:val="19"/>
          <w:color w:val="auto"/>
        </w:rPr>
        <w:t>consolidation or otherwise) to all or substantially all of the business and/or assets of Orion to assume expressly and agree to perform this Agreement in the same manner and to the same extent that Orion would be required to perform it if no such succession had taken place. As used in this Agreement, “Orion” shall mean Orion as hereinbefore defined and any successor to its business and/or assets as aforesaid which assumes and agrees to perform this Agreement by operation of law, or otherwise.</w:t>
      </w:r>
    </w:p>
    <w:p>
      <w:pPr>
        <w:spacing w:after="0" w:line="155" w:lineRule="exact"/>
        <w:rPr>
          <w:sz w:val="20"/>
          <w:szCs w:val="20"/>
          <w:color w:val="auto"/>
        </w:rPr>
      </w:pPr>
    </w:p>
    <w:p>
      <w:pPr>
        <w:jc w:val="both"/>
        <w:ind w:firstLine="1732"/>
        <w:spacing w:after="0" w:line="254" w:lineRule="auto"/>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Any controversy or claim arising out of or relating to this Agreement or the breach of this Agreement that cannot be mutually resolved by the Executive and Orion, including any dispute as to the calculation of the Executive’s Accrued Benefits, Base Salary, bonus amount or any Severance Payment hereunder, shall be submitted to arbitration in Milwaukee, Wisconsin, in accordance with the procedures of the American Arbitration Association. The determination of the arbitrator shall be conclusive and binding on Orion and the Executive, and judgment may be entered on the arbitrator’s award in any court having jurisdiction. Notwithstanding the foregoing, both Executive and Orion may seek to obtain injunctive relief in a Wisconsin court of competent jurisdiction pending arbitration.</w:t>
      </w:r>
    </w:p>
    <w:p>
      <w:pPr>
        <w:spacing w:after="0" w:line="145" w:lineRule="exact"/>
        <w:rPr>
          <w:sz w:val="20"/>
          <w:szCs w:val="20"/>
          <w:color w:val="auto"/>
        </w:rPr>
      </w:pPr>
    </w:p>
    <w:p>
      <w:pPr>
        <w:jc w:val="both"/>
        <w:ind w:firstLine="1732"/>
        <w:spacing w:after="0" w:line="242" w:lineRule="auto"/>
        <w:rPr>
          <w:sz w:val="20"/>
          <w:szCs w:val="20"/>
          <w:color w:val="auto"/>
        </w:rPr>
      </w:pPr>
      <w:r>
        <w:rPr>
          <w:rFonts w:ascii="Arial" w:cs="Arial" w:eastAsia="Arial" w:hAnsi="Arial"/>
          <w:sz w:val="19"/>
          <w:szCs w:val="19"/>
          <w:color w:val="auto"/>
        </w:rPr>
        <w:t>12.</w:t>
      </w:r>
      <w:r>
        <w:rPr>
          <w:rFonts w:ascii="Arial" w:cs="Arial" w:eastAsia="Arial" w:hAnsi="Arial"/>
          <w:sz w:val="19"/>
          <w:szCs w:val="19"/>
          <w:b w:val="1"/>
          <w:bCs w:val="1"/>
          <w:u w:val="single" w:color="auto"/>
          <w:color w:val="auto"/>
        </w:rPr>
        <w:t>Applicable Law and Jurisdiction</w:t>
      </w:r>
      <w:r>
        <w:rPr>
          <w:rFonts w:ascii="Arial" w:cs="Arial" w:eastAsia="Arial" w:hAnsi="Arial"/>
          <w:sz w:val="19"/>
          <w:szCs w:val="19"/>
          <w:color w:val="auto"/>
        </w:rPr>
        <w:t>. This Agreement is to be governed by and construed under the laws of the United States and of the State of Wisconsin without resort to Wisconsin’s choice of law rules. Each party hereby agrees that the forum and venue for any legal or equitable action or proceeding arising out of, or in connection with, this Agreement will lie in the appropriate federal or state courts in the State of Wisconsin and specifically waives any and all objections to such jurisdiction and venue.</w:t>
      </w:r>
    </w:p>
    <w:p>
      <w:pPr>
        <w:spacing w:after="0" w:line="154"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13.</w:t>
      </w:r>
      <w:r>
        <w:rPr>
          <w:rFonts w:ascii="Arial" w:cs="Arial" w:eastAsia="Arial" w:hAnsi="Arial"/>
          <w:sz w:val="19"/>
          <w:szCs w:val="19"/>
          <w:b w:val="1"/>
          <w:bCs w:val="1"/>
          <w:u w:val="single" w:color="auto"/>
          <w:color w:val="auto"/>
        </w:rPr>
        <w:t>Section 409A Compliance</w:t>
      </w:r>
    </w:p>
    <w:p>
      <w:pPr>
        <w:spacing w:after="0" w:line="188" w:lineRule="exact"/>
        <w:rPr>
          <w:sz w:val="20"/>
          <w:szCs w:val="20"/>
          <w:color w:val="auto"/>
        </w:rPr>
      </w:pPr>
    </w:p>
    <w:p>
      <w:pPr>
        <w:jc w:val="both"/>
        <w:ind w:firstLine="1732"/>
        <w:spacing w:after="0" w:line="250" w:lineRule="auto"/>
        <w:rPr>
          <w:sz w:val="20"/>
          <w:szCs w:val="20"/>
          <w:color w:val="auto"/>
        </w:rPr>
      </w:pPr>
      <w:r>
        <w:rPr>
          <w:rFonts w:ascii="Arial" w:cs="Arial" w:eastAsia="Arial" w:hAnsi="Arial"/>
          <w:sz w:val="18"/>
          <w:szCs w:val="18"/>
          <w:color w:val="auto"/>
        </w:rPr>
        <w:t>(a) . This Agreement is intended to comply with, or otherwise be exempt from, Section 409A of the Code (“Section 409A”). Orion shall undertake to administer, interpret, and construe this Agreement in a manner that does not result in the imposition to the Executive of additional taxes or interest under Section 409A of the Code. If a payment obligation under this Agreement arises on account of the Executive’s Separation from Service while the Executive is a “specified employee” (as defined under Section 409A of the Code and determined in good faith by the Board), any payment of “deferred compensation” (as defined under Treasury Regulation Section 1.409A-1(b)(1), after giving effect to the exemptions in Treasury Regulation Sections 1.409A-1(b)(3) through (b)(12)) that is scheduled to be paid within six (6) months after such Separation from Service shall accrue without interest and shall be paid within fifteen (15) days after the end of the six-month period beginning on the date of such separation from service or, if earlier, within fifteen (15) days after the appointment of the personal representative or executor of the Executive’s estate following his death.</w:t>
      </w:r>
    </w:p>
    <w:p>
      <w:pPr>
        <w:spacing w:after="0" w:line="148" w:lineRule="exact"/>
        <w:rPr>
          <w:sz w:val="20"/>
          <w:szCs w:val="20"/>
          <w:color w:val="auto"/>
        </w:rPr>
      </w:pPr>
    </w:p>
    <w:p>
      <w:pPr>
        <w:jc w:val="both"/>
        <w:ind w:firstLine="1732"/>
        <w:spacing w:after="0" w:line="262" w:lineRule="auto"/>
        <w:rPr>
          <w:sz w:val="20"/>
          <w:szCs w:val="20"/>
          <w:color w:val="auto"/>
        </w:rPr>
      </w:pPr>
      <w:r>
        <w:rPr>
          <w:rFonts w:ascii="Arial" w:cs="Arial" w:eastAsia="Arial" w:hAnsi="Arial"/>
          <w:sz w:val="19"/>
          <w:szCs w:val="19"/>
          <w:color w:val="auto"/>
        </w:rPr>
        <w:t>14.</w:t>
      </w:r>
      <w:r>
        <w:rPr>
          <w:rFonts w:ascii="Arial" w:cs="Arial" w:eastAsia="Arial" w:hAnsi="Arial"/>
          <w:sz w:val="19"/>
          <w:szCs w:val="19"/>
          <w:b w:val="1"/>
          <w:bCs w:val="1"/>
          <w:u w:val="single" w:color="auto"/>
          <w:color w:val="auto"/>
        </w:rPr>
        <w:t>Captions and Paragraph Headings</w:t>
      </w:r>
      <w:r>
        <w:rPr>
          <w:rFonts w:ascii="Arial" w:cs="Arial" w:eastAsia="Arial" w:hAnsi="Arial"/>
          <w:sz w:val="19"/>
          <w:szCs w:val="19"/>
          <w:color w:val="auto"/>
        </w:rPr>
        <w:t>. Captions and paragraph headings used herein are for convenience only and are not a part of this Agreement and will not be used in construing it.</w:t>
      </w:r>
    </w:p>
    <w:p>
      <w:pPr>
        <w:spacing w:after="0" w:line="135" w:lineRule="exact"/>
        <w:rPr>
          <w:sz w:val="20"/>
          <w:szCs w:val="20"/>
          <w:color w:val="auto"/>
        </w:rPr>
      </w:pPr>
    </w:p>
    <w:p>
      <w:pPr>
        <w:jc w:val="both"/>
        <w:ind w:right="20" w:firstLine="1732"/>
        <w:spacing w:after="0" w:line="321" w:lineRule="auto"/>
        <w:rPr>
          <w:sz w:val="20"/>
          <w:szCs w:val="20"/>
          <w:color w:val="auto"/>
        </w:rPr>
      </w:pPr>
      <w:r>
        <w:rPr>
          <w:rFonts w:ascii="Arial" w:cs="Arial" w:eastAsia="Arial" w:hAnsi="Arial"/>
          <w:sz w:val="17"/>
          <w:szCs w:val="17"/>
          <w:color w:val="auto"/>
        </w:rPr>
        <w:t>15.</w:t>
      </w:r>
      <w:r>
        <w:rPr>
          <w:rFonts w:ascii="Arial" w:cs="Arial" w:eastAsia="Arial" w:hAnsi="Arial"/>
          <w:sz w:val="17"/>
          <w:szCs w:val="17"/>
          <w:b w:val="1"/>
          <w:bCs w:val="1"/>
          <w:u w:val="single" w:color="auto"/>
          <w:color w:val="auto"/>
        </w:rPr>
        <w:t>Invalid Provisions</w:t>
      </w:r>
      <w:r>
        <w:rPr>
          <w:rFonts w:ascii="Arial" w:cs="Arial" w:eastAsia="Arial" w:hAnsi="Arial"/>
          <w:sz w:val="17"/>
          <w:szCs w:val="17"/>
          <w:color w:val="auto"/>
        </w:rPr>
        <w:t>. Subject to Section 7(e), should any provision of this Agreement for any reason be declared invalid, void, or unenforceable by a court of competent jurisdiction, the validity and binding effect of any remaining portion will not be affected, and the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16470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21" w:right="31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color w:val="auto"/>
        </w:rPr>
        <w:t>remaining portions of this Agreement will remain in full force and effect as if this Agreement had been executed with said provision eliminated.</w:t>
      </w:r>
    </w:p>
    <w:p>
      <w:pPr>
        <w:spacing w:after="0" w:line="199" w:lineRule="exact"/>
        <w:rPr>
          <w:sz w:val="20"/>
          <w:szCs w:val="20"/>
          <w:color w:val="auto"/>
        </w:rPr>
      </w:pPr>
    </w:p>
    <w:p>
      <w:pPr>
        <w:jc w:val="both"/>
        <w:ind w:right="20" w:firstLine="1732"/>
        <w:spacing w:after="0" w:line="247" w:lineRule="auto"/>
        <w:rPr>
          <w:sz w:val="20"/>
          <w:szCs w:val="20"/>
          <w:color w:val="auto"/>
        </w:rPr>
      </w:pPr>
      <w:r>
        <w:rPr>
          <w:rFonts w:ascii="Arial" w:cs="Arial" w:eastAsia="Arial" w:hAnsi="Arial"/>
          <w:sz w:val="19"/>
          <w:szCs w:val="19"/>
          <w:color w:val="auto"/>
        </w:rPr>
        <w:t>16.</w:t>
      </w:r>
      <w:r>
        <w:rPr>
          <w:rFonts w:ascii="Arial" w:cs="Arial" w:eastAsia="Arial" w:hAnsi="Arial"/>
          <w:sz w:val="19"/>
          <w:szCs w:val="19"/>
          <w:b w:val="1"/>
          <w:bCs w:val="1"/>
          <w:u w:val="single" w:color="auto"/>
          <w:color w:val="auto"/>
        </w:rPr>
        <w:t>No Waiver</w:t>
      </w:r>
      <w:r>
        <w:rPr>
          <w:rFonts w:ascii="Arial" w:cs="Arial" w:eastAsia="Arial" w:hAnsi="Arial"/>
          <w:sz w:val="19"/>
          <w:szCs w:val="19"/>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49" w:lineRule="exact"/>
        <w:rPr>
          <w:sz w:val="20"/>
          <w:szCs w:val="20"/>
          <w:color w:val="auto"/>
        </w:rPr>
      </w:pPr>
    </w:p>
    <w:p>
      <w:pPr>
        <w:jc w:val="both"/>
        <w:ind w:firstLine="1732"/>
        <w:spacing w:after="0"/>
        <w:rPr>
          <w:sz w:val="20"/>
          <w:szCs w:val="20"/>
          <w:color w:val="auto"/>
        </w:rPr>
      </w:pPr>
      <w:r>
        <w:rPr>
          <w:rFonts w:ascii="Arial" w:cs="Arial" w:eastAsia="Arial" w:hAnsi="Arial"/>
          <w:sz w:val="19"/>
          <w:szCs w:val="19"/>
          <w:color w:val="auto"/>
        </w:rPr>
        <w:t>17.</w:t>
      </w: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contains the entire agreement of the parties with respect to the subject matter of this Agreement and supersedes any and all other agreements, either oral or in writing, between the parties hereto with respect to the employment of Executive by Orion. Each party to this Agreement acknowledges that no representations, inducements, promises, or agreements, oral or otherwise, have been made by any party, or anyone acting on behalf of any party, which are not embodied herein, and that no other agreement, statement, or promise not contained in this Agreement will be valid or binding.</w:t>
      </w:r>
    </w:p>
    <w:p>
      <w:pPr>
        <w:spacing w:after="0" w:line="155" w:lineRule="exact"/>
        <w:rPr>
          <w:sz w:val="20"/>
          <w:szCs w:val="20"/>
          <w:color w:val="auto"/>
        </w:rPr>
      </w:pPr>
    </w:p>
    <w:p>
      <w:pPr>
        <w:jc w:val="both"/>
        <w:ind w:right="20" w:firstLine="1732"/>
        <w:spacing w:after="0" w:line="262" w:lineRule="auto"/>
        <w:rPr>
          <w:sz w:val="20"/>
          <w:szCs w:val="20"/>
          <w:color w:val="auto"/>
        </w:rPr>
      </w:pPr>
      <w:r>
        <w:rPr>
          <w:rFonts w:ascii="Arial" w:cs="Arial" w:eastAsia="Arial" w:hAnsi="Arial"/>
          <w:sz w:val="19"/>
          <w:szCs w:val="19"/>
          <w:color w:val="auto"/>
        </w:rPr>
        <w:t>18.</w:t>
      </w:r>
      <w:r>
        <w:rPr>
          <w:rFonts w:ascii="Arial" w:cs="Arial" w:eastAsia="Arial" w:hAnsi="Arial"/>
          <w:sz w:val="19"/>
          <w:szCs w:val="19"/>
          <w:b w:val="1"/>
          <w:bCs w:val="1"/>
          <w:u w:val="single" w:color="auto"/>
          <w:color w:val="auto"/>
        </w:rPr>
        <w:t>Modification</w:t>
      </w:r>
      <w:r>
        <w:rPr>
          <w:rFonts w:ascii="Arial" w:cs="Arial" w:eastAsia="Arial" w:hAnsi="Arial"/>
          <w:sz w:val="19"/>
          <w:szCs w:val="19"/>
          <w:color w:val="auto"/>
        </w:rPr>
        <w:t>. This Agreement may not be modified or amended by oral agreement, but only by an agreement in writing signed by Orion and Executive.</w:t>
      </w:r>
    </w:p>
    <w:p>
      <w:pPr>
        <w:spacing w:after="0" w:line="135" w:lineRule="exact"/>
        <w:rPr>
          <w:sz w:val="20"/>
          <w:szCs w:val="20"/>
          <w:color w:val="auto"/>
        </w:rPr>
      </w:pPr>
    </w:p>
    <w:p>
      <w:pPr>
        <w:jc w:val="both"/>
        <w:ind w:right="20" w:firstLine="1732"/>
        <w:spacing w:after="0" w:line="262" w:lineRule="auto"/>
        <w:rPr>
          <w:sz w:val="20"/>
          <w:szCs w:val="20"/>
          <w:color w:val="auto"/>
        </w:rPr>
      </w:pPr>
      <w:r>
        <w:rPr>
          <w:rFonts w:ascii="Arial" w:cs="Arial" w:eastAsia="Arial" w:hAnsi="Arial"/>
          <w:sz w:val="19"/>
          <w:szCs w:val="19"/>
          <w:color w:val="auto"/>
        </w:rPr>
        <w:t>19.</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16470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this Agreement is effective as of the Effective Date set forth above.</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William T. Hull</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William T. Hull</w:t>
      </w: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ORION ENERGY SYSTEMS, INC</w:t>
      </w:r>
      <w:r>
        <w:rPr>
          <w:rFonts w:ascii="Arial" w:cs="Arial" w:eastAsia="Arial" w:hAnsi="Arial"/>
          <w:sz w:val="19"/>
          <w:szCs w:val="19"/>
          <w:color w:val="auto"/>
        </w:rPr>
        <w:t>.</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0" w:type="dxa"/>
            <w:vAlign w:val="bottom"/>
          </w:tcPr>
          <w:p>
            <w:pPr>
              <w:spacing w:after="0"/>
              <w:rPr>
                <w:sz w:val="20"/>
                <w:szCs w:val="20"/>
                <w:color w:val="auto"/>
              </w:rPr>
            </w:pPr>
            <w:r>
              <w:rPr>
                <w:rFonts w:ascii="Arial" w:cs="Arial" w:eastAsia="Arial" w:hAnsi="Arial"/>
                <w:sz w:val="19"/>
                <w:szCs w:val="19"/>
                <w:color w:val="auto"/>
              </w:rPr>
              <w:t>By:</w:t>
            </w:r>
          </w:p>
        </w:tc>
        <w:tc>
          <w:tcPr>
            <w:tcW w:w="220" w:type="dxa"/>
            <w:vAlign w:val="bottom"/>
          </w:tcPr>
          <w:p>
            <w:pPr>
              <w:spacing w:after="0"/>
              <w:rPr>
                <w:sz w:val="18"/>
                <w:szCs w:val="18"/>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1"/>
              </w:rPr>
              <w:t>/s/ Michael W. Altschaefl</w:t>
            </w:r>
          </w:p>
        </w:tc>
      </w:tr>
      <w:tr>
        <w:trPr>
          <w:trHeight w:val="208"/>
        </w:trPr>
        <w:tc>
          <w:tcPr>
            <w:tcW w:w="420" w:type="dxa"/>
            <w:vAlign w:val="bottom"/>
          </w:tcPr>
          <w:p>
            <w:pPr>
              <w:spacing w:after="0"/>
              <w:rPr>
                <w:sz w:val="18"/>
                <w:szCs w:val="18"/>
                <w:color w:val="auto"/>
              </w:rPr>
            </w:pPr>
          </w:p>
        </w:tc>
        <w:tc>
          <w:tcPr>
            <w:tcW w:w="2140" w:type="dxa"/>
            <w:vAlign w:val="bottom"/>
            <w:gridSpan w:val="2"/>
          </w:tcPr>
          <w:p>
            <w:pPr>
              <w:ind w:left="160"/>
              <w:spacing w:after="0" w:line="208" w:lineRule="exact"/>
              <w:rPr>
                <w:sz w:val="20"/>
                <w:szCs w:val="20"/>
                <w:color w:val="auto"/>
              </w:rPr>
            </w:pPr>
            <w:r>
              <w:rPr>
                <w:rFonts w:ascii="Arial" w:cs="Arial" w:eastAsia="Arial" w:hAnsi="Arial"/>
                <w:sz w:val="19"/>
                <w:szCs w:val="19"/>
                <w:color w:val="auto"/>
              </w:rPr>
              <w:t>Michael W. Altschaefl</w:t>
            </w:r>
          </w:p>
        </w:tc>
      </w:tr>
      <w:tr>
        <w:trPr>
          <w:trHeight w:val="240"/>
        </w:trPr>
        <w:tc>
          <w:tcPr>
            <w:tcW w:w="420" w:type="dxa"/>
            <w:vAlign w:val="bottom"/>
          </w:tcPr>
          <w:p>
            <w:pPr>
              <w:spacing w:after="0"/>
              <w:rPr>
                <w:sz w:val="20"/>
                <w:szCs w:val="20"/>
                <w:color w:val="auto"/>
              </w:rPr>
            </w:pPr>
          </w:p>
        </w:tc>
        <w:tc>
          <w:tcPr>
            <w:tcW w:w="2140" w:type="dxa"/>
            <w:vAlign w:val="bottom"/>
            <w:gridSpan w:val="2"/>
          </w:tcPr>
          <w:p>
            <w:pPr>
              <w:ind w:left="160"/>
              <w:spacing w:after="0"/>
              <w:rPr>
                <w:sz w:val="20"/>
                <w:szCs w:val="20"/>
                <w:color w:val="auto"/>
              </w:rPr>
            </w:pPr>
            <w:r>
              <w:rPr>
                <w:rFonts w:ascii="Arial" w:cs="Arial" w:eastAsia="Arial" w:hAnsi="Arial"/>
                <w:sz w:val="19"/>
                <w:szCs w:val="19"/>
                <w:color w:val="auto"/>
              </w:rPr>
              <w:t>Chief Executive Officer</w:t>
            </w:r>
          </w:p>
        </w:tc>
      </w:tr>
    </w:tbl>
    <w:p>
      <w:pPr>
        <w:spacing w:after="0" w:line="372"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16470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139"/>
          </w:cols>
          <w:pgMar w:left="320" w:top="314" w:right="1440" w:bottom="1440" w:gutter="0" w:footer="0" w:header="0"/>
        </w:sectPr>
      </w:pPr>
    </w:p>
    <w:bookmarkStart w:id="129" w:name="page130"/>
    <w:bookmarkEnd w:id="129"/>
    <w:p>
      <w:pPr>
        <w:jc w:val="center"/>
        <w:ind w:right="-5"/>
        <w:spacing w:after="0"/>
        <w:rPr>
          <w:sz w:val="20"/>
          <w:szCs w:val="20"/>
          <w:color w:val="auto"/>
        </w:rPr>
      </w:pPr>
      <w:r>
        <w:rPr>
          <w:rFonts w:ascii="Arial" w:cs="Arial" w:eastAsia="Arial" w:hAnsi="Arial"/>
          <w:sz w:val="19"/>
          <w:szCs w:val="19"/>
          <w:b w:val="1"/>
          <w:bCs w:val="1"/>
          <w:color w:val="auto"/>
        </w:rPr>
        <w:t>EXHIBIT A</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Benefits and Perquisites*</w:t>
      </w:r>
    </w:p>
    <w:p>
      <w:pPr>
        <w:spacing w:after="0" w:line="145" w:lineRule="exact"/>
        <w:rPr>
          <w:sz w:val="20"/>
          <w:szCs w:val="20"/>
          <w:color w:val="auto"/>
        </w:rPr>
      </w:pPr>
    </w:p>
    <w:p>
      <w:pPr>
        <w:jc w:val="both"/>
        <w:ind w:left="6" w:right="260" w:hanging="6"/>
        <w:spacing w:after="0" w:line="274" w:lineRule="auto"/>
        <w:tabs>
          <w:tab w:leader="none" w:pos="123" w:val="left"/>
        </w:tabs>
        <w:numPr>
          <w:ilvl w:val="0"/>
          <w:numId w:val="75"/>
        </w:numPr>
        <w:rPr>
          <w:rFonts w:ascii="Arial" w:cs="Arial" w:eastAsia="Arial" w:hAnsi="Arial"/>
          <w:sz w:val="15"/>
          <w:szCs w:val="15"/>
          <w:color w:val="auto"/>
        </w:rPr>
      </w:pPr>
      <w:r>
        <w:rPr>
          <w:rFonts w:ascii="Arial" w:cs="Arial" w:eastAsia="Arial" w:hAnsi="Arial"/>
          <w:sz w:val="15"/>
          <w:szCs w:val="15"/>
          <w:color w:val="auto"/>
        </w:rPr>
        <w:t>Note: The listed benefits and perquisites are in addition to those generally made available to all other senior executives of Orion under Orion’s employee benefit plans (other than annual and long-term incentive plans, which are addressed in Section 3 of the Agreement) as in effect from time to time. Executive is entitled to participate in such benefit plans on the same basis as those benefits are generally made available to other senior executives of Orion. Currently, such company-wide benefits include: (i) 401(k) Plan; (ii) group short term disability insurance; and (iii) group health and prescription drug insurance.</w:t>
      </w:r>
    </w:p>
    <w:p>
      <w:pPr>
        <w:spacing w:after="0" w:line="342"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5740" w:type="dxa"/>
            <w:vAlign w:val="bottom"/>
            <w:gridSpan w:val="2"/>
          </w:tcPr>
          <w:p>
            <w:pPr>
              <w:spacing w:after="0"/>
              <w:rPr>
                <w:sz w:val="20"/>
                <w:szCs w:val="20"/>
                <w:color w:val="auto"/>
              </w:rPr>
            </w:pPr>
            <w:r>
              <w:rPr>
                <w:rFonts w:ascii="Arial" w:cs="Arial" w:eastAsia="Arial" w:hAnsi="Arial"/>
                <w:sz w:val="16"/>
                <w:szCs w:val="16"/>
                <w:color w:val="auto"/>
              </w:rPr>
              <w:t>Benefit</w:t>
            </w:r>
          </w:p>
        </w:tc>
        <w:tc>
          <w:tcPr>
            <w:tcW w:w="5520" w:type="dxa"/>
            <w:vAlign w:val="bottom"/>
            <w:gridSpan w:val="2"/>
          </w:tcPr>
          <w:p>
            <w:pPr>
              <w:ind w:left="240"/>
              <w:spacing w:after="0"/>
              <w:rPr>
                <w:sz w:val="20"/>
                <w:szCs w:val="20"/>
                <w:color w:val="auto"/>
              </w:rPr>
            </w:pPr>
            <w:r>
              <w:rPr>
                <w:rFonts w:ascii="Arial" w:cs="Arial" w:eastAsia="Arial" w:hAnsi="Arial"/>
                <w:sz w:val="16"/>
                <w:szCs w:val="16"/>
                <w:color w:val="auto"/>
              </w:rPr>
              <w:t>Amount</w:t>
            </w:r>
          </w:p>
        </w:tc>
      </w:tr>
      <w:tr>
        <w:trPr>
          <w:trHeight w:val="20"/>
        </w:trPr>
        <w:tc>
          <w:tcPr>
            <w:tcW w:w="140" w:type="dxa"/>
            <w:vAlign w:val="bottom"/>
            <w:shd w:val="clear" w:color="auto" w:fill="000000"/>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285"/>
        </w:trPr>
        <w:tc>
          <w:tcPr>
            <w:tcW w:w="140" w:type="dxa"/>
            <w:vAlign w:val="bottom"/>
          </w:tcPr>
          <w:p>
            <w:pPr>
              <w:spacing w:after="0"/>
              <w:rPr>
                <w:sz w:val="20"/>
                <w:szCs w:val="20"/>
                <w:color w:val="auto"/>
              </w:rPr>
            </w:pPr>
            <w:r>
              <w:rPr>
                <w:rFonts w:ascii="Arial" w:cs="Arial" w:eastAsia="Arial" w:hAnsi="Arial"/>
                <w:sz w:val="16"/>
                <w:szCs w:val="16"/>
                <w:color w:val="auto"/>
                <w:w w:val="89"/>
              </w:rPr>
              <w:t>1.</w:t>
            </w:r>
          </w:p>
        </w:tc>
        <w:tc>
          <w:tcPr>
            <w:tcW w:w="5600" w:type="dxa"/>
            <w:vAlign w:val="bottom"/>
          </w:tcPr>
          <w:p>
            <w:pPr>
              <w:ind w:left="20"/>
              <w:spacing w:after="0"/>
              <w:rPr>
                <w:sz w:val="20"/>
                <w:szCs w:val="20"/>
                <w:color w:val="auto"/>
              </w:rPr>
            </w:pPr>
            <w:r>
              <w:rPr>
                <w:rFonts w:ascii="Arial" w:cs="Arial" w:eastAsia="Arial" w:hAnsi="Arial"/>
                <w:sz w:val="16"/>
                <w:szCs w:val="16"/>
                <w:color w:val="auto"/>
              </w:rPr>
              <w:t>Life Insurance</w:t>
            </w:r>
          </w:p>
        </w:tc>
        <w:tc>
          <w:tcPr>
            <w:tcW w:w="5520" w:type="dxa"/>
            <w:vAlign w:val="bottom"/>
            <w:gridSpan w:val="2"/>
          </w:tcPr>
          <w:p>
            <w:pPr>
              <w:ind w:left="240"/>
              <w:spacing w:after="0"/>
              <w:rPr>
                <w:sz w:val="20"/>
                <w:szCs w:val="20"/>
                <w:color w:val="auto"/>
              </w:rPr>
            </w:pPr>
            <w:r>
              <w:rPr>
                <w:rFonts w:ascii="Arial" w:cs="Arial" w:eastAsia="Arial" w:hAnsi="Arial"/>
                <w:sz w:val="16"/>
                <w:szCs w:val="16"/>
                <w:color w:val="auto"/>
              </w:rPr>
              <w:t>$1,000,000 (face value)</w:t>
            </w:r>
          </w:p>
        </w:tc>
      </w:tr>
      <w:tr>
        <w:trPr>
          <w:trHeight w:val="294"/>
        </w:trPr>
        <w:tc>
          <w:tcPr>
            <w:tcW w:w="140" w:type="dxa"/>
            <w:vAlign w:val="bottom"/>
          </w:tcPr>
          <w:p>
            <w:pPr>
              <w:spacing w:after="0"/>
              <w:rPr>
                <w:sz w:val="20"/>
                <w:szCs w:val="20"/>
                <w:color w:val="auto"/>
              </w:rPr>
            </w:pPr>
            <w:r>
              <w:rPr>
                <w:rFonts w:ascii="Arial" w:cs="Arial" w:eastAsia="Arial" w:hAnsi="Arial"/>
                <w:sz w:val="16"/>
                <w:szCs w:val="16"/>
                <w:color w:val="auto"/>
                <w:w w:val="89"/>
              </w:rPr>
              <w:t>2.</w:t>
            </w:r>
          </w:p>
        </w:tc>
        <w:tc>
          <w:tcPr>
            <w:tcW w:w="5600" w:type="dxa"/>
            <w:vAlign w:val="bottom"/>
          </w:tcPr>
          <w:p>
            <w:pPr>
              <w:ind w:left="20"/>
              <w:spacing w:after="0"/>
              <w:rPr>
                <w:sz w:val="20"/>
                <w:szCs w:val="20"/>
                <w:color w:val="auto"/>
              </w:rPr>
            </w:pPr>
            <w:r>
              <w:rPr>
                <w:rFonts w:ascii="Arial" w:cs="Arial" w:eastAsia="Arial" w:hAnsi="Arial"/>
                <w:sz w:val="16"/>
                <w:szCs w:val="16"/>
                <w:color w:val="auto"/>
              </w:rPr>
              <w:t>Health/Prescription Drug Reimbursement</w:t>
            </w:r>
          </w:p>
        </w:tc>
        <w:tc>
          <w:tcPr>
            <w:tcW w:w="5520" w:type="dxa"/>
            <w:vAlign w:val="bottom"/>
            <w:gridSpan w:val="2"/>
          </w:tcPr>
          <w:p>
            <w:pPr>
              <w:ind w:left="240"/>
              <w:spacing w:after="0"/>
              <w:rPr>
                <w:sz w:val="20"/>
                <w:szCs w:val="20"/>
                <w:color w:val="auto"/>
              </w:rPr>
            </w:pPr>
            <w:r>
              <w:rPr>
                <w:rFonts w:ascii="Arial" w:cs="Arial" w:eastAsia="Arial" w:hAnsi="Arial"/>
                <w:sz w:val="16"/>
                <w:szCs w:val="16"/>
                <w:color w:val="auto"/>
              </w:rPr>
              <w:t>Reimbursed by Company Per Current Practice</w:t>
            </w:r>
          </w:p>
        </w:tc>
      </w:tr>
      <w:tr>
        <w:trPr>
          <w:trHeight w:val="294"/>
        </w:trPr>
        <w:tc>
          <w:tcPr>
            <w:tcW w:w="140" w:type="dxa"/>
            <w:vAlign w:val="bottom"/>
          </w:tcPr>
          <w:p>
            <w:pPr>
              <w:spacing w:after="0"/>
              <w:rPr>
                <w:sz w:val="20"/>
                <w:szCs w:val="20"/>
                <w:color w:val="auto"/>
              </w:rPr>
            </w:pPr>
            <w:r>
              <w:rPr>
                <w:rFonts w:ascii="Arial" w:cs="Arial" w:eastAsia="Arial" w:hAnsi="Arial"/>
                <w:sz w:val="16"/>
                <w:szCs w:val="16"/>
                <w:color w:val="auto"/>
                <w:w w:val="89"/>
              </w:rPr>
              <w:t>3.</w:t>
            </w:r>
          </w:p>
        </w:tc>
        <w:tc>
          <w:tcPr>
            <w:tcW w:w="5600" w:type="dxa"/>
            <w:vAlign w:val="bottom"/>
          </w:tcPr>
          <w:p>
            <w:pPr>
              <w:ind w:left="20"/>
              <w:spacing w:after="0"/>
              <w:rPr>
                <w:sz w:val="20"/>
                <w:szCs w:val="20"/>
                <w:color w:val="auto"/>
              </w:rPr>
            </w:pPr>
            <w:r>
              <w:rPr>
                <w:rFonts w:ascii="Arial" w:cs="Arial" w:eastAsia="Arial" w:hAnsi="Arial"/>
                <w:sz w:val="16"/>
                <w:szCs w:val="16"/>
                <w:color w:val="auto"/>
              </w:rPr>
              <w:t>Group Long Term Disability Insurance</w:t>
            </w:r>
          </w:p>
        </w:tc>
        <w:tc>
          <w:tcPr>
            <w:tcW w:w="5520" w:type="dxa"/>
            <w:vAlign w:val="bottom"/>
            <w:gridSpan w:val="2"/>
          </w:tcPr>
          <w:p>
            <w:pPr>
              <w:ind w:left="240"/>
              <w:spacing w:after="0"/>
              <w:rPr>
                <w:sz w:val="20"/>
                <w:szCs w:val="20"/>
                <w:color w:val="auto"/>
              </w:rPr>
            </w:pPr>
            <w:r>
              <w:rPr>
                <w:rFonts w:ascii="Arial" w:cs="Arial" w:eastAsia="Arial" w:hAnsi="Arial"/>
                <w:sz w:val="16"/>
                <w:szCs w:val="16"/>
                <w:color w:val="auto"/>
              </w:rPr>
              <w:t>Reimbursed by Company Per Current Practice</w:t>
            </w:r>
          </w:p>
        </w:tc>
      </w:tr>
      <w:tr>
        <w:trPr>
          <w:trHeight w:val="294"/>
        </w:trPr>
        <w:tc>
          <w:tcPr>
            <w:tcW w:w="140" w:type="dxa"/>
            <w:vAlign w:val="bottom"/>
          </w:tcPr>
          <w:p>
            <w:pPr>
              <w:spacing w:after="0"/>
              <w:rPr>
                <w:sz w:val="20"/>
                <w:szCs w:val="20"/>
                <w:color w:val="auto"/>
              </w:rPr>
            </w:pPr>
            <w:r>
              <w:rPr>
                <w:rFonts w:ascii="Arial" w:cs="Arial" w:eastAsia="Arial" w:hAnsi="Arial"/>
                <w:sz w:val="16"/>
                <w:szCs w:val="16"/>
                <w:color w:val="auto"/>
                <w:w w:val="89"/>
              </w:rPr>
              <w:t>4.</w:t>
            </w:r>
          </w:p>
        </w:tc>
        <w:tc>
          <w:tcPr>
            <w:tcW w:w="5600" w:type="dxa"/>
            <w:vAlign w:val="bottom"/>
          </w:tcPr>
          <w:p>
            <w:pPr>
              <w:ind w:left="20"/>
              <w:spacing w:after="0"/>
              <w:rPr>
                <w:sz w:val="20"/>
                <w:szCs w:val="20"/>
                <w:color w:val="auto"/>
              </w:rPr>
            </w:pPr>
            <w:r>
              <w:rPr>
                <w:rFonts w:ascii="Arial" w:cs="Arial" w:eastAsia="Arial" w:hAnsi="Arial"/>
                <w:sz w:val="16"/>
                <w:szCs w:val="16"/>
                <w:color w:val="auto"/>
              </w:rPr>
              <w:t>Automobile Allowance</w:t>
            </w:r>
          </w:p>
        </w:tc>
        <w:tc>
          <w:tcPr>
            <w:tcW w:w="5520" w:type="dxa"/>
            <w:vAlign w:val="bottom"/>
            <w:gridSpan w:val="2"/>
          </w:tcPr>
          <w:p>
            <w:pPr>
              <w:ind w:left="240"/>
              <w:spacing w:after="0"/>
              <w:rPr>
                <w:sz w:val="20"/>
                <w:szCs w:val="20"/>
                <w:color w:val="auto"/>
              </w:rPr>
            </w:pPr>
            <w:r>
              <w:rPr>
                <w:rFonts w:ascii="Arial" w:cs="Arial" w:eastAsia="Arial" w:hAnsi="Arial"/>
                <w:sz w:val="16"/>
                <w:szCs w:val="16"/>
                <w:color w:val="auto"/>
              </w:rPr>
              <w:t>$1,000 per month</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66"/>
          </w:cols>
          <w:pgMar w:left="314" w:top="314" w:right="3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3"/>
          <w:szCs w:val="13"/>
          <w:b w:val="1"/>
          <w:bCs w:val="1"/>
          <w:color w:val="auto"/>
        </w:rPr>
        <w:t>Exhibit 10.17</w:t>
      </w:r>
    </w:p>
    <w:p>
      <w:pPr>
        <w:sectPr>
          <w:pgSz w:w="11900" w:h="16838" w:orient="portrait"/>
          <w:cols w:equalWidth="0" w:num="1">
            <w:col w:w="11260"/>
          </w:cols>
          <w:pgMar w:left="320" w:top="123" w:right="31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Name of Executive:</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Position:</w:t>
      </w:r>
    </w:p>
    <w:p>
      <w:pPr>
        <w:spacing w:after="0"/>
        <w:rPr>
          <w:sz w:val="20"/>
          <w:szCs w:val="20"/>
          <w:color w:val="auto"/>
        </w:rPr>
      </w:pPr>
      <w:r>
        <w:rPr>
          <w:rFonts w:ascii="Arial" w:cs="Arial" w:eastAsia="Arial" w:hAnsi="Arial"/>
          <w:sz w:val="16"/>
          <w:szCs w:val="16"/>
          <w:color w:val="auto"/>
        </w:rPr>
        <w:t>Fiscal Year 2021 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Scott Green</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Executive Vice President and Chief Operating Officer</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$350,000</w:t>
      </w:r>
    </w:p>
    <w:p>
      <w:pPr>
        <w:spacing w:after="0" w:line="177" w:lineRule="exact"/>
        <w:rPr>
          <w:sz w:val="20"/>
          <w:szCs w:val="20"/>
          <w:color w:val="auto"/>
        </w:rPr>
      </w:pPr>
    </w:p>
    <w:p>
      <w:pPr>
        <w:sectPr>
          <w:pgSz w:w="11900" w:h="16838" w:orient="portrait"/>
          <w:cols w:equalWidth="0" w:num="2">
            <w:col w:w="4780" w:space="720"/>
            <w:col w:w="5760"/>
          </w:cols>
          <w:pgMar w:left="320" w:top="123" w:right="319" w:bottom="1440" w:gutter="0" w:footer="0" w:header="0"/>
          <w:type w:val="continuous"/>
        </w:sectPr>
      </w:pPr>
    </w:p>
    <w:p>
      <w:pPr>
        <w:spacing w:after="0"/>
        <w:rPr>
          <w:sz w:val="20"/>
          <w:szCs w:val="20"/>
          <w:color w:val="auto"/>
        </w:rPr>
      </w:pPr>
      <w:r>
        <w:rPr>
          <w:rFonts w:ascii="Arial" w:cs="Arial" w:eastAsia="Arial" w:hAnsi="Arial"/>
          <w:sz w:val="17"/>
          <w:szCs w:val="17"/>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June 1, 2020</w:t>
      </w:r>
    </w:p>
    <w:p>
      <w:pPr>
        <w:spacing w:after="0" w:line="211" w:lineRule="exact"/>
        <w:rPr>
          <w:sz w:val="20"/>
          <w:szCs w:val="20"/>
          <w:color w:val="auto"/>
        </w:rPr>
      </w:pPr>
    </w:p>
    <w:p>
      <w:pPr>
        <w:sectPr>
          <w:pgSz w:w="11900" w:h="16838" w:orient="portrait"/>
          <w:cols w:equalWidth="0" w:num="2">
            <w:col w:w="4360" w:space="720"/>
            <w:col w:w="6180"/>
          </w:cols>
          <w:pgMar w:left="320" w:top="123" w:right="31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Pre-Change of Control Severance Multiplier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Post-Change of Control Severance Multiplier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1x</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7"/>
          <w:szCs w:val="17"/>
          <w:color w:val="auto"/>
        </w:rPr>
        <w:t>2x</w:t>
      </w:r>
    </w:p>
    <w:p>
      <w:pPr>
        <w:spacing w:after="0" w:line="200" w:lineRule="exact"/>
        <w:rPr>
          <w:sz w:val="20"/>
          <w:szCs w:val="20"/>
          <w:color w:val="auto"/>
        </w:rPr>
      </w:pPr>
    </w:p>
    <w:p>
      <w:pPr>
        <w:sectPr>
          <w:pgSz w:w="11900" w:h="16838" w:orient="portrait"/>
          <w:cols w:equalWidth="0" w:num="2">
            <w:col w:w="6800" w:space="720"/>
            <w:col w:w="3740"/>
          </w:cols>
          <w:pgMar w:left="320" w:top="123" w:right="319" w:bottom="1440" w:gutter="0" w:footer="0" w:header="0"/>
          <w:type w:val="continuous"/>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AND RESTATED EXECUTIVE EMPLOYMENT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 SEVERANCE AGREEMENT</w:t>
      </w:r>
    </w:p>
    <w:p>
      <w:pPr>
        <w:spacing w:after="0" w:line="166" w:lineRule="exact"/>
        <w:rPr>
          <w:sz w:val="20"/>
          <w:szCs w:val="20"/>
          <w:color w:val="auto"/>
        </w:rPr>
      </w:pPr>
    </w:p>
    <w:p>
      <w:pPr>
        <w:jc w:val="both"/>
        <w:ind w:right="20" w:firstLine="1732"/>
        <w:spacing w:after="0"/>
        <w:rPr>
          <w:sz w:val="20"/>
          <w:szCs w:val="20"/>
          <w:color w:val="auto"/>
        </w:rPr>
      </w:pPr>
      <w:r>
        <w:rPr>
          <w:rFonts w:ascii="Arial" w:cs="Arial" w:eastAsia="Arial" w:hAnsi="Arial"/>
          <w:sz w:val="19"/>
          <w:szCs w:val="19"/>
          <w:color w:val="auto"/>
        </w:rPr>
        <w:t>This Amended and Restated Executive Employment Agreement (“Agreement”) is between the executive named above (“Executive”), and Orion Energy Systems, Inc. (“Orion” or the “Company”) effective as of the effective date set forth above (‘Effective Date”) and amends and restates in its entirety the existing Executive Employment and Severance Agreement between the Executive and the Company dated and effective as of August 6, 2016 (“Prior Agreement”).</w:t>
      </w:r>
    </w:p>
    <w:p>
      <w:pPr>
        <w:spacing w:after="0" w:line="155" w:lineRule="exact"/>
        <w:rPr>
          <w:sz w:val="20"/>
          <w:szCs w:val="20"/>
          <w:color w:val="auto"/>
        </w:rPr>
      </w:pPr>
    </w:p>
    <w:p>
      <w:pPr>
        <w:jc w:val="both"/>
        <w:ind w:firstLine="1732"/>
        <w:spacing w:after="0" w:line="26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Executive is currently employed by Orion as its Executive Vice President and Chief Operating Officer and is</w:t>
      </w:r>
      <w:r>
        <w:rPr>
          <w:rFonts w:ascii="Arial" w:cs="Arial" w:eastAsia="Arial" w:hAnsi="Arial"/>
          <w:sz w:val="19"/>
          <w:szCs w:val="19"/>
          <w:b w:val="1"/>
          <w:bCs w:val="1"/>
          <w:color w:val="auto"/>
        </w:rPr>
        <w:t xml:space="preserve"> </w:t>
      </w:r>
      <w:r>
        <w:rPr>
          <w:rFonts w:ascii="Arial" w:cs="Arial" w:eastAsia="Arial" w:hAnsi="Arial"/>
          <w:sz w:val="19"/>
          <w:szCs w:val="19"/>
          <w:color w:val="auto"/>
        </w:rPr>
        <w:t>currently subject to the Prior Agreement.</w:t>
      </w:r>
    </w:p>
    <w:p>
      <w:pPr>
        <w:spacing w:after="0" w:line="135" w:lineRule="exact"/>
        <w:rPr>
          <w:sz w:val="20"/>
          <w:szCs w:val="20"/>
          <w:color w:val="auto"/>
        </w:rPr>
      </w:pPr>
    </w:p>
    <w:p>
      <w:pPr>
        <w:jc w:val="both"/>
        <w:ind w:firstLine="1732"/>
        <w:spacing w:after="0" w:line="24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Orion and Executive desire to amend and restate the terms and conditions on which Executive will continue to</w:t>
      </w:r>
      <w:r>
        <w:rPr>
          <w:rFonts w:ascii="Arial" w:cs="Arial" w:eastAsia="Arial" w:hAnsi="Arial"/>
          <w:sz w:val="19"/>
          <w:szCs w:val="19"/>
          <w:b w:val="1"/>
          <w:bCs w:val="1"/>
          <w:color w:val="auto"/>
        </w:rPr>
        <w:t xml:space="preserve"> </w:t>
      </w:r>
      <w:r>
        <w:rPr>
          <w:rFonts w:ascii="Arial" w:cs="Arial" w:eastAsia="Arial" w:hAnsi="Arial"/>
          <w:sz w:val="19"/>
          <w:szCs w:val="19"/>
          <w:color w:val="auto"/>
        </w:rPr>
        <w:t>be employed with Orion as its Executive Vice President and Chief Operating Officer on and after the Effective Date, and under which Executive will receive severance in the event that Executive separates from service with Orion under certain circumstances, including after the Company experiences a Change of Control.</w:t>
      </w:r>
    </w:p>
    <w:p>
      <w:pPr>
        <w:spacing w:after="0" w:line="154" w:lineRule="exact"/>
        <w:rPr>
          <w:sz w:val="20"/>
          <w:szCs w:val="20"/>
          <w:color w:val="auto"/>
        </w:rPr>
      </w:pPr>
    </w:p>
    <w:p>
      <w:pPr>
        <w:ind w:left="172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for good and valuable consideration, the parties agree as follows:</w:t>
      </w:r>
    </w:p>
    <w:p>
      <w:pPr>
        <w:spacing w:after="0" w:line="182" w:lineRule="exact"/>
        <w:rPr>
          <w:sz w:val="20"/>
          <w:szCs w:val="20"/>
          <w:color w:val="auto"/>
        </w:rPr>
      </w:pPr>
    </w:p>
    <w:p>
      <w:pPr>
        <w:jc w:val="both"/>
        <w:ind w:firstLine="1732"/>
        <w:spacing w:after="0" w:line="290" w:lineRule="auto"/>
        <w:rPr>
          <w:sz w:val="20"/>
          <w:szCs w:val="20"/>
          <w:color w:val="auto"/>
        </w:rPr>
      </w:pPr>
      <w:r>
        <w:rPr>
          <w:rFonts w:ascii="Arial" w:cs="Arial" w:eastAsia="Arial" w:hAnsi="Arial"/>
          <w:sz w:val="17"/>
          <w:szCs w:val="17"/>
          <w:color w:val="auto"/>
        </w:rPr>
        <w:t>1.</w:t>
      </w:r>
      <w:r>
        <w:rPr>
          <w:rFonts w:ascii="Arial" w:cs="Arial" w:eastAsia="Arial" w:hAnsi="Arial"/>
          <w:sz w:val="17"/>
          <w:szCs w:val="17"/>
          <w:b w:val="1"/>
          <w:bCs w:val="1"/>
          <w:u w:val="single" w:color="auto"/>
          <w:color w:val="auto"/>
        </w:rPr>
        <w:t>Effective Date; Term</w:t>
      </w:r>
      <w:r>
        <w:rPr>
          <w:rFonts w:ascii="Arial" w:cs="Arial" w:eastAsia="Arial" w:hAnsi="Arial"/>
          <w:sz w:val="17"/>
          <w:szCs w:val="17"/>
          <w:color w:val="auto"/>
        </w:rPr>
        <w:t>. This Agreement shall become effective on the Effective Date and continue until terminated as set forth in Section 4 hereof. Termination of this Agreement will not affect the rights or obligations of the parties hereunder arising out of, or relating to circumstances occurring prior to the termination of this Agreement, which rights and obligations will survive the termination of this Agreement.</w:t>
      </w:r>
    </w:p>
    <w:p>
      <w:pPr>
        <w:spacing w:after="0" w:line="115"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2.</w:t>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 For purposes of this Agreement, the following terms shall have the meanings ascribed to them:</w:t>
      </w:r>
    </w:p>
    <w:p>
      <w:pPr>
        <w:spacing w:after="0" w:line="182" w:lineRule="exact"/>
        <w:rPr>
          <w:sz w:val="20"/>
          <w:szCs w:val="20"/>
          <w:color w:val="auto"/>
        </w:rPr>
      </w:pPr>
    </w:p>
    <w:p>
      <w:pPr>
        <w:jc w:val="both"/>
        <w:ind w:left="860" w:firstLine="799"/>
        <w:spacing w:after="0" w:line="247" w:lineRule="auto"/>
        <w:rPr>
          <w:sz w:val="20"/>
          <w:szCs w:val="20"/>
          <w:color w:val="auto"/>
        </w:rPr>
      </w:pPr>
      <w:r>
        <w:rPr>
          <w:rFonts w:ascii="Arial" w:cs="Arial" w:eastAsia="Arial" w:hAnsi="Arial"/>
          <w:sz w:val="19"/>
          <w:szCs w:val="19"/>
          <w:color w:val="auto"/>
        </w:rPr>
        <w:t>(a)“</w:t>
      </w:r>
      <w:r>
        <w:rPr>
          <w:rFonts w:ascii="Arial" w:cs="Arial" w:eastAsia="Arial" w:hAnsi="Arial"/>
          <w:sz w:val="19"/>
          <w:szCs w:val="19"/>
          <w:b w:val="1"/>
          <w:bCs w:val="1"/>
          <w:color w:val="auto"/>
        </w:rPr>
        <w:t>Accrued Benefits</w:t>
      </w:r>
      <w:r>
        <w:rPr>
          <w:rFonts w:ascii="Arial" w:cs="Arial" w:eastAsia="Arial" w:hAnsi="Arial"/>
          <w:sz w:val="19"/>
          <w:szCs w:val="19"/>
          <w:color w:val="auto"/>
        </w:rPr>
        <w:t>” shall mean, as of the Termination Date, the sum of: (i) Executive’s Base Salary earned but not paid for the time period ending with the Termination Date; (ii) any other earned but unpaid amounts as of the Termination Date, and (iii) any other payments or benefits to be provided to Executive by Orion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16470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9"/>
          <w:szCs w:val="19"/>
          <w:color w:val="auto"/>
        </w:rPr>
        <w:t>any employee benefit plans or arrangements adopted by Orion, to the extent such amounts are due from Orion.</w:t>
      </w:r>
    </w:p>
    <w:p>
      <w:pPr>
        <w:spacing w:after="0" w:line="176" w:lineRule="exact"/>
        <w:rPr>
          <w:sz w:val="20"/>
          <w:szCs w:val="20"/>
          <w:color w:val="auto"/>
        </w:rPr>
      </w:pPr>
    </w:p>
    <w:p>
      <w:pPr>
        <w:jc w:val="both"/>
        <w:ind w:right="20" w:firstLine="799"/>
        <w:spacing w:after="0" w:line="262" w:lineRule="auto"/>
        <w:rPr>
          <w:sz w:val="20"/>
          <w:szCs w:val="20"/>
          <w:color w:val="auto"/>
        </w:rPr>
      </w:pPr>
      <w:r>
        <w:rPr>
          <w:rFonts w:ascii="Arial" w:cs="Arial" w:eastAsia="Arial" w:hAnsi="Arial"/>
          <w:sz w:val="19"/>
          <w:szCs w:val="19"/>
          <w:color w:val="auto"/>
        </w:rPr>
        <w:t>(b)“</w:t>
      </w:r>
      <w:r>
        <w:rPr>
          <w:rFonts w:ascii="Arial" w:cs="Arial" w:eastAsia="Arial" w:hAnsi="Arial"/>
          <w:sz w:val="19"/>
          <w:szCs w:val="19"/>
          <w:b w:val="1"/>
          <w:bCs w:val="1"/>
          <w:color w:val="auto"/>
        </w:rPr>
        <w:t>Base Salary</w:t>
      </w:r>
      <w:r>
        <w:rPr>
          <w:rFonts w:ascii="Arial" w:cs="Arial" w:eastAsia="Arial" w:hAnsi="Arial"/>
          <w:sz w:val="19"/>
          <w:szCs w:val="19"/>
          <w:color w:val="auto"/>
        </w:rPr>
        <w:t>” shall mean the Executive’s annual base salary with Orion as in effect from time to time beginning with the initial Base Salary noted above.</w:t>
      </w:r>
    </w:p>
    <w:p>
      <w:pPr>
        <w:spacing w:after="0" w:line="135" w:lineRule="exact"/>
        <w:rPr>
          <w:sz w:val="20"/>
          <w:szCs w:val="20"/>
          <w:color w:val="auto"/>
        </w:rPr>
      </w:pPr>
    </w:p>
    <w:p>
      <w:pPr>
        <w:jc w:val="both"/>
        <w:ind w:right="20" w:firstLine="799"/>
        <w:spacing w:after="0" w:line="262" w:lineRule="auto"/>
        <w:rPr>
          <w:sz w:val="20"/>
          <w:szCs w:val="20"/>
          <w:color w:val="auto"/>
        </w:rPr>
      </w:pPr>
      <w:r>
        <w:rPr>
          <w:rFonts w:ascii="Arial" w:cs="Arial" w:eastAsia="Arial" w:hAnsi="Arial"/>
          <w:sz w:val="19"/>
          <w:szCs w:val="19"/>
          <w:color w:val="auto"/>
        </w:rPr>
        <w:t>(c)“</w:t>
      </w:r>
      <w:r>
        <w:rPr>
          <w:rFonts w:ascii="Arial" w:cs="Arial" w:eastAsia="Arial" w:hAnsi="Arial"/>
          <w:sz w:val="19"/>
          <w:szCs w:val="19"/>
          <w:b w:val="1"/>
          <w:bCs w:val="1"/>
          <w:color w:val="auto"/>
        </w:rPr>
        <w:t>Board</w:t>
      </w:r>
      <w:r>
        <w:rPr>
          <w:rFonts w:ascii="Arial" w:cs="Arial" w:eastAsia="Arial" w:hAnsi="Arial"/>
          <w:sz w:val="19"/>
          <w:szCs w:val="19"/>
          <w:color w:val="auto"/>
        </w:rPr>
        <w:t>” shall mean the board of directors of Orion or a committee of such Board authorized to act on its behalf in certain circumstances, including the Compensation Committee of the Board.</w:t>
      </w:r>
    </w:p>
    <w:p>
      <w:pPr>
        <w:spacing w:after="0" w:line="135" w:lineRule="exact"/>
        <w:rPr>
          <w:sz w:val="20"/>
          <w:szCs w:val="20"/>
          <w:color w:val="auto"/>
        </w:rPr>
      </w:pPr>
    </w:p>
    <w:p>
      <w:pPr>
        <w:jc w:val="both"/>
        <w:ind w:firstLine="799"/>
        <w:spacing w:after="0" w:line="237" w:lineRule="auto"/>
        <w:rPr>
          <w:sz w:val="20"/>
          <w:szCs w:val="20"/>
          <w:color w:val="auto"/>
        </w:rPr>
      </w:pPr>
      <w:r>
        <w:rPr>
          <w:rFonts w:ascii="Arial" w:cs="Arial" w:eastAsia="Arial" w:hAnsi="Arial"/>
          <w:sz w:val="19"/>
          <w:szCs w:val="19"/>
          <w:color w:val="auto"/>
        </w:rPr>
        <w:t>(d)“</w:t>
      </w:r>
      <w:r>
        <w:rPr>
          <w:rFonts w:ascii="Arial" w:cs="Arial" w:eastAsia="Arial" w:hAnsi="Arial"/>
          <w:sz w:val="19"/>
          <w:szCs w:val="19"/>
          <w:b w:val="1"/>
          <w:bCs w:val="1"/>
          <w:color w:val="auto"/>
        </w:rPr>
        <w:t>Cause</w:t>
      </w:r>
      <w:r>
        <w:rPr>
          <w:rFonts w:ascii="Arial" w:cs="Arial" w:eastAsia="Arial" w:hAnsi="Arial"/>
          <w:sz w:val="19"/>
          <w:szCs w:val="19"/>
          <w:color w:val="auto"/>
        </w:rPr>
        <w:t>” shall mean a good faith finding by Orion that Executive has (i) failed, neglected, or refused to perform his employment duties from time to time assigned to him (other than due to death or Disability); (ii) committed any willful, intentional, or grossly negligent act having the effect of materially injuring the interest, business, or reputation of Orion; (iii) violated or failed to comply in any material respect with Orion’s published rules, regulations, or policies, as in effect or amended from time to time; (iv) committed an act constituting a felony or misdemeanor involving moral turpitude, fraud, theft, or dishonesty; (v) misappropriated or embezzled any property of Orion (whether or not such act constitutes a felony or misdemeanor); or (vi) breached any material provision of this Agreement or any other applicable confidentiality, non-compete, non-solicit, general release, covenant not-to-sue, equity award agreement or other agreement with Orion.</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(e)“</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and be limited to the occurrence of any of the following:</w:t>
      </w:r>
    </w:p>
    <w:p>
      <w:pPr>
        <w:spacing w:after="0" w:line="188" w:lineRule="exact"/>
        <w:rPr>
          <w:sz w:val="20"/>
          <w:szCs w:val="20"/>
          <w:color w:val="auto"/>
        </w:rPr>
      </w:pPr>
    </w:p>
    <w:p>
      <w:pPr>
        <w:jc w:val="both"/>
        <w:ind w:left="860" w:firstLine="732"/>
        <w:spacing w:after="0" w:line="267" w:lineRule="auto"/>
        <w:rPr>
          <w:sz w:val="20"/>
          <w:szCs w:val="20"/>
          <w:color w:val="auto"/>
        </w:rPr>
      </w:pPr>
      <w:r>
        <w:rPr>
          <w:rFonts w:ascii="Arial" w:cs="Arial" w:eastAsia="Arial" w:hAnsi="Arial"/>
          <w:sz w:val="17"/>
          <w:szCs w:val="17"/>
          <w:color w:val="auto"/>
        </w:rPr>
        <w:t>(i) the acquisition by any “person” (as such term is used in Section 13(d) and 14(d) of the Securities Exchange Act of 1934, as amended), other than (A) Orion or any of its subsidiaries, (B) a trustee or other fiduciary holding securities under any employee benefit plan of Orion or any of its subsidiaries, or (C) an underwriter temporarily holding securities pursuant to an offering of such securities, of the beneficial ownership (within the meaning of Rule 13d-3 promulgated under the Securities Exchange Act of 1934, as amended) directly or indirectly, of securities of Orion by reason of having acquired such securities during the twelve month period ending on the date of the most recent acquisition representing 20% or more of the then outstanding shares of the common stock of Orion, or the combined voting power of Orion’s then outstanding securities entitled to vote generally in the election of directors (the “Company Voting Stock”); or</w:t>
      </w:r>
    </w:p>
    <w:p>
      <w:pPr>
        <w:spacing w:after="0" w:line="143" w:lineRule="exact"/>
        <w:rPr>
          <w:sz w:val="20"/>
          <w:szCs w:val="20"/>
          <w:color w:val="auto"/>
        </w:rPr>
      </w:pPr>
    </w:p>
    <w:p>
      <w:pPr>
        <w:jc w:val="both"/>
        <w:ind w:left="860" w:firstLine="732"/>
        <w:spacing w:after="0" w:line="244" w:lineRule="auto"/>
        <w:rPr>
          <w:sz w:val="20"/>
          <w:szCs w:val="20"/>
          <w:color w:val="auto"/>
        </w:rPr>
      </w:pPr>
      <w:r>
        <w:rPr>
          <w:rFonts w:ascii="Arial" w:cs="Arial" w:eastAsia="Arial" w:hAnsi="Arial"/>
          <w:sz w:val="19"/>
          <w:szCs w:val="19"/>
          <w:color w:val="auto"/>
        </w:rPr>
        <w:t>(ii) the majority of members of Orion’s Board is replaced during any twelve (12)-month period by directors whose appointment or election is not endorsed by a majority of the members of Orion’s Board before the date of the appointment or election; or</w:t>
      </w:r>
    </w:p>
    <w:p>
      <w:pPr>
        <w:spacing w:after="0" w:line="157" w:lineRule="exact"/>
        <w:rPr>
          <w:sz w:val="20"/>
          <w:szCs w:val="20"/>
          <w:color w:val="auto"/>
        </w:rPr>
      </w:pPr>
    </w:p>
    <w:p>
      <w:pPr>
        <w:jc w:val="both"/>
        <w:ind w:left="860" w:firstLine="732"/>
        <w:spacing w:after="0" w:line="244" w:lineRule="auto"/>
        <w:rPr>
          <w:sz w:val="20"/>
          <w:szCs w:val="20"/>
          <w:color w:val="auto"/>
        </w:rPr>
      </w:pPr>
      <w:r>
        <w:rPr>
          <w:rFonts w:ascii="Arial" w:cs="Arial" w:eastAsia="Arial" w:hAnsi="Arial"/>
          <w:sz w:val="19"/>
          <w:szCs w:val="19"/>
          <w:color w:val="auto"/>
        </w:rPr>
        <w:t>(iii) the consummation of a merger, consolidation, reorganization or share exchange of Orion with any other corporation or the issuance of Company Voting Stock in connection with a merger, consolidation, reorganization or share</w:t>
      </w:r>
    </w:p>
    <w:p>
      <w:pPr>
        <w:spacing w:after="0" w:line="157"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149860</wp:posOffset>
            </wp:positionV>
            <wp:extent cx="716470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0" w:right="319" w:bottom="1440" w:gutter="0" w:footer="0" w:header="0"/>
        </w:sectPr>
      </w:pPr>
    </w:p>
    <w:bookmarkStart w:id="132" w:name="page133"/>
    <w:bookmarkEnd w:id="132"/>
    <w:p>
      <w:pPr>
        <w:jc w:val="both"/>
        <w:ind w:left="860"/>
        <w:spacing w:after="0" w:line="264" w:lineRule="auto"/>
        <w:rPr>
          <w:sz w:val="20"/>
          <w:szCs w:val="20"/>
          <w:color w:val="auto"/>
        </w:rPr>
      </w:pPr>
      <w:r>
        <w:rPr>
          <w:rFonts w:ascii="Arial" w:cs="Arial" w:eastAsia="Arial" w:hAnsi="Arial"/>
          <w:sz w:val="17"/>
          <w:szCs w:val="17"/>
          <w:color w:val="auto"/>
        </w:rPr>
        <w:t>exchange of Orion which requires approval of the shareholders of Orion, other than (A) a merger, consolidation, reorganization or share exchange which would result in the Company Voting Stock outstanding immediately prior to such merger, consolidation, reorganization or share exchange continuing to represent (either by remaining outstanding or by being converted into voting securities of the surviving entity or any parent thereof) at least fifty percent (50%) of the Company Voting Stock or such surviving entity or any parent thereof outstanding immediately after such merger, consolidation, reorganization or share exchange, or (B) a merger, consolidation or share exchange effected to implement a recapitalization of Orion (or similar transaction) in which no “person” (defined above) is or becomes the beneficial owner (within the meaning of Rule 13d-3 promulgated under the Securities Exchange Act of 1934, as amended), directly or indirectly, of securities of Orion (not including in the securities beneficially owned by such “person” (defined above) any securities acquired directly from Orion or its affiliates (within the meaning of Rule 12b-2 promulgated under the Securities Exchange Act of 1934, as amended) pursuant to the express authorization by the Board that refers to this exception) representing twenty percent (20%) or more of either the then outstanding shares of common stock of Orion or the Company Voting Stock; or</w:t>
      </w:r>
    </w:p>
    <w:p>
      <w:pPr>
        <w:spacing w:after="0" w:line="149" w:lineRule="exact"/>
        <w:rPr>
          <w:sz w:val="20"/>
          <w:szCs w:val="20"/>
          <w:color w:val="auto"/>
        </w:rPr>
      </w:pPr>
    </w:p>
    <w:p>
      <w:pPr>
        <w:jc w:val="both"/>
        <w:ind w:left="860" w:firstLine="732"/>
        <w:spacing w:after="0" w:line="237" w:lineRule="auto"/>
        <w:rPr>
          <w:sz w:val="20"/>
          <w:szCs w:val="20"/>
          <w:color w:val="auto"/>
        </w:rPr>
      </w:pPr>
      <w:r>
        <w:rPr>
          <w:rFonts w:ascii="Arial" w:cs="Arial" w:eastAsia="Arial" w:hAnsi="Arial"/>
          <w:sz w:val="19"/>
          <w:szCs w:val="19"/>
          <w:color w:val="auto"/>
        </w:rPr>
        <w:t>(iv) the consummation of a plan of complete liquidation or dissolution of Orion or a sale or disposition by Orion of all or substantially all of Orion’s assets (in one transaction or a series of related transactions within any period of 24 consecutive months), in each case, which requires approval of the shareholders of Orion, other than a sale or disposition by Orion of all or substantially all of Orion’s assets to an entity at least seventy-five percent (75%) of the combined voting power of the outstanding voting securities of which are owned by “persons” (defined above) in substantially the same proportions as their ownership of Orion immediately prior to such sale.</w:t>
      </w:r>
    </w:p>
    <w:p>
      <w:pPr>
        <w:spacing w:after="0" w:line="164" w:lineRule="exact"/>
        <w:rPr>
          <w:sz w:val="20"/>
          <w:szCs w:val="20"/>
          <w:color w:val="auto"/>
        </w:rPr>
      </w:pPr>
    </w:p>
    <w:p>
      <w:pPr>
        <w:jc w:val="both"/>
        <w:ind w:left="860" w:firstLine="732"/>
        <w:spacing w:after="0" w:line="238" w:lineRule="auto"/>
        <w:rPr>
          <w:sz w:val="20"/>
          <w:szCs w:val="20"/>
          <w:color w:val="auto"/>
        </w:rPr>
      </w:pPr>
      <w:r>
        <w:rPr>
          <w:rFonts w:ascii="Arial" w:cs="Arial" w:eastAsia="Arial" w:hAnsi="Arial"/>
          <w:sz w:val="19"/>
          <w:szCs w:val="19"/>
          <w:color w:val="auto"/>
        </w:rPr>
        <w:t>Notwithstanding the foregoing, no “Change of Control” shall be deemed to have occurred if there is consummated any transaction or series of integrated transactions immediately following which the record holders of the common stock of Orion immediately prior to such transaction or series of transactions continue to own, directly or indirectly, in the same proportions as their ownership in Orion, an entity that owns all or substantially all of the assets or Company Voting Stock of Orion immediately following such transaction or series of transactions.</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(f)“</w:t>
      </w:r>
      <w:r>
        <w:rPr>
          <w:rFonts w:ascii="Arial" w:cs="Arial" w:eastAsia="Arial" w:hAnsi="Arial"/>
          <w:sz w:val="19"/>
          <w:szCs w:val="19"/>
          <w:b w:val="1"/>
          <w:bCs w:val="1"/>
          <w:color w:val="auto"/>
        </w:rPr>
        <w:t>COBRA</w:t>
      </w:r>
      <w:r>
        <w:rPr>
          <w:rFonts w:ascii="Arial" w:cs="Arial" w:eastAsia="Arial" w:hAnsi="Arial"/>
          <w:sz w:val="19"/>
          <w:szCs w:val="19"/>
          <w:color w:val="auto"/>
        </w:rPr>
        <w:t>” shall mean the provisions of Code Section 4980B.</w:t>
      </w:r>
    </w:p>
    <w:p>
      <w:pPr>
        <w:spacing w:after="0" w:line="182" w:lineRule="exact"/>
        <w:rPr>
          <w:sz w:val="20"/>
          <w:szCs w:val="20"/>
          <w:color w:val="auto"/>
        </w:rPr>
      </w:pPr>
    </w:p>
    <w:p>
      <w:pPr>
        <w:jc w:val="both"/>
        <w:ind w:right="20" w:firstLine="799"/>
        <w:spacing w:after="0" w:line="262" w:lineRule="auto"/>
        <w:rPr>
          <w:sz w:val="20"/>
          <w:szCs w:val="20"/>
          <w:color w:val="auto"/>
        </w:rPr>
      </w:pPr>
      <w:r>
        <w:rPr>
          <w:rFonts w:ascii="Arial" w:cs="Arial" w:eastAsia="Arial" w:hAnsi="Arial"/>
          <w:sz w:val="19"/>
          <w:szCs w:val="19"/>
          <w:color w:val="auto"/>
        </w:rPr>
        <w:t>(g)“</w:t>
      </w:r>
      <w:r>
        <w:rPr>
          <w:rFonts w:ascii="Arial" w:cs="Arial" w:eastAsia="Arial" w:hAnsi="Arial"/>
          <w:sz w:val="19"/>
          <w:szCs w:val="19"/>
          <w:b w:val="1"/>
          <w:bCs w:val="1"/>
          <w:color w:val="auto"/>
        </w:rPr>
        <w:t>Code</w:t>
      </w:r>
      <w:r>
        <w:rPr>
          <w:rFonts w:ascii="Arial" w:cs="Arial" w:eastAsia="Arial" w:hAnsi="Arial"/>
          <w:sz w:val="19"/>
          <w:szCs w:val="19"/>
          <w:color w:val="auto"/>
        </w:rPr>
        <w:t>” shall mean the Internal Revenue Code of 1986, as amended, as interpreted by rules and regulations issued pursuant thereto, including any successor provisions thereto.</w:t>
      </w:r>
    </w:p>
    <w:p>
      <w:pPr>
        <w:spacing w:after="0" w:line="135" w:lineRule="exact"/>
        <w:rPr>
          <w:sz w:val="20"/>
          <w:szCs w:val="20"/>
          <w:color w:val="auto"/>
        </w:rPr>
      </w:pPr>
    </w:p>
    <w:p>
      <w:pPr>
        <w:jc w:val="both"/>
        <w:ind w:right="20" w:firstLine="799"/>
        <w:spacing w:after="0" w:line="247" w:lineRule="auto"/>
        <w:rPr>
          <w:sz w:val="20"/>
          <w:szCs w:val="20"/>
          <w:color w:val="auto"/>
        </w:rPr>
      </w:pPr>
      <w:r>
        <w:rPr>
          <w:rFonts w:ascii="Arial" w:cs="Arial" w:eastAsia="Arial" w:hAnsi="Arial"/>
          <w:sz w:val="19"/>
          <w:szCs w:val="19"/>
          <w:color w:val="auto"/>
        </w:rPr>
        <w:t>(h)“</w:t>
      </w:r>
      <w:r>
        <w:rPr>
          <w:rFonts w:ascii="Arial" w:cs="Arial" w:eastAsia="Arial" w:hAnsi="Arial"/>
          <w:sz w:val="19"/>
          <w:szCs w:val="19"/>
          <w:b w:val="1"/>
          <w:bCs w:val="1"/>
          <w:color w:val="auto"/>
        </w:rPr>
        <w:t>Competing Product</w:t>
      </w:r>
      <w:r>
        <w:rPr>
          <w:rFonts w:ascii="Arial" w:cs="Arial" w:eastAsia="Arial" w:hAnsi="Arial"/>
          <w:sz w:val="19"/>
          <w:szCs w:val="19"/>
          <w:color w:val="auto"/>
        </w:rPr>
        <w:t>” means any product or service which is sold or provided in competition with a product or service: (A) that Executive sold or provided on behalf of Orion at some time during the twelve (12) months immediately preceding the Termination Date; (B) that one or more Orion executives or business units managed,</w:t>
      </w:r>
    </w:p>
    <w:p>
      <w:pPr>
        <w:spacing w:after="0" w:line="155"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149860</wp:posOffset>
            </wp:positionV>
            <wp:extent cx="716470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0" w:right="319" w:bottom="1440" w:gutter="0" w:footer="0" w:header="0"/>
        </w:sectPr>
      </w:pPr>
    </w:p>
    <w:bookmarkStart w:id="133" w:name="page134"/>
    <w:bookmarkEnd w:id="133"/>
    <w:p>
      <w:pPr>
        <w:jc w:val="both"/>
        <w:spacing w:after="0" w:line="253" w:lineRule="auto"/>
        <w:rPr>
          <w:sz w:val="20"/>
          <w:szCs w:val="20"/>
          <w:color w:val="auto"/>
        </w:rPr>
      </w:pPr>
      <w:r>
        <w:rPr>
          <w:rFonts w:ascii="Arial" w:cs="Arial" w:eastAsia="Arial" w:hAnsi="Arial"/>
          <w:sz w:val="18"/>
          <w:szCs w:val="18"/>
          <w:color w:val="auto"/>
        </w:rPr>
        <w:t>supervised or directed by Executive, sold or provided on behalf of Orion at some time during the twelve (12) months immediately preceding the Termination Date; (C) that was designed, developed, tested, distributed, marketed, provided or produced by Executive (individually or in collaboration with other Orion executives) or one or more Orion executives or business units managed, supervised or directed by Executive at some time during the twelve (12) months immediately preceding the Termination Date; or (D) that was designed, tested, developed, distributed, marketed, produced, sold or provided by Orion with management or executive support from Executive at some time during the twelve (12) months immediately preceding the Termination Date.</w:t>
      </w:r>
    </w:p>
    <w:p>
      <w:pPr>
        <w:spacing w:after="0" w:line="144" w:lineRule="exact"/>
        <w:rPr>
          <w:sz w:val="20"/>
          <w:szCs w:val="20"/>
          <w:color w:val="auto"/>
        </w:rPr>
      </w:pPr>
    </w:p>
    <w:p>
      <w:pPr>
        <w:jc w:val="both"/>
        <w:ind w:right="20" w:firstLine="799"/>
        <w:spacing w:after="0" w:line="242" w:lineRule="auto"/>
        <w:rPr>
          <w:sz w:val="20"/>
          <w:szCs w:val="20"/>
          <w:color w:val="auto"/>
        </w:rPr>
      </w:pPr>
      <w:r>
        <w:rPr>
          <w:rFonts w:ascii="Arial" w:cs="Arial" w:eastAsia="Arial" w:hAnsi="Arial"/>
          <w:sz w:val="19"/>
          <w:szCs w:val="19"/>
          <w:color w:val="auto"/>
        </w:rPr>
        <w:t>(i)“</w:t>
      </w:r>
      <w:r>
        <w:rPr>
          <w:rFonts w:ascii="Arial" w:cs="Arial" w:eastAsia="Arial" w:hAnsi="Arial"/>
          <w:sz w:val="19"/>
          <w:szCs w:val="19"/>
          <w:b w:val="1"/>
          <w:bCs w:val="1"/>
          <w:color w:val="auto"/>
        </w:rPr>
        <w:t>Disability</w:t>
      </w:r>
      <w:r>
        <w:rPr>
          <w:rFonts w:ascii="Arial" w:cs="Arial" w:eastAsia="Arial" w:hAnsi="Arial"/>
          <w:sz w:val="19"/>
          <w:szCs w:val="19"/>
          <w:color w:val="auto"/>
        </w:rPr>
        <w:t>” shall mean a total and permanent mental or physical disability precluding Executive from performing the material and substantial duties of his employment for 180 days during any twelve (12)-month period. For purposes of this Agreement, the Executive shall be deemed totally and permanently disabled at the end of such 180th day and which makes Executive eligible to receive benefits under Orion’s long-term disability plan.</w:t>
      </w:r>
    </w:p>
    <w:p>
      <w:pPr>
        <w:spacing w:after="0" w:line="154" w:lineRule="exact"/>
        <w:rPr>
          <w:sz w:val="20"/>
          <w:szCs w:val="20"/>
          <w:color w:val="auto"/>
        </w:rPr>
      </w:pPr>
    </w:p>
    <w:p>
      <w:pPr>
        <w:jc w:val="both"/>
        <w:ind w:firstLine="799"/>
        <w:spacing w:after="0" w:line="260" w:lineRule="auto"/>
        <w:rPr>
          <w:sz w:val="20"/>
          <w:szCs w:val="20"/>
          <w:color w:val="auto"/>
        </w:rPr>
      </w:pPr>
      <w:r>
        <w:rPr>
          <w:rFonts w:ascii="Arial" w:cs="Arial" w:eastAsia="Arial" w:hAnsi="Arial"/>
          <w:sz w:val="18"/>
          <w:szCs w:val="18"/>
          <w:color w:val="auto"/>
        </w:rPr>
        <w:t>(j)“</w:t>
      </w:r>
      <w:r>
        <w:rPr>
          <w:rFonts w:ascii="Arial" w:cs="Arial" w:eastAsia="Arial" w:hAnsi="Arial"/>
          <w:sz w:val="18"/>
          <w:szCs w:val="18"/>
          <w:b w:val="1"/>
          <w:bCs w:val="1"/>
          <w:color w:val="auto"/>
        </w:rPr>
        <w:t>Good Reason</w:t>
      </w:r>
      <w:r>
        <w:rPr>
          <w:rFonts w:ascii="Arial" w:cs="Arial" w:eastAsia="Arial" w:hAnsi="Arial"/>
          <w:sz w:val="18"/>
          <w:szCs w:val="18"/>
          <w:color w:val="auto"/>
        </w:rPr>
        <w:t>” shall mean the occurrence of any of the following without the consent of Executive: (i) a material diminution in the Executive’s Base Salary; (ii) a material change in the geographic location at which the Executive must perform services; (iii) a material diminution in the Executive’s duties, authority or responsibilities; or (iv) a material breach by Orion of any provisions of this Agreement or any equity award agreement with Orion to which the Executive is a party.</w:t>
      </w:r>
    </w:p>
    <w:p>
      <w:pPr>
        <w:spacing w:after="0" w:line="138" w:lineRule="exact"/>
        <w:rPr>
          <w:sz w:val="20"/>
          <w:szCs w:val="20"/>
          <w:color w:val="auto"/>
        </w:rPr>
      </w:pPr>
    </w:p>
    <w:p>
      <w:pPr>
        <w:jc w:val="both"/>
        <w:ind w:firstLine="799"/>
        <w:spacing w:after="0" w:line="260" w:lineRule="auto"/>
        <w:rPr>
          <w:sz w:val="20"/>
          <w:szCs w:val="20"/>
          <w:color w:val="auto"/>
        </w:rPr>
      </w:pPr>
      <w:r>
        <w:rPr>
          <w:rFonts w:ascii="Arial" w:cs="Arial" w:eastAsia="Arial" w:hAnsi="Arial"/>
          <w:sz w:val="18"/>
          <w:szCs w:val="18"/>
          <w:color w:val="auto"/>
        </w:rPr>
        <w:t>(k)“</w:t>
      </w:r>
      <w:r>
        <w:rPr>
          <w:rFonts w:ascii="Arial" w:cs="Arial" w:eastAsia="Arial" w:hAnsi="Arial"/>
          <w:sz w:val="18"/>
          <w:szCs w:val="18"/>
          <w:b w:val="1"/>
          <w:bCs w:val="1"/>
          <w:color w:val="auto"/>
        </w:rPr>
        <w:t>Key Employee</w:t>
      </w:r>
      <w:r>
        <w:rPr>
          <w:rFonts w:ascii="Arial" w:cs="Arial" w:eastAsia="Arial" w:hAnsi="Arial"/>
          <w:sz w:val="18"/>
          <w:szCs w:val="18"/>
          <w:color w:val="auto"/>
        </w:rPr>
        <w:t>” means any person who at the Termination Date is employed or engaged by Orion and with whom Executive has had material contact in the course of employment during the twelve (12) months immediately preceding the Termination Date, and (i) is a manager, officer or director of Orion; (ii) is in possession of Confidential Information and/or Trade Secrets of Orion; and/or (iii) is directly managed by or reports to Executive as of, or at any time prior to, the Termination Date.</w:t>
      </w:r>
    </w:p>
    <w:p>
      <w:pPr>
        <w:spacing w:after="0" w:line="138" w:lineRule="exact"/>
        <w:rPr>
          <w:sz w:val="20"/>
          <w:szCs w:val="20"/>
          <w:color w:val="auto"/>
        </w:rPr>
      </w:pPr>
    </w:p>
    <w:p>
      <w:pPr>
        <w:jc w:val="both"/>
        <w:ind w:firstLine="799"/>
        <w:spacing w:after="0" w:line="247" w:lineRule="auto"/>
        <w:rPr>
          <w:sz w:val="20"/>
          <w:szCs w:val="20"/>
          <w:color w:val="auto"/>
        </w:rPr>
      </w:pPr>
      <w:r>
        <w:rPr>
          <w:rFonts w:ascii="Arial" w:cs="Arial" w:eastAsia="Arial" w:hAnsi="Arial"/>
          <w:sz w:val="19"/>
          <w:szCs w:val="19"/>
          <w:color w:val="auto"/>
        </w:rPr>
        <w:t>(l)“</w:t>
      </w:r>
      <w:r>
        <w:rPr>
          <w:rFonts w:ascii="Arial" w:cs="Arial" w:eastAsia="Arial" w:hAnsi="Arial"/>
          <w:sz w:val="19"/>
          <w:szCs w:val="19"/>
          <w:b w:val="1"/>
          <w:bCs w:val="1"/>
          <w:color w:val="auto"/>
        </w:rPr>
        <w:t>Restricted Customer</w:t>
      </w:r>
      <w:r>
        <w:rPr>
          <w:rFonts w:ascii="Arial" w:cs="Arial" w:eastAsia="Arial" w:hAnsi="Arial"/>
          <w:sz w:val="19"/>
          <w:szCs w:val="19"/>
          <w:color w:val="auto"/>
        </w:rPr>
        <w:t>” means a customer of Orion to which Executive, or one or more individuals or Orion business units supervised, managed, or directed by Executive, sold or provided products or services on behalf of Orion during the twelve (12)-month period immediately preceding the Termination Date.</w:t>
      </w:r>
    </w:p>
    <w:p>
      <w:pPr>
        <w:spacing w:after="0" w:line="149" w:lineRule="exact"/>
        <w:rPr>
          <w:sz w:val="20"/>
          <w:szCs w:val="20"/>
          <w:color w:val="auto"/>
        </w:rPr>
      </w:pPr>
    </w:p>
    <w:p>
      <w:pPr>
        <w:jc w:val="both"/>
        <w:ind w:firstLine="799"/>
        <w:spacing w:after="0" w:line="237" w:lineRule="auto"/>
        <w:rPr>
          <w:sz w:val="20"/>
          <w:szCs w:val="20"/>
          <w:color w:val="auto"/>
        </w:rPr>
      </w:pPr>
      <w:r>
        <w:rPr>
          <w:rFonts w:ascii="Arial" w:cs="Arial" w:eastAsia="Arial" w:hAnsi="Arial"/>
          <w:sz w:val="19"/>
          <w:szCs w:val="19"/>
          <w:color w:val="auto"/>
        </w:rPr>
        <w:t>(m)“</w:t>
      </w:r>
      <w:r>
        <w:rPr>
          <w:rFonts w:ascii="Arial" w:cs="Arial" w:eastAsia="Arial" w:hAnsi="Arial"/>
          <w:sz w:val="19"/>
          <w:szCs w:val="19"/>
          <w:b w:val="1"/>
          <w:bCs w:val="1"/>
          <w:color w:val="auto"/>
        </w:rPr>
        <w:t>Restricted Territory</w:t>
      </w:r>
      <w:r>
        <w:rPr>
          <w:rFonts w:ascii="Arial" w:cs="Arial" w:eastAsia="Arial" w:hAnsi="Arial"/>
          <w:sz w:val="19"/>
          <w:szCs w:val="19"/>
          <w:color w:val="auto"/>
        </w:rPr>
        <w:t>” means: (A) Territories (as the term “Territory” is defined below) in which Executive or one or more Orion employees or business units managed or directed by Executive provided products or services on behalf of Orion during the twelve (12)-month period immediately preceding the Termination Date; (B) Territories in which one or more Orion employees or business units managed or directed by Executive sold or solicited the sale of products or services on behalf of Orion during the twelve (12)-month period immediately preceding the Termination Date; (C) Territories in which Executive or one or more Orion employees or business units managed or directed by Executive or receiving management or executive support from Executive provided, sold or solicited the sale of products or services on behalf of Orion during the twelve (12)-month period immediately preceding the Termination Date; or (D) Territories in which Orion sold</w:t>
      </w:r>
    </w:p>
    <w:p>
      <w:pPr>
        <w:spacing w:after="0" w:line="162"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149860</wp:posOffset>
            </wp:positionV>
            <wp:extent cx="716470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0" w:right="319" w:bottom="1440" w:gutter="0" w:footer="0" w:header="0"/>
        </w:sectPr>
      </w:pPr>
    </w:p>
    <w:bookmarkStart w:id="134" w:name="page135"/>
    <w:bookmarkEnd w:id="134"/>
    <w:p>
      <w:pPr>
        <w:jc w:val="both"/>
        <w:spacing w:after="0" w:line="217" w:lineRule="exact"/>
        <w:rPr>
          <w:sz w:val="20"/>
          <w:szCs w:val="20"/>
          <w:color w:val="auto"/>
        </w:rPr>
      </w:pPr>
      <w:r>
        <w:rPr>
          <w:rFonts w:ascii="Arial" w:cs="Arial" w:eastAsia="Arial" w:hAnsi="Arial"/>
          <w:sz w:val="17"/>
          <w:szCs w:val="17"/>
          <w:color w:val="auto"/>
        </w:rPr>
        <w:t>or provided products or services designed, developed, tested, or produced by Executive (either individually or in collaboration with other Orion employees) or by Orion employees or business units working under Executive’s direction, management or control during the twelve (12)-month period immediately preceding the Termination Date. Notwithstanding the foregoing, the term Restricted Territory is limited to Territories in which Orion sold or provided in excess of one hundred thousand dollars (US $100,000) in the aggregate worth of products or services in the twelve (12)</w:t>
      </w:r>
      <w:r>
        <w:rPr>
          <w:rFonts w:ascii="MS PGothic" w:cs="MS PGothic" w:eastAsia="MS PGothic" w:hAnsi="MS PGothic"/>
          <w:sz w:val="17"/>
          <w:szCs w:val="17"/>
          <w:color w:val="auto"/>
        </w:rPr>
        <w:t>‑</w:t>
      </w:r>
      <w:r>
        <w:rPr>
          <w:rFonts w:ascii="Arial" w:cs="Arial" w:eastAsia="Arial" w:hAnsi="Arial"/>
          <w:sz w:val="17"/>
          <w:szCs w:val="17"/>
          <w:color w:val="auto"/>
        </w:rPr>
        <w:t>month period immediately preceding the Termination Date.</w:t>
      </w:r>
    </w:p>
    <w:p>
      <w:pPr>
        <w:spacing w:after="0" w:line="158" w:lineRule="exact"/>
        <w:rPr>
          <w:sz w:val="20"/>
          <w:szCs w:val="20"/>
          <w:color w:val="auto"/>
        </w:rPr>
      </w:pPr>
    </w:p>
    <w:p>
      <w:pPr>
        <w:jc w:val="both"/>
        <w:ind w:firstLine="799"/>
        <w:spacing w:after="0"/>
        <w:rPr>
          <w:sz w:val="20"/>
          <w:szCs w:val="20"/>
          <w:color w:val="auto"/>
        </w:rPr>
      </w:pPr>
      <w:r>
        <w:rPr>
          <w:rFonts w:ascii="Arial" w:cs="Arial" w:eastAsia="Arial" w:hAnsi="Arial"/>
          <w:sz w:val="19"/>
          <w:szCs w:val="19"/>
          <w:color w:val="auto"/>
        </w:rPr>
        <w:t>(i)“</w:t>
      </w:r>
      <w:r>
        <w:rPr>
          <w:rFonts w:ascii="Arial" w:cs="Arial" w:eastAsia="Arial" w:hAnsi="Arial"/>
          <w:sz w:val="19"/>
          <w:szCs w:val="19"/>
          <w:b w:val="1"/>
          <w:bCs w:val="1"/>
          <w:color w:val="auto"/>
        </w:rPr>
        <w:t>Separation from Service</w:t>
      </w:r>
      <w:r>
        <w:rPr>
          <w:rFonts w:ascii="Arial" w:cs="Arial" w:eastAsia="Arial" w:hAnsi="Arial"/>
          <w:sz w:val="19"/>
          <w:szCs w:val="19"/>
          <w:color w:val="auto"/>
        </w:rPr>
        <w:t xml:space="preserve">” shall have the meaning set forth in Code Section 409A and the related Treasury Regulations; </w:t>
      </w:r>
      <w:r>
        <w:rPr>
          <w:rFonts w:ascii="Arial" w:cs="Arial" w:eastAsia="Arial" w:hAnsi="Arial"/>
          <w:sz w:val="19"/>
          <w:szCs w:val="19"/>
          <w:i w:val="1"/>
          <w:iCs w:val="1"/>
          <w:color w:val="auto"/>
        </w:rPr>
        <w:t>provided</w:t>
      </w:r>
      <w:r>
        <w:rPr>
          <w:rFonts w:ascii="Arial" w:cs="Arial" w:eastAsia="Arial" w:hAnsi="Arial"/>
          <w:sz w:val="19"/>
          <w:szCs w:val="19"/>
          <w:color w:val="auto"/>
        </w:rPr>
        <w:t>, that for this purpose, a “separation from service” is deemed to occur on the date that Orion and Executive reasonably anticipate</w:t>
      </w:r>
      <w:r>
        <w:rPr>
          <w:rFonts w:ascii="Arial" w:cs="Arial" w:eastAsia="Arial" w:hAnsi="Arial"/>
          <w:sz w:val="19"/>
          <w:szCs w:val="19"/>
          <w:i w:val="1"/>
          <w:iCs w:val="1"/>
          <w:color w:val="auto"/>
        </w:rPr>
        <w:t xml:space="preserve"> </w:t>
      </w:r>
      <w:r>
        <w:rPr>
          <w:rFonts w:ascii="Arial" w:cs="Arial" w:eastAsia="Arial" w:hAnsi="Arial"/>
          <w:sz w:val="19"/>
          <w:szCs w:val="19"/>
          <w:color w:val="auto"/>
        </w:rPr>
        <w:t>that the level of bona fide services Executive would perform after that date (whether as an employee or independent contractor) would permanently decrease to no more than 50% of the average level of bona fide services provided in the immediately preceding thirty-six (36) months.</w:t>
      </w:r>
    </w:p>
    <w:p>
      <w:pPr>
        <w:spacing w:after="0" w:line="155"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Services</w:t>
      </w:r>
      <w:r>
        <w:rPr>
          <w:rFonts w:ascii="Arial" w:cs="Arial" w:eastAsia="Arial" w:hAnsi="Arial"/>
          <w:sz w:val="18"/>
          <w:szCs w:val="18"/>
          <w:color w:val="auto"/>
        </w:rPr>
        <w:t>” means sales, financial, supervisory, management, engineering, scientific, or other services of the type performed for Orion by Executive or one or more Orion executives managed, supervised or directed by Executive during the final twenty-four (24) months preceding the Termination Date, but shall not include clerical, menial or manual labor.</w:t>
      </w:r>
    </w:p>
    <w:p>
      <w:pPr>
        <w:spacing w:after="0" w:line="130" w:lineRule="exact"/>
        <w:rPr>
          <w:sz w:val="20"/>
          <w:szCs w:val="20"/>
          <w:color w:val="auto"/>
        </w:rPr>
      </w:pPr>
    </w:p>
    <w:p>
      <w:pPr>
        <w:jc w:val="both"/>
        <w:ind w:firstLine="799"/>
        <w:spacing w:after="0" w:line="237" w:lineRule="auto"/>
        <w:rPr>
          <w:sz w:val="20"/>
          <w:szCs w:val="20"/>
          <w:color w:val="auto"/>
        </w:rPr>
      </w:pPr>
      <w:r>
        <w:rPr>
          <w:rFonts w:ascii="Arial" w:cs="Arial" w:eastAsia="Arial" w:hAnsi="Arial"/>
          <w:sz w:val="19"/>
          <w:szCs w:val="19"/>
          <w:color w:val="auto"/>
        </w:rPr>
        <w:t>(o)“</w:t>
      </w:r>
      <w:r>
        <w:rPr>
          <w:rFonts w:ascii="Arial" w:cs="Arial" w:eastAsia="Arial" w:hAnsi="Arial"/>
          <w:sz w:val="19"/>
          <w:szCs w:val="19"/>
          <w:b w:val="1"/>
          <w:bCs w:val="1"/>
          <w:color w:val="auto"/>
        </w:rPr>
        <w:t>Severance Payment</w:t>
      </w:r>
      <w:r>
        <w:rPr>
          <w:rFonts w:ascii="Arial" w:cs="Arial" w:eastAsia="Arial" w:hAnsi="Arial"/>
          <w:sz w:val="19"/>
          <w:szCs w:val="19"/>
          <w:color w:val="auto"/>
        </w:rPr>
        <w:t xml:space="preserve">” shall mean the Executive’s Base Salary at the time of the Termination Date plus the average of the annual bonuses earned by the Executive with respect to each of the three completed fiscal years of Orion preceding the fiscal year in which the Termination Date occurs (or such lesser number of fiscal years for which the Executive was employed by Orion, with any partial year’s bonus being annualized with respect to such fiscal year) multiplied by the severance multiplier set forth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Executive’s Termination Date occurs on or following a Change of Control, the multiplier described above shall be increased to the post-Change of Control severance multiplier set forth above and any reduction in Executive’s Base Salary since the date of the Change of Control shall be ignored.</w:t>
      </w:r>
    </w:p>
    <w:p>
      <w:pPr>
        <w:spacing w:after="0" w:line="160" w:lineRule="exact"/>
        <w:rPr>
          <w:sz w:val="20"/>
          <w:szCs w:val="20"/>
          <w:color w:val="auto"/>
        </w:rPr>
      </w:pPr>
    </w:p>
    <w:p>
      <w:pPr>
        <w:jc w:val="both"/>
        <w:ind w:firstLine="799"/>
        <w:spacing w:after="0" w:line="242" w:lineRule="auto"/>
        <w:rPr>
          <w:sz w:val="20"/>
          <w:szCs w:val="20"/>
          <w:color w:val="auto"/>
        </w:rPr>
      </w:pPr>
      <w:r>
        <w:rPr>
          <w:rFonts w:ascii="Arial" w:cs="Arial" w:eastAsia="Arial" w:hAnsi="Arial"/>
          <w:sz w:val="19"/>
          <w:szCs w:val="19"/>
          <w:color w:val="auto"/>
        </w:rPr>
        <w:t>(p)“</w:t>
      </w:r>
      <w:r>
        <w:rPr>
          <w:rFonts w:ascii="Arial" w:cs="Arial" w:eastAsia="Arial" w:hAnsi="Arial"/>
          <w:sz w:val="19"/>
          <w:szCs w:val="19"/>
          <w:b w:val="1"/>
          <w:bCs w:val="1"/>
          <w:color w:val="auto"/>
        </w:rPr>
        <w:t>Strategic Customer</w:t>
      </w:r>
      <w:r>
        <w:rPr>
          <w:rFonts w:ascii="Arial" w:cs="Arial" w:eastAsia="Arial" w:hAnsi="Arial"/>
          <w:sz w:val="19"/>
          <w:szCs w:val="19"/>
          <w:color w:val="auto"/>
        </w:rPr>
        <w:t>” means a customer of Orion that purchased a product or service from the Orion during the twelve (12)-month period immediately preceding the Termination Date, but is limited to individuals and entities concerning which Executive learned, created or reviewed Confidential Information or Trade Secrets on behalf of Orion during the twelve (12)-month period immediately preceding the Termination Date.</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(q)“</w:t>
      </w:r>
      <w:r>
        <w:rPr>
          <w:rFonts w:ascii="Arial" w:cs="Arial" w:eastAsia="Arial" w:hAnsi="Arial"/>
          <w:sz w:val="17"/>
          <w:szCs w:val="17"/>
          <w:b w:val="1"/>
          <w:bCs w:val="1"/>
          <w:color w:val="auto"/>
        </w:rPr>
        <w:t>Termination Date</w:t>
      </w:r>
      <w:r>
        <w:rPr>
          <w:rFonts w:ascii="Arial" w:cs="Arial" w:eastAsia="Arial" w:hAnsi="Arial"/>
          <w:sz w:val="17"/>
          <w:szCs w:val="17"/>
          <w:color w:val="auto"/>
        </w:rPr>
        <w:t>” shall mean the date of the Executive’s termination of employment from Orion, as further described in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Section 4.</w:t>
      </w:r>
    </w:p>
    <w:p>
      <w:pPr>
        <w:spacing w:after="0" w:line="160" w:lineRule="exact"/>
        <w:rPr>
          <w:sz w:val="20"/>
          <w:szCs w:val="20"/>
          <w:color w:val="auto"/>
        </w:rPr>
      </w:pPr>
    </w:p>
    <w:p>
      <w:pPr>
        <w:jc w:val="both"/>
        <w:ind w:firstLine="799"/>
        <w:spacing w:after="0" w:line="262" w:lineRule="auto"/>
        <w:rPr>
          <w:sz w:val="20"/>
          <w:szCs w:val="20"/>
          <w:color w:val="auto"/>
        </w:rPr>
      </w:pPr>
      <w:r>
        <w:rPr>
          <w:rFonts w:ascii="Arial" w:cs="Arial" w:eastAsia="Arial" w:hAnsi="Arial"/>
          <w:sz w:val="19"/>
          <w:szCs w:val="19"/>
          <w:color w:val="auto"/>
        </w:rPr>
        <w:t>(r)“</w:t>
      </w:r>
      <w:r>
        <w:rPr>
          <w:rFonts w:ascii="Arial" w:cs="Arial" w:eastAsia="Arial" w:hAnsi="Arial"/>
          <w:sz w:val="19"/>
          <w:szCs w:val="19"/>
          <w:b w:val="1"/>
          <w:bCs w:val="1"/>
          <w:color w:val="auto"/>
        </w:rPr>
        <w:t>Territory</w:t>
      </w:r>
      <w:r>
        <w:rPr>
          <w:rFonts w:ascii="Arial" w:cs="Arial" w:eastAsia="Arial" w:hAnsi="Arial"/>
          <w:sz w:val="19"/>
          <w:szCs w:val="19"/>
          <w:color w:val="auto"/>
        </w:rPr>
        <w:t>” means a state within the United States, the District of Columbia, a territory of the United States, and/or a foreign nation.</w:t>
      </w:r>
    </w:p>
    <w:p>
      <w:pPr>
        <w:spacing w:after="0" w:line="141"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149860</wp:posOffset>
            </wp:positionV>
            <wp:extent cx="716470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0" w:right="319" w:bottom="1440" w:gutter="0" w:footer="0" w:header="0"/>
        </w:sectPr>
      </w:pPr>
    </w:p>
    <w:bookmarkStart w:id="135" w:name="page136"/>
    <w:bookmarkEnd w:id="135"/>
    <w:p>
      <w:pPr>
        <w:ind w:firstLine="799"/>
        <w:spacing w:after="0" w:line="262" w:lineRule="auto"/>
        <w:rPr>
          <w:sz w:val="20"/>
          <w:szCs w:val="20"/>
          <w:color w:val="auto"/>
        </w:rPr>
      </w:pPr>
      <w:r>
        <w:rPr>
          <w:rFonts w:ascii="Arial" w:cs="Arial" w:eastAsia="Arial" w:hAnsi="Arial"/>
          <w:sz w:val="19"/>
          <w:szCs w:val="19"/>
          <w:color w:val="auto"/>
        </w:rPr>
        <w:t>(s)“</w:t>
      </w:r>
      <w:r>
        <w:rPr>
          <w:rFonts w:ascii="Arial" w:cs="Arial" w:eastAsia="Arial" w:hAnsi="Arial"/>
          <w:sz w:val="19"/>
          <w:szCs w:val="19"/>
          <w:b w:val="1"/>
          <w:bCs w:val="1"/>
          <w:color w:val="auto"/>
        </w:rPr>
        <w:t>Third Party Confidential Information</w:t>
      </w:r>
      <w:r>
        <w:rPr>
          <w:rFonts w:ascii="Arial" w:cs="Arial" w:eastAsia="Arial" w:hAnsi="Arial"/>
          <w:sz w:val="19"/>
          <w:szCs w:val="19"/>
          <w:color w:val="auto"/>
        </w:rPr>
        <w:t>” means information received by Orion from others that Orion has an obligation to treat as confidential.</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Trade Secret</w:t>
      </w:r>
      <w:r>
        <w:rPr>
          <w:rFonts w:ascii="Arial" w:cs="Arial" w:eastAsia="Arial" w:hAnsi="Arial"/>
          <w:sz w:val="18"/>
          <w:szCs w:val="18"/>
          <w:color w:val="auto"/>
        </w:rPr>
        <w:t>” means a Trade Secret as that term is defined under Wis. Stat. § 134.90, or its successor provision.</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3.</w:t>
      </w:r>
      <w:r>
        <w:rPr>
          <w:rFonts w:ascii="Arial" w:cs="Arial" w:eastAsia="Arial" w:hAnsi="Arial"/>
          <w:sz w:val="19"/>
          <w:szCs w:val="19"/>
          <w:b w:val="1"/>
          <w:bCs w:val="1"/>
          <w:u w:val="single" w:color="auto"/>
          <w:color w:val="auto"/>
        </w:rPr>
        <w:t>Employment of Executive</w:t>
      </w:r>
      <w:r>
        <w:rPr>
          <w:rFonts w:ascii="Arial" w:cs="Arial" w:eastAsia="Arial" w:hAnsi="Arial"/>
          <w:sz w:val="19"/>
          <w:szCs w:val="19"/>
          <w:color w:val="auto"/>
        </w:rPr>
        <w:t>.</w:t>
      </w:r>
    </w:p>
    <w:p>
      <w:pPr>
        <w:spacing w:after="0" w:line="18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(a)</w:t>
      </w:r>
      <w:r>
        <w:rPr>
          <w:rFonts w:ascii="Arial" w:cs="Arial" w:eastAsia="Arial" w:hAnsi="Arial"/>
          <w:sz w:val="19"/>
          <w:szCs w:val="19"/>
          <w:b w:val="1"/>
          <w:bCs w:val="1"/>
          <w:color w:val="auto"/>
        </w:rPr>
        <w:t>Position</w:t>
      </w:r>
      <w:r>
        <w:rPr>
          <w:rFonts w:ascii="Arial" w:cs="Arial" w:eastAsia="Arial" w:hAnsi="Arial"/>
          <w:sz w:val="19"/>
          <w:szCs w:val="19"/>
          <w:color w:val="auto"/>
        </w:rPr>
        <w:t>.</w:t>
      </w:r>
    </w:p>
    <w:p>
      <w:pPr>
        <w:spacing w:after="0" w:line="188" w:lineRule="exact"/>
        <w:rPr>
          <w:sz w:val="20"/>
          <w:szCs w:val="20"/>
          <w:color w:val="auto"/>
        </w:rPr>
      </w:pPr>
    </w:p>
    <w:p>
      <w:pPr>
        <w:jc w:val="both"/>
        <w:ind w:left="860" w:right="20" w:firstLine="732"/>
        <w:spacing w:after="0" w:line="255" w:lineRule="auto"/>
        <w:rPr>
          <w:sz w:val="20"/>
          <w:szCs w:val="20"/>
          <w:color w:val="auto"/>
        </w:rPr>
      </w:pPr>
      <w:r>
        <w:rPr>
          <w:rFonts w:ascii="Arial" w:cs="Arial" w:eastAsia="Arial" w:hAnsi="Arial"/>
          <w:sz w:val="19"/>
          <w:szCs w:val="19"/>
          <w:color w:val="auto"/>
        </w:rPr>
        <w:t>(i)Executive shall serve in a full-time capacity in the position set forth above or in any other position and/or with such other duties as determined from time to time, or at any time, by Orion.</w:t>
      </w:r>
    </w:p>
    <w:p>
      <w:pPr>
        <w:spacing w:after="0" w:line="148" w:lineRule="exact"/>
        <w:rPr>
          <w:sz w:val="20"/>
          <w:szCs w:val="20"/>
          <w:color w:val="auto"/>
        </w:rPr>
      </w:pPr>
    </w:p>
    <w:p>
      <w:pPr>
        <w:jc w:val="both"/>
        <w:ind w:left="860" w:firstLine="732"/>
        <w:spacing w:after="0" w:line="251" w:lineRule="auto"/>
        <w:rPr>
          <w:sz w:val="20"/>
          <w:szCs w:val="20"/>
          <w:color w:val="auto"/>
        </w:rPr>
      </w:pPr>
      <w:r>
        <w:rPr>
          <w:rFonts w:ascii="Arial" w:cs="Arial" w:eastAsia="Arial" w:hAnsi="Arial"/>
          <w:sz w:val="18"/>
          <w:szCs w:val="18"/>
          <w:color w:val="auto"/>
        </w:rPr>
        <w:t xml:space="preserve">(ii)Executive will devote Executive’s full business time and best efforts to the performance of Executive’s duties hereunder and will not engage in any other business, profession or occupation for compensation or otherwise which would conflict or interfere with the rendition of such services either directly or indirectly, without the prior written consent of Orion;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nothing herein shall preclude Executive, subject to the prior approval of Orion, from accepting appointment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continuing to serve on any board of directors or trustees of any business organization or any charitable organization;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in each case, and in the aggregate, that such activities do not materially conflict or interfere with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duties hereunder or conflict with Section 7.</w:t>
      </w:r>
    </w:p>
    <w:p>
      <w:pPr>
        <w:spacing w:after="0" w:line="149" w:lineRule="exact"/>
        <w:rPr>
          <w:sz w:val="20"/>
          <w:szCs w:val="20"/>
          <w:color w:val="auto"/>
        </w:rPr>
      </w:pPr>
    </w:p>
    <w:p>
      <w:pPr>
        <w:jc w:val="both"/>
        <w:ind w:right="20" w:firstLine="799"/>
        <w:spacing w:after="0" w:line="247" w:lineRule="auto"/>
        <w:rPr>
          <w:sz w:val="20"/>
          <w:szCs w:val="20"/>
          <w:color w:val="auto"/>
        </w:rPr>
      </w:pPr>
      <w:r>
        <w:rPr>
          <w:rFonts w:ascii="Arial" w:cs="Arial" w:eastAsia="Arial" w:hAnsi="Arial"/>
          <w:sz w:val="19"/>
          <w:szCs w:val="19"/>
          <w:color w:val="auto"/>
        </w:rPr>
        <w:t>(b)</w:t>
      </w:r>
      <w:r>
        <w:rPr>
          <w:rFonts w:ascii="Arial" w:cs="Arial" w:eastAsia="Arial" w:hAnsi="Arial"/>
          <w:sz w:val="19"/>
          <w:szCs w:val="19"/>
          <w:b w:val="1"/>
          <w:bCs w:val="1"/>
          <w:color w:val="auto"/>
        </w:rPr>
        <w:t>Base Salary</w:t>
      </w:r>
      <w:r>
        <w:rPr>
          <w:rFonts w:ascii="Arial" w:cs="Arial" w:eastAsia="Arial" w:hAnsi="Arial"/>
          <w:sz w:val="19"/>
          <w:szCs w:val="19"/>
          <w:color w:val="auto"/>
        </w:rPr>
        <w:t>. Orion shall pay Executive a Base Salary at the annual rate set forth above, payable in regular installments in accordance with Orion’s usual payroll practices. Executive shall be entitled to such increases in Executive’s Base Salary, if any, as may be determined from time to time by Orion.</w:t>
      </w:r>
    </w:p>
    <w:p>
      <w:pPr>
        <w:spacing w:after="0" w:line="149" w:lineRule="exact"/>
        <w:rPr>
          <w:sz w:val="20"/>
          <w:szCs w:val="20"/>
          <w:color w:val="auto"/>
        </w:rPr>
      </w:pPr>
    </w:p>
    <w:p>
      <w:pPr>
        <w:jc w:val="both"/>
        <w:ind w:firstLine="799"/>
        <w:spacing w:after="0"/>
        <w:rPr>
          <w:sz w:val="20"/>
          <w:szCs w:val="20"/>
          <w:color w:val="auto"/>
        </w:rPr>
      </w:pPr>
      <w:r>
        <w:rPr>
          <w:rFonts w:ascii="Arial" w:cs="Arial" w:eastAsia="Arial" w:hAnsi="Arial"/>
          <w:sz w:val="19"/>
          <w:szCs w:val="19"/>
          <w:color w:val="auto"/>
        </w:rPr>
        <w:t>(c)</w:t>
      </w:r>
      <w:r>
        <w:rPr>
          <w:rFonts w:ascii="Arial" w:cs="Arial" w:eastAsia="Arial" w:hAnsi="Arial"/>
          <w:sz w:val="19"/>
          <w:szCs w:val="19"/>
          <w:b w:val="1"/>
          <w:bCs w:val="1"/>
          <w:color w:val="auto"/>
        </w:rPr>
        <w:t>Cash Bonus Incentives</w:t>
      </w:r>
      <w:r>
        <w:rPr>
          <w:rFonts w:ascii="Arial" w:cs="Arial" w:eastAsia="Arial" w:hAnsi="Arial"/>
          <w:sz w:val="19"/>
          <w:szCs w:val="19"/>
          <w:color w:val="auto"/>
        </w:rPr>
        <w:t>. Executive shall be entitled to participate in such annual and/or long-term cash incentive compensation plans and programs of Orion as are generally provided to the senior executives of Orion, as determined by the Board in its discretion. Any cash bonuses payable to Executive will be paid at the time Orion normally pays such bonuses to its senior executives and will be subject to the terms and conditions of the applicable annual cash incentive compensation plans and programs, as determined by the Board in its discretion.</w:t>
      </w:r>
    </w:p>
    <w:p>
      <w:pPr>
        <w:spacing w:after="0" w:line="155" w:lineRule="exact"/>
        <w:rPr>
          <w:sz w:val="20"/>
          <w:szCs w:val="20"/>
          <w:color w:val="auto"/>
        </w:rPr>
      </w:pPr>
    </w:p>
    <w:p>
      <w:pPr>
        <w:jc w:val="both"/>
        <w:ind w:right="20" w:firstLine="799"/>
        <w:spacing w:after="0" w:line="260" w:lineRule="auto"/>
        <w:rPr>
          <w:sz w:val="20"/>
          <w:szCs w:val="20"/>
          <w:color w:val="auto"/>
        </w:rPr>
      </w:pPr>
      <w:r>
        <w:rPr>
          <w:rFonts w:ascii="Arial" w:cs="Arial" w:eastAsia="Arial" w:hAnsi="Arial"/>
          <w:sz w:val="18"/>
          <w:szCs w:val="18"/>
          <w:color w:val="auto"/>
        </w:rPr>
        <w:t>(d)</w:t>
      </w:r>
      <w:r>
        <w:rPr>
          <w:rFonts w:ascii="Arial" w:cs="Arial" w:eastAsia="Arial" w:hAnsi="Arial"/>
          <w:sz w:val="18"/>
          <w:szCs w:val="18"/>
          <w:b w:val="1"/>
          <w:bCs w:val="1"/>
          <w:color w:val="auto"/>
        </w:rPr>
        <w:t>Equity Compensation</w:t>
      </w:r>
      <w:r>
        <w:rPr>
          <w:rFonts w:ascii="Arial" w:cs="Arial" w:eastAsia="Arial" w:hAnsi="Arial"/>
          <w:sz w:val="18"/>
          <w:szCs w:val="18"/>
          <w:color w:val="auto"/>
        </w:rPr>
        <w:t>. Executive shall be eligible to receive equity compensation awards (which may consist of restricted stock, stock options or other types of equity awards), as determined by the Board in its discretion pursuant to Orion’s equity compensation plans and programs in effect from time to time. These awards shall be granted in the discretion of the Board, and shall include such terms and conditions, including performance objectives, as the Board deems appropriate.</w:t>
      </w:r>
    </w:p>
    <w:p>
      <w:pPr>
        <w:spacing w:after="0" w:line="138" w:lineRule="exact"/>
        <w:rPr>
          <w:sz w:val="20"/>
          <w:szCs w:val="20"/>
          <w:color w:val="auto"/>
        </w:rPr>
      </w:pPr>
    </w:p>
    <w:p>
      <w:pPr>
        <w:jc w:val="both"/>
        <w:ind w:right="20" w:firstLine="799"/>
        <w:spacing w:after="0" w:line="290" w:lineRule="auto"/>
        <w:rPr>
          <w:sz w:val="20"/>
          <w:szCs w:val="20"/>
          <w:color w:val="auto"/>
        </w:rPr>
      </w:pPr>
      <w:r>
        <w:rPr>
          <w:rFonts w:ascii="Arial" w:cs="Arial" w:eastAsia="Arial" w:hAnsi="Arial"/>
          <w:sz w:val="18"/>
          <w:szCs w:val="18"/>
          <w:color w:val="auto"/>
        </w:rPr>
        <w:t>(e)</w:t>
      </w:r>
      <w:r>
        <w:rPr>
          <w:rFonts w:ascii="Arial" w:cs="Arial" w:eastAsia="Arial" w:hAnsi="Arial"/>
          <w:sz w:val="18"/>
          <w:szCs w:val="18"/>
          <w:b w:val="1"/>
          <w:bCs w:val="1"/>
          <w:color w:val="auto"/>
        </w:rPr>
        <w:t>Employee Benefits</w:t>
      </w:r>
      <w:r>
        <w:rPr>
          <w:rFonts w:ascii="Arial" w:cs="Arial" w:eastAsia="Arial" w:hAnsi="Arial"/>
          <w:sz w:val="18"/>
          <w:szCs w:val="18"/>
          <w:color w:val="auto"/>
        </w:rPr>
        <w:t>. Executive shall be entitled to participate in Orion’s other employee benefit plans as in effect from time to time on the same basis as those benefits are generally made available to other senior executives of Orion.</w:t>
      </w:r>
    </w:p>
    <w:p>
      <w:pPr>
        <w:spacing w:after="0" w:line="118"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149860</wp:posOffset>
            </wp:positionV>
            <wp:extent cx="716470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14" w:right="319" w:bottom="1440" w:gutter="0" w:footer="0" w:header="0"/>
        </w:sectPr>
      </w:pPr>
    </w:p>
    <w:bookmarkStart w:id="136" w:name="page137"/>
    <w:bookmarkEnd w:id="136"/>
    <w:p>
      <w:pPr>
        <w:jc w:val="both"/>
        <w:ind w:right="20" w:firstLine="799"/>
        <w:spacing w:after="0" w:line="260" w:lineRule="auto"/>
        <w:rPr>
          <w:sz w:val="20"/>
          <w:szCs w:val="20"/>
          <w:color w:val="auto"/>
        </w:rPr>
      </w:pPr>
      <w:r>
        <w:rPr>
          <w:rFonts w:ascii="Arial" w:cs="Arial" w:eastAsia="Arial" w:hAnsi="Arial"/>
          <w:sz w:val="18"/>
          <w:szCs w:val="18"/>
          <w:color w:val="auto"/>
        </w:rPr>
        <w:t>(f)</w:t>
      </w:r>
      <w:r>
        <w:rPr>
          <w:rFonts w:ascii="Arial" w:cs="Arial" w:eastAsia="Arial" w:hAnsi="Arial"/>
          <w:sz w:val="18"/>
          <w:szCs w:val="18"/>
          <w:b w:val="1"/>
          <w:bCs w:val="1"/>
          <w:color w:val="auto"/>
        </w:rPr>
        <w:t>Business Expenses</w:t>
      </w:r>
      <w:r>
        <w:rPr>
          <w:rFonts w:ascii="Arial" w:cs="Arial" w:eastAsia="Arial" w:hAnsi="Arial"/>
          <w:sz w:val="18"/>
          <w:szCs w:val="18"/>
          <w:color w:val="auto"/>
        </w:rPr>
        <w:t>. Executive shall have a right to be reimbursed for Executive’s reasonable and appropriate business expenses which Executive actually incurs in connection with the performance of Executive’s duties and responsibilities under this Agreement in accordance with Orion’s expense reimbursement policies and procedures for its senior executives, subject to Orion’s reasonable requirements with respect to reporting and documentation of such expenses.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(g)</w:t>
      </w:r>
      <w:r>
        <w:rPr>
          <w:rFonts w:ascii="Arial" w:cs="Arial" w:eastAsia="Arial" w:hAnsi="Arial"/>
          <w:sz w:val="19"/>
          <w:szCs w:val="19"/>
          <w:b w:val="1"/>
          <w:bCs w:val="1"/>
          <w:color w:val="auto"/>
        </w:rPr>
        <w:t>Other Perquisites.</w:t>
      </w:r>
      <w:r>
        <w:rPr>
          <w:rFonts w:ascii="Arial" w:cs="Arial" w:eastAsia="Arial" w:hAnsi="Arial"/>
          <w:sz w:val="19"/>
          <w:szCs w:val="19"/>
          <w:color w:val="auto"/>
        </w:rPr>
        <w:t xml:space="preserve"> Executive shall be entitled to receive the other benefits and perquisites set forth in Exhibit A.</w:t>
      </w:r>
    </w:p>
    <w:p>
      <w:pPr>
        <w:spacing w:after="0" w:line="188"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Any payments or benefits under this Section 3 shall be subject to payroll taxes and other withholdings in accordance with Orion’s standard payroll practices and applicable law.</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4.</w:t>
      </w:r>
      <w:r>
        <w:rPr>
          <w:rFonts w:ascii="Arial" w:cs="Arial" w:eastAsia="Arial" w:hAnsi="Arial"/>
          <w:sz w:val="19"/>
          <w:szCs w:val="19"/>
          <w:b w:val="1"/>
          <w:bCs w:val="1"/>
          <w:u w:val="single" w:color="auto"/>
          <w:color w:val="auto"/>
        </w:rPr>
        <w:t>Termination of Employment</w:t>
      </w:r>
      <w:r>
        <w:rPr>
          <w:rFonts w:ascii="Arial" w:cs="Arial" w:eastAsia="Arial" w:hAnsi="Arial"/>
          <w:sz w:val="19"/>
          <w:szCs w:val="19"/>
          <w:color w:val="auto"/>
        </w:rPr>
        <w:t>. A Termination Date shall occur as follows: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(a)Executive’s employment will terminate upon Executive’s death.</w:t>
      </w:r>
    </w:p>
    <w:p>
      <w:pPr>
        <w:spacing w:after="0" w:line="182" w:lineRule="exact"/>
        <w:rPr>
          <w:sz w:val="20"/>
          <w:szCs w:val="20"/>
          <w:color w:val="auto"/>
        </w:rPr>
      </w:pPr>
    </w:p>
    <w:p>
      <w:pPr>
        <w:jc w:val="both"/>
        <w:ind w:firstLine="799"/>
        <w:spacing w:after="0"/>
        <w:rPr>
          <w:sz w:val="20"/>
          <w:szCs w:val="20"/>
          <w:color w:val="auto"/>
        </w:rPr>
      </w:pPr>
      <w:r>
        <w:rPr>
          <w:rFonts w:ascii="Arial" w:cs="Arial" w:eastAsia="Arial" w:hAnsi="Arial"/>
          <w:sz w:val="19"/>
          <w:szCs w:val="19"/>
          <w:color w:val="auto"/>
        </w:rPr>
        <w:t>(b)If Executive suffers a Disability, and if within thirty (30) days after Orion notifies the Executive in writing that it intends to terminate Executive’s employment because of such Disability, Executive shall not have returned to the performance of Executive’s duties hereunder on a full-time basis, then Orion may terminate Executive’s employment, effective immediately following the end of such thirty (30)-day period.</w:t>
      </w:r>
    </w:p>
    <w:p>
      <w:pPr>
        <w:spacing w:after="0" w:line="161" w:lineRule="exact"/>
        <w:rPr>
          <w:sz w:val="20"/>
          <w:szCs w:val="20"/>
          <w:color w:val="auto"/>
        </w:rPr>
      </w:pPr>
    </w:p>
    <w:p>
      <w:pPr>
        <w:jc w:val="both"/>
        <w:ind w:firstLine="799"/>
        <w:spacing w:after="0" w:line="261" w:lineRule="auto"/>
        <w:rPr>
          <w:sz w:val="20"/>
          <w:szCs w:val="20"/>
          <w:color w:val="auto"/>
        </w:rPr>
      </w:pPr>
      <w:r>
        <w:rPr>
          <w:rFonts w:ascii="Arial" w:cs="Arial" w:eastAsia="Arial" w:hAnsi="Arial"/>
          <w:sz w:val="17"/>
          <w:szCs w:val="17"/>
          <w:color w:val="auto"/>
        </w:rPr>
        <w:t xml:space="preserve">(c)Orion may terminate Executive’s employment with or without Cause (other than as a result of Disability which is governed by subsection (b)) by providing written notice to Executive of such termination, </w:t>
      </w:r>
      <w:r>
        <w:rPr>
          <w:rFonts w:ascii="Arial" w:cs="Arial" w:eastAsia="Arial" w:hAnsi="Arial"/>
          <w:sz w:val="17"/>
          <w:szCs w:val="17"/>
          <w:i w:val="1"/>
          <w:iCs w:val="1"/>
          <w:color w:val="auto"/>
        </w:rPr>
        <w:t>provided however</w:t>
      </w:r>
      <w:r>
        <w:rPr>
          <w:rFonts w:ascii="Arial" w:cs="Arial" w:eastAsia="Arial" w:hAnsi="Arial"/>
          <w:sz w:val="17"/>
          <w:szCs w:val="17"/>
          <w:color w:val="auto"/>
        </w:rPr>
        <w:t>, if Orion terminates Executive’s employment for Cause, then such written notice shall indicate in reasonable detail the facts and circumstances alleged to provide a basis for such termination for Cause. If the termination is without Cause, Executive’s employment will terminate on the date specified in the written notice of termination. If the termination is for Cause, the Executive shall have thirty (30) days from the date the written notice is provided, or such longer period as Orion may determine to be appropriate, to cure any conduct or act, if curable (as determined by Orion), alleged to provide grounds for termination of Executive’s employment for Cause. If the alleged conduct or act constituting Cause is not curable (as determined by Orion), Executive’s employment will terminate on the date specified in the written notice of termination. If the alleged conduct or act constituting Cause is curable (as determined by Orion) but Executive does not cure such conduct or act within the specified time period, Executive’s employment will terminate on the date immediately following the end of the cure period. Notwithstanding the foregoing, a determination of Cause shall only be made in good faith by Orion, and after a Change of Control, Orion’s successor, which may terminate Executive for Cause only after providing Executive (i) written notice as set forth above,</w:t>
      </w:r>
    </w:p>
    <w:p>
      <w:pPr>
        <w:spacing w:after="0" w:line="6" w:lineRule="exact"/>
        <w:rPr>
          <w:sz w:val="20"/>
          <w:szCs w:val="20"/>
          <w:color w:val="auto"/>
        </w:rPr>
      </w:pPr>
    </w:p>
    <w:p>
      <w:pPr>
        <w:jc w:val="both"/>
        <w:spacing w:after="0" w:line="235" w:lineRule="auto"/>
        <w:tabs>
          <w:tab w:leader="none" w:pos="285"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opportunity to appear before the Board and provide rebuttal to such proposed termination, and (iii) written notice following such appearance confirming such termination. Unless otherwise directed by Orion, from and after the date of the written notice of proposed termination, Executive shall be relieved of his duties and responsibilities and shall be considered to be on a paid leave of absence pending any final action by Orion or the successor confirming such proposed termination.</w:t>
      </w:r>
    </w:p>
    <w:p>
      <w:pPr>
        <w:spacing w:after="0" w:line="164"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149860</wp:posOffset>
            </wp:positionV>
            <wp:extent cx="716470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14" w:right="319" w:bottom="1440" w:gutter="0" w:footer="0" w:header="0"/>
        </w:sectPr>
      </w:pPr>
    </w:p>
    <w:bookmarkStart w:id="137" w:name="page138"/>
    <w:bookmarkEnd w:id="137"/>
    <w:p>
      <w:pPr>
        <w:jc w:val="both"/>
        <w:ind w:firstLine="799"/>
        <w:spacing w:after="0" w:line="270" w:lineRule="auto"/>
        <w:rPr>
          <w:sz w:val="20"/>
          <w:szCs w:val="20"/>
          <w:color w:val="auto"/>
        </w:rPr>
      </w:pPr>
      <w:r>
        <w:rPr>
          <w:rFonts w:ascii="Arial" w:cs="Arial" w:eastAsia="Arial" w:hAnsi="Arial"/>
          <w:sz w:val="17"/>
          <w:szCs w:val="17"/>
          <w:color w:val="auto"/>
        </w:rPr>
        <w:t>(d)Executive may terminate his employment with or without Good Reason by providing written notice of termination to Orion that indicates in reasonable detail the facts and circumstances alleged to provide a basis for such termination. If Executive is alleging a termination for Good Reason, Executive must provide written notice to Orion of the existence of the condition constituting Good Reason within ninety (90) days of the initial existence of such condition, and Orion must have a period of at least thirty (30) days following receipt of such notice to cure such condition. If such condition is not cured by Orion within such thirty (30)-day period, Executive’s termination of employment from Orion shall be effective on the date immediately following the end of such cure period.</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5.</w:t>
      </w:r>
      <w:r>
        <w:rPr>
          <w:rFonts w:ascii="Arial" w:cs="Arial" w:eastAsia="Arial" w:hAnsi="Arial"/>
          <w:sz w:val="19"/>
          <w:szCs w:val="19"/>
          <w:b w:val="1"/>
          <w:bCs w:val="1"/>
          <w:u w:val="single" w:color="auto"/>
          <w:color w:val="auto"/>
        </w:rPr>
        <w:t>Payments upon Termination</w:t>
      </w:r>
      <w:r>
        <w:rPr>
          <w:rFonts w:ascii="Arial" w:cs="Arial" w:eastAsia="Arial" w:hAnsi="Arial"/>
          <w:sz w:val="19"/>
          <w:szCs w:val="19"/>
          <w:color w:val="auto"/>
        </w:rPr>
        <w:t>.</w:t>
      </w:r>
    </w:p>
    <w:p>
      <w:pPr>
        <w:spacing w:after="0" w:line="182" w:lineRule="exact"/>
        <w:rPr>
          <w:sz w:val="20"/>
          <w:szCs w:val="20"/>
          <w:color w:val="auto"/>
        </w:rPr>
      </w:pPr>
    </w:p>
    <w:p>
      <w:pPr>
        <w:jc w:val="both"/>
        <w:ind w:firstLine="799"/>
        <w:spacing w:after="0" w:line="247" w:lineRule="auto"/>
        <w:rPr>
          <w:sz w:val="20"/>
          <w:szCs w:val="20"/>
          <w:color w:val="auto"/>
        </w:rPr>
      </w:pPr>
      <w:r>
        <w:rPr>
          <w:rFonts w:ascii="Arial" w:cs="Arial" w:eastAsia="Arial" w:hAnsi="Arial"/>
          <w:sz w:val="19"/>
          <w:szCs w:val="19"/>
          <w:color w:val="auto"/>
        </w:rPr>
        <w:t>(a)</w:t>
      </w:r>
      <w:r>
        <w:rPr>
          <w:rFonts w:ascii="Arial" w:cs="Arial" w:eastAsia="Arial" w:hAnsi="Arial"/>
          <w:sz w:val="19"/>
          <w:szCs w:val="19"/>
          <w:b w:val="1"/>
          <w:bCs w:val="1"/>
          <w:color w:val="auto"/>
        </w:rPr>
        <w:t>Entitlement to Severance</w:t>
      </w:r>
      <w:r>
        <w:rPr>
          <w:rFonts w:ascii="Arial" w:cs="Arial" w:eastAsia="Arial" w:hAnsi="Arial"/>
          <w:sz w:val="19"/>
          <w:szCs w:val="19"/>
          <w:color w:val="auto"/>
        </w:rPr>
        <w:t>. Subject to the other terms and conditions of this Agreement, Executive shall be entitled to the Accrued Benefits, and to the Severance Payment described in subsection (c), in either of the following circumstances while this Agreement is in effect:</w:t>
      </w:r>
    </w:p>
    <w:p>
      <w:pPr>
        <w:spacing w:after="0" w:line="155" w:lineRule="exact"/>
        <w:rPr>
          <w:sz w:val="20"/>
          <w:szCs w:val="20"/>
          <w:color w:val="auto"/>
        </w:rPr>
      </w:pPr>
    </w:p>
    <w:p>
      <w:pPr>
        <w:ind w:left="1600" w:right="540"/>
        <w:spacing w:after="0" w:line="439" w:lineRule="auto"/>
        <w:rPr>
          <w:sz w:val="20"/>
          <w:szCs w:val="20"/>
          <w:color w:val="auto"/>
        </w:rPr>
      </w:pPr>
      <w:r>
        <w:rPr>
          <w:rFonts w:ascii="Arial" w:cs="Arial" w:eastAsia="Arial" w:hAnsi="Arial"/>
          <w:sz w:val="19"/>
          <w:szCs w:val="19"/>
          <w:color w:val="auto"/>
        </w:rPr>
        <w:t>(i)Executive’s employment is terminated by Orion without Cause, except in the case of death or Disability; or (ii)Executive terminates his employment with Orion for Good Reason.</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9"/>
          <w:szCs w:val="19"/>
          <w:color w:val="auto"/>
        </w:rPr>
        <w:t>If Executive dies after receiving a notice by Orion that Executive is being terminated without Cause, or after providing notice of termination for Good Reason, the Executive’s estate, heirs and beneficiaries shall be entitled to the Accrued Benefits and the Severance Payment described in subsection (c) at the same time such amounts would have been paid or benefits provided to Executive had he lived.</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(b)</w:t>
      </w:r>
      <w:r>
        <w:rPr>
          <w:rFonts w:ascii="Arial" w:cs="Arial" w:eastAsia="Arial" w:hAnsi="Arial"/>
          <w:sz w:val="17"/>
          <w:szCs w:val="17"/>
          <w:b w:val="1"/>
          <w:bCs w:val="1"/>
          <w:color w:val="auto"/>
        </w:rPr>
        <w:t>General Release Requirement</w:t>
      </w:r>
      <w:r>
        <w:rPr>
          <w:rFonts w:ascii="Arial" w:cs="Arial" w:eastAsia="Arial" w:hAnsi="Arial"/>
          <w:sz w:val="17"/>
          <w:szCs w:val="17"/>
          <w:color w:val="auto"/>
        </w:rPr>
        <w:t>. Executive will not be eligible to receive any payments or benefits under Section 5(c) until</w:t>
      </w:r>
    </w:p>
    <w:p>
      <w:pPr>
        <w:spacing w:after="0" w:line="38" w:lineRule="exact"/>
        <w:rPr>
          <w:sz w:val="20"/>
          <w:szCs w:val="20"/>
          <w:color w:val="auto"/>
        </w:rPr>
      </w:pPr>
    </w:p>
    <w:p>
      <w:pPr>
        <w:jc w:val="both"/>
        <w:spacing w:after="0" w:line="255" w:lineRule="auto"/>
        <w:tabs>
          <w:tab w:leader="none" w:pos="2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Executive executes a general release of all claims arising out of his employment with, and termination of employment from, Orion in the form proscribed by and acceptable to Orion (“General Release”); and (ii) the revocation period specified in such General Release expires without such Executive exercising his right of revocation as set forth in the General Release.</w:t>
      </w:r>
    </w:p>
    <w:p>
      <w:pPr>
        <w:spacing w:after="0" w:line="142" w:lineRule="exact"/>
        <w:rPr>
          <w:sz w:val="20"/>
          <w:szCs w:val="20"/>
          <w:color w:val="auto"/>
        </w:rPr>
      </w:pPr>
    </w:p>
    <w:p>
      <w:pPr>
        <w:jc w:val="both"/>
        <w:ind w:right="20" w:firstLine="799"/>
        <w:spacing w:after="0" w:line="247" w:lineRule="auto"/>
        <w:rPr>
          <w:sz w:val="20"/>
          <w:szCs w:val="20"/>
          <w:color w:val="auto"/>
        </w:rPr>
      </w:pPr>
      <w:r>
        <w:rPr>
          <w:rFonts w:ascii="Arial" w:cs="Arial" w:eastAsia="Arial" w:hAnsi="Arial"/>
          <w:sz w:val="19"/>
          <w:szCs w:val="19"/>
          <w:color w:val="auto"/>
        </w:rPr>
        <w:t>(c)</w:t>
      </w:r>
      <w:r>
        <w:rPr>
          <w:rFonts w:ascii="Arial" w:cs="Arial" w:eastAsia="Arial" w:hAnsi="Arial"/>
          <w:sz w:val="19"/>
          <w:szCs w:val="19"/>
          <w:b w:val="1"/>
          <w:bCs w:val="1"/>
          <w:color w:val="auto"/>
        </w:rPr>
        <w:t>Severance Payment; Timing and Form of Severance Payment</w:t>
      </w:r>
      <w:r>
        <w:rPr>
          <w:rFonts w:ascii="Arial" w:cs="Arial" w:eastAsia="Arial" w:hAnsi="Arial"/>
          <w:sz w:val="19"/>
          <w:szCs w:val="19"/>
          <w:color w:val="auto"/>
        </w:rPr>
        <w:t>. Subject to Section 5(b) and the limitations imposed by Section 6, in lieu of any severance pay or benefits under any severance pay plans, programs or policies, if Executive is entitled to severance benefits, then:</w:t>
      </w:r>
    </w:p>
    <w:p>
      <w:pPr>
        <w:spacing w:after="0" w:line="155" w:lineRule="exact"/>
        <w:rPr>
          <w:sz w:val="20"/>
          <w:szCs w:val="20"/>
          <w:color w:val="auto"/>
        </w:rPr>
      </w:pPr>
    </w:p>
    <w:p>
      <w:pPr>
        <w:jc w:val="both"/>
        <w:ind w:left="860" w:right="20" w:firstLine="738"/>
        <w:spacing w:after="0" w:line="255" w:lineRule="auto"/>
        <w:tabs>
          <w:tab w:leader="none" w:pos="23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Orion shall pay Executive the Severance Payment (plus an amount equal to the Executive’s annual target cash bonus opportunity as established by the Board for the fiscal year in which Separation from Service occurs, multiplied by a fraction, the numerator of which is the number of days that have elapsed in the fiscal year to the date of Separation from Service and the denominator is 365) on a ratable basis each month over the eighteen (18)-month period following the Termination Date, or if later, the date on which the General Release is no longer</w:t>
      </w:r>
    </w:p>
    <w:p>
      <w:pPr>
        <w:spacing w:after="0" w:line="148"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149860</wp:posOffset>
            </wp:positionV>
            <wp:extent cx="716470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1" w:right="319" w:bottom="1440" w:gutter="0" w:footer="0" w:header="0"/>
        </w:sectPr>
      </w:pPr>
    </w:p>
    <w:bookmarkStart w:id="138" w:name="page139"/>
    <w:bookmarkEnd w:id="138"/>
    <w:p>
      <w:pPr>
        <w:ind w:left="1720"/>
        <w:spacing w:after="0"/>
        <w:rPr>
          <w:sz w:val="20"/>
          <w:szCs w:val="20"/>
          <w:color w:val="auto"/>
        </w:rPr>
      </w:pPr>
      <w:r>
        <w:rPr>
          <w:rFonts w:ascii="Arial" w:cs="Arial" w:eastAsia="Arial" w:hAnsi="Arial"/>
          <w:sz w:val="19"/>
          <w:szCs w:val="19"/>
          <w:color w:val="auto"/>
        </w:rPr>
        <w:t>revocable, or if later, the date on which the amount payable under Section 6 is determined;</w:t>
      </w:r>
    </w:p>
    <w:p>
      <w:pPr>
        <w:spacing w:after="0" w:line="182" w:lineRule="exact"/>
        <w:rPr>
          <w:sz w:val="20"/>
          <w:szCs w:val="20"/>
          <w:color w:val="auto"/>
        </w:rPr>
      </w:pPr>
    </w:p>
    <w:p>
      <w:pPr>
        <w:ind w:left="1720" w:firstLine="738"/>
        <w:spacing w:after="0" w:line="283" w:lineRule="auto"/>
        <w:tabs>
          <w:tab w:leader="none" w:pos="32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Executive shall be entitled to receive premiums from Orion for COBRA continuation coverage for the length of such coverage at the same rate as is being charged to active employees for similar coverage; and</w:t>
      </w:r>
    </w:p>
    <w:p>
      <w:pPr>
        <w:spacing w:after="0" w:line="124" w:lineRule="exact"/>
        <w:rPr>
          <w:sz w:val="20"/>
          <w:szCs w:val="20"/>
          <w:color w:val="auto"/>
        </w:rPr>
      </w:pPr>
    </w:p>
    <w:p>
      <w:pPr>
        <w:jc w:val="both"/>
        <w:ind w:left="1720" w:right="20" w:firstLine="732"/>
        <w:spacing w:after="0" w:line="255" w:lineRule="auto"/>
        <w:rPr>
          <w:sz w:val="20"/>
          <w:szCs w:val="20"/>
          <w:color w:val="auto"/>
        </w:rPr>
      </w:pPr>
      <w:r>
        <w:rPr>
          <w:rFonts w:ascii="Arial" w:cs="Arial" w:eastAsia="Arial" w:hAnsi="Arial"/>
          <w:sz w:val="18"/>
          <w:szCs w:val="18"/>
          <w:color w:val="auto"/>
        </w:rPr>
        <w:t>(iii)The vesting of Executive’s then unvested equity awards from the Company at the date of the Executive’s Separation from Service shall be automatically accelerated and such unvested equity awards shall be deemed to be fully vested as of the date of Executive’s Separation from Service, but only to the extent such equity awards would have otherwise vested within the twenty-four (24)-month period from the date of Executive’s Separation of Service if the Executive had continued in the employment of the Company through said vesting date(s).</w:t>
      </w:r>
    </w:p>
    <w:p>
      <w:pPr>
        <w:spacing w:after="0" w:line="148" w:lineRule="exact"/>
        <w:rPr>
          <w:sz w:val="20"/>
          <w:szCs w:val="20"/>
          <w:color w:val="auto"/>
        </w:rPr>
      </w:pPr>
    </w:p>
    <w:p>
      <w:pPr>
        <w:jc w:val="both"/>
        <w:ind w:left="860"/>
        <w:spacing w:after="0" w:line="255" w:lineRule="auto"/>
        <w:rPr>
          <w:sz w:val="20"/>
          <w:szCs w:val="20"/>
          <w:color w:val="auto"/>
        </w:rPr>
      </w:pPr>
      <w:r>
        <w:rPr>
          <w:rFonts w:ascii="Arial" w:cs="Arial" w:eastAsia="Arial" w:hAnsi="Arial"/>
          <w:sz w:val="19"/>
          <w:szCs w:val="19"/>
          <w:color w:val="auto"/>
        </w:rPr>
        <w:t>All Severance Payments and other payments and benefits under this Section 5 shall be subject to payroll taxes and other withholdings in accordance with Orion’s standard payroll practices and applicable law.</w:t>
      </w:r>
    </w:p>
    <w:p>
      <w:pPr>
        <w:spacing w:after="0" w:line="142" w:lineRule="exact"/>
        <w:rPr>
          <w:sz w:val="20"/>
          <w:szCs w:val="20"/>
          <w:color w:val="auto"/>
        </w:rPr>
      </w:pPr>
    </w:p>
    <w:p>
      <w:pPr>
        <w:jc w:val="both"/>
        <w:ind w:left="860" w:firstLine="799"/>
        <w:spacing w:after="0" w:line="256" w:lineRule="auto"/>
        <w:rPr>
          <w:sz w:val="20"/>
          <w:szCs w:val="20"/>
          <w:color w:val="auto"/>
        </w:rPr>
      </w:pPr>
      <w:r>
        <w:rPr>
          <w:rFonts w:ascii="Arial" w:cs="Arial" w:eastAsia="Arial" w:hAnsi="Arial"/>
          <w:sz w:val="18"/>
          <w:szCs w:val="18"/>
          <w:color w:val="auto"/>
        </w:rPr>
        <w:t>(d)</w:t>
      </w:r>
      <w:r>
        <w:rPr>
          <w:rFonts w:ascii="Arial" w:cs="Arial" w:eastAsia="Arial" w:hAnsi="Arial"/>
          <w:sz w:val="18"/>
          <w:szCs w:val="18"/>
          <w:b w:val="1"/>
          <w:bCs w:val="1"/>
          <w:color w:val="auto"/>
        </w:rPr>
        <w:t>Other Termination of Employment</w:t>
      </w:r>
      <w:r>
        <w:rPr>
          <w:rFonts w:ascii="Arial" w:cs="Arial" w:eastAsia="Arial" w:hAnsi="Arial"/>
          <w:sz w:val="18"/>
          <w:szCs w:val="18"/>
          <w:color w:val="auto"/>
        </w:rPr>
        <w:t>. If Executive’s employment terminates for any reason other than those described in subsection (a), the Executive (or the Executive’s estate in the event of his death), shall be entitled to receive only the Accrued Benefits. Executive must be terminated for Cause pursuant to and in accordance with Section 4(c) of this Agreement in order for the consequences of such a Cause termination to apply to Executive under any equity award agreement with Orion to which Executive is then a party. Orion’s obligations under this Section 5 shall survive the termination of this Agreement.</w:t>
      </w:r>
    </w:p>
    <w:p>
      <w:pPr>
        <w:spacing w:after="0" w:line="143" w:lineRule="exact"/>
        <w:rPr>
          <w:sz w:val="20"/>
          <w:szCs w:val="20"/>
          <w:color w:val="auto"/>
        </w:rPr>
      </w:pPr>
    </w:p>
    <w:p>
      <w:pPr>
        <w:jc w:val="both"/>
        <w:ind w:firstLine="1732"/>
        <w:spacing w:after="0" w:line="267" w:lineRule="auto"/>
        <w:rPr>
          <w:sz w:val="20"/>
          <w:szCs w:val="20"/>
          <w:color w:val="auto"/>
        </w:rPr>
      </w:pPr>
      <w:r>
        <w:rPr>
          <w:rFonts w:ascii="Arial" w:cs="Arial" w:eastAsia="Arial" w:hAnsi="Arial"/>
          <w:sz w:val="17"/>
          <w:szCs w:val="17"/>
          <w:color w:val="auto"/>
        </w:rPr>
        <w:t>6.</w:t>
      </w:r>
      <w:r>
        <w:rPr>
          <w:rFonts w:ascii="Arial" w:cs="Arial" w:eastAsia="Arial" w:hAnsi="Arial"/>
          <w:sz w:val="17"/>
          <w:szCs w:val="17"/>
          <w:b w:val="1"/>
          <w:bCs w:val="1"/>
          <w:u w:val="single" w:color="auto"/>
          <w:color w:val="auto"/>
        </w:rPr>
        <w:t>Limitations on Severance Payments and Benefits</w:t>
      </w:r>
      <w:r>
        <w:rPr>
          <w:rFonts w:ascii="Arial" w:cs="Arial" w:eastAsia="Arial" w:hAnsi="Arial"/>
          <w:sz w:val="17"/>
          <w:szCs w:val="17"/>
          <w:color w:val="auto"/>
        </w:rPr>
        <w:t xml:space="preserve">. Notwithstanding any other provision of this Agreement, if any portion of the Severance Payment or any other payment under this Agreement, or under any other agreement with or plan of Orion (in the aggregate “Total Payments”), would constitute an “excess parachute payment,” then the Total Payments to be made to Executive shall be reduced such that the value of the aggregate Total Payments that Executive is entitled to receive shall be One Dollar ($1) less than the maximum amount which Executive may receive without becoming subject to the tax imposed by Code Section 4999 or which Orion may pay without loss of deduction under Code Section 280G(a);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reduction in the amount of Total Payments shall not apply if the After-Tax Value to Executive of the Total Payments prior to reduction in accordance herewith is greater than the After-Tax Value to Executive of the Total Payments are reduced in accordance herewith. For purposes of this Agreement, the terms “excess parachute payment” and “parachute payments” shall have the meanings assigned to them in Code Section 280G, and such “parachute payments” shall be valued as provided therein.</w:t>
      </w:r>
    </w:p>
    <w:p>
      <w:pPr>
        <w:spacing w:after="0" w:line="143" w:lineRule="exact"/>
        <w:rPr>
          <w:sz w:val="20"/>
          <w:szCs w:val="20"/>
          <w:color w:val="auto"/>
        </w:rPr>
      </w:pPr>
    </w:p>
    <w:p>
      <w:pPr>
        <w:jc w:val="both"/>
        <w:ind w:right="20" w:firstLine="866"/>
        <w:spacing w:after="0" w:line="244" w:lineRule="auto"/>
        <w:rPr>
          <w:sz w:val="20"/>
          <w:szCs w:val="20"/>
          <w:color w:val="auto"/>
        </w:rPr>
      </w:pPr>
      <w:r>
        <w:rPr>
          <w:rFonts w:ascii="Arial" w:cs="Arial" w:eastAsia="Arial" w:hAnsi="Arial"/>
          <w:sz w:val="19"/>
          <w:szCs w:val="19"/>
          <w:color w:val="auto"/>
        </w:rPr>
        <w:t>Within twenty (20) business days following delivery of the notice of termination or notice by Orion to Executive of its belief that there is a payment or benefit due Executive that will result in an excess parachute payment as defined in Code Section 280G, Executive and Orion, at Orion’s expense, shall obtain the opinion (which need not be unqualified) of nationally recognized tax</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6470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21" w:right="319" w:bottom="1440" w:gutter="0" w:footer="0" w:header="0"/>
        </w:sectPr>
      </w:pPr>
    </w:p>
    <w:bookmarkStart w:id="139" w:name="page140"/>
    <w:bookmarkEnd w:id="139"/>
    <w:p>
      <w:pPr>
        <w:jc w:val="both"/>
        <w:spacing w:after="0" w:line="262" w:lineRule="auto"/>
        <w:rPr>
          <w:sz w:val="20"/>
          <w:szCs w:val="20"/>
          <w:color w:val="auto"/>
        </w:rPr>
      </w:pPr>
      <w:r>
        <w:rPr>
          <w:rFonts w:ascii="Arial" w:cs="Arial" w:eastAsia="Arial" w:hAnsi="Arial"/>
          <w:sz w:val="17"/>
          <w:szCs w:val="17"/>
          <w:color w:val="auto"/>
        </w:rPr>
        <w:t>counsel selected by Orion’s independent auditors and acceptable to Executive in Executive’s sole discretion, which opinion sets forth: (A) the amount of the Executive’s “annualized includible compensation for the base period” as defined in Code Section 280G(d)(1), (B) the amount and present value of Total Payments, (C) the amount and present value of any excess parachute payments without regard to the limitations of this Section 6, (D) the “After-Tax Value” of the Total Payments if the reduction in Total Payments contemplated under this Section 6 did not apply, and (E) the After-Tax Value of the Total Payments taking into account the reduction in Total Payments contemplated under this Section 6. For purposes of determining the After-Tax Value of Total Payments, (I) Executive shall be deemed to pay federal income taxes and employment taxes at the highest marginal rate of federal income and employment taxation in the calendar year in which the Severance Payment is to be made and state and local income taxes at the highest marginal rates of taxation in the state and locality of Executive’s domicile for income tax purposes on the date the Severance Payment is to be made, net of the maximum reduction in federal income taxes that may be obtained from deduction of such state and local taxes, and (II) a reasonable compensation analysis and valuation will be performed, to the extent it would increase the Executive’s After-Tax Value of Total Payments, of the value of the Executive’s restrictive covenants under Section 8 hereof (and any other restrictive covenants applicable to the Executive). Such opinion shall be dated as of the Termination Date and addressed to Orion and Executive and shall be binding upon Orion and Executive and upon which Orion and Executive may fully rely. If such opinion determines that there would be an excess parachute payment and that the After-Tax Value of the Total Payments taking into account the reduction contemplated under this Section is greater than the After-Tax Value of the Total Payments if the reduction in Total Payments contemplated under this Section did not apply, then the Severance Payment hereunder or any other payment determined by such counsel to be includible in Total Payments shall be reduced or eliminated as specified by Executive in writing delivered to Orion within five (5) business days of Executive’s receipt of such opinion or, if Executive fails to so notify Orion, then as Orion shall reasonably determine, so that under the bases of calculations set forth in such opinion there will be no excess parachute payment. If such legal counsel so requests in connection with the opinion required by this Section, Executive and Orion shall obtain, at Orion’s expense, and the legal counsel may rely on in providing the opinion, the advice of a firm of recognized executive compensation consultants as to the reasonableness of any item of compensation to be received by Executive. Notwithstanding the foregoing, the provisions of this Section 6, including the calculations, notices and opinions provided for herein, shall be based upon the conclusive presumption that the following are reasonable: (1) the compensation and benefits provided for in Section 3 and (2) any other compensation, including but not limited to the Accrued Benefits earned prior to the date of Executive’s Separation from Service by the Executive pursuant to the Company’s compensation programs if such payments would have been made in the future in any event, even though the timing of such payment is triggered by the Change of Control or the Executive’s Separation from Service.</w:t>
      </w:r>
    </w:p>
    <w:p>
      <w:pPr>
        <w:spacing w:after="0" w:line="142"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7.</w:t>
      </w:r>
      <w:r>
        <w:rPr>
          <w:rFonts w:ascii="Arial" w:cs="Arial" w:eastAsia="Arial" w:hAnsi="Arial"/>
          <w:sz w:val="19"/>
          <w:szCs w:val="19"/>
          <w:b w:val="1"/>
          <w:bCs w:val="1"/>
          <w:u w:val="single" w:color="auto"/>
          <w:color w:val="auto"/>
        </w:rPr>
        <w:t>Covenants by Executive</w:t>
      </w:r>
      <w:r>
        <w:rPr>
          <w:rFonts w:ascii="Arial" w:cs="Arial" w:eastAsia="Arial" w:hAnsi="Arial"/>
          <w:sz w:val="19"/>
          <w:szCs w:val="19"/>
          <w:color w:val="auto"/>
        </w:rPr>
        <w:t>.</w:t>
      </w:r>
    </w:p>
    <w:p>
      <w:pPr>
        <w:spacing w:after="0" w:line="182" w:lineRule="exact"/>
        <w:rPr>
          <w:sz w:val="20"/>
          <w:szCs w:val="20"/>
          <w:color w:val="auto"/>
        </w:rPr>
      </w:pPr>
    </w:p>
    <w:p>
      <w:pPr>
        <w:jc w:val="both"/>
        <w:ind w:left="860" w:firstLine="799"/>
        <w:spacing w:after="0" w:line="242" w:lineRule="auto"/>
        <w:rPr>
          <w:sz w:val="20"/>
          <w:szCs w:val="20"/>
          <w:color w:val="auto"/>
        </w:rPr>
      </w:pPr>
      <w:r>
        <w:rPr>
          <w:rFonts w:ascii="Arial" w:cs="Arial" w:eastAsia="Arial" w:hAnsi="Arial"/>
          <w:sz w:val="19"/>
          <w:szCs w:val="19"/>
          <w:color w:val="auto"/>
        </w:rPr>
        <w:t>(a)</w:t>
      </w:r>
      <w:r>
        <w:rPr>
          <w:rFonts w:ascii="Arial" w:cs="Arial" w:eastAsia="Arial" w:hAnsi="Arial"/>
          <w:sz w:val="19"/>
          <w:szCs w:val="19"/>
          <w:b w:val="1"/>
          <w:bCs w:val="1"/>
          <w:color w:val="auto"/>
        </w:rPr>
        <w:t>Nondisclosure of Third Party Confidential Information</w:t>
      </w:r>
      <w:r>
        <w:rPr>
          <w:rFonts w:ascii="Arial" w:cs="Arial" w:eastAsia="Arial" w:hAnsi="Arial"/>
          <w:sz w:val="19"/>
          <w:szCs w:val="19"/>
          <w:color w:val="auto"/>
        </w:rPr>
        <w:t>. During Executive’s employment with Orion and after the Termination Date, Executive shall not use or disclose Third Party Confidential Information for as long as the relevant third party has required Orion to maintain its confidentiality, or for so long as required by applicable law, whichever period is longer. This prohibition does not prohibit Executive’s use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6470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21" w:right="319" w:bottom="1440" w:gutter="0" w:footer="0" w:header="0"/>
        </w:sectPr>
      </w:pPr>
    </w:p>
    <w:bookmarkStart w:id="140" w:name="page141"/>
    <w:bookmarkEnd w:id="140"/>
    <w:p>
      <w:pPr>
        <w:jc w:val="both"/>
        <w:ind w:right="20"/>
        <w:spacing w:after="0"/>
        <w:rPr>
          <w:sz w:val="20"/>
          <w:szCs w:val="20"/>
          <w:color w:val="auto"/>
        </w:rPr>
      </w:pPr>
      <w:r>
        <w:rPr>
          <w:rFonts w:ascii="Arial" w:cs="Arial" w:eastAsia="Arial" w:hAnsi="Arial"/>
          <w:sz w:val="19"/>
          <w:szCs w:val="19"/>
          <w:color w:val="auto"/>
        </w:rPr>
        <w:t>general skills and know-how acquired during and prior to employment by Orion, as long as such use does not involve the use or disclosure of Third Party Confidential Information. This prohibition also does not prohibit the description by Executive of Executive’s employment history and duties, for work search or other purposes, as long as such use does not involve the use or disclosure of Third Party Confidential Information.</w:t>
      </w:r>
    </w:p>
    <w:p>
      <w:pPr>
        <w:spacing w:after="0" w:line="155" w:lineRule="exact"/>
        <w:rPr>
          <w:sz w:val="20"/>
          <w:szCs w:val="20"/>
          <w:color w:val="auto"/>
        </w:rPr>
      </w:pPr>
    </w:p>
    <w:p>
      <w:pPr>
        <w:jc w:val="both"/>
        <w:ind w:firstLine="799"/>
        <w:spacing w:after="0" w:line="242" w:lineRule="auto"/>
        <w:rPr>
          <w:sz w:val="20"/>
          <w:szCs w:val="20"/>
          <w:color w:val="auto"/>
        </w:rPr>
      </w:pPr>
      <w:r>
        <w:rPr>
          <w:rFonts w:ascii="Arial" w:cs="Arial" w:eastAsia="Arial" w:hAnsi="Arial"/>
          <w:sz w:val="19"/>
          <w:szCs w:val="19"/>
          <w:color w:val="auto"/>
        </w:rPr>
        <w:t>(b)</w:t>
      </w:r>
      <w:r>
        <w:rPr>
          <w:rFonts w:ascii="Arial" w:cs="Arial" w:eastAsia="Arial" w:hAnsi="Arial"/>
          <w:sz w:val="19"/>
          <w:szCs w:val="19"/>
          <w:b w:val="1"/>
          <w:bCs w:val="1"/>
          <w:color w:val="auto"/>
        </w:rPr>
        <w:t>Non-disclosure of Trade Secrets</w:t>
      </w:r>
      <w:r>
        <w:rPr>
          <w:rFonts w:ascii="Arial" w:cs="Arial" w:eastAsia="Arial" w:hAnsi="Arial"/>
          <w:sz w:val="19"/>
          <w:szCs w:val="19"/>
          <w:color w:val="auto"/>
        </w:rPr>
        <w:t>. During Executive’s employment and after the Termination Date, Executive shall not use or disclose Orion’s Trade Secrets so long as they remain Trade Secrets. Nothing in this Agreement shall limit either Executive’s statutory and other duties not to use or disclose Orion’s Trade Secrets, or Orion’s remedies in the event Executive uses or discloses Orion’s Trade Secrets.</w:t>
      </w:r>
    </w:p>
    <w:p>
      <w:pPr>
        <w:spacing w:after="0" w:line="154" w:lineRule="exact"/>
        <w:rPr>
          <w:sz w:val="20"/>
          <w:szCs w:val="20"/>
          <w:color w:val="auto"/>
        </w:rPr>
      </w:pPr>
    </w:p>
    <w:p>
      <w:pPr>
        <w:jc w:val="both"/>
        <w:ind w:firstLine="799"/>
        <w:spacing w:after="0" w:line="250" w:lineRule="auto"/>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Obligations Not to Disclose or Use Confidential Information</w:t>
      </w:r>
      <w:r>
        <w:rPr>
          <w:rFonts w:ascii="Arial" w:cs="Arial" w:eastAsia="Arial" w:hAnsi="Arial"/>
          <w:sz w:val="18"/>
          <w:szCs w:val="18"/>
          <w:color w:val="auto"/>
        </w:rPr>
        <w:t>. Except as set forth herein or as expressly authorized in writing on behalf of Orion, Executive agrees that while Executive is employed by Orion and during the two (2)-year period commencing on the Termination Date, Executive will not use or disclose (except in discharging Executive’s job duties with Orion) any Confidential Information, whether such Confidential Information is in Executive’s memory or it is set forth electronically, in writing or other form. This prohibition does not prohibit Executive’s disclosure of information after it ceases to meet the definition of “Confidential Information,” or Executive’s use of general skills and know-how acquired during and prior to employment by Orion, so long as such use does not involve the use or disclosure of Confidential Information; nor does this prohibition restrict Executive from providing prospective employers with an employment history or description of Executive’s duties with Orion, so long as Executive does not use or disclose Confidential Information. Notwithstanding the foregoing, if Executive learns information in the course of employment with Orion which is subject to a law governing confidentiality or non-disclosure, Executive shall keep such information confidential for so long as required by law, or for two (2) years after the Termination Date, whichever period is longer.</w:t>
      </w:r>
    </w:p>
    <w:p>
      <w:pPr>
        <w:spacing w:after="0" w:line="146" w:lineRule="exact"/>
        <w:rPr>
          <w:sz w:val="20"/>
          <w:szCs w:val="20"/>
          <w:color w:val="auto"/>
        </w:rPr>
      </w:pPr>
    </w:p>
    <w:p>
      <w:pPr>
        <w:jc w:val="both"/>
        <w:ind w:firstLine="799"/>
        <w:spacing w:after="0" w:line="249" w:lineRule="auto"/>
        <w:rPr>
          <w:sz w:val="20"/>
          <w:szCs w:val="20"/>
          <w:color w:val="auto"/>
        </w:rPr>
      </w:pPr>
      <w:r>
        <w:rPr>
          <w:rFonts w:ascii="Arial" w:cs="Arial" w:eastAsia="Arial" w:hAnsi="Arial"/>
          <w:sz w:val="18"/>
          <w:szCs w:val="18"/>
          <w:color w:val="auto"/>
        </w:rPr>
        <w:t>(d)</w:t>
      </w:r>
      <w:r>
        <w:rPr>
          <w:rFonts w:ascii="Arial" w:cs="Arial" w:eastAsia="Arial" w:hAnsi="Arial"/>
          <w:sz w:val="18"/>
          <w:szCs w:val="18"/>
          <w:b w:val="1"/>
          <w:bCs w:val="1"/>
          <w:color w:val="auto"/>
        </w:rPr>
        <w:t>Return of Property; No Copying or Transfer of Documents</w:t>
      </w:r>
      <w:r>
        <w:rPr>
          <w:rFonts w:ascii="Arial" w:cs="Arial" w:eastAsia="Arial" w:hAnsi="Arial"/>
          <w:sz w:val="18"/>
          <w:szCs w:val="18"/>
          <w:color w:val="auto"/>
        </w:rPr>
        <w:t>. All equipment, books, records, papers, notes, catalogs, compilations of information, data bases, correspondence, recordings, stored data (including data or files that exist on any personal computer or other electronic storage device), software, and any physical items, including copies and duplicates, that Executive generates or develops or which come into Executive’s possession or control, which relate directly or indirectly to, or are a part of Orion’s (or its customers’) business matters, whether of a public nature or not, shall be and remain the property of Orion, and Executive shall deliver all such materials and items, and any and all copies of them, to Orion on the Termination Date. During employment or after the Termination Date, Executive will not copy, duplicate, or otherwise reproduce, or permit copying, duplicating, or reproduction of Orion documents or writings, whether stored on paper, magnetic tape, CD, electronically, or otherwise, including but not limited to notes, notebooks, letters, blueprints, manuals, drawings, sketches, specifications, formulas, financial documents, business plans, and the like, or any other documentation owned or originated by Orion and relating to Orion’s business which, from time to time, may have come into Executive’s possession, custody, or control as a result of or in the course of Executive’s employment with Orion, without the express written consent of Orion, or, as</w:t>
      </w:r>
    </w:p>
    <w:p>
      <w:pPr>
        <w:spacing w:after="0" w:line="159" w:lineRule="exact"/>
        <w:rPr>
          <w:sz w:val="20"/>
          <w:szCs w:val="20"/>
          <w:color w:val="auto"/>
        </w:rPr>
      </w:pPr>
    </w:p>
    <w:p>
      <w:pPr>
        <w:ind w:left="4680"/>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149860</wp:posOffset>
            </wp:positionV>
            <wp:extent cx="716470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0" w:right="319" w:bottom="1440" w:gutter="0" w:footer="0" w:header="0"/>
        </w:sectPr>
      </w:pPr>
    </w:p>
    <w:bookmarkStart w:id="141" w:name="page142"/>
    <w:bookmarkEnd w:id="141"/>
    <w:p>
      <w:pPr>
        <w:jc w:val="both"/>
        <w:spacing w:after="0" w:line="269" w:lineRule="auto"/>
        <w:rPr>
          <w:sz w:val="20"/>
          <w:szCs w:val="20"/>
          <w:color w:val="auto"/>
        </w:rPr>
      </w:pPr>
      <w:r>
        <w:rPr>
          <w:rFonts w:ascii="Arial" w:cs="Arial" w:eastAsia="Arial" w:hAnsi="Arial"/>
          <w:sz w:val="17"/>
          <w:szCs w:val="17"/>
          <w:color w:val="auto"/>
        </w:rPr>
        <w:t>a part of Executive’s duties performed hereunder for the benefit of Orion. Executive expressly covenants and warrants, upon the Termination Date for any reason (or no reason), that Executive shall promptly deliver to Orion any and all originals and copies in Executive’s possession, custody, or control of any and all said property, documents or writings, and that Executive shall not make, retain, or transfer to any third party any copies thereof. In the event any Confidential Information or Trade Secrets are stored or otherwise kept in or on a computer hard drive or other storage device owned by or otherwise in the possession or control of Executive (collectively, “Executive Storage Device”), upon the Termination Date, Executive will present to Orion for inspection and removal of all information regarding Orion (including but not limited to Confidential Information or Trade Secrets) stored on any Executive Storage Device.</w:t>
      </w:r>
    </w:p>
    <w:p>
      <w:pPr>
        <w:spacing w:after="0" w:line="131" w:lineRule="exact"/>
        <w:rPr>
          <w:sz w:val="20"/>
          <w:szCs w:val="20"/>
          <w:color w:val="auto"/>
        </w:rPr>
      </w:pPr>
    </w:p>
    <w:p>
      <w:pPr>
        <w:jc w:val="both"/>
        <w:ind w:firstLine="799"/>
        <w:spacing w:after="0" w:line="272" w:lineRule="auto"/>
        <w:rPr>
          <w:sz w:val="20"/>
          <w:szCs w:val="20"/>
          <w:color w:val="auto"/>
        </w:rPr>
      </w:pPr>
      <w:r>
        <w:rPr>
          <w:rFonts w:ascii="Arial" w:cs="Arial" w:eastAsia="Arial" w:hAnsi="Arial"/>
          <w:sz w:val="17"/>
          <w:szCs w:val="17"/>
          <w:color w:val="auto"/>
        </w:rPr>
        <w:t>(e)</w:t>
      </w:r>
      <w:r>
        <w:rPr>
          <w:rFonts w:ascii="Arial" w:cs="Arial" w:eastAsia="Arial" w:hAnsi="Arial"/>
          <w:sz w:val="17"/>
          <w:szCs w:val="17"/>
          <w:b w:val="1"/>
          <w:bCs w:val="1"/>
          <w:color w:val="auto"/>
        </w:rPr>
        <w:t>Duty of Loyalty</w:t>
      </w:r>
      <w:r>
        <w:rPr>
          <w:rFonts w:ascii="Arial" w:cs="Arial" w:eastAsia="Arial" w:hAnsi="Arial"/>
          <w:sz w:val="17"/>
          <w:szCs w:val="17"/>
          <w:color w:val="auto"/>
        </w:rPr>
        <w:t>. During employment with Orion, Executive shall owe Orion an undivided duty of loyalty, and shall take no action adverse to that duty of loyalty. Executive’s duty of loyalty to Orion includes but is not limited to a duty to promptly disclose to Orion any information that might cause Orion to take or refrain from taking any action, or which otherwise might cause Orion to alter its behavior. Without limiting the generality of the foregoing, Executive shall promptly notify Orion at any time that Executive decides to terminate employment with Orion or enter into competition with Orion, as Orion may decide at such time to limit, suspend, or terminate Executive’s employment or access to Orion’s Confidential Information, Trade Secrets, or customer relationships.</w:t>
      </w:r>
    </w:p>
    <w:p>
      <w:pPr>
        <w:spacing w:after="0" w:line="130" w:lineRule="exact"/>
        <w:rPr>
          <w:sz w:val="20"/>
          <w:szCs w:val="20"/>
          <w:color w:val="auto"/>
        </w:rPr>
      </w:pPr>
    </w:p>
    <w:p>
      <w:pPr>
        <w:jc w:val="both"/>
        <w:ind w:right="20" w:firstLine="799"/>
        <w:spacing w:after="0" w:line="290" w:lineRule="auto"/>
        <w:rPr>
          <w:sz w:val="20"/>
          <w:szCs w:val="20"/>
          <w:color w:val="auto"/>
        </w:rPr>
      </w:pPr>
      <w:r>
        <w:rPr>
          <w:rFonts w:ascii="Arial" w:cs="Arial" w:eastAsia="Arial" w:hAnsi="Arial"/>
          <w:sz w:val="17"/>
          <w:szCs w:val="17"/>
          <w:color w:val="auto"/>
        </w:rPr>
        <w:t>(f)</w:t>
      </w:r>
      <w:r>
        <w:rPr>
          <w:rFonts w:ascii="Arial" w:cs="Arial" w:eastAsia="Arial" w:hAnsi="Arial"/>
          <w:sz w:val="17"/>
          <w:szCs w:val="17"/>
          <w:b w:val="1"/>
          <w:bCs w:val="1"/>
          <w:color w:val="auto"/>
        </w:rPr>
        <w:t>Limited Restriction on Sales to a Restricted Customer</w:t>
      </w:r>
      <w:r>
        <w:rPr>
          <w:rFonts w:ascii="Arial" w:cs="Arial" w:eastAsia="Arial" w:hAnsi="Arial"/>
          <w:sz w:val="17"/>
          <w:szCs w:val="17"/>
          <w:color w:val="auto"/>
        </w:rPr>
        <w:t>. For eighteen (18) months following the Termination Date, for whatever reason, Executive shall not sell or solicit the sale of a Competing Product to a Restricted Customer and Executive shall not perform Services as part of or in support of providing, selling or soliciting the sale of a Competing Product to a Restricted Customer.</w:t>
      </w:r>
    </w:p>
    <w:p>
      <w:pPr>
        <w:spacing w:after="0" w:line="115" w:lineRule="exact"/>
        <w:rPr>
          <w:sz w:val="20"/>
          <w:szCs w:val="20"/>
          <w:color w:val="auto"/>
        </w:rPr>
      </w:pPr>
    </w:p>
    <w:p>
      <w:pPr>
        <w:jc w:val="both"/>
        <w:ind w:right="20" w:firstLine="799"/>
        <w:spacing w:after="0" w:line="290" w:lineRule="auto"/>
        <w:rPr>
          <w:sz w:val="20"/>
          <w:szCs w:val="20"/>
          <w:color w:val="auto"/>
        </w:rPr>
      </w:pPr>
      <w:r>
        <w:rPr>
          <w:rFonts w:ascii="Arial" w:cs="Arial" w:eastAsia="Arial" w:hAnsi="Arial"/>
          <w:sz w:val="17"/>
          <w:szCs w:val="17"/>
          <w:color w:val="auto"/>
        </w:rPr>
        <w:t>(g)</w:t>
      </w:r>
      <w:r>
        <w:rPr>
          <w:rFonts w:ascii="Arial" w:cs="Arial" w:eastAsia="Arial" w:hAnsi="Arial"/>
          <w:sz w:val="17"/>
          <w:szCs w:val="17"/>
          <w:b w:val="1"/>
          <w:bCs w:val="1"/>
          <w:color w:val="auto"/>
        </w:rPr>
        <w:t>Limited Restriction on Sales to a Strategic Customer</w:t>
      </w:r>
      <w:r>
        <w:rPr>
          <w:rFonts w:ascii="Arial" w:cs="Arial" w:eastAsia="Arial" w:hAnsi="Arial"/>
          <w:sz w:val="17"/>
          <w:szCs w:val="17"/>
          <w:color w:val="auto"/>
        </w:rPr>
        <w:t>. For eighteen (18) months following the Termination Date, for whatever reason, Executive shall not sell or solicit the sale of a Competing Product to a Strategic Customer and Executive shall not perform Services as part of or in support of providing, selling or soliciting the sale of a Competing Product to a Strategic Customer.</w:t>
      </w:r>
    </w:p>
    <w:p>
      <w:pPr>
        <w:spacing w:after="0" w:line="115" w:lineRule="exact"/>
        <w:rPr>
          <w:sz w:val="20"/>
          <w:szCs w:val="20"/>
          <w:color w:val="auto"/>
        </w:rPr>
      </w:pPr>
    </w:p>
    <w:p>
      <w:pPr>
        <w:jc w:val="both"/>
        <w:ind w:right="20" w:firstLine="799"/>
        <w:spacing w:after="0" w:line="247" w:lineRule="auto"/>
        <w:rPr>
          <w:sz w:val="20"/>
          <w:szCs w:val="20"/>
          <w:color w:val="auto"/>
        </w:rPr>
      </w:pPr>
      <w:r>
        <w:rPr>
          <w:rFonts w:ascii="Arial" w:cs="Arial" w:eastAsia="Arial" w:hAnsi="Arial"/>
          <w:sz w:val="19"/>
          <w:szCs w:val="19"/>
          <w:color w:val="auto"/>
        </w:rPr>
        <w:t>(h)</w:t>
      </w:r>
      <w:r>
        <w:rPr>
          <w:rFonts w:ascii="Arial" w:cs="Arial" w:eastAsia="Arial" w:hAnsi="Arial"/>
          <w:sz w:val="19"/>
          <w:szCs w:val="19"/>
          <w:b w:val="1"/>
          <w:bCs w:val="1"/>
          <w:color w:val="auto"/>
        </w:rPr>
        <w:t>Limited Restriction on Sales in the Restricted Territory</w:t>
      </w:r>
      <w:r>
        <w:rPr>
          <w:rFonts w:ascii="Arial" w:cs="Arial" w:eastAsia="Arial" w:hAnsi="Arial"/>
          <w:sz w:val="19"/>
          <w:szCs w:val="19"/>
          <w:color w:val="auto"/>
        </w:rPr>
        <w:t>. For eighteen (18) months following the Termination Date, for whatever reason, Executive shall not perform Services as part of or in support of the business of selling, soliciting the sale of or providing Competing Products in the Restricted Territory.</w:t>
      </w:r>
    </w:p>
    <w:p>
      <w:pPr>
        <w:spacing w:after="0" w:line="149"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Limited Restriction on Design, Development, Production and Testing Activities in the Restricted Territory</w:t>
      </w:r>
      <w:r>
        <w:rPr>
          <w:rFonts w:ascii="Arial" w:cs="Arial" w:eastAsia="Arial" w:hAnsi="Arial"/>
          <w:sz w:val="18"/>
          <w:szCs w:val="18"/>
          <w:color w:val="auto"/>
        </w:rPr>
        <w:t>. For eighteen (18) months following the Termination Date, for whatever reason, Executive shall not perform Services as part of or in support of the business of designing, testing, developing or producing Competing Products for sale in the Restricted Territory.</w:t>
      </w:r>
    </w:p>
    <w:p>
      <w:pPr>
        <w:spacing w:after="0" w:line="136" w:lineRule="exact"/>
        <w:rPr>
          <w:sz w:val="20"/>
          <w:szCs w:val="20"/>
          <w:color w:val="auto"/>
        </w:rPr>
      </w:pPr>
    </w:p>
    <w:p>
      <w:pPr>
        <w:ind w:left="466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149860</wp:posOffset>
            </wp:positionV>
            <wp:extent cx="716470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0" w:right="319" w:bottom="1440" w:gutter="0" w:footer="0" w:header="0"/>
        </w:sectPr>
      </w:pPr>
    </w:p>
    <w:bookmarkStart w:id="142" w:name="page143"/>
    <w:bookmarkEnd w:id="142"/>
    <w:p>
      <w:pPr>
        <w:jc w:val="both"/>
        <w:ind w:firstLine="799"/>
        <w:spacing w:after="0" w:line="242" w:lineRule="auto"/>
        <w:rPr>
          <w:sz w:val="20"/>
          <w:szCs w:val="20"/>
          <w:color w:val="auto"/>
        </w:rPr>
      </w:pPr>
      <w:r>
        <w:rPr>
          <w:rFonts w:ascii="Arial" w:cs="Arial" w:eastAsia="Arial" w:hAnsi="Arial"/>
          <w:sz w:val="19"/>
          <w:szCs w:val="19"/>
          <w:color w:val="auto"/>
        </w:rPr>
        <w:t>(j)</w:t>
      </w:r>
      <w:r>
        <w:rPr>
          <w:rFonts w:ascii="Arial" w:cs="Arial" w:eastAsia="Arial" w:hAnsi="Arial"/>
          <w:sz w:val="19"/>
          <w:szCs w:val="19"/>
          <w:b w:val="1"/>
          <w:bCs w:val="1"/>
          <w:color w:val="auto"/>
        </w:rPr>
        <w:t>Non-solicitation of Key Employees</w:t>
      </w:r>
      <w:r>
        <w:rPr>
          <w:rFonts w:ascii="Arial" w:cs="Arial" w:eastAsia="Arial" w:hAnsi="Arial"/>
          <w:sz w:val="19"/>
          <w:szCs w:val="19"/>
          <w:color w:val="auto"/>
        </w:rPr>
        <w:t>. For eighteen (18) months following the Termination Date, for whatever reason, Executive shall not, without the prior written consent of Orion, solicit a Key Employee to engage in competition with Orion, unless such Key Employee has already ceased employment with Orion. This shall not bar any Key Employee of Orion from applying for or accepting employment with any person or entity.</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9"/>
          <w:szCs w:val="19"/>
          <w:color w:val="auto"/>
        </w:rPr>
        <w:t>(k)</w:t>
      </w:r>
      <w:r>
        <w:rPr>
          <w:rFonts w:ascii="Arial" w:cs="Arial" w:eastAsia="Arial" w:hAnsi="Arial"/>
          <w:sz w:val="19"/>
          <w:szCs w:val="19"/>
          <w:b w:val="1"/>
          <w:bCs w:val="1"/>
          <w:color w:val="auto"/>
        </w:rPr>
        <w:t>Disclosure and Assignment to Orion of Inventions and Innovations</w:t>
      </w:r>
      <w:r>
        <w:rPr>
          <w:rFonts w:ascii="Arial" w:cs="Arial" w:eastAsia="Arial" w:hAnsi="Arial"/>
          <w:sz w:val="19"/>
          <w:szCs w:val="19"/>
          <w:color w:val="auto"/>
        </w:rPr>
        <w:t>.</w:t>
      </w:r>
    </w:p>
    <w:p>
      <w:pPr>
        <w:spacing w:after="0" w:line="188" w:lineRule="exact"/>
        <w:rPr>
          <w:sz w:val="20"/>
          <w:szCs w:val="20"/>
          <w:color w:val="auto"/>
        </w:rPr>
      </w:pPr>
    </w:p>
    <w:p>
      <w:pPr>
        <w:jc w:val="both"/>
        <w:ind w:left="860" w:firstLine="732"/>
        <w:spacing w:after="0" w:line="249" w:lineRule="auto"/>
        <w:rPr>
          <w:sz w:val="20"/>
          <w:szCs w:val="20"/>
          <w:color w:val="auto"/>
        </w:rPr>
      </w:pPr>
      <w:r>
        <w:rPr>
          <w:rFonts w:ascii="Arial" w:cs="Arial" w:eastAsia="Arial" w:hAnsi="Arial"/>
          <w:sz w:val="18"/>
          <w:szCs w:val="18"/>
          <w:color w:val="auto"/>
        </w:rPr>
        <w:t>(i)Executive agrees to disclose and assign to Orion as Orion’s exclusive property, all inventions and technical or business innovations, including but not limited to all patentable and copyrightable subject matter (collectively, the “Innovations”) developed, authored or conceived by Executive solely or jointly with others during the period of Executive’s employment with Orion, including during Executive’s employment with Orion prior to the date of this Agreement, (1) that are along the lines of the business, work or investigations of Orion to which Executive’s employment relates or as to which Executive may receive information due to Executive’s employment with Orion, or (2) that result from or are suggested by any work which Executive may do for Orion or (3) that are otherwise made through the use of Orion time, facilities or materials. To the extent any of the Innovations is copyrightable, each such Innovation shall be considered a “work for hire.” Notwithstanding anything to the contrary above, “Innovations” shall not include (and the provisions of this Section 7(k) shall not apply to) any Innovations developed, authorized or conceived by Executive in connection with his academic endeavors, even if such Innovations were developed, authorized or conceived by Executive during his period of employment with Orion.</w:t>
      </w:r>
    </w:p>
    <w:p>
      <w:pPr>
        <w:spacing w:after="0" w:line="153" w:lineRule="exact"/>
        <w:rPr>
          <w:sz w:val="20"/>
          <w:szCs w:val="20"/>
          <w:color w:val="auto"/>
        </w:rPr>
      </w:pPr>
    </w:p>
    <w:p>
      <w:pPr>
        <w:jc w:val="both"/>
        <w:ind w:left="860" w:firstLine="732"/>
        <w:spacing w:after="0" w:line="287" w:lineRule="auto"/>
        <w:rPr>
          <w:sz w:val="20"/>
          <w:szCs w:val="20"/>
          <w:color w:val="auto"/>
        </w:rPr>
      </w:pPr>
      <w:r>
        <w:rPr>
          <w:rFonts w:ascii="Arial" w:cs="Arial" w:eastAsia="Arial" w:hAnsi="Arial"/>
          <w:sz w:val="17"/>
          <w:szCs w:val="17"/>
          <w:color w:val="auto"/>
        </w:rPr>
        <w:t>(ii)Executive agrees to execute all necessary papers and otherwise provide proper assistance (at Orion’s expense), during and subsequent to Executive’s employment, to enable Orion to obtain for itself or its nominees, all right, title, and interest in and to patents, copyrights, trademarks or other legal protection for such Innovations in any and all countries.</w:t>
      </w:r>
    </w:p>
    <w:p>
      <w:pPr>
        <w:spacing w:after="0" w:line="122"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(iii)Executive agrees to make and maintain for Orion adequate and current written records of all such Innovations;</w:t>
      </w:r>
    </w:p>
    <w:p>
      <w:pPr>
        <w:spacing w:after="0" w:line="205" w:lineRule="exact"/>
        <w:rPr>
          <w:sz w:val="20"/>
          <w:szCs w:val="20"/>
          <w:color w:val="auto"/>
        </w:rPr>
      </w:pPr>
    </w:p>
    <w:p>
      <w:pPr>
        <w:jc w:val="both"/>
        <w:ind w:left="860" w:right="20" w:firstLine="732"/>
        <w:spacing w:after="0" w:line="244" w:lineRule="auto"/>
        <w:rPr>
          <w:sz w:val="20"/>
          <w:szCs w:val="20"/>
          <w:color w:val="auto"/>
        </w:rPr>
      </w:pPr>
      <w:r>
        <w:rPr>
          <w:rFonts w:ascii="Arial" w:cs="Arial" w:eastAsia="Arial" w:hAnsi="Arial"/>
          <w:sz w:val="19"/>
          <w:szCs w:val="19"/>
          <w:color w:val="auto"/>
        </w:rPr>
        <w:t>(iv)Upon the Termination Date, Executive agrees to deliver to Orion promptly all items which belong to Orion or which by their nature are for the use of Orion employees only, including, without limitation, all written and other materials which are of a secret or confidential nature relating to the business of Orion.</w:t>
      </w:r>
    </w:p>
    <w:p>
      <w:pPr>
        <w:spacing w:after="0" w:line="157" w:lineRule="exact"/>
        <w:rPr>
          <w:sz w:val="20"/>
          <w:szCs w:val="20"/>
          <w:color w:val="auto"/>
        </w:rPr>
      </w:pPr>
    </w:p>
    <w:p>
      <w:pPr>
        <w:jc w:val="both"/>
        <w:ind w:left="860" w:firstLine="732"/>
        <w:spacing w:after="0" w:line="278" w:lineRule="auto"/>
        <w:rPr>
          <w:sz w:val="20"/>
          <w:szCs w:val="20"/>
          <w:color w:val="auto"/>
        </w:rPr>
      </w:pPr>
      <w:r>
        <w:rPr>
          <w:rFonts w:ascii="Arial" w:cs="Arial" w:eastAsia="Arial" w:hAnsi="Arial"/>
          <w:sz w:val="17"/>
          <w:szCs w:val="17"/>
          <w:color w:val="auto"/>
        </w:rPr>
        <w:t>(v)In the event Orion is unable for any reason whatsoever to secure Executive’s signature to any lawful and necessary documents required, including those necessary for the assignment of, application for, or prosecution of any United States or foreign application for letters patent or copyright for any Innovation, Executive hereby irrevocably designates and appoints Orion and its duly authorized officers and agents as Executive’s agent and attorney-in-fact, to act for and in</w:t>
      </w:r>
    </w:p>
    <w:p>
      <w:pPr>
        <w:spacing w:after="0" w:line="130" w:lineRule="exact"/>
        <w:rPr>
          <w:sz w:val="20"/>
          <w:szCs w:val="20"/>
          <w:color w:val="auto"/>
        </w:rPr>
      </w:pPr>
    </w:p>
    <w:p>
      <w:pPr>
        <w:ind w:left="466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149860</wp:posOffset>
            </wp:positionV>
            <wp:extent cx="716470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14" w:right="319" w:bottom="1440" w:gutter="0" w:footer="0" w:header="0"/>
        </w:sectPr>
      </w:pPr>
    </w:p>
    <w:bookmarkStart w:id="143" w:name="page144"/>
    <w:bookmarkEnd w:id="143"/>
    <w:p>
      <w:pPr>
        <w:jc w:val="both"/>
        <w:ind w:left="860"/>
        <w:spacing w:after="0" w:line="238" w:lineRule="auto"/>
        <w:rPr>
          <w:sz w:val="20"/>
          <w:szCs w:val="20"/>
          <w:color w:val="auto"/>
        </w:rPr>
      </w:pPr>
      <w:r>
        <w:rPr>
          <w:rFonts w:ascii="Arial" w:cs="Arial" w:eastAsia="Arial" w:hAnsi="Arial"/>
          <w:sz w:val="19"/>
          <w:szCs w:val="19"/>
          <w:color w:val="auto"/>
        </w:rPr>
        <w:t>Executive’s behalf and stead to execute and file any such applications and to do all other lawfully permitted acts to further the assignment, prosecution, and issuance of letters patent or registration of copyright thereon with the same legal force and effect as if executed by Executive. Executive hereby waives and quitclaims to Orion any and all claims, of any nature whatsoever, which Executive may now have or may hereafter have for infringement of any patent or copyright resulting from any such application.</w:t>
      </w:r>
    </w:p>
    <w:p>
      <w:pPr>
        <w:spacing w:after="0" w:line="158" w:lineRule="exact"/>
        <w:rPr>
          <w:sz w:val="20"/>
          <w:szCs w:val="20"/>
          <w:color w:val="auto"/>
        </w:rPr>
      </w:pPr>
    </w:p>
    <w:p>
      <w:pPr>
        <w:jc w:val="both"/>
        <w:ind w:firstLine="799"/>
        <w:spacing w:after="0" w:line="251" w:lineRule="auto"/>
        <w:rPr>
          <w:sz w:val="20"/>
          <w:szCs w:val="20"/>
          <w:color w:val="auto"/>
        </w:rPr>
      </w:pPr>
      <w:r>
        <w:rPr>
          <w:rFonts w:ascii="Arial" w:cs="Arial" w:eastAsia="Arial" w:hAnsi="Arial"/>
          <w:sz w:val="18"/>
          <w:szCs w:val="18"/>
          <w:color w:val="auto"/>
        </w:rPr>
        <w:t>(l)(n)</w:t>
      </w:r>
      <w:r>
        <w:rPr>
          <w:rFonts w:ascii="Arial" w:cs="Arial" w:eastAsia="Arial" w:hAnsi="Arial"/>
          <w:sz w:val="18"/>
          <w:szCs w:val="18"/>
          <w:b w:val="1"/>
          <w:bCs w:val="1"/>
          <w:color w:val="auto"/>
        </w:rPr>
        <w:t>Remedies Not Exclusive</w:t>
      </w:r>
      <w:r>
        <w:rPr>
          <w:rFonts w:ascii="Arial" w:cs="Arial" w:eastAsia="Arial" w:hAnsi="Arial"/>
          <w:sz w:val="18"/>
          <w:szCs w:val="18"/>
          <w:color w:val="auto"/>
        </w:rPr>
        <w:t>. In the event that Executive breaches any terms of this Section 7, Executive acknowledges and agrees that said breach may result in the immediate and irreparable harm to the business and goodwill of Orion and that damages, if any, and remedies of law for such breach may be inadequate and indeterminable. Orion, upon Executive’s breach of this Section 7, shall therefore be entitled (in addition to and without limiting any other remedies that Orion may seek under this Agreement or otherwise at law or in equity) to (1) seek from any court of competent jurisdiction equitable relief by way of temporary or permanent injunction and without being required to post a bond, to restrain any violation of this Section 7, and for such further relief as the court may deem just or proper in law or equity, and (2) in the event that Orion shall prevail, its reasonable attorney’s fees and costs and other expenses in enforcing its rights under this Section 7.</w:t>
      </w:r>
    </w:p>
    <w:p>
      <w:pPr>
        <w:spacing w:after="0" w:line="151" w:lineRule="exact"/>
        <w:rPr>
          <w:sz w:val="20"/>
          <w:szCs w:val="20"/>
          <w:color w:val="auto"/>
        </w:rPr>
      </w:pPr>
    </w:p>
    <w:p>
      <w:pPr>
        <w:jc w:val="both"/>
        <w:ind w:firstLine="799"/>
        <w:spacing w:after="0" w:line="272" w:lineRule="auto"/>
        <w:rPr>
          <w:sz w:val="20"/>
          <w:szCs w:val="20"/>
          <w:color w:val="auto"/>
        </w:rPr>
      </w:pPr>
      <w:r>
        <w:rPr>
          <w:rFonts w:ascii="Arial" w:cs="Arial" w:eastAsia="Arial" w:hAnsi="Arial"/>
          <w:sz w:val="17"/>
          <w:szCs w:val="17"/>
          <w:color w:val="auto"/>
        </w:rPr>
        <w:t>(m)</w:t>
      </w:r>
      <w:r>
        <w:rPr>
          <w:rFonts w:ascii="Arial" w:cs="Arial" w:eastAsia="Arial" w:hAnsi="Arial"/>
          <w:sz w:val="17"/>
          <w:szCs w:val="17"/>
          <w:b w:val="1"/>
          <w:bCs w:val="1"/>
          <w:color w:val="auto"/>
        </w:rPr>
        <w:t>Severability of Provisions</w:t>
      </w:r>
      <w:r>
        <w:rPr>
          <w:rFonts w:ascii="Arial" w:cs="Arial" w:eastAsia="Arial" w:hAnsi="Arial"/>
          <w:sz w:val="17"/>
          <w:szCs w:val="17"/>
          <w:color w:val="auto"/>
        </w:rPr>
        <w:t>. If any restriction, limitation, or provision of this Section 7 is deemed to be unreasonable, onerous, or unduly restrictive by a court of competent jurisdiction, it shall not be stricken in its entirety and held totally void and unenforceable, but shall remain effective to the maximum extent possible within the bounds of the law. If any phrase, clause or provision of this Section 7 is declared invalid or unenforceable by a court of competent jurisdiction, such phrase, clause, or provision shall be deemed severed from this Section 7, but will not affect any other provision of this Section 7, which shall otherwise remain in full force and effect. The provisions of this Section 7 are each declared to be separate and distinct covenants by Executive.</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9"/>
          <w:szCs w:val="19"/>
          <w:color w:val="auto"/>
        </w:rPr>
        <w:t>(n)</w:t>
      </w:r>
      <w:r>
        <w:rPr>
          <w:rFonts w:ascii="Arial" w:cs="Arial" w:eastAsia="Arial" w:hAnsi="Arial"/>
          <w:sz w:val="19"/>
          <w:szCs w:val="19"/>
          <w:b w:val="1"/>
          <w:bCs w:val="1"/>
          <w:color w:val="auto"/>
        </w:rPr>
        <w:t>Limits on Confidentiality Requirements</w:t>
      </w:r>
      <w:r>
        <w:rPr>
          <w:rFonts w:ascii="Arial" w:cs="Arial" w:eastAsia="Arial" w:hAnsi="Arial"/>
          <w:sz w:val="19"/>
          <w:szCs w:val="19"/>
          <w:color w:val="auto"/>
        </w:rPr>
        <w:t>.</w:t>
      </w:r>
    </w:p>
    <w:p>
      <w:pPr>
        <w:spacing w:after="0" w:line="188" w:lineRule="exact"/>
        <w:rPr>
          <w:sz w:val="20"/>
          <w:szCs w:val="20"/>
          <w:color w:val="auto"/>
        </w:rPr>
      </w:pPr>
    </w:p>
    <w:p>
      <w:pPr>
        <w:jc w:val="both"/>
        <w:ind w:left="860" w:firstLine="732"/>
        <w:spacing w:after="0" w:line="255" w:lineRule="auto"/>
        <w:rPr>
          <w:sz w:val="20"/>
          <w:szCs w:val="20"/>
          <w:color w:val="auto"/>
        </w:rPr>
      </w:pPr>
      <w:r>
        <w:rPr>
          <w:rFonts w:ascii="Arial" w:cs="Arial" w:eastAsia="Arial" w:hAnsi="Arial"/>
          <w:sz w:val="18"/>
          <w:szCs w:val="18"/>
          <w:color w:val="auto"/>
        </w:rPr>
        <w:t>(i)Nothing in this Agreement is intended to discourage or restrict the Executive from communicating with, or making a report with, any governmental authority regarding a good faith belief of any violations of law or regulations based on information that the Executive acquired through lawful means in the course of the Executive’s employment, including such disclosures protected or required by any whistleblower law or regulation of the Securities and Exchange Commission, the Department of Labor, or any other appropriate governmental authority.</w:t>
      </w:r>
    </w:p>
    <w:p>
      <w:pPr>
        <w:spacing w:after="0" w:line="148" w:lineRule="exact"/>
        <w:rPr>
          <w:sz w:val="20"/>
          <w:szCs w:val="20"/>
          <w:color w:val="auto"/>
        </w:rPr>
      </w:pPr>
    </w:p>
    <w:p>
      <w:pPr>
        <w:jc w:val="both"/>
        <w:ind w:left="860" w:firstLine="732"/>
        <w:spacing w:after="0" w:line="278" w:lineRule="auto"/>
        <w:rPr>
          <w:sz w:val="20"/>
          <w:szCs w:val="20"/>
          <w:color w:val="auto"/>
        </w:rPr>
      </w:pPr>
      <w:r>
        <w:rPr>
          <w:rFonts w:ascii="Arial" w:cs="Arial" w:eastAsia="Arial" w:hAnsi="Arial"/>
          <w:sz w:val="17"/>
          <w:szCs w:val="17"/>
          <w:color w:val="auto"/>
        </w:rPr>
        <w:t>(ii)Nothing in this Agreement is intended to discourage or restrict the Executive from reporting any theft of Trade Secrets pursuant to the Defend Trade Secrets Act of 2016 (the “DTSA”) or other applicable state or federal law. The DTSA prohibits retaliation against an employee because of whistleblower activity in connection with the disclosure of Trade Secrets, so long as any such disclosure is made either (i) in confidence to an attorney or a federal, state, or local government</w:t>
      </w:r>
    </w:p>
    <w:p>
      <w:pPr>
        <w:spacing w:after="0" w:line="130" w:lineRule="exact"/>
        <w:rPr>
          <w:sz w:val="20"/>
          <w:szCs w:val="20"/>
          <w:color w:val="auto"/>
        </w:rPr>
      </w:pPr>
    </w:p>
    <w:p>
      <w:pPr>
        <w:ind w:left="466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149860</wp:posOffset>
            </wp:positionV>
            <wp:extent cx="716470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320" w:right="319" w:bottom="1440" w:gutter="0" w:footer="0" w:header="0"/>
        </w:sectPr>
      </w:pPr>
    </w:p>
    <w:bookmarkStart w:id="144" w:name="page145"/>
    <w:bookmarkEnd w:id="144"/>
    <w:p>
      <w:pPr>
        <w:jc w:val="both"/>
        <w:ind w:left="1720"/>
        <w:spacing w:after="0" w:line="255" w:lineRule="auto"/>
        <w:rPr>
          <w:sz w:val="20"/>
          <w:szCs w:val="20"/>
          <w:color w:val="auto"/>
        </w:rPr>
      </w:pPr>
      <w:r>
        <w:rPr>
          <w:rFonts w:ascii="Arial" w:cs="Arial" w:eastAsia="Arial" w:hAnsi="Arial"/>
          <w:sz w:val="19"/>
          <w:szCs w:val="19"/>
          <w:color w:val="auto"/>
        </w:rPr>
        <w:t>official and solely to report or investigate a suspected violation of the law, or (ii) under seal in a complaint or other document filed in a lawsuit or other proceeding.</w:t>
      </w:r>
    </w:p>
    <w:p>
      <w:pPr>
        <w:spacing w:after="0" w:line="148" w:lineRule="exact"/>
        <w:rPr>
          <w:sz w:val="20"/>
          <w:szCs w:val="20"/>
          <w:color w:val="auto"/>
        </w:rPr>
      </w:pPr>
    </w:p>
    <w:p>
      <w:pPr>
        <w:jc w:val="both"/>
        <w:ind w:left="1720" w:firstLine="732"/>
        <w:spacing w:after="0" w:line="236" w:lineRule="auto"/>
        <w:rPr>
          <w:sz w:val="20"/>
          <w:szCs w:val="20"/>
          <w:color w:val="auto"/>
        </w:rPr>
      </w:pPr>
      <w:r>
        <w:rPr>
          <w:rFonts w:ascii="Arial" w:cs="Arial" w:eastAsia="Arial" w:hAnsi="Arial"/>
          <w:sz w:val="19"/>
          <w:szCs w:val="19"/>
          <w:color w:val="auto"/>
        </w:rPr>
        <w:t>(iii)If the Executive believes that any employee or any third party has misappropriated or improperly used or disclosed Trade Secrets or Confidential Information, the Executive should report such activity through the Company’s Whistle Blower Policy (as provided in the Employee Handbook and/or any other then applicable policies and procedures of the Company) or Compliance Hotline. This Agreement is in addition to and not in lieu of any obligations to protect the Company’s Trade Secrets and Confidential Information pursuant to the Employee Handbook and/or any other then applicable policies and procedures of the Company and Code of Business Conduct and Ethics for Directors and Employees. Nothing in this Agreement shall limit, curtail or diminish the Company’s statutory rights under the DTSA, any applicable state law regarding trade secrets or common law.</w:t>
      </w:r>
    </w:p>
    <w:p>
      <w:pPr>
        <w:spacing w:after="0" w:line="158" w:lineRule="exact"/>
        <w:rPr>
          <w:sz w:val="20"/>
          <w:szCs w:val="20"/>
          <w:color w:val="auto"/>
        </w:rPr>
      </w:pPr>
    </w:p>
    <w:p>
      <w:pPr>
        <w:jc w:val="both"/>
        <w:ind w:right="20" w:firstLine="1732"/>
        <w:spacing w:after="0" w:line="242" w:lineRule="auto"/>
        <w:rPr>
          <w:sz w:val="20"/>
          <w:szCs w:val="20"/>
          <w:color w:val="auto"/>
        </w:rPr>
      </w:pPr>
      <w:r>
        <w:rPr>
          <w:rFonts w:ascii="Arial" w:cs="Arial" w:eastAsia="Arial" w:hAnsi="Arial"/>
          <w:sz w:val="19"/>
          <w:szCs w:val="19"/>
          <w:color w:val="auto"/>
        </w:rPr>
        <w:t>8.</w:t>
      </w: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Any notice, request, demand or other communication required or permitted herein will be deemed to be properly given when personally served in writing or when deposited in the United States mail, postage prepaid, addressed to Executive at the address on file at the Company and to Orion with attention to the Chief Executive Officer of Orion. Either party may change its address by written notice in accordance with this paragraph.</w:t>
      </w:r>
    </w:p>
    <w:p>
      <w:pPr>
        <w:spacing w:after="0" w:line="154" w:lineRule="exact"/>
        <w:rPr>
          <w:sz w:val="20"/>
          <w:szCs w:val="20"/>
          <w:color w:val="auto"/>
        </w:rPr>
      </w:pPr>
    </w:p>
    <w:p>
      <w:pPr>
        <w:jc w:val="both"/>
        <w:ind w:firstLine="1732"/>
        <w:spacing w:after="0" w:line="275" w:lineRule="auto"/>
        <w:rPr>
          <w:sz w:val="20"/>
          <w:szCs w:val="20"/>
          <w:color w:val="auto"/>
        </w:rPr>
      </w:pPr>
      <w:r>
        <w:rPr>
          <w:rFonts w:ascii="Arial" w:cs="Arial" w:eastAsia="Arial" w:hAnsi="Arial"/>
          <w:sz w:val="17"/>
          <w:szCs w:val="17"/>
          <w:color w:val="auto"/>
        </w:rPr>
        <w:t>9.</w:t>
      </w:r>
      <w:r>
        <w:rPr>
          <w:rFonts w:ascii="Arial" w:cs="Arial" w:eastAsia="Arial" w:hAnsi="Arial"/>
          <w:sz w:val="17"/>
          <w:szCs w:val="17"/>
          <w:b w:val="1"/>
          <w:bCs w:val="1"/>
          <w:u w:val="single" w:color="auto"/>
          <w:color w:val="auto"/>
        </w:rPr>
        <w:t>Set Off; Mitigation</w:t>
      </w:r>
      <w:r>
        <w:rPr>
          <w:rFonts w:ascii="Arial" w:cs="Arial" w:eastAsia="Arial" w:hAnsi="Arial"/>
          <w:sz w:val="17"/>
          <w:szCs w:val="17"/>
          <w:color w:val="auto"/>
        </w:rPr>
        <w:t>. Orion’s obligation to pay Executive any amounts and to provide any of the benefits hereunder shall be subject to set-off, counterclaim or recoupment of amounts owed by Executive to Orion provided, that notwithstanding any other provision of this Agreement to the contrary, in no event shall any payment under this Agreement that constitutes “nonqualified deferred compensation” for purposes of Code Section 409A be subject to the offset by any other amount unless otherwise permitted by Code Section 409A. However, Executive shall not be required to mitigate the amount of any payment provided for pursuant to this Agreement by seeking other employment or otherwise.</w:t>
      </w:r>
    </w:p>
    <w:p>
      <w:pPr>
        <w:spacing w:after="0" w:line="127" w:lineRule="exact"/>
        <w:rPr>
          <w:sz w:val="20"/>
          <w:szCs w:val="20"/>
          <w:color w:val="auto"/>
        </w:rPr>
      </w:pPr>
    </w:p>
    <w:p>
      <w:pPr>
        <w:jc w:val="both"/>
        <w:ind w:firstLine="1732"/>
        <w:spacing w:after="0" w:line="238" w:lineRule="auto"/>
        <w:rPr>
          <w:sz w:val="20"/>
          <w:szCs w:val="20"/>
          <w:color w:val="auto"/>
        </w:rPr>
      </w:pPr>
      <w:r>
        <w:rPr>
          <w:rFonts w:ascii="Arial" w:cs="Arial" w:eastAsia="Arial" w:hAnsi="Arial"/>
          <w:sz w:val="19"/>
          <w:szCs w:val="19"/>
          <w:color w:val="auto"/>
        </w:rPr>
        <w:t>10.</w:t>
      </w:r>
      <w:r>
        <w:rPr>
          <w:rFonts w:ascii="Arial" w:cs="Arial" w:eastAsia="Arial" w:hAnsi="Arial"/>
          <w:sz w:val="19"/>
          <w:szCs w:val="19"/>
          <w:b w:val="1"/>
          <w:bCs w:val="1"/>
          <w:u w:val="single" w:color="auto"/>
          <w:color w:val="auto"/>
        </w:rPr>
        <w:t>Benefit of Agreement</w:t>
      </w:r>
      <w:r>
        <w:rPr>
          <w:rFonts w:ascii="Arial" w:cs="Arial" w:eastAsia="Arial" w:hAnsi="Arial"/>
          <w:sz w:val="19"/>
          <w:szCs w:val="19"/>
          <w:color w:val="auto"/>
        </w:rPr>
        <w:t>. This Agreement shall inure to the benefit of and be binding upon the parties hereto and their respective executors, administrators, successors and assigns. Orion will require any successor (whether direct or indirect, by purchase, merger, consolidation or otherwise) to all or substantially all of the business and/or assets of Orion to assume expressly and agree to perform this Agreement in the same manner and to the same extent that Orion would be required to perform it if no such succession had taken place. As used in this Agreement, “Orion” shall mean Orion as hereinbefore defined and any successor to its business and/or assets as aforesaid which assumes and agrees to perform this Agreement by operation of law, or otherwise.</w:t>
      </w:r>
    </w:p>
    <w:p>
      <w:pPr>
        <w:spacing w:after="0" w:line="159" w:lineRule="exact"/>
        <w:rPr>
          <w:sz w:val="20"/>
          <w:szCs w:val="20"/>
          <w:color w:val="auto"/>
        </w:rPr>
      </w:pPr>
    </w:p>
    <w:p>
      <w:pPr>
        <w:jc w:val="both"/>
        <w:ind w:firstLine="1732"/>
        <w:spacing w:after="0" w:line="256" w:lineRule="auto"/>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Any controversy or claim arising out of or relating to this Agreement or the breach of this Agreement that cannot be mutually resolved by the Executive and Orion, including any dispute as to the calculation of the Executive’s Accrued Benefits, Base Salary, bonus amount or any Severance Payment hereunder, shall be submitted to arbitration in Milwaukee, Wisconsin, in accordance with the procedures of the American Arbitration Association. The determination of the arbitrator shall be conclusive and binding on Orion and the Executive, and judgment may be entered on the arbitrator’s award in any court having jurisdiction.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6470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145" w:name="page146"/>
    <w:bookmarkEnd w:id="145"/>
    <w:p>
      <w:pPr>
        <w:jc w:val="both"/>
        <w:ind w:right="20"/>
        <w:spacing w:after="0" w:line="255" w:lineRule="auto"/>
        <w:rPr>
          <w:sz w:val="20"/>
          <w:szCs w:val="20"/>
          <w:color w:val="auto"/>
        </w:rPr>
      </w:pPr>
      <w:r>
        <w:rPr>
          <w:rFonts w:ascii="Arial" w:cs="Arial" w:eastAsia="Arial" w:hAnsi="Arial"/>
          <w:sz w:val="19"/>
          <w:szCs w:val="19"/>
          <w:color w:val="auto"/>
        </w:rPr>
        <w:t>Notwithstanding the foregoing, both Executive and Orion may seek to obtain injunctive relief in a Wisconsin court of competent jurisdiction pending arbitration.</w:t>
      </w:r>
    </w:p>
    <w:p>
      <w:pPr>
        <w:spacing w:after="0" w:line="142" w:lineRule="exact"/>
        <w:rPr>
          <w:sz w:val="20"/>
          <w:szCs w:val="20"/>
          <w:color w:val="auto"/>
        </w:rPr>
      </w:pPr>
    </w:p>
    <w:p>
      <w:pPr>
        <w:jc w:val="both"/>
        <w:ind w:firstLine="1732"/>
        <w:spacing w:after="0" w:line="242" w:lineRule="auto"/>
        <w:rPr>
          <w:sz w:val="20"/>
          <w:szCs w:val="20"/>
          <w:color w:val="auto"/>
        </w:rPr>
      </w:pPr>
      <w:r>
        <w:rPr>
          <w:rFonts w:ascii="Arial" w:cs="Arial" w:eastAsia="Arial" w:hAnsi="Arial"/>
          <w:sz w:val="19"/>
          <w:szCs w:val="19"/>
          <w:color w:val="auto"/>
        </w:rPr>
        <w:t>12.</w:t>
      </w:r>
      <w:r>
        <w:rPr>
          <w:rFonts w:ascii="Arial" w:cs="Arial" w:eastAsia="Arial" w:hAnsi="Arial"/>
          <w:sz w:val="19"/>
          <w:szCs w:val="19"/>
          <w:b w:val="1"/>
          <w:bCs w:val="1"/>
          <w:u w:val="single" w:color="auto"/>
          <w:color w:val="auto"/>
        </w:rPr>
        <w:t>Applicable Law and Jurisdiction</w:t>
      </w:r>
      <w:r>
        <w:rPr>
          <w:rFonts w:ascii="Arial" w:cs="Arial" w:eastAsia="Arial" w:hAnsi="Arial"/>
          <w:sz w:val="19"/>
          <w:szCs w:val="19"/>
          <w:color w:val="auto"/>
        </w:rPr>
        <w:t>. This Agreement is to be governed by and construed under the laws of the United States and of the State of Wisconsin without resort to Wisconsin’s choice of law rules. Each party hereby agrees that the forum and venue for any legal or equitable action or proceeding arising out of, or in connection with, this Agreement will lie in the appropriate federal or state courts in the State of Wisconsin and specifically waives any and all objections to such jurisdiction and venue.</w:t>
      </w:r>
    </w:p>
    <w:p>
      <w:pPr>
        <w:spacing w:after="0" w:line="154"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13.</w:t>
      </w:r>
      <w:r>
        <w:rPr>
          <w:rFonts w:ascii="Arial" w:cs="Arial" w:eastAsia="Arial" w:hAnsi="Arial"/>
          <w:sz w:val="19"/>
          <w:szCs w:val="19"/>
          <w:b w:val="1"/>
          <w:bCs w:val="1"/>
          <w:u w:val="single" w:color="auto"/>
          <w:color w:val="auto"/>
        </w:rPr>
        <w:t>Section 409A Compliance</w:t>
      </w:r>
    </w:p>
    <w:p>
      <w:pPr>
        <w:spacing w:after="0" w:line="188" w:lineRule="exact"/>
        <w:rPr>
          <w:sz w:val="20"/>
          <w:szCs w:val="20"/>
          <w:color w:val="auto"/>
        </w:rPr>
      </w:pPr>
    </w:p>
    <w:p>
      <w:pPr>
        <w:jc w:val="both"/>
        <w:ind w:firstLine="1732"/>
        <w:spacing w:after="0" w:line="250" w:lineRule="auto"/>
        <w:rPr>
          <w:sz w:val="20"/>
          <w:szCs w:val="20"/>
          <w:color w:val="auto"/>
        </w:rPr>
      </w:pPr>
      <w:r>
        <w:rPr>
          <w:rFonts w:ascii="Arial" w:cs="Arial" w:eastAsia="Arial" w:hAnsi="Arial"/>
          <w:sz w:val="18"/>
          <w:szCs w:val="18"/>
          <w:color w:val="auto"/>
        </w:rPr>
        <w:t>(a) . This Agreement is intended to comply with, or otherwise be exempt from, Section 409A of the Code (“Section 409A”). Orion shall undertake to administer, interpret, and construe this Agreement in a manner that does not result in the imposition to the Executive of additional taxes or interest under Section 409A of the Code. If a payment obligation under this Agreement arises on account of the Executive’s Separation from Service while the Executive is a “specified employee” (as defined under Section 409A of the Code and determined in good faith by the Board), any payment of “deferred compensation” (as defined under Treasury Regulation Section 1.409A-1(b)(1), after giving effect to the exemptions in Treasury Regulation Sections 1.409A-1(b)(3) through (b)(12)) that is scheduled to be paid within six (6) months after such Separation from Service shall accrue without interest and shall be paid within fifteen (15) days after the end of the six-month period beginning on the date of such separation from service or, if earlier, within fifteen (15) days after the appointment of the personal representative or executor of the Executive’s estate following his death.</w:t>
      </w:r>
    </w:p>
    <w:p>
      <w:pPr>
        <w:spacing w:after="0" w:line="148" w:lineRule="exact"/>
        <w:rPr>
          <w:sz w:val="20"/>
          <w:szCs w:val="20"/>
          <w:color w:val="auto"/>
        </w:rPr>
      </w:pPr>
    </w:p>
    <w:p>
      <w:pPr>
        <w:jc w:val="both"/>
        <w:ind w:firstLine="1732"/>
        <w:spacing w:after="0" w:line="262" w:lineRule="auto"/>
        <w:rPr>
          <w:sz w:val="20"/>
          <w:szCs w:val="20"/>
          <w:color w:val="auto"/>
        </w:rPr>
      </w:pPr>
      <w:r>
        <w:rPr>
          <w:rFonts w:ascii="Arial" w:cs="Arial" w:eastAsia="Arial" w:hAnsi="Arial"/>
          <w:sz w:val="19"/>
          <w:szCs w:val="19"/>
          <w:color w:val="auto"/>
        </w:rPr>
        <w:t>14.</w:t>
      </w:r>
      <w:r>
        <w:rPr>
          <w:rFonts w:ascii="Arial" w:cs="Arial" w:eastAsia="Arial" w:hAnsi="Arial"/>
          <w:sz w:val="19"/>
          <w:szCs w:val="19"/>
          <w:b w:val="1"/>
          <w:bCs w:val="1"/>
          <w:u w:val="single" w:color="auto"/>
          <w:color w:val="auto"/>
        </w:rPr>
        <w:t>Captions and Paragraph Headings</w:t>
      </w:r>
      <w:r>
        <w:rPr>
          <w:rFonts w:ascii="Arial" w:cs="Arial" w:eastAsia="Arial" w:hAnsi="Arial"/>
          <w:sz w:val="19"/>
          <w:szCs w:val="19"/>
          <w:color w:val="auto"/>
        </w:rPr>
        <w:t>. Captions and paragraph headings used herein are for convenience only and are not a part of this Agreement and will not be used in construing it.</w:t>
      </w:r>
    </w:p>
    <w:p>
      <w:pPr>
        <w:spacing w:after="0" w:line="135" w:lineRule="exact"/>
        <w:rPr>
          <w:sz w:val="20"/>
          <w:szCs w:val="20"/>
          <w:color w:val="auto"/>
        </w:rPr>
      </w:pPr>
    </w:p>
    <w:p>
      <w:pPr>
        <w:jc w:val="both"/>
        <w:ind w:right="20" w:firstLine="1732"/>
        <w:spacing w:after="0" w:line="290" w:lineRule="auto"/>
        <w:rPr>
          <w:sz w:val="20"/>
          <w:szCs w:val="20"/>
          <w:color w:val="auto"/>
        </w:rPr>
      </w:pPr>
      <w:r>
        <w:rPr>
          <w:rFonts w:ascii="Arial" w:cs="Arial" w:eastAsia="Arial" w:hAnsi="Arial"/>
          <w:sz w:val="17"/>
          <w:szCs w:val="17"/>
          <w:color w:val="auto"/>
        </w:rPr>
        <w:t>15.</w:t>
      </w:r>
      <w:r>
        <w:rPr>
          <w:rFonts w:ascii="Arial" w:cs="Arial" w:eastAsia="Arial" w:hAnsi="Arial"/>
          <w:sz w:val="17"/>
          <w:szCs w:val="17"/>
          <w:b w:val="1"/>
          <w:bCs w:val="1"/>
          <w:u w:val="single" w:color="auto"/>
          <w:color w:val="auto"/>
        </w:rPr>
        <w:t>Invalid Provisions</w:t>
      </w:r>
      <w:r>
        <w:rPr>
          <w:rFonts w:ascii="Arial" w:cs="Arial" w:eastAsia="Arial" w:hAnsi="Arial"/>
          <w:sz w:val="17"/>
          <w:szCs w:val="17"/>
          <w:color w:val="auto"/>
        </w:rPr>
        <w:t>. Subject to Section 7(e), should any provision of this Agreement for any reason be declared invalid, void, or unenforceable by a court of competent jurisdiction, the validity and binding effect of any remaining portion will not be affected, and the remaining portions of this Agreement will remain in full force and effect as if this Agreement had been executed with said provision eliminated.</w:t>
      </w:r>
    </w:p>
    <w:p>
      <w:pPr>
        <w:spacing w:after="0" w:line="115" w:lineRule="exact"/>
        <w:rPr>
          <w:sz w:val="20"/>
          <w:szCs w:val="20"/>
          <w:color w:val="auto"/>
        </w:rPr>
      </w:pPr>
    </w:p>
    <w:p>
      <w:pPr>
        <w:jc w:val="both"/>
        <w:ind w:right="20" w:firstLine="1732"/>
        <w:spacing w:after="0" w:line="247" w:lineRule="auto"/>
        <w:rPr>
          <w:sz w:val="20"/>
          <w:szCs w:val="20"/>
          <w:color w:val="auto"/>
        </w:rPr>
      </w:pPr>
      <w:r>
        <w:rPr>
          <w:rFonts w:ascii="Arial" w:cs="Arial" w:eastAsia="Arial" w:hAnsi="Arial"/>
          <w:sz w:val="19"/>
          <w:szCs w:val="19"/>
          <w:color w:val="auto"/>
        </w:rPr>
        <w:t>16.</w:t>
      </w:r>
      <w:r>
        <w:rPr>
          <w:rFonts w:ascii="Arial" w:cs="Arial" w:eastAsia="Arial" w:hAnsi="Arial"/>
          <w:sz w:val="19"/>
          <w:szCs w:val="19"/>
          <w:b w:val="1"/>
          <w:bCs w:val="1"/>
          <w:u w:val="single" w:color="auto"/>
          <w:color w:val="auto"/>
        </w:rPr>
        <w:t>No Waiver</w:t>
      </w:r>
      <w:r>
        <w:rPr>
          <w:rFonts w:ascii="Arial" w:cs="Arial" w:eastAsia="Arial" w:hAnsi="Arial"/>
          <w:sz w:val="19"/>
          <w:szCs w:val="19"/>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49" w:lineRule="exact"/>
        <w:rPr>
          <w:sz w:val="20"/>
          <w:szCs w:val="20"/>
          <w:color w:val="auto"/>
        </w:rPr>
      </w:pPr>
    </w:p>
    <w:p>
      <w:pPr>
        <w:jc w:val="both"/>
        <w:ind w:firstLine="1732"/>
        <w:spacing w:after="0" w:line="256" w:lineRule="auto"/>
        <w:rPr>
          <w:sz w:val="20"/>
          <w:szCs w:val="20"/>
          <w:color w:val="auto"/>
        </w:rPr>
      </w:pPr>
      <w:r>
        <w:rPr>
          <w:rFonts w:ascii="Arial" w:cs="Arial" w:eastAsia="Arial" w:hAnsi="Arial"/>
          <w:sz w:val="18"/>
          <w:szCs w:val="18"/>
          <w:color w:val="auto"/>
        </w:rPr>
        <w:t>17.</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contains the entire agreement of the parties with respect to the subject matter of this Agreement and supersedes the Prior Agreement and any and all other agreements, either oral or in writing, between the parties hereto with respect to the employment of Executive by Orion. Each party to this Agreement acknowledges that no representations, inducements, promises, or agreements, oral or otherwise, have been made by any party, or anyone acting on behalf of any party, which are not embodied herein, and that no other agreement, statement, or promise not contained in this Agreement will be valid or binding.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6470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146" w:name="page147"/>
    <w:bookmarkEnd w:id="146"/>
    <w:p>
      <w:pPr>
        <w:ind w:firstLine="1732"/>
        <w:spacing w:after="0" w:line="262" w:lineRule="auto"/>
        <w:rPr>
          <w:sz w:val="20"/>
          <w:szCs w:val="20"/>
          <w:color w:val="auto"/>
        </w:rPr>
      </w:pPr>
      <w:r>
        <w:rPr>
          <w:rFonts w:ascii="Arial" w:cs="Arial" w:eastAsia="Arial" w:hAnsi="Arial"/>
          <w:sz w:val="19"/>
          <w:szCs w:val="19"/>
          <w:color w:val="auto"/>
        </w:rPr>
        <w:t>18.</w:t>
      </w:r>
      <w:r>
        <w:rPr>
          <w:rFonts w:ascii="Arial" w:cs="Arial" w:eastAsia="Arial" w:hAnsi="Arial"/>
          <w:sz w:val="19"/>
          <w:szCs w:val="19"/>
          <w:b w:val="1"/>
          <w:bCs w:val="1"/>
          <w:u w:val="single" w:color="auto"/>
          <w:color w:val="auto"/>
        </w:rPr>
        <w:t>Modification</w:t>
      </w:r>
      <w:r>
        <w:rPr>
          <w:rFonts w:ascii="Arial" w:cs="Arial" w:eastAsia="Arial" w:hAnsi="Arial"/>
          <w:sz w:val="19"/>
          <w:szCs w:val="19"/>
          <w:color w:val="auto"/>
        </w:rPr>
        <w:t>. This Agreement may not be modified or amended by oral agreement, but only by an agreement in writing signed by Orion and Executive.</w:t>
      </w:r>
    </w:p>
    <w:p>
      <w:pPr>
        <w:spacing w:after="0" w:line="135" w:lineRule="exact"/>
        <w:rPr>
          <w:sz w:val="20"/>
          <w:szCs w:val="20"/>
          <w:color w:val="auto"/>
        </w:rPr>
      </w:pPr>
    </w:p>
    <w:p>
      <w:pPr>
        <w:ind w:firstLine="1732"/>
        <w:spacing w:after="0" w:line="262" w:lineRule="auto"/>
        <w:rPr>
          <w:sz w:val="20"/>
          <w:szCs w:val="20"/>
          <w:color w:val="auto"/>
        </w:rPr>
      </w:pPr>
      <w:r>
        <w:rPr>
          <w:rFonts w:ascii="Arial" w:cs="Arial" w:eastAsia="Arial" w:hAnsi="Arial"/>
          <w:sz w:val="19"/>
          <w:szCs w:val="19"/>
          <w:color w:val="auto"/>
        </w:rPr>
        <w:t>19.</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6470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47" w:name="page148"/>
    <w:bookmarkEnd w:id="147"/>
    <w:p>
      <w:pPr>
        <w:ind w:left="86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this Agreement is effective as of the Effective Date set forth above.</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Scott Green</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Scott Green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ORION ENERGY SYSTEMS, INC</w:t>
      </w:r>
      <w:r>
        <w:rPr>
          <w:rFonts w:ascii="Arial" w:cs="Arial" w:eastAsia="Arial" w:hAnsi="Arial"/>
          <w:sz w:val="19"/>
          <w:szCs w:val="19"/>
          <w:color w:val="auto"/>
        </w:rPr>
        <w:t>.</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0" w:type="dxa"/>
            <w:vAlign w:val="bottom"/>
          </w:tcPr>
          <w:p>
            <w:pPr>
              <w:spacing w:after="0"/>
              <w:rPr>
                <w:sz w:val="20"/>
                <w:szCs w:val="20"/>
                <w:color w:val="auto"/>
              </w:rPr>
            </w:pPr>
            <w:r>
              <w:rPr>
                <w:rFonts w:ascii="Arial" w:cs="Arial" w:eastAsia="Arial" w:hAnsi="Arial"/>
                <w:sz w:val="19"/>
                <w:szCs w:val="19"/>
                <w:color w:val="auto"/>
              </w:rPr>
              <w:t>By:</w:t>
            </w:r>
          </w:p>
        </w:tc>
        <w:tc>
          <w:tcPr>
            <w:tcW w:w="220" w:type="dxa"/>
            <w:vAlign w:val="bottom"/>
          </w:tcPr>
          <w:p>
            <w:pPr>
              <w:spacing w:after="0"/>
              <w:rPr>
                <w:sz w:val="18"/>
                <w:szCs w:val="18"/>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1"/>
              </w:rPr>
              <w:t>/s/ Michael W. Altschaefl</w:t>
            </w:r>
          </w:p>
        </w:tc>
        <w:tc>
          <w:tcPr>
            <w:tcW w:w="8720" w:type="dxa"/>
            <w:vAlign w:val="bottom"/>
          </w:tcPr>
          <w:p>
            <w:pPr>
              <w:spacing w:after="0"/>
              <w:rPr>
                <w:sz w:val="18"/>
                <w:szCs w:val="18"/>
                <w:color w:val="auto"/>
              </w:rPr>
            </w:pPr>
          </w:p>
        </w:tc>
      </w:tr>
      <w:tr>
        <w:trPr>
          <w:trHeight w:val="208"/>
        </w:trPr>
        <w:tc>
          <w:tcPr>
            <w:tcW w:w="420" w:type="dxa"/>
            <w:vAlign w:val="bottom"/>
          </w:tcPr>
          <w:p>
            <w:pPr>
              <w:spacing w:after="0"/>
              <w:rPr>
                <w:sz w:val="18"/>
                <w:szCs w:val="18"/>
                <w:color w:val="auto"/>
              </w:rPr>
            </w:pPr>
          </w:p>
        </w:tc>
        <w:tc>
          <w:tcPr>
            <w:tcW w:w="10860" w:type="dxa"/>
            <w:vAlign w:val="bottom"/>
            <w:gridSpan w:val="3"/>
          </w:tcPr>
          <w:p>
            <w:pPr>
              <w:ind w:left="160"/>
              <w:spacing w:after="0" w:line="208" w:lineRule="exact"/>
              <w:rPr>
                <w:sz w:val="20"/>
                <w:szCs w:val="20"/>
                <w:color w:val="auto"/>
              </w:rPr>
            </w:pPr>
            <w:r>
              <w:rPr>
                <w:rFonts w:ascii="Arial" w:cs="Arial" w:eastAsia="Arial" w:hAnsi="Arial"/>
                <w:sz w:val="19"/>
                <w:szCs w:val="19"/>
                <w:color w:val="auto"/>
              </w:rPr>
              <w:t>Michael W. Altschaefl</w:t>
            </w:r>
          </w:p>
        </w:tc>
      </w:tr>
      <w:tr>
        <w:trPr>
          <w:trHeight w:val="240"/>
        </w:trPr>
        <w:tc>
          <w:tcPr>
            <w:tcW w:w="420" w:type="dxa"/>
            <w:vAlign w:val="bottom"/>
          </w:tcPr>
          <w:p>
            <w:pPr>
              <w:spacing w:after="0"/>
              <w:rPr>
                <w:sz w:val="20"/>
                <w:szCs w:val="20"/>
                <w:color w:val="auto"/>
              </w:rPr>
            </w:pPr>
          </w:p>
        </w:tc>
        <w:tc>
          <w:tcPr>
            <w:tcW w:w="10860" w:type="dxa"/>
            <w:vAlign w:val="bottom"/>
            <w:gridSpan w:val="3"/>
          </w:tcPr>
          <w:p>
            <w:pPr>
              <w:ind w:left="160"/>
              <w:spacing w:after="0"/>
              <w:rPr>
                <w:sz w:val="20"/>
                <w:szCs w:val="20"/>
                <w:color w:val="auto"/>
              </w:rPr>
            </w:pPr>
            <w:r>
              <w:rPr>
                <w:rFonts w:ascii="Arial" w:cs="Arial" w:eastAsia="Arial" w:hAnsi="Arial"/>
                <w:sz w:val="19"/>
                <w:szCs w:val="19"/>
                <w:color w:val="auto"/>
              </w:rPr>
              <w:t>Chief Executive Officer</w:t>
            </w:r>
          </w:p>
        </w:tc>
      </w:tr>
      <w:tr>
        <w:trPr>
          <w:trHeight w:val="406"/>
        </w:trPr>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-6985</wp:posOffset>
            </wp:positionV>
            <wp:extent cx="762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4" w:right="299" w:bottom="1440" w:gutter="0" w:footer="0" w:header="0"/>
        </w:sectPr>
      </w:pPr>
    </w:p>
    <w:bookmarkStart w:id="148" w:name="page149"/>
    <w:bookmarkEnd w:id="148"/>
    <w:p>
      <w:pPr>
        <w:jc w:val="center"/>
        <w:ind w:right="-5"/>
        <w:spacing w:after="0"/>
        <w:rPr>
          <w:sz w:val="20"/>
          <w:szCs w:val="20"/>
          <w:color w:val="auto"/>
        </w:rPr>
      </w:pPr>
      <w:r>
        <w:rPr>
          <w:rFonts w:ascii="Arial" w:cs="Arial" w:eastAsia="Arial" w:hAnsi="Arial"/>
          <w:sz w:val="19"/>
          <w:szCs w:val="19"/>
          <w:b w:val="1"/>
          <w:bCs w:val="1"/>
          <w:color w:val="auto"/>
        </w:rPr>
        <w:t>EXHIBIT A</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Benefits and Perquisites*</w:t>
      </w:r>
    </w:p>
    <w:p>
      <w:pPr>
        <w:spacing w:after="0" w:line="145" w:lineRule="exact"/>
        <w:rPr>
          <w:sz w:val="20"/>
          <w:szCs w:val="20"/>
          <w:color w:val="auto"/>
        </w:rPr>
      </w:pPr>
    </w:p>
    <w:p>
      <w:pPr>
        <w:jc w:val="both"/>
        <w:ind w:left="6" w:right="260" w:hanging="6"/>
        <w:spacing w:after="0" w:line="274" w:lineRule="auto"/>
        <w:tabs>
          <w:tab w:leader="none" w:pos="123" w:val="left"/>
        </w:tabs>
        <w:numPr>
          <w:ilvl w:val="0"/>
          <w:numId w:val="80"/>
        </w:numPr>
        <w:rPr>
          <w:rFonts w:ascii="Arial" w:cs="Arial" w:eastAsia="Arial" w:hAnsi="Arial"/>
          <w:sz w:val="15"/>
          <w:szCs w:val="15"/>
          <w:color w:val="auto"/>
        </w:rPr>
      </w:pPr>
      <w:r>
        <w:rPr>
          <w:rFonts w:ascii="Arial" w:cs="Arial" w:eastAsia="Arial" w:hAnsi="Arial"/>
          <w:sz w:val="15"/>
          <w:szCs w:val="15"/>
          <w:color w:val="auto"/>
        </w:rPr>
        <w:t>Note: The listed benefits and perquisites are in addition to those generally made available to all other senior executives of Orion under Orion’s employee benefit plans (other than annual and long-term incentive plans, which are addressed in Section 3 of the Agreement) as in effect from time to time. Executive is entitled to participate in such benefit plans on the same basis as those benefits are generally made available to other senior executives of Orion. Currently, such company-wide benefits include: (i) 401(k) Plan; (ii) group short term disability insurance; and (iii) group health and prescription drug insurance.</w:t>
      </w:r>
    </w:p>
    <w:p>
      <w:pPr>
        <w:spacing w:after="0" w:line="342"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5740" w:type="dxa"/>
            <w:vAlign w:val="bottom"/>
            <w:gridSpan w:val="2"/>
          </w:tcPr>
          <w:p>
            <w:pPr>
              <w:spacing w:after="0"/>
              <w:rPr>
                <w:sz w:val="20"/>
                <w:szCs w:val="20"/>
                <w:color w:val="auto"/>
              </w:rPr>
            </w:pPr>
            <w:r>
              <w:rPr>
                <w:rFonts w:ascii="Arial" w:cs="Arial" w:eastAsia="Arial" w:hAnsi="Arial"/>
                <w:sz w:val="16"/>
                <w:szCs w:val="16"/>
                <w:color w:val="auto"/>
              </w:rPr>
              <w:t>Benefit</w:t>
            </w:r>
          </w:p>
        </w:tc>
        <w:tc>
          <w:tcPr>
            <w:tcW w:w="5520" w:type="dxa"/>
            <w:vAlign w:val="bottom"/>
            <w:gridSpan w:val="2"/>
          </w:tcPr>
          <w:p>
            <w:pPr>
              <w:ind w:left="240"/>
              <w:spacing w:after="0"/>
              <w:rPr>
                <w:sz w:val="20"/>
                <w:szCs w:val="20"/>
                <w:color w:val="auto"/>
              </w:rPr>
            </w:pPr>
            <w:r>
              <w:rPr>
                <w:rFonts w:ascii="Arial" w:cs="Arial" w:eastAsia="Arial" w:hAnsi="Arial"/>
                <w:sz w:val="16"/>
                <w:szCs w:val="16"/>
                <w:color w:val="auto"/>
              </w:rPr>
              <w:t>Amount</w:t>
            </w:r>
          </w:p>
        </w:tc>
      </w:tr>
      <w:tr>
        <w:trPr>
          <w:trHeight w:val="20"/>
        </w:trPr>
        <w:tc>
          <w:tcPr>
            <w:tcW w:w="140" w:type="dxa"/>
            <w:vAlign w:val="bottom"/>
            <w:shd w:val="clear" w:color="auto" w:fill="000000"/>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285"/>
        </w:trPr>
        <w:tc>
          <w:tcPr>
            <w:tcW w:w="140" w:type="dxa"/>
            <w:vAlign w:val="bottom"/>
          </w:tcPr>
          <w:p>
            <w:pPr>
              <w:spacing w:after="0"/>
              <w:rPr>
                <w:sz w:val="20"/>
                <w:szCs w:val="20"/>
                <w:color w:val="auto"/>
              </w:rPr>
            </w:pPr>
            <w:r>
              <w:rPr>
                <w:rFonts w:ascii="Arial" w:cs="Arial" w:eastAsia="Arial" w:hAnsi="Arial"/>
                <w:sz w:val="16"/>
                <w:szCs w:val="16"/>
                <w:color w:val="auto"/>
                <w:w w:val="89"/>
              </w:rPr>
              <w:t>1.</w:t>
            </w:r>
          </w:p>
        </w:tc>
        <w:tc>
          <w:tcPr>
            <w:tcW w:w="5600" w:type="dxa"/>
            <w:vAlign w:val="bottom"/>
          </w:tcPr>
          <w:p>
            <w:pPr>
              <w:ind w:left="20"/>
              <w:spacing w:after="0"/>
              <w:rPr>
                <w:sz w:val="20"/>
                <w:szCs w:val="20"/>
                <w:color w:val="auto"/>
              </w:rPr>
            </w:pPr>
            <w:r>
              <w:rPr>
                <w:rFonts w:ascii="Arial" w:cs="Arial" w:eastAsia="Arial" w:hAnsi="Arial"/>
                <w:sz w:val="16"/>
                <w:szCs w:val="16"/>
                <w:color w:val="auto"/>
              </w:rPr>
              <w:t>Life Insurance</w:t>
            </w:r>
          </w:p>
        </w:tc>
        <w:tc>
          <w:tcPr>
            <w:tcW w:w="5520" w:type="dxa"/>
            <w:vAlign w:val="bottom"/>
            <w:gridSpan w:val="2"/>
          </w:tcPr>
          <w:p>
            <w:pPr>
              <w:ind w:left="240"/>
              <w:spacing w:after="0"/>
              <w:rPr>
                <w:sz w:val="20"/>
                <w:szCs w:val="20"/>
                <w:color w:val="auto"/>
              </w:rPr>
            </w:pPr>
            <w:r>
              <w:rPr>
                <w:rFonts w:ascii="Arial" w:cs="Arial" w:eastAsia="Arial" w:hAnsi="Arial"/>
                <w:sz w:val="16"/>
                <w:szCs w:val="16"/>
                <w:color w:val="auto"/>
              </w:rPr>
              <w:t>$1,000,000 (face value)</w:t>
            </w:r>
          </w:p>
        </w:tc>
      </w:tr>
      <w:tr>
        <w:trPr>
          <w:trHeight w:val="294"/>
        </w:trPr>
        <w:tc>
          <w:tcPr>
            <w:tcW w:w="140" w:type="dxa"/>
            <w:vAlign w:val="bottom"/>
          </w:tcPr>
          <w:p>
            <w:pPr>
              <w:spacing w:after="0"/>
              <w:rPr>
                <w:sz w:val="20"/>
                <w:szCs w:val="20"/>
                <w:color w:val="auto"/>
              </w:rPr>
            </w:pPr>
            <w:r>
              <w:rPr>
                <w:rFonts w:ascii="Arial" w:cs="Arial" w:eastAsia="Arial" w:hAnsi="Arial"/>
                <w:sz w:val="16"/>
                <w:szCs w:val="16"/>
                <w:color w:val="auto"/>
                <w:w w:val="89"/>
              </w:rPr>
              <w:t>2.</w:t>
            </w:r>
          </w:p>
        </w:tc>
        <w:tc>
          <w:tcPr>
            <w:tcW w:w="5600" w:type="dxa"/>
            <w:vAlign w:val="bottom"/>
          </w:tcPr>
          <w:p>
            <w:pPr>
              <w:ind w:left="20"/>
              <w:spacing w:after="0"/>
              <w:rPr>
                <w:sz w:val="20"/>
                <w:szCs w:val="20"/>
                <w:color w:val="auto"/>
              </w:rPr>
            </w:pPr>
            <w:r>
              <w:rPr>
                <w:rFonts w:ascii="Arial" w:cs="Arial" w:eastAsia="Arial" w:hAnsi="Arial"/>
                <w:sz w:val="16"/>
                <w:szCs w:val="16"/>
                <w:color w:val="auto"/>
              </w:rPr>
              <w:t>Health/Prescription Drug Reimbursement</w:t>
            </w:r>
          </w:p>
        </w:tc>
        <w:tc>
          <w:tcPr>
            <w:tcW w:w="5520" w:type="dxa"/>
            <w:vAlign w:val="bottom"/>
            <w:gridSpan w:val="2"/>
          </w:tcPr>
          <w:p>
            <w:pPr>
              <w:ind w:left="240"/>
              <w:spacing w:after="0"/>
              <w:rPr>
                <w:sz w:val="20"/>
                <w:szCs w:val="20"/>
                <w:color w:val="auto"/>
              </w:rPr>
            </w:pPr>
            <w:r>
              <w:rPr>
                <w:rFonts w:ascii="Arial" w:cs="Arial" w:eastAsia="Arial" w:hAnsi="Arial"/>
                <w:sz w:val="16"/>
                <w:szCs w:val="16"/>
                <w:color w:val="auto"/>
              </w:rPr>
              <w:t>Reimbursed by Company Per Current Practice</w:t>
            </w:r>
          </w:p>
        </w:tc>
      </w:tr>
      <w:tr>
        <w:trPr>
          <w:trHeight w:val="294"/>
        </w:trPr>
        <w:tc>
          <w:tcPr>
            <w:tcW w:w="140" w:type="dxa"/>
            <w:vAlign w:val="bottom"/>
          </w:tcPr>
          <w:p>
            <w:pPr>
              <w:spacing w:after="0"/>
              <w:rPr>
                <w:sz w:val="20"/>
                <w:szCs w:val="20"/>
                <w:color w:val="auto"/>
              </w:rPr>
            </w:pPr>
            <w:r>
              <w:rPr>
                <w:rFonts w:ascii="Arial" w:cs="Arial" w:eastAsia="Arial" w:hAnsi="Arial"/>
                <w:sz w:val="16"/>
                <w:szCs w:val="16"/>
                <w:color w:val="auto"/>
                <w:w w:val="89"/>
              </w:rPr>
              <w:t>3.</w:t>
            </w:r>
          </w:p>
        </w:tc>
        <w:tc>
          <w:tcPr>
            <w:tcW w:w="5600" w:type="dxa"/>
            <w:vAlign w:val="bottom"/>
          </w:tcPr>
          <w:p>
            <w:pPr>
              <w:ind w:left="20"/>
              <w:spacing w:after="0"/>
              <w:rPr>
                <w:sz w:val="20"/>
                <w:szCs w:val="20"/>
                <w:color w:val="auto"/>
              </w:rPr>
            </w:pPr>
            <w:r>
              <w:rPr>
                <w:rFonts w:ascii="Arial" w:cs="Arial" w:eastAsia="Arial" w:hAnsi="Arial"/>
                <w:sz w:val="16"/>
                <w:szCs w:val="16"/>
                <w:color w:val="auto"/>
              </w:rPr>
              <w:t>Group Long Term Disability Insurance</w:t>
            </w:r>
          </w:p>
        </w:tc>
        <w:tc>
          <w:tcPr>
            <w:tcW w:w="5520" w:type="dxa"/>
            <w:vAlign w:val="bottom"/>
            <w:gridSpan w:val="2"/>
          </w:tcPr>
          <w:p>
            <w:pPr>
              <w:ind w:left="240"/>
              <w:spacing w:after="0"/>
              <w:rPr>
                <w:sz w:val="20"/>
                <w:szCs w:val="20"/>
                <w:color w:val="auto"/>
              </w:rPr>
            </w:pPr>
            <w:r>
              <w:rPr>
                <w:rFonts w:ascii="Arial" w:cs="Arial" w:eastAsia="Arial" w:hAnsi="Arial"/>
                <w:sz w:val="16"/>
                <w:szCs w:val="16"/>
                <w:color w:val="auto"/>
              </w:rPr>
              <w:t>Reimbursed by Company Per Current Practice</w:t>
            </w:r>
          </w:p>
        </w:tc>
      </w:tr>
      <w:tr>
        <w:trPr>
          <w:trHeight w:val="294"/>
        </w:trPr>
        <w:tc>
          <w:tcPr>
            <w:tcW w:w="140" w:type="dxa"/>
            <w:vAlign w:val="bottom"/>
          </w:tcPr>
          <w:p>
            <w:pPr>
              <w:spacing w:after="0"/>
              <w:rPr>
                <w:sz w:val="20"/>
                <w:szCs w:val="20"/>
                <w:color w:val="auto"/>
              </w:rPr>
            </w:pPr>
            <w:r>
              <w:rPr>
                <w:rFonts w:ascii="Arial" w:cs="Arial" w:eastAsia="Arial" w:hAnsi="Arial"/>
                <w:sz w:val="16"/>
                <w:szCs w:val="16"/>
                <w:color w:val="auto"/>
                <w:w w:val="89"/>
              </w:rPr>
              <w:t>4.</w:t>
            </w:r>
          </w:p>
        </w:tc>
        <w:tc>
          <w:tcPr>
            <w:tcW w:w="5600" w:type="dxa"/>
            <w:vAlign w:val="bottom"/>
          </w:tcPr>
          <w:p>
            <w:pPr>
              <w:ind w:left="20"/>
              <w:spacing w:after="0"/>
              <w:rPr>
                <w:sz w:val="20"/>
                <w:szCs w:val="20"/>
                <w:color w:val="auto"/>
              </w:rPr>
            </w:pPr>
            <w:r>
              <w:rPr>
                <w:rFonts w:ascii="Arial" w:cs="Arial" w:eastAsia="Arial" w:hAnsi="Arial"/>
                <w:sz w:val="16"/>
                <w:szCs w:val="16"/>
                <w:color w:val="auto"/>
              </w:rPr>
              <w:t>Automobile Allowance</w:t>
            </w:r>
          </w:p>
        </w:tc>
        <w:tc>
          <w:tcPr>
            <w:tcW w:w="5520" w:type="dxa"/>
            <w:vAlign w:val="bottom"/>
            <w:gridSpan w:val="2"/>
          </w:tcPr>
          <w:p>
            <w:pPr>
              <w:ind w:left="240"/>
              <w:spacing w:after="0"/>
              <w:rPr>
                <w:sz w:val="20"/>
                <w:szCs w:val="20"/>
                <w:color w:val="auto"/>
              </w:rPr>
            </w:pPr>
            <w:r>
              <w:rPr>
                <w:rFonts w:ascii="Arial" w:cs="Arial" w:eastAsia="Arial" w:hAnsi="Arial"/>
                <w:sz w:val="16"/>
                <w:szCs w:val="16"/>
                <w:color w:val="auto"/>
              </w:rPr>
              <w:t>$1,000 per month</w:t>
            </w:r>
          </w:p>
        </w:tc>
      </w:tr>
    </w:tbl>
    <w:p>
      <w:pPr>
        <w:sectPr>
          <w:pgSz w:w="11900" w:h="16838" w:orient="portrait"/>
          <w:cols w:equalWidth="0" w:num="1">
            <w:col w:w="11266"/>
          </w:cols>
          <w:pgMar w:left="314" w:top="314" w:right="3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6"/>
          <w:szCs w:val="16"/>
          <w:b w:val="1"/>
          <w:bCs w:val="1"/>
          <w:color w:val="auto"/>
        </w:rPr>
        <w:t>Exhibit 21.1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7400" w:type="dxa"/>
            <w:vAlign w:val="bottom"/>
            <w:gridSpan w:val="3"/>
          </w:tcPr>
          <w:p>
            <w:pPr>
              <w:ind w:left="1360"/>
              <w:spacing w:after="0"/>
              <w:rPr>
                <w:sz w:val="20"/>
                <w:szCs w:val="20"/>
                <w:color w:val="auto"/>
              </w:rPr>
            </w:pPr>
            <w:r>
              <w:rPr>
                <w:rFonts w:ascii="Arial" w:cs="Arial" w:eastAsia="Arial" w:hAnsi="Arial"/>
                <w:sz w:val="16"/>
                <w:szCs w:val="16"/>
                <w:b w:val="1"/>
                <w:bCs w:val="1"/>
                <w:color w:val="auto"/>
              </w:rPr>
              <w:t>Subsidiaries</w:t>
            </w:r>
          </w:p>
        </w:tc>
      </w:tr>
      <w:tr>
        <w:trPr>
          <w:trHeight w:val="401"/>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Entity</w:t>
            </w:r>
          </w:p>
        </w:tc>
        <w:tc>
          <w:tcPr>
            <w:tcW w:w="1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Jurisdiction of Organization</w:t>
            </w:r>
          </w:p>
        </w:tc>
      </w:tr>
      <w:tr>
        <w:trPr>
          <w:trHeight w:val="168"/>
        </w:trPr>
        <w:tc>
          <w:tcPr>
            <w:tcW w:w="3860" w:type="dxa"/>
            <w:vAlign w:val="bottom"/>
          </w:tcPr>
          <w:p>
            <w:pPr>
              <w:ind w:left="20"/>
              <w:spacing w:after="0" w:line="168" w:lineRule="exact"/>
              <w:rPr>
                <w:sz w:val="20"/>
                <w:szCs w:val="20"/>
                <w:color w:val="auto"/>
              </w:rPr>
            </w:pPr>
            <w:r>
              <w:rPr>
                <w:rFonts w:ascii="Arial" w:cs="Arial" w:eastAsia="Arial" w:hAnsi="Arial"/>
                <w:sz w:val="16"/>
                <w:szCs w:val="16"/>
                <w:color w:val="auto"/>
              </w:rPr>
              <w:t>Great Lakes Energy Technologies, LLC</w:t>
            </w: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Pr>
          <w:p>
            <w:pPr>
              <w:ind w:left="40"/>
              <w:spacing w:after="0" w:line="168" w:lineRule="exact"/>
              <w:rPr>
                <w:sz w:val="20"/>
                <w:szCs w:val="20"/>
                <w:color w:val="auto"/>
              </w:rPr>
            </w:pPr>
            <w:r>
              <w:rPr>
                <w:rFonts w:ascii="Arial" w:cs="Arial" w:eastAsia="Arial" w:hAnsi="Arial"/>
                <w:sz w:val="16"/>
                <w:szCs w:val="16"/>
                <w:color w:val="auto"/>
              </w:rPr>
              <w:t>Wisconsin</w:t>
            </w:r>
          </w:p>
        </w:tc>
      </w:tr>
      <w:tr>
        <w:trPr>
          <w:trHeight w:val="188"/>
        </w:trPr>
        <w:tc>
          <w:tcPr>
            <w:tcW w:w="3860" w:type="dxa"/>
            <w:vAlign w:val="bottom"/>
          </w:tcPr>
          <w:p>
            <w:pPr>
              <w:ind w:left="20"/>
              <w:spacing w:after="0"/>
              <w:rPr>
                <w:sz w:val="20"/>
                <w:szCs w:val="20"/>
                <w:color w:val="auto"/>
              </w:rPr>
            </w:pPr>
            <w:r>
              <w:rPr>
                <w:rFonts w:ascii="Arial" w:cs="Arial" w:eastAsia="Arial" w:hAnsi="Arial"/>
                <w:sz w:val="16"/>
                <w:szCs w:val="16"/>
                <w:color w:val="auto"/>
              </w:rPr>
              <w:t>Clean Energy Solutions, LLC</w:t>
            </w: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tcPr>
          <w:p>
            <w:pPr>
              <w:ind w:left="40"/>
              <w:spacing w:after="0"/>
              <w:rPr>
                <w:sz w:val="20"/>
                <w:szCs w:val="20"/>
                <w:color w:val="auto"/>
              </w:rPr>
            </w:pPr>
            <w:r>
              <w:rPr>
                <w:rFonts w:ascii="Arial" w:cs="Arial" w:eastAsia="Arial" w:hAnsi="Arial"/>
                <w:sz w:val="16"/>
                <w:szCs w:val="16"/>
                <w:color w:val="auto"/>
              </w:rPr>
              <w:t>Wisconsin</w:t>
            </w:r>
          </w:p>
        </w:tc>
      </w:tr>
      <w:tr>
        <w:trPr>
          <w:trHeight w:val="188"/>
        </w:trPr>
        <w:tc>
          <w:tcPr>
            <w:tcW w:w="3860" w:type="dxa"/>
            <w:vAlign w:val="bottom"/>
          </w:tcPr>
          <w:p>
            <w:pPr>
              <w:ind w:left="20"/>
              <w:spacing w:after="0"/>
              <w:rPr>
                <w:sz w:val="20"/>
                <w:szCs w:val="20"/>
                <w:color w:val="auto"/>
              </w:rPr>
            </w:pPr>
            <w:r>
              <w:rPr>
                <w:rFonts w:ascii="Arial" w:cs="Arial" w:eastAsia="Arial" w:hAnsi="Arial"/>
                <w:sz w:val="16"/>
                <w:szCs w:val="16"/>
                <w:color w:val="auto"/>
              </w:rPr>
              <w:t>Orion Asset Management, LLC</w:t>
            </w: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tcPr>
          <w:p>
            <w:pPr>
              <w:ind w:left="40"/>
              <w:spacing w:after="0"/>
              <w:rPr>
                <w:sz w:val="20"/>
                <w:szCs w:val="20"/>
                <w:color w:val="auto"/>
              </w:rPr>
            </w:pPr>
            <w:r>
              <w:rPr>
                <w:rFonts w:ascii="Arial" w:cs="Arial" w:eastAsia="Arial" w:hAnsi="Arial"/>
                <w:sz w:val="16"/>
                <w:szCs w:val="16"/>
                <w:color w:val="auto"/>
              </w:rPr>
              <w:t>Wisconsin</w:t>
            </w:r>
          </w:p>
        </w:tc>
      </w:tr>
      <w:tr>
        <w:trPr>
          <w:trHeight w:val="200"/>
        </w:trPr>
        <w:tc>
          <w:tcPr>
            <w:tcW w:w="3860" w:type="dxa"/>
            <w:vAlign w:val="bottom"/>
          </w:tcPr>
          <w:p>
            <w:pPr>
              <w:ind w:left="20"/>
              <w:spacing w:after="0"/>
              <w:rPr>
                <w:sz w:val="20"/>
                <w:szCs w:val="20"/>
                <w:color w:val="auto"/>
              </w:rPr>
            </w:pPr>
            <w:r>
              <w:rPr>
                <w:rFonts w:ascii="Arial" w:cs="Arial" w:eastAsia="Arial" w:hAnsi="Arial"/>
                <w:sz w:val="16"/>
                <w:szCs w:val="16"/>
                <w:color w:val="auto"/>
              </w:rPr>
              <w:t>Orion LED Canada, Inc.</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20" w:type="dxa"/>
            <w:vAlign w:val="bottom"/>
          </w:tcPr>
          <w:p>
            <w:pPr>
              <w:ind w:left="40"/>
              <w:spacing w:after="0"/>
              <w:rPr>
                <w:sz w:val="20"/>
                <w:szCs w:val="20"/>
                <w:color w:val="auto"/>
              </w:rPr>
            </w:pPr>
            <w:r>
              <w:rPr>
                <w:rFonts w:ascii="Arial" w:cs="Arial" w:eastAsia="Arial" w:hAnsi="Arial"/>
                <w:sz w:val="16"/>
                <w:szCs w:val="16"/>
                <w:color w:val="auto"/>
              </w:rPr>
              <w:t>British Columbia, Canada</w:t>
            </w:r>
          </w:p>
        </w:tc>
      </w:tr>
    </w:tbl>
    <w:p>
      <w:pPr>
        <w:sectPr>
          <w:pgSz w:w="11900" w:h="16838" w:orient="portrait"/>
          <w:cols w:equalWidth="0" w:num="1">
            <w:col w:w="11260"/>
          </w:cols>
          <w:pgMar w:left="320" w:top="123"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6"/>
          <w:szCs w:val="16"/>
          <w:b w:val="1"/>
          <w:bCs w:val="1"/>
          <w:color w:val="auto"/>
        </w:rPr>
        <w:t>Exhibit 23.1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Orion Energy Systems,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Manitowoc, Wisconsin</w:t>
      </w:r>
    </w:p>
    <w:p>
      <w:pPr>
        <w:spacing w:after="0" w:line="181" w:lineRule="exact"/>
        <w:rPr>
          <w:sz w:val="20"/>
          <w:szCs w:val="20"/>
          <w:color w:val="auto"/>
        </w:rPr>
      </w:pPr>
    </w:p>
    <w:p>
      <w:pPr>
        <w:ind w:right="20"/>
        <w:spacing w:after="0" w:line="382" w:lineRule="auto"/>
        <w:rPr>
          <w:sz w:val="20"/>
          <w:szCs w:val="20"/>
          <w:color w:val="auto"/>
        </w:rPr>
      </w:pPr>
      <w:r>
        <w:rPr>
          <w:rFonts w:ascii="Arial" w:cs="Arial" w:eastAsia="Arial" w:hAnsi="Arial"/>
          <w:sz w:val="13"/>
          <w:szCs w:val="13"/>
          <w:color w:val="auto"/>
        </w:rPr>
        <w:t>We hereby consent to the incorporation by reference in the Registration Statements on Form S-3 (No. 333-236837) and Form S-8 (No.333-148401, 333-169611, 333-176176, 333-213042, and 333-233180) of Orion Energy Systems, Inc. of our report dated June 5, 2020, relating to the consolidated financial statements, which appears in this Form 10-K.</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/s/BDO USA, LLP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June 5, 2020</w:t>
      </w:r>
    </w:p>
    <w:p>
      <w:pPr>
        <w:sectPr>
          <w:pgSz w:w="11900" w:h="16838" w:orient="portrait"/>
          <w:cols w:equalWidth="0" w:num="1">
            <w:col w:w="11260"/>
          </w:cols>
          <w:pgMar w:left="320" w:top="123"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6"/>
          <w:szCs w:val="16"/>
          <w:b w:val="1"/>
          <w:bCs w:val="1"/>
          <w:color w:val="auto"/>
        </w:rPr>
        <w:t>Exhibit 31.1</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Pursuant to Rule 13a-14(a) or 15d-14(a) under the Securities Exchange Act of 1934</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6"/>
          <w:szCs w:val="16"/>
          <w:color w:val="auto"/>
        </w:rPr>
        <w:t>I, Michael W. Altschaefl, certify that:</w:t>
      </w:r>
    </w:p>
    <w:p>
      <w:pPr>
        <w:spacing w:after="0" w:line="193" w:lineRule="exact"/>
        <w:rPr>
          <w:sz w:val="20"/>
          <w:szCs w:val="20"/>
          <w:color w:val="auto"/>
        </w:rPr>
      </w:pPr>
    </w:p>
    <w:p>
      <w:pPr>
        <w:ind w:left="446" w:hanging="446"/>
        <w:spacing w:after="0"/>
        <w:tabs>
          <w:tab w:leader="none" w:pos="446"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Orion Energy Systems, Inc.;</w:t>
      </w:r>
    </w:p>
    <w:p>
      <w:pPr>
        <w:spacing w:after="0" w:line="192" w:lineRule="exact"/>
        <w:rPr>
          <w:rFonts w:ascii="Arial" w:cs="Arial" w:eastAsia="Arial" w:hAnsi="Arial"/>
          <w:sz w:val="16"/>
          <w:szCs w:val="16"/>
          <w:color w:val="auto"/>
        </w:rPr>
      </w:pPr>
    </w:p>
    <w:p>
      <w:pPr>
        <w:ind w:left="446" w:right="80" w:hanging="446"/>
        <w:spacing w:after="0" w:line="299" w:lineRule="auto"/>
        <w:tabs>
          <w:tab w:leader="none" w:pos="446" w:val="left"/>
        </w:tabs>
        <w:numPr>
          <w:ilvl w:val="0"/>
          <w:numId w:val="8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5"/>
          <w:szCs w:val="15"/>
          <w:color w:val="auto"/>
        </w:rPr>
      </w:pPr>
    </w:p>
    <w:p>
      <w:pPr>
        <w:ind w:left="446" w:right="400" w:hanging="446"/>
        <w:spacing w:after="0" w:line="266" w:lineRule="auto"/>
        <w:tabs>
          <w:tab w:leader="none" w:pos="446"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6"/>
          <w:szCs w:val="16"/>
          <w:color w:val="auto"/>
        </w:rPr>
      </w:pPr>
    </w:p>
    <w:p>
      <w:pPr>
        <w:ind w:left="446" w:right="220" w:hanging="446"/>
        <w:spacing w:after="0" w:line="382" w:lineRule="auto"/>
        <w:tabs>
          <w:tab w:leader="none" w:pos="446"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jc w:val="both"/>
        <w:ind w:left="886" w:right="200" w:hanging="439"/>
        <w:spacing w:after="0" w:line="255" w:lineRule="auto"/>
        <w:tabs>
          <w:tab w:leader="none" w:pos="886"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6"/>
          <w:szCs w:val="16"/>
          <w:color w:val="auto"/>
        </w:rPr>
      </w:pPr>
    </w:p>
    <w:p>
      <w:pPr>
        <w:ind w:left="886" w:right="240" w:hanging="439"/>
        <w:spacing w:after="0" w:line="255" w:lineRule="auto"/>
        <w:tabs>
          <w:tab w:leader="none" w:pos="886"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6"/>
          <w:szCs w:val="16"/>
          <w:color w:val="auto"/>
        </w:rPr>
      </w:pPr>
    </w:p>
    <w:p>
      <w:pPr>
        <w:ind w:left="886" w:right="660" w:hanging="439"/>
        <w:spacing w:after="0" w:line="266" w:lineRule="auto"/>
        <w:tabs>
          <w:tab w:leader="none" w:pos="886"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6"/>
          <w:szCs w:val="16"/>
          <w:color w:val="auto"/>
        </w:rPr>
      </w:pPr>
    </w:p>
    <w:p>
      <w:pPr>
        <w:ind w:left="886" w:right="320" w:hanging="439"/>
        <w:spacing w:after="0" w:line="255" w:lineRule="auto"/>
        <w:tabs>
          <w:tab w:leader="none" w:pos="886" w:val="left"/>
        </w:tabs>
        <w:numPr>
          <w:ilvl w:val="1"/>
          <w:numId w:val="8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446" w:right="60" w:hanging="446"/>
        <w:spacing w:after="0" w:line="266" w:lineRule="auto"/>
        <w:tabs>
          <w:tab w:leader="none" w:pos="446"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6"/>
          <w:szCs w:val="16"/>
          <w:color w:val="auto"/>
        </w:rPr>
      </w:pPr>
    </w:p>
    <w:p>
      <w:pPr>
        <w:ind w:left="886" w:right="200" w:hanging="439"/>
        <w:spacing w:after="0" w:line="266" w:lineRule="auto"/>
        <w:tabs>
          <w:tab w:leader="none" w:pos="886"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6"/>
          <w:szCs w:val="16"/>
          <w:color w:val="auto"/>
        </w:rPr>
      </w:pPr>
    </w:p>
    <w:p>
      <w:pPr>
        <w:ind w:left="886" w:right="440" w:hanging="439"/>
        <w:spacing w:after="0" w:line="266" w:lineRule="auto"/>
        <w:tabs>
          <w:tab w:leader="none" w:pos="886"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 June 5, 2020</w:t>
      </w:r>
    </w:p>
    <w:p>
      <w:pPr>
        <w:spacing w:after="0" w:line="216" w:lineRule="exact"/>
        <w:rPr>
          <w:sz w:val="20"/>
          <w:szCs w:val="20"/>
          <w:color w:val="auto"/>
        </w:rPr>
      </w:pPr>
    </w:p>
    <w:p>
      <w:pPr>
        <w:ind w:left="6206"/>
        <w:spacing w:after="0"/>
        <w:rPr>
          <w:sz w:val="20"/>
          <w:szCs w:val="20"/>
          <w:color w:val="auto"/>
        </w:rPr>
      </w:pPr>
      <w:r>
        <w:rPr>
          <w:rFonts w:ascii="Arial" w:cs="Arial" w:eastAsia="Arial" w:hAnsi="Arial"/>
          <w:sz w:val="16"/>
          <w:szCs w:val="16"/>
          <w:color w:val="auto"/>
        </w:rPr>
        <w:t>/s/ Michael W. Altschaefl</w:t>
      </w:r>
    </w:p>
    <w:p>
      <w:pPr>
        <w:spacing w:after="0" w:line="16" w:lineRule="exact"/>
        <w:rPr>
          <w:sz w:val="20"/>
          <w:szCs w:val="20"/>
          <w:color w:val="auto"/>
        </w:rPr>
      </w:pPr>
    </w:p>
    <w:p>
      <w:pPr>
        <w:ind w:left="6206"/>
        <w:spacing w:after="0"/>
        <w:rPr>
          <w:sz w:val="20"/>
          <w:szCs w:val="20"/>
          <w:color w:val="auto"/>
        </w:rPr>
      </w:pPr>
      <w:r>
        <w:rPr>
          <w:rFonts w:ascii="Arial" w:cs="Arial" w:eastAsia="Arial" w:hAnsi="Arial"/>
          <w:sz w:val="16"/>
          <w:szCs w:val="16"/>
          <w:color w:val="auto"/>
        </w:rPr>
        <w:t>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-115570</wp:posOffset>
            </wp:positionV>
            <wp:extent cx="321246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3212465" cy="7620"/>
                    </a:xfrm>
                    <a:prstGeom prst="rect">
                      <a:avLst/>
                    </a:prstGeom>
                    <a:noFill/>
                  </pic:spPr>
                </pic:pic>
              </a:graphicData>
            </a:graphic>
          </wp:anchor>
        </w:drawing>
      </w:r>
    </w:p>
    <w:p>
      <w:pPr>
        <w:ind w:left="6206"/>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66"/>
          </w:cols>
          <w:pgMar w:left="314" w:top="123" w:right="3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6"/>
          <w:szCs w:val="16"/>
          <w:b w:val="1"/>
          <w:bCs w:val="1"/>
          <w:color w:val="auto"/>
        </w:rPr>
        <w:t>Exhibit 31.2</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Pursuant to Rule 13a-14(a) or 15d-14(a) under the Securities Exchange Act of 1934</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6"/>
          <w:szCs w:val="16"/>
          <w:color w:val="auto"/>
        </w:rPr>
        <w:t>I, William T. Hull, certify that:</w:t>
      </w:r>
    </w:p>
    <w:p>
      <w:pPr>
        <w:spacing w:after="0" w:line="193" w:lineRule="exact"/>
        <w:rPr>
          <w:sz w:val="20"/>
          <w:szCs w:val="20"/>
          <w:color w:val="auto"/>
        </w:rPr>
      </w:pPr>
    </w:p>
    <w:p>
      <w:pPr>
        <w:ind w:left="446" w:hanging="446"/>
        <w:spacing w:after="0"/>
        <w:tabs>
          <w:tab w:leader="none" w:pos="446"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Orion Energy Systems, Inc.;</w:t>
      </w:r>
    </w:p>
    <w:p>
      <w:pPr>
        <w:spacing w:after="0" w:line="192" w:lineRule="exact"/>
        <w:rPr>
          <w:rFonts w:ascii="Arial" w:cs="Arial" w:eastAsia="Arial" w:hAnsi="Arial"/>
          <w:sz w:val="16"/>
          <w:szCs w:val="16"/>
          <w:color w:val="auto"/>
        </w:rPr>
      </w:pPr>
    </w:p>
    <w:p>
      <w:pPr>
        <w:ind w:left="446" w:right="80" w:hanging="446"/>
        <w:spacing w:after="0" w:line="299" w:lineRule="auto"/>
        <w:tabs>
          <w:tab w:leader="none" w:pos="446" w:val="left"/>
        </w:tabs>
        <w:numPr>
          <w:ilvl w:val="0"/>
          <w:numId w:val="8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5"/>
          <w:szCs w:val="15"/>
          <w:color w:val="auto"/>
        </w:rPr>
      </w:pPr>
    </w:p>
    <w:p>
      <w:pPr>
        <w:ind w:left="446" w:right="400" w:hanging="446"/>
        <w:spacing w:after="0" w:line="266" w:lineRule="auto"/>
        <w:tabs>
          <w:tab w:leader="none" w:pos="446"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6"/>
          <w:szCs w:val="16"/>
          <w:color w:val="auto"/>
        </w:rPr>
      </w:pPr>
    </w:p>
    <w:p>
      <w:pPr>
        <w:ind w:left="446" w:right="220" w:hanging="446"/>
        <w:spacing w:after="0" w:line="382" w:lineRule="auto"/>
        <w:tabs>
          <w:tab w:leader="none" w:pos="446"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jc w:val="both"/>
        <w:ind w:left="886" w:right="200" w:hanging="439"/>
        <w:spacing w:after="0" w:line="255" w:lineRule="auto"/>
        <w:tabs>
          <w:tab w:leader="none" w:pos="886"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6"/>
          <w:szCs w:val="16"/>
          <w:color w:val="auto"/>
        </w:rPr>
      </w:pPr>
    </w:p>
    <w:p>
      <w:pPr>
        <w:ind w:left="886" w:right="240" w:hanging="439"/>
        <w:spacing w:after="0" w:line="255" w:lineRule="auto"/>
        <w:tabs>
          <w:tab w:leader="none" w:pos="886"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6"/>
          <w:szCs w:val="16"/>
          <w:color w:val="auto"/>
        </w:rPr>
      </w:pPr>
    </w:p>
    <w:p>
      <w:pPr>
        <w:ind w:left="886" w:right="660" w:hanging="439"/>
        <w:spacing w:after="0" w:line="266" w:lineRule="auto"/>
        <w:tabs>
          <w:tab w:leader="none" w:pos="886"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6"/>
          <w:szCs w:val="16"/>
          <w:color w:val="auto"/>
        </w:rPr>
      </w:pPr>
    </w:p>
    <w:p>
      <w:pPr>
        <w:ind w:left="886" w:right="320" w:hanging="439"/>
        <w:spacing w:after="0" w:line="255" w:lineRule="auto"/>
        <w:tabs>
          <w:tab w:leader="none" w:pos="886"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446" w:right="60" w:hanging="446"/>
        <w:spacing w:after="0" w:line="266" w:lineRule="auto"/>
        <w:tabs>
          <w:tab w:leader="none" w:pos="446"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6"/>
          <w:szCs w:val="16"/>
          <w:color w:val="auto"/>
        </w:rPr>
      </w:pPr>
    </w:p>
    <w:p>
      <w:pPr>
        <w:ind w:left="886" w:right="200" w:hanging="439"/>
        <w:spacing w:after="0" w:line="266" w:lineRule="auto"/>
        <w:tabs>
          <w:tab w:leader="none" w:pos="886"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6"/>
          <w:szCs w:val="16"/>
          <w:color w:val="auto"/>
        </w:rPr>
      </w:pPr>
    </w:p>
    <w:p>
      <w:pPr>
        <w:ind w:left="886" w:right="440" w:hanging="439"/>
        <w:spacing w:after="0" w:line="266" w:lineRule="auto"/>
        <w:tabs>
          <w:tab w:leader="none" w:pos="886" w:val="left"/>
        </w:tabs>
        <w:numPr>
          <w:ilvl w:val="1"/>
          <w:numId w:val="8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 June 5, 2020</w:t>
      </w:r>
    </w:p>
    <w:p>
      <w:pPr>
        <w:spacing w:after="0" w:line="216" w:lineRule="exact"/>
        <w:rPr>
          <w:sz w:val="20"/>
          <w:szCs w:val="20"/>
          <w:color w:val="auto"/>
        </w:rPr>
      </w:pPr>
    </w:p>
    <w:p>
      <w:pPr>
        <w:ind w:left="6206"/>
        <w:spacing w:after="0"/>
        <w:rPr>
          <w:sz w:val="20"/>
          <w:szCs w:val="20"/>
          <w:color w:val="auto"/>
        </w:rPr>
      </w:pPr>
      <w:r>
        <w:rPr>
          <w:rFonts w:ascii="Arial" w:cs="Arial" w:eastAsia="Arial" w:hAnsi="Arial"/>
          <w:sz w:val="16"/>
          <w:szCs w:val="16"/>
          <w:color w:val="auto"/>
        </w:rPr>
        <w:t>/s/ William T. Hull</w:t>
      </w:r>
    </w:p>
    <w:p>
      <w:pPr>
        <w:spacing w:after="0" w:line="16" w:lineRule="exact"/>
        <w:rPr>
          <w:sz w:val="20"/>
          <w:szCs w:val="20"/>
          <w:color w:val="auto"/>
        </w:rPr>
      </w:pPr>
    </w:p>
    <w:p>
      <w:pPr>
        <w:ind w:left="6206"/>
        <w:spacing w:after="0"/>
        <w:rPr>
          <w:sz w:val="20"/>
          <w:szCs w:val="20"/>
          <w:color w:val="auto"/>
        </w:rPr>
      </w:pPr>
      <w:r>
        <w:rPr>
          <w:rFonts w:ascii="Arial" w:cs="Arial" w:eastAsia="Arial" w:hAnsi="Arial"/>
          <w:sz w:val="16"/>
          <w:szCs w:val="16"/>
          <w:color w:val="auto"/>
        </w:rPr>
        <w:t>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-115570</wp:posOffset>
            </wp:positionV>
            <wp:extent cx="321246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3212465" cy="7620"/>
                    </a:xfrm>
                    <a:prstGeom prst="rect">
                      <a:avLst/>
                    </a:prstGeom>
                    <a:noFill/>
                  </pic:spPr>
                </pic:pic>
              </a:graphicData>
            </a:graphic>
          </wp:anchor>
        </w:drawing>
      </w:r>
    </w:p>
    <w:p>
      <w:pPr>
        <w:ind w:left="6206"/>
        <w:spacing w:after="0"/>
        <w:rPr>
          <w:sz w:val="20"/>
          <w:szCs w:val="20"/>
          <w:color w:val="auto"/>
        </w:rPr>
      </w:pPr>
      <w:r>
        <w:rPr>
          <w:rFonts w:ascii="Arial" w:cs="Arial" w:eastAsia="Arial" w:hAnsi="Arial"/>
          <w:sz w:val="16"/>
          <w:szCs w:val="16"/>
          <w:color w:val="auto"/>
        </w:rPr>
        <w:t>Chief Financial Officer, Chief Accounting Officer and Treasurer</w:t>
      </w:r>
    </w:p>
    <w:p>
      <w:pPr>
        <w:sectPr>
          <w:pgSz w:w="11900" w:h="16838" w:orient="portrait"/>
          <w:cols w:equalWidth="0" w:num="1">
            <w:col w:w="11266"/>
          </w:cols>
          <w:pgMar w:left="314" w:top="123" w:right="319" w:bottom="1440" w:gutter="0" w:footer="0" w:header="0"/>
        </w:sectPr>
      </w:pPr>
    </w:p>
    <w:bookmarkStart w:id="153" w:name="page154"/>
    <w:bookmarkEnd w:id="153"/>
    <w:p>
      <w:pPr>
        <w:jc w:val="right"/>
        <w:spacing w:after="0"/>
        <w:rPr>
          <w:sz w:val="20"/>
          <w:szCs w:val="20"/>
          <w:color w:val="auto"/>
        </w:rPr>
      </w:pPr>
      <w:r>
        <w:rPr>
          <w:rFonts w:ascii="Arial" w:cs="Arial" w:eastAsia="Arial" w:hAnsi="Arial"/>
          <w:sz w:val="16"/>
          <w:szCs w:val="16"/>
          <w:b w:val="1"/>
          <w:bCs w:val="1"/>
          <w:color w:val="auto"/>
        </w:rPr>
        <w:t>Exhibit 32.1</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Written Statement of the Chief Executive Officer and Chief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8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2020 ,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177"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/s/ Michael W. Altschaefl</w:t>
      </w:r>
    </w:p>
    <w:p>
      <w:pPr>
        <w:spacing w:after="0" w:line="228"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-115570</wp:posOffset>
            </wp:positionV>
            <wp:extent cx="321246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3212465" cy="7620"/>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6"/>
          <w:szCs w:val="16"/>
          <w:color w:val="auto"/>
        </w:rPr>
        <w:t>Chief Executive Officer</w:t>
      </w:r>
    </w:p>
    <w:p>
      <w:pPr>
        <w:spacing w:after="0" w:line="18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/s/ William T. Hull</w:t>
      </w:r>
    </w:p>
    <w:p>
      <w:pPr>
        <w:spacing w:after="0" w:line="228"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-115570</wp:posOffset>
            </wp:positionV>
            <wp:extent cx="321246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3212465" cy="7620"/>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6"/>
          <w:szCs w:val="16"/>
          <w:color w:val="auto"/>
        </w:rPr>
        <w:t>Chief Financial Officer,</w:t>
      </w:r>
    </w:p>
    <w:p>
      <w:pPr>
        <w:spacing w:after="0" w:line="4"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Chief Accounting Officer and Treasurer</w:t>
      </w:r>
    </w:p>
    <w:p>
      <w:pPr>
        <w:spacing w:after="0" w:line="181" w:lineRule="exact"/>
        <w:rPr>
          <w:sz w:val="20"/>
          <w:szCs w:val="20"/>
          <w:color w:val="auto"/>
        </w:rPr>
      </w:pPr>
    </w:p>
    <w:p>
      <w:pPr>
        <w:ind w:left="6220"/>
        <w:spacing w:after="0"/>
        <w:tabs>
          <w:tab w:leader="none" w:pos="69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5, 2020</w:t>
      </w:r>
    </w:p>
    <w:sectPr>
      <w:pgSz w:w="11900" w:h="16838" w:orient="portrait"/>
      <w:cols w:equalWidth="0" w:num="1">
        <w:col w:w="11260"/>
      </w:cols>
      <w:pgMar w:left="32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1."/>
      <w:numFmt w:val="decimal"/>
      <w:start w:val="19"/>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1)"/>
      <w:numFmt w:val="decimal"/>
      <w:start w:val="2"/>
    </w:lvl>
  </w:abstractNum>
  <w:abstractNum w:abstractNumId="13">
    <w:nsid w:val="7644A45C"/>
    <w:multiLevelType w:val="hybridMultilevel"/>
    <w:lvl w:ilvl="0">
      <w:lvlJc w:val="left"/>
      <w:lvlText w:val="(%1)"/>
      <w:numFmt w:val="decimal"/>
      <w:start w:val="4"/>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1."/>
      <w:numFmt w:val="decimal"/>
      <w:start w:val="606"/>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1."/>
      <w:numFmt w:val="decimal"/>
      <w:start w:val="606"/>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1."/>
      <w:numFmt w:val="decimal"/>
      <w:start w:val="606"/>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lowerRoman"/>
      <w:start w:val="1"/>
    </w:lvl>
  </w:abstractNum>
  <w:abstractNum w:abstractNumId="26">
    <w:nsid w:val="4F4EF005"/>
    <w:multiLevelType w:val="hybridMultilevel"/>
    <w:lvl w:ilvl="0">
      <w:lvlJc w:val="left"/>
      <w:lvlText w:val="(%1)"/>
      <w:numFmt w:val="lowerLetter"/>
      <w:start w:val="1"/>
    </w:lvl>
  </w:abstractNum>
  <w:abstractNum w:abstractNumId="27">
    <w:nsid w:val="23F9C13C"/>
    <w:multiLevelType w:val="hybridMultilevel"/>
    <w:lvl w:ilvl="0">
      <w:lvlJc w:val="left"/>
      <w:lvlText w:val="%1"/>
      <w:numFmt w:val="decimal"/>
      <w:start w:val="10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lowerLetter"/>
      <w:start w:val="1"/>
    </w:lvl>
  </w:abstractNum>
  <w:abstractNum w:abstractNumId="33">
    <w:nsid w:val="235BA86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4">
    <w:nsid w:val="47398C89"/>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35">
    <w:nsid w:val="354FE9F9"/>
    <w:multiLevelType w:val="hybridMultilevel"/>
    <w:lvl w:ilvl="0">
      <w:lvlJc w:val="left"/>
      <w:lvlText w:val="(%1)"/>
      <w:numFmt w:val="lowerRoman"/>
      <w:start w:val="3"/>
    </w:lvl>
  </w:abstractNum>
  <w:abstractNum w:abstractNumId="36">
    <w:nsid w:val="15B5AF5C"/>
    <w:multiLevelType w:val="hybridMultilevel"/>
    <w:lvl w:ilvl="0">
      <w:lvlJc w:val="left"/>
      <w:lvlText w:val="(%1)"/>
      <w:numFmt w:val="lowerRoman"/>
      <w:start w:val="1"/>
    </w:lvl>
  </w:abstractNum>
  <w:abstractNum w:abstractNumId="37">
    <w:nsid w:val="741226BB"/>
    <w:multiLevelType w:val="hybridMultilevel"/>
    <w:lvl w:ilvl="0">
      <w:lvlJc w:val="left"/>
      <w:lvlText w:val="%1"/>
      <w:numFmt w:val="lowerLetter"/>
      <w:start w:val="1"/>
    </w:lvl>
    <w:lvl w:ilvl="1">
      <w:lvlJc w:val="left"/>
      <w:lvlText w:val="(%2)"/>
      <w:numFmt w:val="lowerLetter"/>
      <w:start w:val="6"/>
    </w:lvl>
  </w:abstractNum>
  <w:abstractNum w:abstractNumId="38">
    <w:nsid w:val="D34B6A8"/>
    <w:multiLevelType w:val="hybridMultilevel"/>
    <w:lvl w:ilvl="0">
      <w:lvlJc w:val="left"/>
      <w:lvlText w:val="(%1)"/>
      <w:numFmt w:val="lowerLetter"/>
      <w:start w:val="35"/>
    </w:lvl>
    <w:lvl w:ilvl="1">
      <w:lvlJc w:val="left"/>
      <w:lvlText w:val="(%2)"/>
      <w:numFmt w:val="lowerLetter"/>
      <w:start w:val="7"/>
    </w:lvl>
  </w:abstractNum>
  <w:abstractNum w:abstractNumId="39">
    <w:nsid w:val="10233C99"/>
    <w:multiLevelType w:val="hybridMultilevel"/>
    <w:lvl w:ilvl="0">
      <w:lvlJc w:val="left"/>
      <w:lvlText w:val="(%1)"/>
      <w:numFmt w:val="lowerLetter"/>
      <w:start w:val="12"/>
    </w:lvl>
    <w:lvl w:ilvl="1">
      <w:lvlJc w:val="left"/>
      <w:lvlText w:val="(%2)"/>
      <w:numFmt w:val="lowerRoman"/>
      <w:start w:val="1"/>
    </w:lvl>
  </w:abstractNum>
  <w:abstractNum w:abstractNumId="40">
    <w:nsid w:val="3F6AB60F"/>
    <w:multiLevelType w:val="hybridMultilevel"/>
    <w:lvl w:ilvl="0">
      <w:lvlJc w:val="left"/>
      <w:lvlText w:val="%1."/>
      <w:numFmt w:val="decimal"/>
      <w:start w:val="3"/>
    </w:lvl>
  </w:abstractNum>
  <w:abstractNum w:abstractNumId="41">
    <w:nsid w:val="61574095"/>
    <w:multiLevelType w:val="hybridMultilevel"/>
    <w:lvl w:ilvl="0">
      <w:lvlJc w:val="left"/>
      <w:lvlText w:val="(%1)"/>
      <w:numFmt w:val="lowerLetter"/>
      <w:start w:val="1"/>
    </w:lvl>
    <w:lvl w:ilvl="1">
      <w:lvlJc w:val="left"/>
      <w:lvlText w:val="(%2)"/>
      <w:numFmt w:val="lowerRoman"/>
      <w:start w:val="1"/>
    </w:lvl>
  </w:abstractNum>
  <w:abstractNum w:abstractNumId="42">
    <w:nsid w:val="7E0C57B1"/>
    <w:multiLevelType w:val="hybridMultilevel"/>
    <w:lvl w:ilvl="0">
      <w:lvlJc w:val="left"/>
      <w:lvlText w:val="(%1)"/>
      <w:numFmt w:val="lowerLetter"/>
      <w:start w:val="8"/>
    </w:lvl>
  </w:abstractNum>
  <w:abstractNum w:abstractNumId="43">
    <w:nsid w:val="77AE35EB"/>
    <w:multiLevelType w:val="hybridMultilevel"/>
    <w:lvl w:ilvl="0">
      <w:lvlJc w:val="left"/>
      <w:lvlText w:val="%1."/>
      <w:numFmt w:val="decimal"/>
      <w:start w:val="4"/>
    </w:lvl>
  </w:abstractNum>
  <w:abstractNum w:abstractNumId="44">
    <w:nsid w:val="579BE4F1"/>
    <w:multiLevelType w:val="hybridMultilevel"/>
    <w:lvl w:ilvl="0">
      <w:lvlJc w:val="left"/>
      <w:lvlText w:val="(%1)"/>
      <w:numFmt w:val="lowerLetter"/>
      <w:start w:val="1"/>
    </w:lvl>
  </w:abstractNum>
  <w:abstractNum w:abstractNumId="45">
    <w:nsid w:val="310C50B3"/>
    <w:multiLevelType w:val="hybridMultilevel"/>
    <w:lvl w:ilvl="0">
      <w:lvlJc w:val="left"/>
      <w:lvlText w:val="%1."/>
      <w:numFmt w:val="decimal"/>
      <w:start w:val="5"/>
    </w:lvl>
  </w:abstractNum>
  <w:abstractNum w:abstractNumId="46">
    <w:nsid w:val="5FF87E05"/>
    <w:multiLevelType w:val="hybridMultilevel"/>
    <w:lvl w:ilvl="0">
      <w:lvlJc w:val="left"/>
      <w:lvlText w:val="(%1)"/>
      <w:numFmt w:val="lowerLetter"/>
      <w:start w:val="1"/>
    </w:lvl>
    <w:lvl w:ilvl="1">
      <w:lvlJc w:val="left"/>
      <w:lvlText w:val="(%2)"/>
      <w:numFmt w:val="lowerRoman"/>
      <w:start w:val="1"/>
    </w:lvl>
  </w:abstractNum>
  <w:abstractNum w:abstractNumId="47">
    <w:nsid w:val="2F305DEF"/>
    <w:multiLevelType w:val="hybridMultilevel"/>
    <w:lvl w:ilvl="0">
      <w:lvlJc w:val="left"/>
      <w:lvlText w:val="(%1)"/>
      <w:numFmt w:val="lowerLetter"/>
      <w:start w:val="2"/>
    </w:lvl>
    <w:lvl w:ilvl="1">
      <w:lvlJc w:val="left"/>
      <w:lvlText w:val="(%2)"/>
      <w:numFmt w:val="lowerRoman"/>
      <w:start w:val="1"/>
    </w:lvl>
  </w:abstractNum>
  <w:abstractNum w:abstractNumId="48">
    <w:nsid w:val="25A70BF7"/>
    <w:multiLevelType w:val="hybridMultilevel"/>
    <w:lvl w:ilvl="0">
      <w:lvlJc w:val="left"/>
      <w:lvlText w:val="(%1)"/>
      <w:numFmt w:val="lowerRoman"/>
      <w:start w:val="3"/>
    </w:lvl>
  </w:abstractNum>
  <w:abstractNum w:abstractNumId="49">
    <w:nsid w:val="1DBABF00"/>
    <w:multiLevelType w:val="hybridMultilevel"/>
    <w:lvl w:ilvl="0">
      <w:lvlJc w:val="left"/>
      <w:lvlText w:val="(%1)"/>
      <w:numFmt w:val="lowerLetter"/>
      <w:start w:val="4"/>
    </w:lvl>
  </w:abstractNum>
  <w:abstractNum w:abstractNumId="50">
    <w:nsid w:val="4AD084E9"/>
    <w:multiLevelType w:val="hybridMultilevel"/>
    <w:lvl w:ilvl="0">
      <w:lvlJc w:val="left"/>
      <w:lvlText w:val="%1."/>
      <w:numFmt w:val="decimal"/>
      <w:start w:val="6"/>
    </w:lvl>
  </w:abstractNum>
  <w:abstractNum w:abstractNumId="51">
    <w:nsid w:val="1F48EAA1"/>
    <w:multiLevelType w:val="hybridMultilevel"/>
    <w:lvl w:ilvl="0">
      <w:lvlJc w:val="left"/>
      <w:lvlText w:val="(%1)"/>
      <w:numFmt w:val="lowerLetter"/>
      <w:start w:val="1"/>
    </w:lvl>
    <w:lvl w:ilvl="1">
      <w:lvlJc w:val="left"/>
      <w:lvlText w:val="(%2)"/>
      <w:numFmt w:val="lowerRoman"/>
      <w:start w:val="1"/>
    </w:lvl>
  </w:abstractNum>
  <w:abstractNum w:abstractNumId="52">
    <w:nsid w:val="1381823A"/>
    <w:multiLevelType w:val="hybridMultilevel"/>
    <w:lvl w:ilvl="0">
      <w:lvlJc w:val="left"/>
      <w:lvlText w:val="(%1)"/>
      <w:numFmt w:val="lowerLetter"/>
      <w:start w:val="2"/>
    </w:lvl>
    <w:lvl w:ilvl="1">
      <w:lvlJc w:val="left"/>
      <w:lvlText w:val="%2."/>
      <w:numFmt w:val="decimal"/>
      <w:start w:val="7"/>
    </w:lvl>
  </w:abstractNum>
  <w:abstractNum w:abstractNumId="53">
    <w:nsid w:val="5DB70AE5"/>
    <w:multiLevelType w:val="hybridMultilevel"/>
    <w:lvl w:ilvl="0">
      <w:lvlJc w:val="left"/>
      <w:lvlText w:val="%1."/>
      <w:numFmt w:val="decimal"/>
      <w:start w:val="8"/>
    </w:lvl>
  </w:abstractNum>
  <w:abstractNum w:abstractNumId="54">
    <w:nsid w:val="100F8FCA"/>
    <w:multiLevelType w:val="hybridMultilevel"/>
    <w:lvl w:ilvl="0">
      <w:lvlJc w:val="left"/>
      <w:lvlText w:val="(%1)"/>
      <w:numFmt w:val="lowerLetter"/>
      <w:start w:val="1"/>
    </w:lvl>
  </w:abstractNum>
  <w:abstractNum w:abstractNumId="55">
    <w:nsid w:val="6590700B"/>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56">
    <w:nsid w:val="15014ACB"/>
    <w:multiLevelType w:val="hybridMultilevel"/>
    <w:lvl w:ilvl="0">
      <w:lvlJc w:val="left"/>
      <w:lvlText w:val="%1"/>
      <w:numFmt w:val="lowerLetter"/>
      <w:start w:val="1"/>
    </w:lvl>
    <w:lvl w:ilvl="1">
      <w:lvlJc w:val="left"/>
      <w:lvlText w:val="(%2)"/>
      <w:numFmt w:val="lowerRoman"/>
      <w:start w:val="2"/>
    </w:lvl>
  </w:abstractNum>
  <w:abstractNum w:abstractNumId="57">
    <w:nsid w:val="5F5E7FD0"/>
    <w:multiLevelType w:val="hybridMultilevel"/>
    <w:lvl w:ilvl="0">
      <w:lvlJc w:val="left"/>
      <w:lvlText w:val="(%1)"/>
      <w:numFmt w:val="lowerLetter"/>
      <w:start w:val="4"/>
    </w:lvl>
    <w:lvl w:ilvl="1">
      <w:lvlJc w:val="left"/>
      <w:lvlText w:val="%2"/>
      <w:numFmt w:val="lowerRoman"/>
      <w:start w:val="1"/>
    </w:lvl>
  </w:abstractNum>
  <w:abstractNum w:abstractNumId="58">
    <w:nsid w:val="98A3148"/>
    <w:multiLevelType w:val="hybridMultilevel"/>
    <w:lvl w:ilvl="0">
      <w:lvlJc w:val="left"/>
      <w:lvlText w:val="(%1)"/>
      <w:numFmt w:val="lowerLetter"/>
      <w:start w:val="6"/>
    </w:lvl>
    <w:lvl w:ilvl="1">
      <w:lvlJc w:val="left"/>
      <w:lvlText w:val="%2."/>
      <w:numFmt w:val="decimal"/>
      <w:start w:val="8"/>
    </w:lvl>
    <w:lvl w:ilvl="2">
      <w:lvlJc w:val="left"/>
      <w:lvlText w:val="(%3)"/>
      <w:numFmt w:val="lowerRoman"/>
      <w:start w:val="1"/>
    </w:lvl>
  </w:abstractNum>
  <w:abstractNum w:abstractNumId="59">
    <w:nsid w:val="799D0247"/>
    <w:multiLevelType w:val="hybridMultilevel"/>
    <w:lvl w:ilvl="0">
      <w:lvlJc w:val="left"/>
      <w:lvlText w:val="%1."/>
      <w:numFmt w:val="decimal"/>
      <w:start w:val="11"/>
    </w:lvl>
  </w:abstractNum>
  <w:abstractNum w:abstractNumId="60">
    <w:nsid w:val="6B94764"/>
    <w:multiLevelType w:val="hybridMultilevel"/>
    <w:lvl w:ilvl="0">
      <w:lvlJc w:val="left"/>
      <w:lvlText w:val="%1."/>
      <w:numFmt w:val="decimal"/>
      <w:start w:val="16"/>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upperLetter"/>
      <w:start w:val="1"/>
    </w:lvl>
  </w:abstractNum>
  <w:abstractNum w:abstractNumId="64">
    <w:nsid w:val="661E3F1E"/>
    <w:multiLevelType w:val="hybridMultilevel"/>
    <w:lvl w:ilvl="0">
      <w:lvlJc w:val="left"/>
      <w:lvlText w:val="(%1)"/>
      <w:numFmt w:val="upperLetter"/>
      <w:start w:val="2"/>
    </w:lvl>
  </w:abstractNum>
  <w:abstractNum w:abstractNumId="65">
    <w:nsid w:val="5DC79EA8"/>
    <w:multiLevelType w:val="hybridMultilevel"/>
    <w:lvl w:ilvl="0">
      <w:lvlJc w:val="left"/>
      <w:lvlText w:val="(%1)"/>
      <w:numFmt w:val="lowerLetter"/>
      <w:start w:val="20"/>
    </w:lvl>
  </w:abstractNum>
  <w:abstractNum w:abstractNumId="66">
    <w:nsid w:val="540A471C"/>
    <w:multiLevelType w:val="hybridMultilevel"/>
    <w:lvl w:ilvl="0">
      <w:lvlJc w:val="left"/>
      <w:lvlText w:val="(%1)"/>
      <w:numFmt w:val="lowerRoman"/>
      <w:start w:val="1"/>
    </w:lvl>
  </w:abstractNum>
  <w:abstractNum w:abstractNumId="67">
    <w:nsid w:val="7BD3EE7B"/>
    <w:multiLevelType w:val="hybridMultilevel"/>
    <w:lvl w:ilvl="0">
      <w:lvlJc w:val="left"/>
      <w:lvlText w:val="(%1)"/>
      <w:numFmt w:val="decimal"/>
      <w:start w:val="5"/>
    </w:lvl>
  </w:abstractNum>
  <w:abstractNum w:abstractNumId="68">
    <w:nsid w:val="51D9C564"/>
    <w:multiLevelType w:val="hybridMultilevel"/>
    <w:lvl w:ilvl="0">
      <w:lvlJc w:val="left"/>
      <w:lvlText w:val="(%1)"/>
      <w:numFmt w:val="decimal"/>
      <w:start w:val="2"/>
    </w:lvl>
  </w:abstractNum>
  <w:abstractNum w:abstractNumId="69">
    <w:nsid w:val="613EFDC5"/>
    <w:multiLevelType w:val="hybridMultilevel"/>
    <w:lvl w:ilvl="0">
      <w:lvlJc w:val="left"/>
      <w:lvlText w:val="(%1)"/>
      <w:numFmt w:val="lowerLetter"/>
      <w:start w:val="1"/>
    </w:lvl>
  </w:abstractNum>
  <w:abstractNum w:abstractNumId="70">
    <w:nsid w:val="BF72B14"/>
    <w:multiLevelType w:val="hybridMultilevel"/>
    <w:lvl w:ilvl="0">
      <w:lvlJc w:val="left"/>
      <w:lvlText w:val="(%1)"/>
      <w:numFmt w:val="lowerLetter"/>
      <w:start w:val="4"/>
    </w:lvl>
  </w:abstractNum>
  <w:abstractNum w:abstractNumId="71">
    <w:nsid w:val="11447B73"/>
    <w:multiLevelType w:val="hybridMultilevel"/>
    <w:lvl w:ilvl="0">
      <w:lvlJc w:val="left"/>
      <w:lvlText w:val="(%1)"/>
      <w:numFmt w:val="lowerLetter"/>
      <w:start w:val="7"/>
    </w:lvl>
  </w:abstractNum>
  <w:abstractNum w:abstractNumId="72">
    <w:nsid w:val="42963E5A"/>
    <w:multiLevelType w:val="hybridMultilevel"/>
    <w:lvl w:ilvl="0">
      <w:lvlJc w:val="left"/>
      <w:lvlText w:val="(%1)"/>
      <w:numFmt w:val="lowerLetter"/>
      <w:start w:val="12"/>
    </w:lvl>
  </w:abstractNum>
  <w:abstractNum w:abstractNumId="73">
    <w:nsid w:val="A0382C5"/>
    <w:multiLevelType w:val="hybridMultilevel"/>
    <w:lvl w:ilvl="0">
      <w:lvlJc w:val="left"/>
      <w:lvlText w:val="(%1)"/>
      <w:numFmt w:val="lowerLetter"/>
      <w:start w:val="14"/>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1)"/>
      <w:numFmt w:val="lowerRoman"/>
      <w:start w:val="2"/>
    </w:lvl>
  </w:abstractNum>
  <w:abstractNum w:abstractNumId="76">
    <w:nsid w:val="3B0FD379"/>
    <w:multiLevelType w:val="hybridMultilevel"/>
    <w:lvl w:ilvl="0">
      <w:lvlJc w:val="left"/>
      <w:lvlText w:val="(%1)"/>
      <w:numFmt w:val="lowerRoman"/>
      <w:start w:val="1"/>
    </w:lvl>
  </w:abstractNum>
  <w:abstractNum w:abstractNumId="77">
    <w:nsid w:val="68EB2F63"/>
    <w:multiLevelType w:val="hybridMultilevel"/>
    <w:lvl w:ilvl="0">
      <w:lvlJc w:val="left"/>
      <w:lvlText w:val="(%1)"/>
      <w:numFmt w:val="lowerRoman"/>
      <w:start w:val="1"/>
    </w:lvl>
  </w:abstractNum>
  <w:abstractNum w:abstractNumId="78">
    <w:nsid w:val="4962813B"/>
    <w:multiLevelType w:val="hybridMultilevel"/>
    <w:lvl w:ilvl="0">
      <w:lvlJc w:val="left"/>
      <w:lvlText w:val="(%1)"/>
      <w:numFmt w:val="lowerRoman"/>
      <w:start w:val="2"/>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121" Type="http://schemas.openxmlformats.org/officeDocument/2006/relationships/hyperlink" Target="http://www.sec.gov/Archives/edgar/data/1409375/000095013407018504/c17612exv3w3.htm" TargetMode="External"/><Relationship Id="rId122" Type="http://schemas.openxmlformats.org/officeDocument/2006/relationships/hyperlink" Target="http://www.sec.gov/Archives/edgar/data/1409375/000119312520150150/d895611dex31.htm" TargetMode="External"/><Relationship Id="rId123" Type="http://schemas.openxmlformats.org/officeDocument/2006/relationships/hyperlink" Target="http://www.sec.gov/Archives/edgar/data/1409375/000089706909000027/cmw3946a.htm" TargetMode="External"/><Relationship Id="rId124" Type="http://schemas.openxmlformats.org/officeDocument/2006/relationships/hyperlink" Target="http://www.sec.gov/Archives/edgar/data/1409375/000119312519001606/d684103dex41.htm" TargetMode="External"/><Relationship Id="rId125" Type="http://schemas.openxmlformats.org/officeDocument/2006/relationships/hyperlink" Target="http://www.sec.gov/Archives/edgar/data/1409375/000156459019021688/oesx-ex43_264.htm" TargetMode="External"/><Relationship Id="rId126" Type="http://schemas.openxmlformats.org/officeDocument/2006/relationships/hyperlink" Target="http://www.sec.gov/Archives/edgar/data/1409375/000119312518312168/d645515dex101.htm" TargetMode="External"/><Relationship Id="rId127" Type="http://schemas.openxmlformats.org/officeDocument/2006/relationships/hyperlink" Target="http://www.sec.gov/Archives/edgar/data/1409375/000156459019021688/oesx-ex102_507.htm" TargetMode="External"/><Relationship Id="rId128" Type="http://schemas.openxmlformats.org/officeDocument/2006/relationships/hyperlink" Target="http://www.sec.gov/Archives/edgar/data/1409375/000156459019028788/oesx-ex102_250.htm" TargetMode="External"/><Relationship Id="rId129" Type="http://schemas.openxmlformats.org/officeDocument/2006/relationships/hyperlink" Target="http://www.sec.gov/Archives/edgar/data/1409375/000119312519298512/d829690dex101.htm" TargetMode="External"/><Relationship Id="rId130" Type="http://schemas.openxmlformats.org/officeDocument/2006/relationships/hyperlink" Target="http://www.sec.gov/Archives/edgar/data/1409375/000095013407018504/c17612exv10w9.htm" TargetMode="External"/><Relationship Id="rId131" Type="http://schemas.openxmlformats.org/officeDocument/2006/relationships/hyperlink" Target="http://www.sec.gov/Archives/edgar/data/1409375/000095012311083696/c66008ddef14a.htm" TargetMode="External"/><Relationship Id="rId132" Type="http://schemas.openxmlformats.org/officeDocument/2006/relationships/hyperlink" Target="http://www.sec.gov/Archives/edgar/data/1409375/000095013407018504/c17612exv10w10.htm" TargetMode="External"/><Relationship Id="rId133" Type="http://schemas.openxmlformats.org/officeDocument/2006/relationships/hyperlink" Target="http://www.sec.gov/Archives/edgar/data/1409375/000140937514000014/oesx-20140331xex107.htm" TargetMode="External"/><Relationship Id="rId134" Type="http://schemas.openxmlformats.org/officeDocument/2006/relationships/hyperlink" Target="http://www.sec.gov/Archives/edgar/data/1409375/000119312519178044/d769736ddef14a.htm" TargetMode="External"/><Relationship Id="rId135" Type="http://schemas.openxmlformats.org/officeDocument/2006/relationships/hyperlink" Target="http://www.sec.gov/Archives/edgar/data/1409375/000119312516677067/d208453dex45.htm" TargetMode="External"/><Relationship Id="rId136" Type="http://schemas.openxmlformats.org/officeDocument/2006/relationships/hyperlink" Target="http://www.sec.gov/Archives/edgar/data/1409375/000119312516677067/d208453dex46.htm" TargetMode="External"/><Relationship Id="rId137" Type="http://schemas.openxmlformats.org/officeDocument/2006/relationships/hyperlink" Target="http://www.sec.gov/Archives/edgar/data/1409375/000119312516677067/d208453dex47.htm" TargetMode="External"/><Relationship Id="rId138" Type="http://schemas.openxmlformats.org/officeDocument/2006/relationships/hyperlink" Target="http://www.sec.gov/Archives/edgar/data/1409375/000119312516677067/d208453dex48.htm" TargetMode="External"/><Relationship Id="rId141" Type="http://schemas.openxmlformats.org/officeDocument/2006/relationships/hyperlink" Target="http://www.sec.gov/Archives/edgar/data/1409375/000119312517219117/d41891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2020-06-05T15:50:57Z</dcterms:created>
  <dcterms:modified xsi:type="dcterms:W3CDTF">2020-06-05T15:50:57Z</dcterms:modified>
</cp:coreProperties>
</file>