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54220</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20" w:space="720"/>
            <w:col w:w="1500" w:space="720"/>
            <w:col w:w="3440" w:space="720"/>
            <w:col w:w="2300"/>
          </w:cols>
          <w:pgMar w:left="240" w:top="122" w:right="239" w:bottom="1440" w:gutter="0" w:footer="0" w:header="0"/>
          <w:type w:val="continuous"/>
        </w:sectPr>
      </w:pPr>
    </w:p>
    <w:p>
      <w:pPr>
        <w:ind w:right="22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21,699,521 shares of the Registrant’s common stock outstanding on August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Orion Energy Systems,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2009</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00" w:type="dxa"/>
            <w:vAlign w:val="bottom"/>
            <w:gridSpan w:val="8"/>
            <w:vMerge w:val="restart"/>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0"/>
            <w:vMerge w:val="continue"/>
          </w:tcPr>
          <w:p>
            <w:pPr>
              <w:spacing w:after="0"/>
              <w:rPr>
                <w:sz w:val="14"/>
                <w:szCs w:val="14"/>
                <w:color w:val="auto"/>
              </w:rPr>
            </w:pPr>
          </w:p>
        </w:tc>
        <w:tc>
          <w:tcPr>
            <w:tcW w:w="7600" w:type="dxa"/>
            <w:vAlign w:val="bottom"/>
            <w:gridSpan w:val="8"/>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2580" w:type="dxa"/>
            <w:vAlign w:val="bottom"/>
            <w:tcBorders>
              <w:bottom w:val="single" w:sz="8" w:color="0000EE"/>
            </w:tcBorders>
            <w:gridSpan w:val="9"/>
          </w:tcPr>
          <w:p>
            <w:pPr>
              <w:ind w:left="20"/>
              <w:spacing w:after="0" w:line="196" w:lineRule="exact"/>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Financial Statements (unaudited)</w:t>
              </w:r>
            </w:hyperlink>
          </w:p>
        </w:tc>
        <w:tc>
          <w:tcPr>
            <w:tcW w:w="7360" w:type="dxa"/>
            <w:vAlign w:val="bottom"/>
            <w:gridSpan w:val="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8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2009 and June 30, 2009</w:t>
              </w:r>
            </w:hyperlink>
          </w:p>
        </w:tc>
        <w:tc>
          <w:tcPr>
            <w:tcW w:w="45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June 30, 2008 and 2009</w:t>
              </w:r>
            </w:hyperlink>
          </w:p>
        </w:tc>
        <w:tc>
          <w:tcPr>
            <w:tcW w:w="292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June 30, 2008 and 2009</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288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9940" w:type="dxa"/>
            <w:vAlign w:val="bottom"/>
            <w:gridSpan w:val="16"/>
          </w:tcPr>
          <w:p>
            <w:pPr>
              <w:ind w:left="2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4680" w:type="dxa"/>
            <w:vAlign w:val="bottom"/>
            <w:tcBorders>
              <w:top w:val="single" w:sz="8" w:color="0000EE"/>
              <w:bottom w:val="single" w:sz="8" w:color="0000EE"/>
            </w:tcBorders>
            <w:gridSpan w:val="11"/>
          </w:tcPr>
          <w:p>
            <w:pPr>
              <w:ind w:left="20"/>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310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 Controls and Procedures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2"/>
              </w:rPr>
            </w:pPr>
            <w:hyperlink w:anchor="page28">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17"/>
                <w:szCs w:val="17"/>
                <w:color w:val="auto"/>
              </w:rPr>
            </w:pPr>
          </w:p>
        </w:tc>
        <w:tc>
          <w:tcPr>
            <w:tcW w:w="7920" w:type="dxa"/>
            <w:vAlign w:val="bottom"/>
            <w:gridSpan w:val="9"/>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ITEM 1A. Risk Factors</w:t>
              </w:r>
            </w:hyperlink>
          </w:p>
        </w:tc>
        <w:tc>
          <w:tcPr>
            <w:tcW w:w="882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9940" w:type="dxa"/>
            <w:vAlign w:val="bottom"/>
            <w:gridSpan w:val="16"/>
          </w:tcPr>
          <w:p>
            <w:pPr>
              <w:ind w:left="20"/>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Unregistered Sales of Equity Securities and Use of Proceeds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ITEM 5. Other Information</w:t>
              </w:r>
            </w:hyperlink>
          </w:p>
        </w:tc>
        <w:tc>
          <w:tcPr>
            <w:tcW w:w="3120" w:type="dxa"/>
            <w:vAlign w:val="bottom"/>
            <w:tcBorders>
              <w:top w:val="single" w:sz="8" w:color="0000EE"/>
            </w:tcBorders>
            <w:gridSpan w:val="5"/>
          </w:tcPr>
          <w:p>
            <w:pPr>
              <w:spacing w:after="0"/>
              <w:rPr>
                <w:sz w:val="17"/>
                <w:szCs w:val="17"/>
                <w:color w:val="auto"/>
              </w:rPr>
            </w:pPr>
          </w:p>
        </w:tc>
        <w:tc>
          <w:tcPr>
            <w:tcW w:w="536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ITEM 6. Exhibits</w:t>
              </w:r>
            </w:hyperlink>
          </w:p>
        </w:tc>
        <w:tc>
          <w:tcPr>
            <w:tcW w:w="928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26,861</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Accounts receivable, net of allowances of $222 and $245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78,374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24,652</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97,613</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3"/>
              </w:rPr>
              <w:t>10,947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20" w:type="dxa"/>
            <w:vAlign w:val="bottom"/>
          </w:tcPr>
          <w:p>
            <w:pPr>
              <w:spacing w:after="0" w:line="201" w:lineRule="exact"/>
              <w:rPr>
                <w:sz w:val="20"/>
                <w:szCs w:val="20"/>
                <w:color w:val="auto"/>
              </w:rPr>
            </w:pPr>
            <w:r>
              <w:rPr>
                <w:rFonts w:ascii="Arial" w:cs="Arial" w:eastAsia="Arial" w:hAnsi="Arial"/>
                <w:sz w:val="18"/>
                <w:szCs w:val="18"/>
                <w:color w:val="auto"/>
                <w:w w:val="92"/>
              </w:rPr>
              <w:t>Preferred stock, $0.01 par value: Shares authorized: 30,000,000 shares at March 31, 2009 and June 30, 2009; no 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issued and outstanding at March 31, 2009 and June 30, 2009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no par value: Shares authorized: 200,000,000 at March 31, 2009 and June 30, 2009; shares issued: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28,875,879 and 29,088,953 at March 31, 2009 and June 30, 2009; shares outstanding: 21,528,783 and 21,707,843 at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2009 and June 30, 2009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118,907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119,598</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7,347,096 and 7,381,110 common shares at March 31, 2009 and June 30,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(31,536)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(31,686)</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3"/>
              </w:rPr>
              <w:t>88,695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97,613</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Service revenue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702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attributable to common shareholders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27,038,353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21,588,364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attributable to common shareholders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30,015,198</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21,588,364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Deferred income tax benefit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held under operating leases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Purchase of short-term investments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(22,663)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patents and licenses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Proceeds from sales of long term assets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long term investment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Note receivable from sale of long term investment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(26,235)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long-term debt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Deferred financing costs and offering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(24,097)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78,312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26,861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Long term note receivable received on sale of investment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The corporate offices and manufacturing operations are located in Manitowoc, Wisconsin and an operations facility is located in Plymouth, Wisconsin.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2010 or other interim periods.</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2009 has been derived from the audited consolidated financial statements at that date but does not include all of the information required by GAAP for complete financial statements.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2009 filed with the Securities and Exchange Commission on June 15,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amortized cost and fair value of marketable securities, with gross unrealized gains and losses, as of March 31, 2009 and June 30, 2009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w w:val="94"/>
              </w:rPr>
              <w:t>March 31, 2009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40" w:type="dxa"/>
            <w:vAlign w:val="bottom"/>
          </w:tcPr>
          <w:p>
            <w:pPr>
              <w:spacing w:after="0"/>
              <w:rPr>
                <w:sz w:val="11"/>
                <w:szCs w:val="11"/>
                <w:color w:val="auto"/>
              </w:rPr>
            </w:pPr>
          </w:p>
        </w:tc>
        <w:tc>
          <w:tcPr>
            <w:tcW w:w="134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93"/>
              </w:rPr>
              <w:t>Amortized</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Unrealized</w:t>
            </w:r>
          </w:p>
        </w:tc>
        <w:tc>
          <w:tcPr>
            <w:tcW w:w="66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4"/>
          </w:tcPr>
          <w:p>
            <w:pPr>
              <w:ind w:left="320"/>
              <w:spacing w:after="0" w:line="129" w:lineRule="exact"/>
              <w:rPr>
                <w:sz w:val="20"/>
                <w:szCs w:val="20"/>
                <w:color w:val="auto"/>
              </w:rPr>
            </w:pPr>
            <w:r>
              <w:rPr>
                <w:rFonts w:ascii="Arial" w:cs="Arial" w:eastAsia="Arial" w:hAnsi="Arial"/>
                <w:sz w:val="14"/>
                <w:szCs w:val="14"/>
                <w:b w:val="1"/>
                <w:bCs w:val="1"/>
                <w:color w:val="auto"/>
              </w:rPr>
              <w:t>Cash and Cash</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Short Term</w:t>
            </w:r>
          </w:p>
        </w:tc>
        <w:tc>
          <w:tcPr>
            <w:tcW w:w="100" w:type="dxa"/>
            <w:vAlign w:val="bottom"/>
          </w:tcPr>
          <w:p>
            <w:pPr>
              <w:spacing w:after="0"/>
              <w:rPr>
                <w:sz w:val="11"/>
                <w:szCs w:val="11"/>
                <w:color w:val="auto"/>
              </w:rPr>
            </w:pPr>
          </w:p>
        </w:tc>
      </w:tr>
      <w:tr>
        <w:trPr>
          <w:trHeight w:val="142"/>
        </w:trPr>
        <w:tc>
          <w:tcPr>
            <w:tcW w:w="36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Equivalents</w:t>
            </w:r>
          </w:p>
        </w:tc>
        <w:tc>
          <w:tcPr>
            <w:tcW w:w="66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$ 14,114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$ 14,114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9,007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9,007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6,207</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12,387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$ 41,480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$ 41,448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34,958</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w w:val="90"/>
              </w:rPr>
              <w:t>June 30, 2009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640" w:type="dxa"/>
            <w:vAlign w:val="bottom"/>
          </w:tcPr>
          <w:p>
            <w:pPr>
              <w:spacing w:after="0"/>
              <w:rPr>
                <w:sz w:val="11"/>
                <w:szCs w:val="11"/>
                <w:color w:val="auto"/>
              </w:rPr>
            </w:pPr>
          </w:p>
        </w:tc>
        <w:tc>
          <w:tcPr>
            <w:tcW w:w="134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93"/>
              </w:rPr>
              <w:t>Amortized</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3"/>
              </w:rPr>
              <w:t>Unrealized</w:t>
            </w:r>
          </w:p>
        </w:tc>
        <w:tc>
          <w:tcPr>
            <w:tcW w:w="66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4"/>
          </w:tcPr>
          <w:p>
            <w:pPr>
              <w:ind w:left="320"/>
              <w:spacing w:after="0" w:line="129" w:lineRule="exact"/>
              <w:rPr>
                <w:sz w:val="20"/>
                <w:szCs w:val="20"/>
                <w:color w:val="auto"/>
              </w:rPr>
            </w:pPr>
            <w:r>
              <w:rPr>
                <w:rFonts w:ascii="Arial" w:cs="Arial" w:eastAsia="Arial" w:hAnsi="Arial"/>
                <w:sz w:val="14"/>
                <w:szCs w:val="14"/>
                <w:b w:val="1"/>
                <w:bCs w:val="1"/>
                <w:color w:val="auto"/>
              </w:rPr>
              <w:t>Cash and Cash</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Short Term</w:t>
            </w:r>
          </w:p>
        </w:tc>
        <w:tc>
          <w:tcPr>
            <w:tcW w:w="100" w:type="dxa"/>
            <w:vAlign w:val="bottom"/>
          </w:tcPr>
          <w:p>
            <w:pPr>
              <w:spacing w:after="0"/>
              <w:rPr>
                <w:sz w:val="11"/>
                <w:szCs w:val="11"/>
                <w:color w:val="auto"/>
              </w:rPr>
            </w:pPr>
          </w:p>
        </w:tc>
      </w:tr>
      <w:tr>
        <w:trPr>
          <w:trHeight w:val="142"/>
        </w:trPr>
        <w:tc>
          <w:tcPr>
            <w:tcW w:w="36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Equivalents</w:t>
            </w:r>
          </w:p>
        </w:tc>
        <w:tc>
          <w:tcPr>
            <w:tcW w:w="66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$ 20,367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$ 20,367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9,070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9,070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5,517</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3,553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$ 33,076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58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$ 33,134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25,884</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 xml:space="preserve">The Company follows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2009, the Company’s financial assets were measured at fair value in accordance with SFAS No. 157 employing level 1 inputs.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63"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June 30, 2009, the following amounts were due from the third party finance company in future periods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Fiscal 2011</w:t>
            </w: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2009 and June 30, 2009, the Company had inventory obsolescence reserves of $668,000 and $667,000.</w:t>
      </w:r>
    </w:p>
    <w:p>
      <w:pPr>
        <w:spacing w:after="0" w:line="5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10,818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20,232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tcPr>
          <w:p>
            <w:pPr>
              <w:ind w:left="24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13,798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6,882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11,366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27,937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22,999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Equipment included above under capital leases was as follows (in thousands):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capitalized $39,000 and $21,000 of interest for construction in progress for the three months ended June 30, 2008 and 2009. As of June 30, 2009 the Company had equipment held under operating leases of $0.9 million, net of depreciation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April 2008, the Company entered into a new employment agreement with the Company’s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$297,000.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Other long-term assets include $33,000 and $31,000 of deferred financing costs as of March 31, 2009 and June 30, 2009 and $297,000 of a note receivable as of both dates. Upon the sale of the long-term investment noted above, the Company received a promissory note. The note provides for interest only payments at 7% for the first year and 15% for the second year and thereafter. The full principal amount of the note is due in June 2011. The note is secured by a personal guarantee from the CEO of the specialty aluminum products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Accrued expenses include warranty accruals, accrued wages and benefits, accrued vacation, sales tax payable and other various unpaid expenses. Accrued health insurance costs were $378,000 and $394,000 as of March 31, 2009 and June 30, 2009.</w:t>
      </w:r>
    </w:p>
    <w:p>
      <w:pPr>
        <w:spacing w:after="0" w:line="62"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69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 xml:space="preserve">The Company recognizes revenue in accordance with Staff Accounting Bulletin (SAB)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Based upon SAB 104, revenue is recognized when the following four criteria are met: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October 2008, the Company introduced a new financing program called the Orion Virtual Power Plant (“OVPP”) for a customer’s purchase of the Company’s energy management systems. The OVPP is structured as a supply contract in which the Company commits to deliver a defined amount of energy savings at a fixed rate over the life of the contract, typically a 12 month renewable agreement with a maximum term between three and five years. Upon successful installation of the system and customer acknowledgement that the product is operating as specified, revenue is recognized on a monthly basis over the life of the contract.</w:t>
      </w:r>
    </w:p>
    <w:p>
      <w:pPr>
        <w:spacing w:after="0" w:line="80"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$251,000 and $484,000 as of March 31, 2009 and June 30, 2009.</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and Financial Accounting Standards Board (“FASB”) Interpretation No. 48, </w:t>
      </w:r>
      <w:r>
        <w:rPr>
          <w:rFonts w:ascii="Arial" w:cs="Arial" w:eastAsia="Arial" w:hAnsi="Arial"/>
          <w:sz w:val="17"/>
          <w:szCs w:val="17"/>
          <w:i w:val="1"/>
          <w:iCs w:val="1"/>
          <w:color w:val="auto"/>
        </w:rPr>
        <w:t>Accounting for Uncertainty in Income Taxes — an Interpretation of FASB Statement No. 109 (“FIN 48”).</w:t>
      </w:r>
      <w:r>
        <w:rPr>
          <w:rFonts w:ascii="Arial" w:cs="Arial" w:eastAsia="Arial" w:hAnsi="Arial"/>
          <w:sz w:val="17"/>
          <w:szCs w:val="17"/>
          <w:color w:val="auto"/>
        </w:rPr>
        <w:t xml:space="preserve"> SFAS 109 requires recognition of deferred tax assets and liabilities for the future tax consequences of temporary differences between financial reporting and income tax basis of assets and liabilities and are measured using the enacted tax rates and laws expected to be in effect when the temporary differences will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8160" w:type="dxa"/>
            <w:vAlign w:val="bottom"/>
          </w:tcPr>
          <w:p>
            <w:pPr>
              <w:spacing w:after="0"/>
              <w:rPr>
                <w:sz w:val="14"/>
                <w:szCs w:val="14"/>
                <w:color w:val="auto"/>
              </w:rPr>
            </w:pP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June 30, 2008</w:t>
            </w:r>
          </w:p>
        </w:tc>
        <w:tc>
          <w:tcPr>
            <w:tcW w:w="500" w:type="dxa"/>
            <w:vAlign w:val="bottom"/>
          </w:tcPr>
          <w:p>
            <w:pPr>
              <w:spacing w:after="0"/>
              <w:rPr>
                <w:sz w:val="14"/>
                <w:szCs w:val="14"/>
                <w:color w:val="auto"/>
              </w:rPr>
            </w:pP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June 30, 2009</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13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$392</w:t>
            </w:r>
          </w:p>
        </w:tc>
        <w:tc>
          <w:tcPr>
            <w:tcW w:w="18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$397</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380" w:type="dxa"/>
            <w:vAlign w:val="bottom"/>
          </w:tcPr>
          <w:p>
            <w:pPr>
              <w:jc w:val="right"/>
              <w:ind w:right="482"/>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3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6</w:t>
            </w:r>
          </w:p>
        </w:tc>
        <w:tc>
          <w:tcPr>
            <w:tcW w:w="1880" w:type="dxa"/>
            <w:vAlign w:val="bottom"/>
            <w:tcBorders>
              <w:bottom w:val="single" w:sz="8" w:color="auto"/>
            </w:tcBorders>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1</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$393</w:t>
            </w:r>
          </w:p>
        </w:tc>
        <w:tc>
          <w:tcPr>
            <w:tcW w:w="188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8"/>
                <w:szCs w:val="18"/>
                <w:color w:val="auto"/>
              </w:rPr>
              <w:t>$398</w:t>
            </w:r>
          </w:p>
        </w:tc>
      </w:tr>
      <w:tr>
        <w:trPr>
          <w:trHeight w:val="20"/>
        </w:trPr>
        <w:tc>
          <w:tcPr>
            <w:tcW w:w="8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income tax provision for the three months ended June 30, 2009 was determined by applying an estimated annual effective tax rate of (12.4)% to income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2008</w:t>
            </w:r>
          </w:p>
        </w:tc>
        <w:tc>
          <w:tcPr>
            <w:tcW w:w="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2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State taxes, net</w:t>
            </w: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Federal tax credit</w:t>
            </w:r>
          </w:p>
        </w:tc>
        <w:tc>
          <w:tcPr>
            <w:tcW w:w="200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2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net</w:t>
            </w:r>
          </w:p>
        </w:tc>
        <w:tc>
          <w:tcPr>
            <w:tcW w:w="200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As of June 30, 2009, the Company has approximately $5.2 million of net operating losses that resulted from the exercise of non-qualified stock options in the current and prior years that have not been recognized as a reduction to current income taxes payable.</w:t>
      </w:r>
    </w:p>
    <w:p>
      <w:pPr>
        <w:spacing w:after="0" w:line="7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each option grant for the three months ended June 30, 2008 and 2009 was determined using the assumptions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40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2008</w:t>
            </w:r>
          </w:p>
        </w:tc>
        <w:tc>
          <w:tcPr>
            <w:tcW w:w="15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48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6.0 years</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860" w:type="dxa"/>
            <w:vAlign w:val="bottom"/>
            <w:gridSpan w:val="2"/>
          </w:tcPr>
          <w:p>
            <w:pPr>
              <w:jc w:val="right"/>
              <w:ind w:right="122"/>
              <w:spacing w:after="0"/>
              <w:rPr>
                <w:sz w:val="20"/>
                <w:szCs w:val="20"/>
                <w:color w:val="auto"/>
              </w:rPr>
            </w:pPr>
            <w:r>
              <w:rPr>
                <w:rFonts w:ascii="Arial" w:cs="Arial" w:eastAsia="Arial" w:hAnsi="Arial"/>
                <w:sz w:val="18"/>
                <w:szCs w:val="18"/>
                <w:color w:val="auto"/>
              </w:rPr>
              <w:t>3.24%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2.23%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860" w:type="dxa"/>
            <w:vAlign w:val="bottom"/>
            <w:gridSpan w:val="2"/>
          </w:tcPr>
          <w:p>
            <w:pPr>
              <w:jc w:val="right"/>
              <w:ind w:right="122"/>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8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r>
        <w:trPr>
          <w:trHeight w:val="405"/>
        </w:trPr>
        <w:tc>
          <w:tcPr>
            <w:tcW w:w="4000" w:type="dxa"/>
            <w:vAlign w:val="bottom"/>
          </w:tcPr>
          <w:p>
            <w:pPr>
              <w:spacing w:after="0"/>
              <w:rPr>
                <w:sz w:val="24"/>
                <w:szCs w:val="24"/>
                <w:color w:val="auto"/>
              </w:rPr>
            </w:pPr>
          </w:p>
        </w:tc>
        <w:tc>
          <w:tcPr>
            <w:tcW w:w="4860" w:type="dxa"/>
            <w:vAlign w:val="bottom"/>
          </w:tcPr>
          <w:p>
            <w:pPr>
              <w:jc w:val="right"/>
              <w:ind w:right="297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40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right="360" w:firstLine="225"/>
        <w:spacing w:after="0" w:line="312" w:lineRule="auto"/>
        <w:rPr>
          <w:sz w:val="20"/>
          <w:szCs w:val="20"/>
          <w:color w:val="auto"/>
        </w:rPr>
      </w:pPr>
      <w:r>
        <w:rPr>
          <w:rFonts w:ascii="Arial" w:cs="Arial" w:eastAsia="Arial" w:hAnsi="Arial"/>
          <w:sz w:val="16"/>
          <w:szCs w:val="16"/>
          <w:color w:val="auto"/>
        </w:rPr>
        <w:t>Basic net income (loss) per common share is computed by dividing net income (loss) attributable to common shareholders by the weighted-average number of common shares outstanding for the period and does not consider common stock equivalents. For the three months ended June 30, 2009, the calculation of dilutive weighted average shares outstanding does not include the following potentially dilutive shares as their effect would be antidilutive.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income (loss) per share of common stock for the three months ended June 30, 2008 and 2009 was as follows:</w:t>
      </w:r>
    </w:p>
    <w:p>
      <w:pPr>
        <w:spacing w:after="0" w:line="2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20" w:type="dxa"/>
            <w:vAlign w:val="bottom"/>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1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Numerator for diluted net income (loss) per common share</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27,038,353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21,588,364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assumed conversion of stock options and warrants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2,976,845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869,552</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30,015,198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22,457,916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right="60" w:firstLine="222"/>
        <w:spacing w:after="0" w:line="342" w:lineRule="auto"/>
        <w:rPr>
          <w:sz w:val="20"/>
          <w:szCs w:val="20"/>
          <w:color w:val="auto"/>
        </w:rPr>
      </w:pPr>
      <w:r>
        <w:rPr>
          <w:rFonts w:ascii="Arial" w:cs="Arial" w:eastAsia="Arial" w:hAnsi="Arial"/>
          <w:sz w:val="16"/>
          <w:szCs w:val="16"/>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30% and 9% of total cost of revenue for the three months ended June 30, 2008 and 2009.</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For the three months ended June 30, 2008, no customer accounted for more than 10% of revenue. For the three months ended June 30, 2009, one customer accounted for 13% of revenue.</w:t>
      </w:r>
    </w:p>
    <w:p>
      <w:pPr>
        <w:spacing w:after="0" w:line="62"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As of March 31, 2009, no customer accounted for more than 10% of the accounts receivable balance. As of June 30, 2009, one customer accounted for 13% of the accounts receivable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 xml:space="preserve">The Company has determined that it operates in only one segment in accordance with SFAS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does not disaggregate profit and loss information on a segment basis for internal management reporting purposes to its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maker.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In April 2009, the Company adopted FASB Staff Position (“FSP”) 142-3, </w:t>
      </w:r>
      <w:r>
        <w:rPr>
          <w:rFonts w:ascii="Arial" w:cs="Arial" w:eastAsia="Arial" w:hAnsi="Arial"/>
          <w:sz w:val="17"/>
          <w:szCs w:val="17"/>
          <w:i w:val="1"/>
          <w:iCs w:val="1"/>
          <w:color w:val="auto"/>
        </w:rPr>
        <w:t>Determination of the Useful Life of Intangible Assets</w:t>
      </w:r>
      <w:r>
        <w:rPr>
          <w:rFonts w:ascii="Arial" w:cs="Arial" w:eastAsia="Arial" w:hAnsi="Arial"/>
          <w:sz w:val="17"/>
          <w:szCs w:val="17"/>
          <w:color w:val="auto"/>
        </w:rPr>
        <w:t xml:space="preserve"> (“FSP FAS 142-3”), which amends the list of factors an entity should consider in developing renewal or extension assumptions in determining the useful life of recognized intangible assets under 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new guidance applies to (1) intangible assets that are acquired individually or with a group of other assets and (2) intangible assets acquired in both business combinations and asset acquisitions. Under FSP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The adoption of FSP FAS 142-3 had no material impact on the Company’s financial position, results of operations or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In April 2009, the FASB issued FSP FAS 107-1 and Accounting Principles Board Opinion (“APB”) 28-1, </w:t>
      </w:r>
      <w:r>
        <w:rPr>
          <w:rFonts w:ascii="Arial" w:cs="Arial" w:eastAsia="Arial" w:hAnsi="Arial"/>
          <w:sz w:val="17"/>
          <w:szCs w:val="17"/>
          <w:i w:val="1"/>
          <w:iCs w:val="1"/>
          <w:color w:val="auto"/>
        </w:rPr>
        <w:t>Interim Disclosures about Fair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FSP FAS 107-1 and APB 28-1 amend SFAS No. 107,</w:t>
      </w:r>
      <w:r>
        <w:rPr>
          <w:rFonts w:ascii="Arial" w:cs="Arial" w:eastAsia="Arial" w:hAnsi="Arial"/>
          <w:sz w:val="17"/>
          <w:szCs w:val="17"/>
          <w:i w:val="1"/>
          <w:iCs w:val="1"/>
          <w:color w:val="auto"/>
        </w:rPr>
        <w:t xml:space="preserve"> Disclosures about Fair Value of Financial Instruments, </w:t>
      </w:r>
      <w:r>
        <w:rPr>
          <w:rFonts w:ascii="Arial" w:cs="Arial" w:eastAsia="Arial" w:hAnsi="Arial"/>
          <w:sz w:val="17"/>
          <w:szCs w:val="17"/>
          <w:color w:val="auto"/>
        </w:rPr>
        <w:t>to require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about fair value of financial instruments for interim reporting periods as well as in annual financial statements. This FSP also amends APB 28 to require those disclosures in summarized financial information at interim reporting periods. The adoption of FSP FAS 107-1 and APB 28-1 in its first quarter ending June 30, 2009 had no material impact on the Company’s financial position, results of operations or cash flows.</w:t>
      </w:r>
    </w:p>
    <w:p>
      <w:pPr>
        <w:spacing w:after="0" w:line="64"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In April 2009, the FASB issued FSP FAS 115-2 and FAS 124-2, </w:t>
      </w:r>
      <w:r>
        <w:rPr>
          <w:rFonts w:ascii="Arial" w:cs="Arial" w:eastAsia="Arial" w:hAnsi="Arial"/>
          <w:sz w:val="16"/>
          <w:szCs w:val="16"/>
          <w:i w:val="1"/>
          <w:iCs w:val="1"/>
          <w:color w:val="auto"/>
        </w:rPr>
        <w:t>Recognition and Presentation of Other-Than Temporary Impairments</w:t>
      </w:r>
      <w:r>
        <w:rPr>
          <w:rFonts w:ascii="Arial" w:cs="Arial" w:eastAsia="Arial" w:hAnsi="Arial"/>
          <w:sz w:val="16"/>
          <w:szCs w:val="16"/>
          <w:color w:val="auto"/>
        </w:rPr>
        <w:t>. FSP FAS 115-2 and FAS 124-2 amends the other-than-temporary impairment guidance for debt securities to make the guidance more operational and to improve the presentation and disclosure of other-than-temporary impairments on debt and equity securities in the financial statements. The adoption of FSP FAS 115-2 and FAS 124-2 in its first quarter ending June 30, 2009 had no material impact on the Company’s financial position, results of operations or cash flows.</w:t>
      </w:r>
    </w:p>
    <w:p>
      <w:pPr>
        <w:spacing w:after="0" w:line="46"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 xml:space="preserve">In April 2009, the FASB issued FSP FAS 157-4, </w:t>
      </w:r>
      <w:r>
        <w:rPr>
          <w:rFonts w:ascii="Arial" w:cs="Arial" w:eastAsia="Arial" w:hAnsi="Arial"/>
          <w:sz w:val="17"/>
          <w:szCs w:val="17"/>
          <w:i w:val="1"/>
          <w:iCs w:val="1"/>
          <w:color w:val="auto"/>
        </w:rPr>
        <w:t>Determining Fair Value When the Volume and Level of Activity for the Asset or Liability Have</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Significantly Decreased and Identifying Transactions That Are not Orderly</w:t>
      </w:r>
      <w:r>
        <w:rPr>
          <w:rFonts w:ascii="Arial" w:cs="Arial" w:eastAsia="Arial" w:hAnsi="Arial"/>
          <w:sz w:val="17"/>
          <w:szCs w:val="17"/>
          <w:color w:val="auto"/>
        </w:rPr>
        <w:t>. FSP FAS 157-4 provides additional guidance for estimating fair value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when the volume and level of activity for the asset or liability have significantly decreased. This FSP also includes guidance on identifying circumstances that indicate a transaction is not orderly. The adoption of FSP FAS 157-4 in its first quarter ending June 20, 2009 had no material impact on the Company’s financial position, results of operations or cash flows.</w:t>
      </w:r>
    </w:p>
    <w:p>
      <w:pPr>
        <w:spacing w:after="0" w:line="64"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 xml:space="preserve">In May 2009, the FASB issued SFAS No. 165 (“SFAS 165”), </w:t>
      </w:r>
      <w:r>
        <w:rPr>
          <w:rFonts w:ascii="Arial" w:cs="Arial" w:eastAsia="Arial" w:hAnsi="Arial"/>
          <w:sz w:val="17"/>
          <w:szCs w:val="17"/>
          <w:i w:val="1"/>
          <w:iCs w:val="1"/>
          <w:color w:val="auto"/>
        </w:rPr>
        <w:t>Subsequent Events</w:t>
      </w:r>
      <w:r>
        <w:rPr>
          <w:rFonts w:ascii="Arial" w:cs="Arial" w:eastAsia="Arial" w:hAnsi="Arial"/>
          <w:sz w:val="17"/>
          <w:szCs w:val="17"/>
          <w:color w:val="auto"/>
        </w:rPr>
        <w:t>. SFAS 165 establishes general standards of accounting for and disclosure of events that occur after the balance sheet date but before financial statements are issued or are available to be issued. SFAS 165 was effective for interim reporting periods ending after June 15, 2009. The Company adopted SFAS 165 in the first quarter of fiscal 2010.</w:t>
      </w:r>
    </w:p>
    <w:p>
      <w:pPr>
        <w:spacing w:after="0" w:line="5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June 2009, the FASB issued SFAS No. 166 (“SFAS 166”), </w:t>
      </w:r>
      <w:r>
        <w:rPr>
          <w:rFonts w:ascii="Arial" w:cs="Arial" w:eastAsia="Arial" w:hAnsi="Arial"/>
          <w:sz w:val="18"/>
          <w:szCs w:val="18"/>
          <w:i w:val="1"/>
          <w:iCs w:val="1"/>
          <w:color w:val="auto"/>
        </w:rPr>
        <w:t>Accounting for Transfers of Financial Assets — an amendment of FASB Statement No. 140.</w:t>
      </w:r>
      <w:r>
        <w:rPr>
          <w:rFonts w:ascii="Arial" w:cs="Arial" w:eastAsia="Arial" w:hAnsi="Arial"/>
          <w:sz w:val="18"/>
          <w:szCs w:val="18"/>
          <w:color w:val="auto"/>
        </w:rPr>
        <w:t xml:space="preserve"> SFAS 166 eliminates the concept of a “qualifying special-purpose entity,” changes the requirements for derecognizing financial assets, and requires additional disclosures in order to enhance information reported to users of financial statements by providing greater transparency about transfers of financial assets, including securitization transactions, and an entity’s continuing involvement in and exposure to the risks related to transferred financial assets. SFAS 166 is effective for fiscal years beginning after November 15, 2009. The Company is currently evaluating the impact it will have on the consolidated results of the Company.</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June 2009, the FASB issued SFAS No. 167 (“SFAS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xml:space="preserve"> The amendments include: (1) the elimination of the exemption for qualifying special purpose entities, (2) a new approach for determining who should consolidate a variable-interest entity, and (3) changes to when it is necessary to reassess who should consolidate a variable-interest entity. SFAS 167 is effective for the first annual reporting period beginning after November 15, 2009 and for interim periods within that first annual reporting period. The Company is currently evaluating the impact it will have on the consolidated results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Company incurred fees of $12,000 for the three months ended June 30, 2008 for intellectual property fees paid to an executive pursuant to an employment agreement. In April 2008, the intellectual property rights were purchased from the executive for a cash payment of $950,000. Please refer to “Patents and Licenses” under footnote B for additional disclosure.</w:t>
      </w:r>
    </w:p>
    <w:p>
      <w:pPr>
        <w:spacing w:after="0" w:line="73"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During the three months ended June 30, 2008 and 2009, the Company recorded revenue of $6,000 and $25,000, respectively, for products and services sold to an entity for which the Company’s Chairman of the Board was formerly the executive chairman. During the same three month periods, the Company purchased goods and services from the same entity in the amounts of $45,000 and $30,000, respectively. The terms and conditions of such relationship are believed to be not materially more favorable to the Company or the entity than could be obtained from an independent third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During the three months ended June 30, 2008 and 2009, the Company recorded revenue of $100 and $1,000, respectively, for products and services sold to an entity for which a member of the board of directors previously served as an executive vice president. The terms and conditions of such relationship are believed to be not materially more favorable to the Company or the entity than could be obtained from an independent third party.</w:t>
      </w:r>
    </w:p>
    <w:p>
      <w:pPr>
        <w:spacing w:after="0" w:line="5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During the three months ended June 30, 2008 and 2009, the Company recorded revenue of $15,000 and $30,000, respectively, for products and services sold to an entity for which a member of the board of directors serves as the chief executive officer. The terms and conditions of such relationship are believed to be not materially more favorable to the Company or the entity than could be obtained from an independent third 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2009 and June 30, 2009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990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Lease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March 18, 2008, the Company entered into a credit agreement (“Credit Agreement”) to replace a previous agreement between the Company and Wells Fargo Bank, N.A. (“Wells Fargo”).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In December 2008, the Company briefly drew $4.0 million on the line of credit due to the timing of treasury repurchases and funds available in the Company’s operating account. In May 2009, the Company completed an amendment to the Credit Agreement, effective as of March 31, 2009, which formalized Wells Fargo’s prior consent to the Company’s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As of March 31, 2009 and June 30, 2009, there was no outstanding balance due on the Line of Credit. Borrowings allowed under the Line of Credit as of March 31, 2009 and June 30, 2009 were $14.4 million and $14.6 million based upon available working capital, as defined.</w:t>
      </w:r>
    </w:p>
    <w:p>
      <w:pPr>
        <w:spacing w:after="0" w:line="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must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Credit Agreement provides that the Company has the option to select the interest rate applicable to all or a portion of the outstanding principal balance of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 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end of the Company’s fiscal 2010 first quarter, even though the Company had no borrowings outstanding under the Line of Credit, the Company was not in technical compliance with the rolling quarterly net income and the fixed charge coverage ratio covenants in the Credit Agreement. Prior to the end of the first quarter, the Company received assurances from Wells Fargo that they would waive such covenant violations. Subsequent to the end of the quarter, the Company obtained a written waiver from Wells Fargo confirming its prior agreement to waive such covenant violations and asking that the Company agree to a subsequent amendment to the Credit Agreement that will make certain changes to the terms of the Credit Agreement, including modifying its financial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June 30, 2009, the Company had federal net operating loss carryforwards of approximately $8.2 million, of which $5.2 million are associated with the exercise of non-qualified stock options that have not yet been recognized by the Company in its financial statements. The Company also has state net operating loss carryforwards of approximately $3.3 million, of which $2.4 million are associated with the exercise of non-qualified stock options. The Company also has federal tax credit carryforwards of approximately $506,000, of which $171,000 has not yet been recognized in the financial statements, and state tax credit carryforwards of $473,000, net of a valuation allowance of $24,000, as of June 30, 2009. The Company has not recorded a valuation allowance for federal loss carryforwards or tax credits. Both the net operating losses and tax credit carryforwards expire between 2020 and 2029.</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2007, the Company’s past issuances and transfers of stock caused an ownership change for certain tax purposes.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$262,000 and $286,000 for the three months ended June 30, 2008 and 2009. In addition, the Company enters into non-cancelable purchase commitments for certain inventory items in order to secure better pricing and ensure materials on hand, as well as for capital expenditures. As of June 30, 2009, the Company had entered into $11.3 million of purchase commitments related to fiscal 2010, including $0.8 million related to the remaining capital committed for information technology improvements and other manufacturing equipment, $1.1 million for commitments under non-cancelable operating leases and $9.4 million for inventory 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brief in support of their motion to dismiss the consolidated complaint. On November 13, 2008, the lead plaintiff filed a brief in opposition to the motion to dismiss. On December 15, 2008, the Company and the other director and officer defendants, filed a reply brief in support of their motion to dismiss. Having been fully briefed, the motion to dismiss is awaiting the court’s review and decision.</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adverse effect on the Company’s consolidated financial position, results of operations and cash flow. In addition, although the Company carries insurance for these types of claims, a judgment significantly in excess of the Company’s insurance coverage or a judgment which is not covered by insurance could materially and adversely affect the Company’s financial condition, results of operations and cash flow. The Company is not presently able to reasonably estimate potential losses, if any, related to the lawsuit.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June 30, 2009, the Company had repurchased 7,005,104 shares of common stock at a cost of $29.5 million under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8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5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grants stock options and restricted stock awards under its 2003 Stock Option and 2004 Stock and Incentive Awards Plans (the “Plans”). Under the terms of the Plans, the Company has reserved 10,500,000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ten years. In the past, the Company has granted both incentive stock options and non-qualified stock options, although in July 2008, the Company adopted a policy of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w:t>
      </w:r>
    </w:p>
    <w:p>
      <w:pPr>
        <w:spacing w:after="0" w:line="7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fiscal 2009, the Company granted 16,627 shares from the 2004 Stock and Incentive Awards Plan to certain non-employee directors who elected to receive stock awards in lieu of cash compensation. The shares were valued at the market price as of the grant date, ranging from $3.00 to $11.61 per share. For the three months ended June 30, 2009, we granted 1,323 shares from the 2004 Stock Incentive Awards Plan to a non-employee director who elected to receive stock awards in lieu of cash compensation. The shares were valued at $3.78, the market price as of the grant date.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June 30, 2009, compensation cost related to non-vested common stock-based compensation amounted to $4.7 million over a remaining weighted average expected term of 6.9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restart"/>
          </w:tcPr>
          <w:p>
            <w:pPr>
              <w:jc w:val="center"/>
              <w:ind w:right="80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2"/>
                <w:szCs w:val="12"/>
                <w:color w:val="auto"/>
              </w:rPr>
            </w:pPr>
          </w:p>
        </w:tc>
        <w:tc>
          <w:tcPr>
            <w:tcW w:w="70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Grant</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7"/>
              </w:rPr>
              <w:t>of Shares</w:t>
            </w:r>
          </w:p>
        </w:tc>
        <w:tc>
          <w:tcPr>
            <w:tcW w:w="5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6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1,070,954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3,680,945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$3.40</w:t>
            </w:r>
          </w:p>
        </w:tc>
        <w:tc>
          <w:tcPr>
            <w:tcW w:w="1960" w:type="dxa"/>
            <w:vAlign w:val="bottom"/>
            <w:gridSpan w:val="3"/>
            <w:shd w:val="clear" w:color="auto" w:fill="CCEEFF"/>
          </w:tcPr>
          <w:p>
            <w:pPr>
              <w:jc w:val="center"/>
              <w:ind w:left="814"/>
              <w:spacing w:after="0"/>
              <w:rPr>
                <w:sz w:val="20"/>
                <w:szCs w:val="20"/>
                <w:color w:val="auto"/>
              </w:rPr>
            </w:pPr>
            <w:r>
              <w:rPr>
                <w:rFonts w:ascii="Arial" w:cs="Arial" w:eastAsia="Arial" w:hAnsi="Arial"/>
                <w:sz w:val="18"/>
                <w:szCs w:val="18"/>
                <w:color w:val="auto"/>
                <w:w w:val="85"/>
              </w:rPr>
              <w:t>6.82</w:t>
            </w: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Granted stock options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(242,227)</w:t>
            </w:r>
          </w:p>
        </w:tc>
        <w:tc>
          <w:tcPr>
            <w:tcW w:w="5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242,227</w:t>
            </w:r>
          </w:p>
        </w:tc>
        <w:tc>
          <w:tcPr>
            <w:tcW w:w="220" w:type="dxa"/>
            <w:vAlign w:val="bottom"/>
          </w:tcPr>
          <w:p>
            <w:pPr>
              <w:spacing w:after="0"/>
              <w:rPr>
                <w:sz w:val="18"/>
                <w:szCs w:val="18"/>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56,600</w:t>
            </w:r>
          </w:p>
        </w:tc>
        <w:tc>
          <w:tcPr>
            <w:tcW w:w="5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(56,600)</w:t>
            </w:r>
          </w:p>
        </w:tc>
        <w:tc>
          <w:tcPr>
            <w:tcW w:w="1280" w:type="dxa"/>
            <w:vAlign w:val="bottom"/>
            <w:gridSpan w:val="2"/>
          </w:tcPr>
          <w:p>
            <w:pPr>
              <w:jc w:val="right"/>
              <w:ind w:right="84"/>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(190,565)</w:t>
            </w:r>
          </w:p>
        </w:tc>
        <w:tc>
          <w:tcPr>
            <w:tcW w:w="12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Balance at June 30, 2009</w:t>
            </w:r>
          </w:p>
        </w:tc>
        <w:tc>
          <w:tcPr>
            <w:tcW w:w="22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884,004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3,676,007</w:t>
            </w:r>
          </w:p>
        </w:tc>
        <w:tc>
          <w:tcPr>
            <w:tcW w:w="220" w:type="dxa"/>
            <w:vAlign w:val="bottom"/>
          </w:tcPr>
          <w:p>
            <w:pPr>
              <w:spacing w:after="0"/>
              <w:rPr>
                <w:sz w:val="20"/>
                <w:szCs w:val="20"/>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8"/>
                <w:szCs w:val="18"/>
                <w:color w:val="auto"/>
              </w:rPr>
              <w:t>$3.45</w:t>
            </w:r>
          </w:p>
        </w:tc>
        <w:tc>
          <w:tcPr>
            <w:tcW w:w="1960" w:type="dxa"/>
            <w:vAlign w:val="bottom"/>
            <w:gridSpan w:val="3"/>
          </w:tcPr>
          <w:p>
            <w:pPr>
              <w:jc w:val="center"/>
              <w:ind w:left="814"/>
              <w:spacing w:after="0"/>
              <w:rPr>
                <w:sz w:val="20"/>
                <w:szCs w:val="20"/>
                <w:color w:val="auto"/>
              </w:rPr>
            </w:pPr>
            <w:r>
              <w:rPr>
                <w:rFonts w:ascii="Arial" w:cs="Arial" w:eastAsia="Arial" w:hAnsi="Arial"/>
                <w:sz w:val="18"/>
                <w:szCs w:val="18"/>
                <w:color w:val="auto"/>
                <w:w w:val="85"/>
              </w:rPr>
              <w:t>6.88</w:t>
            </w:r>
          </w:p>
        </w:tc>
        <w:tc>
          <w:tcPr>
            <w:tcW w:w="1800" w:type="dxa"/>
            <w:vAlign w:val="bottom"/>
            <w:gridSpan w:val="2"/>
          </w:tcPr>
          <w:p>
            <w:pPr>
              <w:jc w:val="right"/>
              <w:ind w:right="168"/>
              <w:spacing w:after="0"/>
              <w:rPr>
                <w:sz w:val="20"/>
                <w:szCs w:val="20"/>
                <w:color w:val="auto"/>
              </w:rPr>
            </w:pPr>
            <w:r>
              <w:rPr>
                <w:rFonts w:ascii="Arial" w:cs="Arial" w:eastAsia="Arial" w:hAnsi="Arial"/>
                <w:sz w:val="18"/>
                <w:szCs w:val="18"/>
                <w:color w:val="auto"/>
              </w:rPr>
              <w:t>$4,429,024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1,713,655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$2.49</w:t>
            </w:r>
          </w:p>
        </w:tc>
        <w:tc>
          <w:tcPr>
            <w:tcW w:w="1960" w:type="dxa"/>
            <w:vAlign w:val="bottom"/>
            <w:gridSpan w:val="3"/>
            <w:shd w:val="clear" w:color="auto" w:fill="CCEEFF"/>
          </w:tcPr>
          <w:p>
            <w:pPr>
              <w:jc w:val="center"/>
              <w:ind w:left="814"/>
              <w:spacing w:after="0"/>
              <w:rPr>
                <w:sz w:val="20"/>
                <w:szCs w:val="20"/>
                <w:color w:val="auto"/>
              </w:rPr>
            </w:pPr>
            <w:r>
              <w:rPr>
                <w:rFonts w:ascii="Arial" w:cs="Arial" w:eastAsia="Arial" w:hAnsi="Arial"/>
                <w:sz w:val="18"/>
                <w:szCs w:val="18"/>
                <w:color w:val="auto"/>
                <w:w w:val="85"/>
              </w:rPr>
              <w:t>5.26</w:t>
            </w:r>
          </w:p>
        </w:tc>
        <w:tc>
          <w:tcPr>
            <w:tcW w:w="1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$2,912,265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$3.75 as of June 30,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outstanding non-vested stock options as of June 30, 2009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1,821,827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242,227</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(45,102)</w:t>
            </w:r>
          </w:p>
        </w:tc>
      </w:tr>
      <w:tr>
        <w:trPr>
          <w:trHeight w:val="223"/>
        </w:trPr>
        <w:tc>
          <w:tcPr>
            <w:tcW w:w="20" w:type="dxa"/>
            <w:vAlign w:val="bottom"/>
          </w:tcPr>
          <w:p>
            <w:pPr>
              <w:spacing w:after="0"/>
              <w:rPr>
                <w:sz w:val="19"/>
                <w:szCs w:val="19"/>
                <w:color w:val="auto"/>
              </w:rPr>
            </w:pPr>
          </w:p>
        </w:tc>
        <w:tc>
          <w:tcPr>
            <w:tcW w:w="10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(56,600)</w:t>
            </w: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1,962,352</w:t>
            </w: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2009 or for the three months ended June 30,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488,504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Issued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22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(21,186)</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1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200"/>
              <w:spacing w:after="0"/>
              <w:rPr>
                <w:sz w:val="20"/>
                <w:szCs w:val="20"/>
                <w:color w:val="auto"/>
              </w:rPr>
            </w:pPr>
            <w:r>
              <w:rPr>
                <w:rFonts w:ascii="Arial" w:cs="Arial" w:eastAsia="Arial" w:hAnsi="Arial"/>
                <w:sz w:val="18"/>
                <w:szCs w:val="18"/>
                <w:color w:val="auto"/>
              </w:rPr>
              <w:t>A summary of outstanding warrants at June 30, 2009 follows:</w:t>
            </w: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540" w:type="dxa"/>
            <w:vAlign w:val="bottom"/>
          </w:tcPr>
          <w:p>
            <w:pPr>
              <w:spacing w:after="0"/>
              <w:rPr>
                <w:sz w:val="24"/>
                <w:szCs w:val="2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Number of Warrants</w:t>
            </w:r>
          </w:p>
        </w:tc>
        <w:tc>
          <w:tcPr>
            <w:tcW w:w="320" w:type="dxa"/>
            <w:vAlign w:val="bottom"/>
          </w:tcPr>
          <w:p>
            <w:pPr>
              <w:spacing w:after="0"/>
              <w:rPr>
                <w:sz w:val="24"/>
                <w:szCs w:val="2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38,980</w:t>
            </w:r>
          </w:p>
        </w:tc>
        <w:tc>
          <w:tcPr>
            <w:tcW w:w="1100" w:type="dxa"/>
            <w:vAlign w:val="bottom"/>
            <w:gridSpan w:val="4"/>
            <w:shd w:val="clear" w:color="auto" w:fill="CCEEFF"/>
          </w:tcPr>
          <w:p>
            <w:pPr>
              <w:jc w:val="center"/>
              <w:ind w:left="190"/>
              <w:spacing w:after="0"/>
              <w:rPr>
                <w:sz w:val="20"/>
                <w:szCs w:val="20"/>
                <w:color w:val="auto"/>
              </w:rPr>
            </w:pPr>
            <w:r>
              <w:rPr>
                <w:rFonts w:ascii="Arial" w:cs="Arial" w:eastAsia="Arial" w:hAnsi="Arial"/>
                <w:sz w:val="18"/>
                <w:szCs w:val="18"/>
                <w:color w:val="auto"/>
                <w:w w:val="89"/>
              </w:rPr>
              <w:t>Fiscal 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$2.30</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8 391,078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2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3 37,260</w:t>
            </w:r>
          </w:p>
        </w:tc>
        <w:tc>
          <w:tcPr>
            <w:tcW w:w="3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467,318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40"/>
          </w:cols>
          <w:pgMar w:left="240" w:top="419" w:right="219" w:bottom="1440" w:gutter="0" w:footer="0" w:header="0"/>
        </w:sect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SUBSEQUENT EVENTS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2009, the FASB issued SFAS No. 165, “Subsequent Events.” SFAS No. 165 sets forth: (1) the period after the balance sheet date during which management of a reporting entity should evaluate events or transactions that may occur for potential recognition or disclosure in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The Company has evaluated the period beginning July 1, 2009 through August 10, 2009, the date its financial statements were issued, and concluded there were no events or transactions occurring during this period that required recognition or disclosure in its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2009 Annual Report filed on Form 10-K for the year ended March 31, 2009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sold and installed more than 1,524,000 of our HIF lighting systems in over 4,700 facilities from December 1, 2001 through June 30, 2009. We have sold our products to 119 Fortune 500 companies, many of which have installed our HIF lighting systems in multiple facilities. Our top direct customers by revenue in fiscal 2009 included Coca-Cola Enterprises Inc., Anheuser-Busch Companies, Inc., Kraft Foods Inc., Ben E. Keith Co., SYSCO Corp., Americold Logistics, LLC and U.S. Foodservice. Our top direct customers by revenue for the three months ended June 30, 2009 included Coca-Cola Enterprises Inc., U.S. Foodservice, Americold Logistics, LLC, SYSCO Corp. and Kraft Foods Inc.</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2009, “fiscal 2009”. We call our current fiscal year, which will end on March 31, 2010, “fiscal 2010.” Our fiscal first quarter ends on June 30, our fiscal second quarter ends on September 30, our fiscal third quarter ends on December 31 and our fiscal fourth quarter ends on March 31.</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Because of the current recessed state of the global economy, especially as it relates to capital equipment manufacturers, we expect our first half of fiscal 2010 to continue to be impacted by lengthened customer sales cycles and sluggish customer capital spending.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address anticipated reduced profitability as a result of the expected slow first half of fiscal 2010, we implemented $3.2 million of annualized cost reductions, which are expected to begin to be realized over the remainder of fiscal 2010. These cost containment initiatives include reductions related to headcount, work hours and discretionary spending. We believe these cost reduction efforts will better position us for profitability in the second half of fiscal 2010, dependent upon the economic environment and customer capital spending.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fiscal 2009, we increased our efforts in selling through our contractor and value-added reseller channels with marketing through mass mailings, participating in national trade organizations and providing training to channel partners on our sales methodologies. These wholesale channels accounted for approximately 40% of our total revenue volume in fiscal 2009 which was an increase from the 25% of total revenues contributed in fiscal 2008. We believe that this growth trend will moderate in fiscal 2010 and our wholesale mix of total revenues will be comparable to our fiscal 2009 mix. For the fiscal 2010 first quarter ended June 30, 2009, our wholesale mix of total revenues was 32%.</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2008, we introduced to the market a new financing program called the Orion Virtual Power Plant (“OVPP”) for our customer’s purchase of our energy management systems. The OVPP is structured as a supply contract in which we commit to deliver a defined amount of energy savings at a fixed rate over the life of the contract, typically 60 months. We collect payments from our customer on a monthly basis across the delivery period. This program creates a revenue stream, but may lessen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former financing program, in which case the revenue would be recognized at the net present value of the total future payments from the finance company upon completion of the project. The OVPP program was established to assist customers who are interested in purchasing our energy management systems but who have capital expenditure budget limitations. For the fiscal 2010 first quarter ended June 30, 2009, we recognized $59,000 of revenue from completed OVPP contracts. As of June 30, 2009, we have signed 36 customers to supply agreements representing future gross revenue streams of $3.6 million. In the future, we expect an increase in the volume of contracts that utilize the OVPP financing program.</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dependence on individual key customers can vary from period to period as a result of the significant size of some of our retrofit and multi-facility roll-out projects. Our top 10 customers accounted for approximately 38% and 45% of our total revenue for the first quarter of fiscal 2009 and fiscal 2010, respectively. No customers accounted for more than 10% of our total revenue for our fiscal 2009 first quarter and one customer accounted for 13% of our revenue for our fiscal 2010 first quarter.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level of total revenue for any given period is dependent upon a number of factors, including (i) the demand for our products and systems, including our OVPP program; (ii) the number and timing of large retrofit and multi-facility retrofit, or “roll-out,” projects; (iii) the level of our wholesale sales; (iv) our ability to realize revenue from our services and our OVPP program, including whether we decide to either retain or resell the expected future cash flows under our OVPP program and the relative timing of the resultant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Such orders must be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 signed proposal acceptance or purchase order from the customer. Our backlog does not include OVPP contracts or national account contracts that have been negotiated, but for which we have not yet received a purchase order for the specific location. As of June 30, 2009, we had a backlog of firm purchase orders of approximately $3.0 million. We generally expect this level of firm purchase order backlog to be converted into revenue within the following quarter. Principally as a result of the continued lengthening of our customer’s purchasing decisions because of current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 aluminum; (ii)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30% of our total cost of revenue for the first quarter of fiscal 2009 and were 9% of total cost of revenue for the first quarter of fiscal 2010. Our production labor force is non-union and, as a result, our production labor costs have been relatively stable. We have been expanding our network of qualified third-party installers to realize efficiencies in the installation process. Toward the end of fiscal 2008, we began to vertically integrate some of our processes performed at outside suppliers to help us better manage delivery lead time, control process quality and inventory supply. We installed a coating line and acquired production fabrication equipment. In fiscal 2009, we installed a power cord assembly line. Each of these production items provide us with additional capacity to continue to support our potential future revenue growth. We expect that these processes will help to reduce overall unit costs upon the equipment becoming more fully utilized.</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7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3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2009, we incurred increased general and administrative expenses in connection with being a public company, including increased accounting, audit, investor relations, legal and support services and Sarbanes-Oxley compliance fees and expenses. Additionally, we anticipate our operating expenses to increase in fiscal 2010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compensation expense for the fair value of our stock option awards granted over their related vesting period. We recognized $1.6 million of stock-based compensation expense in fiscal 2009 and $0.3 million in the first quarter of fiscal 2010. As a result of prior option grants, we expect to recognize an additional $4.7 million of stock-based compensation over a weighted average period of approximately seven years, including $1.0 million in the last nine months of fiscal 2010.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described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 Liquidity and Capital Resources — Indebtedness” below, including the amortization of previously incurred financing costs. We amortize deferred financing costs to interest expense over the life of the related debt instrument, ranging from six to fifteen years.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income consists of dividends paid on preferred shares that we acquired in July 2006. The terms of these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provided for annual dividend payments to us of $0.1 million. The preferred shares were sold back to the issuer in June 2008 and all dividends accrued were paid upon sale. We also report interest income earned on our cash and cash equivalents and short term investments. For the first quarter of fiscal 2010, our interest income declined as a result of the decrease in our cash and cash equivalents.</w:t>
      </w:r>
    </w:p>
    <w:p>
      <w:pPr>
        <w:spacing w:after="0" w:line="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June 30, 2009, we had net operating loss carryforwards of approximately $8.2 million for federal tax purposes and $3.3 million for state</w:t>
      </w:r>
      <w:r>
        <w:rPr>
          <w:rFonts w:ascii="Arial" w:cs="Arial" w:eastAsia="Arial" w:hAnsi="Arial"/>
          <w:sz w:val="17"/>
          <w:szCs w:val="17"/>
          <w:i w:val="1"/>
          <w:iCs w:val="1"/>
          <w:color w:val="auto"/>
        </w:rPr>
        <w:t xml:space="preserve"> </w:t>
      </w:r>
      <w:r>
        <w:rPr>
          <w:rFonts w:ascii="Arial" w:cs="Arial" w:eastAsia="Arial" w:hAnsi="Arial"/>
          <w:sz w:val="17"/>
          <w:szCs w:val="17"/>
          <w:color w:val="auto"/>
        </w:rPr>
        <w:t>tax purposes. Included in these loss carryforwards were $5.2 million for federal and $2.4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of approximately $0.5 million and $0.5 million, respectively, as of March 31, 2009. Management believes it is more likely than not that we will realize the benefits of most of these assets and has recorded for an allowance of $24,000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2020 and 2029.</w:t>
      </w:r>
    </w:p>
    <w:p>
      <w:pPr>
        <w:spacing w:after="0" w:line="74"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2009. For fiscal 2010, we do not anticipate a limitation on the use of our net operating loss carryforwards.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7"/>
          </w:tcPr>
          <w:p>
            <w:pPr>
              <w:jc w:val="right"/>
              <w:ind w:right="150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gridSpan w:val="2"/>
          </w:tcPr>
          <w:p>
            <w:pPr>
              <w:jc w:val="center"/>
              <w:ind w:right="708"/>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7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12,889</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10,677</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Service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12,628</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18"/>
                <w:szCs w:val="18"/>
                <w:color w:val="auto"/>
              </w:rPr>
            </w:pPr>
          </w:p>
        </w:tc>
        <w:tc>
          <w:tcPr>
            <w:tcW w:w="1980" w:type="dxa"/>
            <w:vAlign w:val="bottom"/>
            <w:gridSpan w:val="3"/>
          </w:tcPr>
          <w:p>
            <w:pPr>
              <w:jc w:val="right"/>
              <w:ind w:right="548"/>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7,872</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62.4%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10,909</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9,127</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3,501</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8"/>
                <w:szCs w:val="18"/>
                <w:color w:val="auto"/>
              </w:rPr>
            </w:pPr>
          </w:p>
        </w:tc>
        <w:tc>
          <w:tcPr>
            <w:tcW w:w="1980" w:type="dxa"/>
            <w:vAlign w:val="bottom"/>
            <w:gridSpan w:val="3"/>
          </w:tcPr>
          <w:p>
            <w:pPr>
              <w:jc w:val="right"/>
              <w:ind w:right="548"/>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3,163</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198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980" w:type="dxa"/>
            <w:vAlign w:val="bottom"/>
            <w:gridSpan w:val="3"/>
          </w:tcPr>
          <w:p>
            <w:pPr>
              <w:jc w:val="right"/>
              <w:ind w:right="548"/>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 and 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(3,166)</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(25.0)%</w:t>
            </w:r>
          </w:p>
        </w:tc>
        <w:tc>
          <w:tcPr>
            <w:tcW w:w="680" w:type="dxa"/>
            <w:vAlign w:val="bottom"/>
          </w:tcPr>
          <w:p>
            <w:pPr>
              <w:ind w:left="300"/>
              <w:spacing w:after="0"/>
              <w:rPr>
                <w:sz w:val="20"/>
                <w:szCs w:val="20"/>
                <w:color w:val="auto"/>
              </w:rPr>
            </w:pPr>
            <w:r>
              <w:rPr>
                <w:rFonts w:ascii="Arial" w:cs="Arial" w:eastAsia="Arial" w:hAnsi="Arial"/>
                <w:sz w:val="18"/>
                <w:szCs w:val="18"/>
                <w:color w:val="auto"/>
              </w:rPr>
              <w:t>NM</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income(loss)</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548"/>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680" w:type="dxa"/>
            <w:vAlign w:val="bottom"/>
          </w:tcPr>
          <w:p>
            <w:pPr>
              <w:ind w:left="300"/>
              <w:spacing w:after="0"/>
              <w:rPr>
                <w:sz w:val="20"/>
                <w:szCs w:val="20"/>
                <w:color w:val="auto"/>
              </w:rPr>
            </w:pPr>
            <w:r>
              <w:rPr>
                <w:rFonts w:ascii="Arial" w:cs="Arial" w:eastAsia="Arial" w:hAnsi="Arial"/>
                <w:sz w:val="18"/>
                <w:szCs w:val="18"/>
                <w:color w:val="auto"/>
              </w:rPr>
              <w:t>NM</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$12.9 million for the fiscal 2009 first quarter ended June 30, 2008 to $10.7 million for the fiscal 2010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2009, a decrease of $2.2 million, or 17%. The decrease in product revenue was a result of decreased sales of our HIF lighting systems. Service revenue decreased from $3.2 million for the fiscal 2009 first quarter to $2.0 million for the fiscal 2010 first quarter, a decrease of $1.2 million or 39%. The decrease in service revenues was a result of decreased sales of our HIF lighting systems. Our product and service revenues continue to be impacted by a lengthening sales cycle in the marketplace. We attribute this to general conservatism in the marketplace concerning capital spending and purchase decisions due to adverse economic and credit market conditions. We expect these circumstances to continue in our next quarter.</w:t>
      </w:r>
    </w:p>
    <w:p>
      <w:pPr>
        <w:spacing w:after="0" w:line="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decreased from $8.6 million for the fiscal 2009 first quarter to $7.9 million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2010 first quarter, a decrease of $0.7 million, or 9%. Our cost of service revenues decreased from $2.3 million for the fiscal 2009 first quarter to $1.3 million for the fiscal 2010 first quarter, a decrease of $1.0 million, or 45%. Total gross margin decreased from 32.2% for the fiscal 2009 first quarter to 27.7% for the fiscal 2010 first quarter. The decrease in gross margin was attributable to unabsorbed manufacturing capacity costs related to the decline in product revenues. Over the past quarter, we have reengineered our assembly process, implemented cell manufacturing stations to reduce direct labor headcount and indirect headcount related to material handling, decreased production work hours and scheduled plant shutdown weeks to reduce operating costs. As a result, we believe that we are now better positioned to improve our gross margin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from $2.6 million for the fiscal 2009 first quarter to $3.2 million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first quarter, an increase of $0.6 million, or 21%. The increase was a result of $0.2 million in severance compensation costs resulting from cost reduction initiatives, $0.4 million as a result of a one-time gain on asset disposal in June 2008 that did not recur and $0.4 million in increased occupancy costs for our new corporate technology center, including $0.1 million for one-time start-up costs, partially offset by $0.4 million in decreased compensation costs resulting from headcount reductions and other discretionary spending reductions.</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Our sales and marketing expenses increased from $2.7 million for the fiscal 2009 first quarter to $3.2 million for the fiscal 2010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an increase of $0.5 million, or 19%. The increase was a result of increased employee compensation and benefit costs of $0.4 million from our hiring additional sales and marketing personnel as we have decided to hire and train additional sales personnel in an effort to be better positioned in the event of an economic recovery. We increased sales headcounts to begin developing opportunities for our exterior lighting products within the utility and governmental markets and expanded sales and sales support personnel dedicated to our in-market sales programs. Total sales and marketing headcount as of June 30, 2008 was 63. Total sales and marketing headcount as of June 30, 2009 was 71.</w:t>
      </w:r>
    </w:p>
    <w:p>
      <w:pPr>
        <w:spacing w:after="0" w:line="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were flat for the fiscal 2009 first quarter versus the fiscal 2010 first quarter.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within the quarter related to compensation costs for the development and support of new products, depreciation expenses for lab and research equipment and sample and testing costs related to the development of our new exterior lighting product initiatives.</w:t>
      </w:r>
    </w:p>
    <w:p>
      <w:pPr>
        <w:sectPr>
          <w:pgSz w:w="11900" w:h="16838" w:orient="portrait"/>
          <w:cols w:equalWidth="0" w:num="1">
            <w:col w:w="11420"/>
          </w:cols>
          <w:pgMar w:left="240" w:top="41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was substantially unchanged for the fiscal 2009 first quarter versus the fiscal 2010 first quarter. For the fiscal 2010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we capitalized $21,000 of interest for construction in progress. For the fiscal 2009 first quarter, we capitalized $39,000 of interest for construction in progress.</w:t>
      </w:r>
    </w:p>
    <w:p>
      <w:pPr>
        <w:spacing w:after="0" w:line="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Dividend and interest income decreased from $0.6 million for the fiscal 2009 first quarter to $0.1 million for the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a decrease of $0.5 million or 80%. The decrease in investment income was a result of less cash invested and a decrease in interest rates on our short-term investments.</w:t>
      </w:r>
    </w:p>
    <w:p>
      <w:pPr>
        <w:spacing w:after="0" w:line="73"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decreased from $28,000 for the fiscal 2009 first quarter versus a benefit of $0.4 million for the fiscal 2010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The change in income tax expense was due to the decrease in taxable income. Our effective income tax rate for the fiscal 2009 first quarter was</w:t>
      </w:r>
    </w:p>
    <w:p>
      <w:pPr>
        <w:ind w:right="160"/>
        <w:spacing w:after="0" w:line="255" w:lineRule="auto"/>
        <w:rPr>
          <w:sz w:val="20"/>
          <w:szCs w:val="20"/>
          <w:color w:val="auto"/>
        </w:rPr>
      </w:pPr>
      <w:r>
        <w:rPr>
          <w:rFonts w:ascii="Arial" w:cs="Arial" w:eastAsia="Arial" w:hAnsi="Arial"/>
          <w:sz w:val="18"/>
          <w:szCs w:val="18"/>
          <w:color w:val="auto"/>
        </w:rPr>
        <w:t>42.2%, compared to (12.4)% for the fiscal 2010 first quarter. The change in our effective tax rate was due to a reduction of benefits for non-deductible stock compensation expense, a mix change in state tax rates, and a reduction in federal tax credits due to a reduction in taxable income after stock option deductions.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24, 2007, we completed our initial public offering, or IPO. Net proceeds to us from the IPO were approximately $82.8 million (net of underwriting discounts and commissions but before the deduction of offering expenses). We invested the net proceeds from the IPO in money market funds and short-term government agency bonds.</w:t>
      </w:r>
    </w:p>
    <w:p>
      <w:pPr>
        <w:spacing w:after="0" w:line="7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We had approximately $26.9 million in cash and cash equivalents and $7.3 million in short-term investments as of June 30, 2009, compared to $36.2 million and $6.5 million at March 31, 2009. Our cash equivalents are invested in money market accounts and bank certificates of deposit with maturities of less than 90 days and an average yield of 1.0%. Our short-term investment account consists of high-grade government agency bonds and a bank certificate of deposit with expiration dates ranging from November 2009 through December 2009 and an average yield of 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June 30, 2008 and 2009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(26,235)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(2,985)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(24,097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adjusted for certain non-cash items;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stock-based compensation expenses, income taxes and the effect of changes in working capital and other activities.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for the fiscal 2010 first quarter was $6.3 million and consisted of net cash of $3.5 million used for working capital purposes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by a net loss adjusted for non-cash expense items of $2.8 million. Cash used for working capital consisted of an increase of $0.8 million in inventory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continued to invest in the development of our Phase 2 wireless controls initiative. Total wireless inventories increased by $2.8 million within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while our existing HIF lighting systems inventories decreased by $2.0 million. The electrical and computer components for our wireless control devices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produced overseas and suppliers currently have lead times extending forward nine to 12 months. Additionally, these foreign suppliers require cash deposits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order. Other uses of cash for working capital consisted of a reduction in accounts payable of $3.4 million resulting from payments to vendors,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increase in other current assets resulting from our investment in cost of materials shipped for OVPP contracts that have not yet been completed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for which no revenue or cost has yet been recognized. These amounts were offset by a $0.9 million decrease in prepaids due to amortization of expenses.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for the fiscal 2009 first quarter was $0.9 million and consisted of net cash of $0.2 million provided by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net income adjusted for non-cash expense items of $0.7 million. Cash provided by working capital consisted of a decrease in trade receivables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 million as a result of decreased revenue and the timing of cash receipts. This amount was offset by an increase of $3.2 million in inventory to support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growth and provide safety stock inventories on key components, a $0.7 million increase in prepaids due to advanced payments for income taxes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 decrease of $0.7 million in accounts payable for payments to inventory suppliers and service providers, and a $0.5 million decrease in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due to payments of prior year accrued bonuses.</w:t>
      </w:r>
    </w:p>
    <w:p>
      <w:pPr>
        <w:spacing w:after="0" w:line="10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fiscal 2010 first quarter, cash used in investing activities was $3.0 million. This included $0.7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investments with maturity dates ranging from 91 to 180 days and $1.8 million for capital expenditures related to the completion of our technology center, operating software systems and processing equipment for capacity and cost improvement measures in our factory.</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in investing activities for the fiscal 2009 first quarter was $26.2 million. This included $22.7 million for short-term investments with maturity dates ranging from 91 to 360 days, $3.0 million for capital expenditures related to the technology center, operating software systems and processing equipment for capacity and cost improvement measures, $1.0 million for the purchase of intellectual property rights from an executive, offset by net proceeds from the sale of an investment of $0.9 million.</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fiscal 2010 first quarter cash flows used in financing activities was $0. This included $0.2 million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common share repurchases and $0.2 million used for repayment of long-term debt, offset by cash flows provided by financing activities, which included proceeds of $0.4 million received from stock option and warrant exercises.</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Cash provided by financing activities for the fiscal 2009 first quarter was $1.2 million. This included $0.6 million of proceeds received from stock option and warrant exercises and $0.8 million in deferred tax benefits from non-qualified stock option exercises, offset by $0.2 million for repayment of long term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net working capital as of June 30, 2009 was $62.5 million, consisting of $69.6 million in current assets and $7.1 million in current liabilities. Our net working capital as of March 31, 2009 was $67.5 million, consisting of $78.4 million in current assets and $10.9 million in current liabilities. Our inventories have increased from our prior fiscal year-end as a result of our wireless controls Phase 2 initiative. The vast majorities of these components are assembled overseas, require longer delivery lead times and suppliers require deposit payments at time of purchase order. In our most recent quarter, we were able to reduce inventories for our HIF lighting systems by $2.0 million. We generally attempt to maintain a three-month supply of on-hand inventory of purchased components and raw materials to meet anticipated demand, as well as to reduce our risk of unexpected raw material or component shortages or supply interruptions. Our accounts payable balance decreased in the quarter by $3.4 million as a result of payments to vendors as well as being impacted by the reduction in HIF inventories with payment terms on purchase. Our accounts receivables, inventory and payables may increase to the extent our revenue and order levels increase.</w:t>
      </w:r>
    </w:p>
    <w:p>
      <w:pPr>
        <w:spacing w:after="0" w:line="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and our borrowing capacity under our revolving credit facility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March 18, 2008, we entered into a credit agreement to replace a previous agreement between us and Wells Fargo Bank, N.A.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provides for a revolving credit facility that matures on August 31, 2010. The initial maximum aggregate amount of availability under the line of credit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We have a one-time option to increase the maximum aggregate amount of availability under the line of credit to up to $50.0 million,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advance from the line of credit over $25.0 million is discretionary to Wells Fargo even if no event of default has occurred. Borrowings are limited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percentage of eligible trade accounts receivables and inventories, less any borrowing base reserve that may be established from time to time.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2008, we briefly drew $4.0 million on the line of credit due to the timing of treasury repurchases and funds available in our operating account.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2009, we completed an amendment to the credit agreement, effective as of March 31, 2009, which formalized Wells Fargo’s prior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consent to our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As of June 30, 2009, there was no outstanding balance due on the line of credit. Borrowings allowed under the line of credit as of June 30, 2009 were $14.6 million based upon available working capital, as defined.</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must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credit agreement provides that we have the option to select the interest rate applicable to all or a portion of the outstanding principal balance of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 The credit agreement is secured by a first lien security interest on all of our accounts receivable, general intangibles and inventory, and a second lien on all of our equipment and fixtures. The credit agreement contains certain financial covenants, including minimum net income requirements and requirements that we maintain net worth and fixed charge coverage ratios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the end of our fiscal 2010 first quarter, even though we had no borrowings outstanding under our line of credit, we were not in technical compliance with our rolling quarterly net income and our fixed charge coverage ratio covenants in our credit agreement. Prior to the end of our first quarter, we received assurances from Wells Fargo that they would waive such covenant violations. Subsequent to the end of the quarter, we obtained a written waiver from Wells Fargo confirming its prior agreement to waive such covenant violations and asking that we agree to a subsequent amendment to our credit agreement that will make certain changes to the terms of our credit agreement, including modifying its financial covenants.</w:t>
      </w:r>
    </w:p>
    <w:p>
      <w:pPr>
        <w:spacing w:after="0" w:line="6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Since we have over $34 million of cash, cash-equivalents and short-term investments on hand, and because we have no borrowings outstanding under our credit agreement and no currently foreseeable intention to borrow under our line of credit, we do not believe that such covenant violations, the covenant violation waiver or any subsequently obtained credit agreement amendment is material to our current or future financial condition or our current or future access to capital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expect to incur approximately $1.2 million in capital expenditures during the remainder of fiscal 2010. We spent approximately $1.8 million of capital expenditures in the fiscal 2010 first quarter on the completion of our corporate technology center, implementation of an ERP system, software development for our wireless controls technology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ERP systems critical to our long-term success and our ability to ensure a strong control environment over financial reporting and operations. We expect to finance the information technology and manufacturing improvements primarily through equipment secured loans and leases, long-term debt financing, using cash on hand or by using our available capacity under our revolving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June 30, 2009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80" w:type="dxa"/>
            <w:vAlign w:val="bottom"/>
            <w:vMerge w:val="restart"/>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1–3 Years</w:t>
            </w:r>
          </w:p>
        </w:tc>
        <w:tc>
          <w:tcPr>
            <w:tcW w:w="680" w:type="dxa"/>
            <w:vAlign w:val="bottom"/>
            <w:vMerge w:val="restart"/>
          </w:tcPr>
          <w:p>
            <w:pPr>
              <w:spacing w:after="0"/>
              <w:rPr>
                <w:sz w:val="14"/>
                <w:szCs w:val="1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3–5 Years</w:t>
            </w:r>
          </w:p>
        </w:tc>
        <w:tc>
          <w:tcPr>
            <w:tcW w:w="340" w:type="dxa"/>
            <w:vAlign w:val="bottom"/>
            <w:vMerge w:val="restart"/>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11,379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10,204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12,287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non-cancellable purchase order commitment in the amount of $10.6 million for certain inventory items entered into in order to secure better pricing and ensure materials on hand and capital expenditure commitments in the amount of $0.8 million for improvements to information technology systems and manufacturing equipment and tooling.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2009. There have been no material changes in any of our accounting policies since March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2009. There have been no material changes to such exposures since March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as amended (the “Exchange Act”)) as of the end of the quarter ended June 30, 2009 pursuant to the requirements of the Exchange Act. Based upon their evaluation, our Chief Executive Officer and our Chief Financial Officer concluded that our disclosure controls and procedures were effective as of the end of the quarter ended June 30, 2009.</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2009 that has materially affected, or is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February and March 2008, three class action lawsuits were filed in the United States District Court for the Southern District of New York against us, several of our officers, all members of our then existing board of directors, and certain underwriters from our December 2007 IPO. The plaintiffs claim to represent certain persons who purchased shares of our common stock from December 18, 2007 through February 6, 2008. The plaintiffs allege, among other things, that the defendants made misstatements and failed to disclose material information in our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director and officer defendants filed a brief in support of the motion to dismiss the consolidated complaint. On November 13, 2008, the lead plaintiff filed a brief in opposition to the motion to dismiss. On December 15, 2008, we and the other director and officer defendants, filed a reply brief in support of their motion to dismiss. Having been fully briefed, the motion to dismiss is awaiting the court’s review and decision.</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we and the other defendants have substantial legal and factual defenses to the claims and allegations contained in the consolidated complaint, and we intend to pursue these defenses vigorously. There can be no assurance, however, that we will be successful, and an adverse resolution of the lawsuit could have a material adverse effect on our consolidated financial position, results of operations and cash flow. In addition, although we carry insurance for these types of claims, a judgment significantly in excess of our insurance coverage could materially and adversely affect our financial condition, results of operations and cash flow. We are not presently able to reasonably estimate potential losses, if any, related to the lawsuit.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2009, which we filed with the SEC on June 15, 2009. During the three months ended June 30, 2009, there were no material changes to the risk factors that were disclosed in Part I — Item 1A under the heading “Risk Factors” in our Annual Report on Form 10-K for the fiscal year ended March 31, 2009.</w:t>
      </w:r>
    </w:p>
    <w:p>
      <w:pPr>
        <w:spacing w:after="0" w:line="189" w:lineRule="exact"/>
        <w:rPr>
          <w:sz w:val="20"/>
          <w:szCs w:val="20"/>
          <w:color w:val="auto"/>
        </w:rPr>
      </w:pPr>
    </w:p>
    <w:p>
      <w:pPr>
        <w:ind w:right="426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(b) Use of Proceeds</w:t>
      </w:r>
    </w:p>
    <w:p>
      <w:pPr>
        <w:ind w:right="20"/>
        <w:spacing w:after="0" w:line="273" w:lineRule="auto"/>
        <w:rPr>
          <w:sz w:val="20"/>
          <w:szCs w:val="20"/>
          <w:color w:val="auto"/>
        </w:rPr>
      </w:pPr>
      <w:r>
        <w:rPr>
          <w:rFonts w:ascii="Arial" w:cs="Arial" w:eastAsia="Arial" w:hAnsi="Arial"/>
          <w:sz w:val="17"/>
          <w:szCs w:val="17"/>
          <w:color w:val="auto"/>
        </w:rPr>
        <w:t>Our IPO was declared effective by the SEC on December 18, 2007. The net offering proceeds received by us, after deducting underwriting discounts and commissions and expenses incurred in connection with the offering, were approximately $78.6 million. Through June 30, 2009, approximately $15.0 million of the proceeds from our IPO have been used to fund operations of our business and for general corporate purposes and approximately $29.5 million was used for the repurchase of common shares. The remainder of the net proceeds from the IPO are invested in short-term investment grade securities, bank certificates of deposit and money market accounts. Other than for our share repurchases, there has been no material change in the planned use of proceeds from our IPO as described in our final prospectus filed with the SEC on December 18, 2007 pursuant to Rule 424(b).</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stock repurchases for the three-month period ended June 30,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Total Number of</w:t>
            </w:r>
          </w:p>
        </w:tc>
        <w:tc>
          <w:tcPr>
            <w:tcW w:w="6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Total</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6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Number</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6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620" w:type="dxa"/>
            <w:vAlign w:val="bottom"/>
          </w:tcPr>
          <w:p>
            <w:pPr>
              <w:spacing w:after="0"/>
              <w:rPr>
                <w:sz w:val="12"/>
                <w:szCs w:val="12"/>
                <w:color w:val="auto"/>
              </w:rPr>
            </w:pPr>
          </w:p>
        </w:tc>
        <w:tc>
          <w:tcPr>
            <w:tcW w:w="110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Average Price</w:t>
            </w:r>
          </w:p>
        </w:tc>
        <w:tc>
          <w:tcPr>
            <w:tcW w:w="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6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 the</w:t>
            </w:r>
          </w:p>
        </w:tc>
      </w:tr>
      <w:tr>
        <w:trPr>
          <w:trHeight w:val="167"/>
        </w:trPr>
        <w:tc>
          <w:tcPr>
            <w:tcW w:w="20" w:type="dxa"/>
            <w:vAlign w:val="bottom"/>
          </w:tcPr>
          <w:p>
            <w:pPr>
              <w:spacing w:after="0"/>
              <w:rPr>
                <w:sz w:val="14"/>
                <w:szCs w:val="14"/>
                <w:color w:val="auto"/>
              </w:rPr>
            </w:pPr>
          </w:p>
        </w:tc>
        <w:tc>
          <w:tcPr>
            <w:tcW w:w="364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Period</w:t>
            </w:r>
          </w:p>
        </w:tc>
        <w:tc>
          <w:tcPr>
            <w:tcW w:w="60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Purchased</w:t>
            </w:r>
          </w:p>
        </w:tc>
        <w:tc>
          <w:tcPr>
            <w:tcW w:w="6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Paid per Share</w:t>
            </w:r>
          </w:p>
        </w:tc>
        <w:tc>
          <w:tcPr>
            <w:tcW w:w="6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or Programs(1)</w:t>
            </w:r>
          </w:p>
        </w:tc>
        <w:tc>
          <w:tcPr>
            <w:tcW w:w="6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Plans or Programs(1)</w:t>
            </w: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 2009</w:t>
            </w:r>
          </w:p>
        </w:tc>
        <w:tc>
          <w:tcPr>
            <w:tcW w:w="1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5"/>
              </w:rPr>
              <w:t>4.41</w:t>
            </w:r>
          </w:p>
        </w:tc>
        <w:tc>
          <w:tcPr>
            <w:tcW w:w="19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34,014</w:t>
            </w:r>
          </w:p>
        </w:tc>
        <w:tc>
          <w:tcPr>
            <w:tcW w:w="23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$ 510,000</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May 1 – May 31, 2009</w:t>
            </w:r>
          </w:p>
        </w:tc>
        <w:tc>
          <w:tcPr>
            <w:tcW w:w="1800" w:type="dxa"/>
            <w:vAlign w:val="bottom"/>
            <w:gridSpan w:val="4"/>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900" w:type="dxa"/>
            <w:vAlign w:val="bottom"/>
            <w:gridSpan w:val="2"/>
          </w:tcPr>
          <w:p>
            <w:pPr>
              <w:jc w:val="right"/>
              <w:ind w:right="328"/>
              <w:spacing w:after="0"/>
              <w:rPr>
                <w:sz w:val="20"/>
                <w:szCs w:val="20"/>
                <w:color w:val="auto"/>
              </w:rPr>
            </w:pPr>
            <w:r>
              <w:rPr>
                <w:rFonts w:ascii="Arial" w:cs="Arial" w:eastAsia="Arial" w:hAnsi="Arial"/>
                <w:sz w:val="18"/>
                <w:szCs w:val="18"/>
                <w:color w:val="auto"/>
              </w:rPr>
              <w:t>0</w:t>
            </w:r>
          </w:p>
        </w:tc>
        <w:tc>
          <w:tcPr>
            <w:tcW w:w="2340" w:type="dxa"/>
            <w:vAlign w:val="bottom"/>
            <w:gridSpan w:val="2"/>
          </w:tcPr>
          <w:p>
            <w:pPr>
              <w:jc w:val="right"/>
              <w:ind w:right="488"/>
              <w:spacing w:after="0"/>
              <w:rPr>
                <w:sz w:val="20"/>
                <w:szCs w:val="20"/>
                <w:color w:val="auto"/>
              </w:rPr>
            </w:pPr>
            <w:r>
              <w:rPr>
                <w:rFonts w:ascii="Arial" w:cs="Arial" w:eastAsia="Arial" w:hAnsi="Arial"/>
                <w:sz w:val="18"/>
                <w:szCs w:val="18"/>
                <w:color w:val="auto"/>
              </w:rPr>
              <w:t>$ 510,000</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2009</w:t>
            </w:r>
          </w:p>
        </w:tc>
        <w:tc>
          <w:tcPr>
            <w:tcW w:w="1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9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w:t>
            </w:r>
          </w:p>
        </w:tc>
        <w:tc>
          <w:tcPr>
            <w:tcW w:w="23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$ 510,000</w:t>
            </w: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34,014</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200" w:hanging="452"/>
        <w:spacing w:after="0" w:line="31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December 15, 2008, we announced that our board of directors had authorized the repurchase of up to an additional $10 million of our outstanding common stock. The action supplemented the $20 million share repurchase authorization announced on July 17, 2008. Unless terminated earlier by resolution of our board of directors, this repurchase program will expire when we have repurchased all shares authorized for repurchase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June 30, 2009,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ectPr>
          <w:pgSz w:w="11900" w:h="16838" w:orient="portrait"/>
          <w:cols w:equalWidth="0" w:num="1">
            <w:col w:w="11420"/>
          </w:cols>
          <w:pgMar w:left="240" w:top="419" w:right="239" w:bottom="609"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09"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June 30, 2009</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1,524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1,973</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460</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8,530,438</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642,984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5,550</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782,041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2.0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2008, which is the most current full year for which this information is available, was $0.098 per kilowatt hour according to the United States Energy Information Administration.</w:t>
      </w:r>
    </w:p>
    <w:p>
      <w:pPr>
        <w:spacing w:after="0" w:line="32"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8" w:lineRule="exact"/>
        <w:rPr>
          <w:sz w:val="20"/>
          <w:szCs w:val="20"/>
          <w:color w:val="auto"/>
        </w:rPr>
      </w:pPr>
    </w:p>
    <w:p>
      <w:pPr>
        <w:ind w:left="460" w:right="2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1.97 million total units sold, which contain a total of approximately 9.9 million lamps. Each lamp illuminates approximately 75 square feet. The majority of our installed fixtures contain six lamps and typically illuminate approximately 450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Certification of Chief Executive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800" w:type="dxa"/>
            <w:vAlign w:val="bottom"/>
          </w:tcPr>
          <w:p>
            <w:pPr>
              <w:ind w:left="300"/>
              <w:spacing w:after="0"/>
              <w:rPr>
                <w:sz w:val="20"/>
                <w:szCs w:val="20"/>
                <w:color w:val="auto"/>
              </w:rPr>
            </w:pPr>
            <w:r>
              <w:rPr>
                <w:rFonts w:ascii="Arial" w:cs="Arial" w:eastAsia="Arial" w:hAnsi="Arial"/>
                <w:sz w:val="18"/>
                <w:szCs w:val="18"/>
                <w:color w:val="auto"/>
                <w:w w:val="95"/>
              </w:rPr>
              <w:t>Certification of Chief Financial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Certification of Chief Executive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800" w:type="dxa"/>
            <w:vAlign w:val="bottom"/>
          </w:tcPr>
          <w:p>
            <w:pPr>
              <w:ind w:left="30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392"/>
        </w:trPr>
        <w:tc>
          <w:tcPr>
            <w:tcW w:w="62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8"/>
                <w:szCs w:val="18"/>
                <w:color w:val="auto"/>
              </w:rPr>
              <w:t>28</w:t>
            </w:r>
          </w:p>
        </w:tc>
      </w:tr>
      <w:tr>
        <w:trPr>
          <w:trHeight w:val="226"/>
        </w:trPr>
        <w:tc>
          <w:tcPr>
            <w:tcW w:w="620" w:type="dxa"/>
            <w:vAlign w:val="bottom"/>
            <w:tcBorders>
              <w:bottom w:val="single" w:sz="8" w:color="808080"/>
            </w:tcBorders>
          </w:tcPr>
          <w:p>
            <w:pPr>
              <w:spacing w:after="0"/>
              <w:rPr>
                <w:sz w:val="19"/>
                <w:szCs w:val="19"/>
                <w:color w:val="auto"/>
              </w:rPr>
            </w:pPr>
          </w:p>
        </w:tc>
        <w:tc>
          <w:tcPr>
            <w:tcW w:w="10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10, 2009.</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261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Authorized Signatory)</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June 30, 2009</w:t>
            </w:r>
          </w:p>
        </w:tc>
      </w:tr>
      <w:tr>
        <w:trPr>
          <w:trHeight w:val="20"/>
        </w:trPr>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3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Certification of Chief Executive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Certification of Chief Financial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405"/>
        </w:trPr>
        <w:tc>
          <w:tcPr>
            <w:tcW w:w="620" w:type="dxa"/>
            <w:vAlign w:val="bottom"/>
          </w:tcPr>
          <w:p>
            <w:pPr>
              <w:spacing w:after="0"/>
              <w:rPr>
                <w:sz w:val="24"/>
                <w:szCs w:val="24"/>
                <w:color w:val="auto"/>
              </w:rPr>
            </w:pPr>
          </w:p>
        </w:tc>
        <w:tc>
          <w:tcPr>
            <w:tcW w:w="7540" w:type="dxa"/>
            <w:vAlign w:val="bottom"/>
            <w:gridSpan w:val="2"/>
          </w:tcPr>
          <w:p>
            <w:pPr>
              <w:ind w:left="5000"/>
              <w:spacing w:after="0"/>
              <w:rPr>
                <w:sz w:val="20"/>
                <w:szCs w:val="20"/>
                <w:color w:val="auto"/>
              </w:rPr>
            </w:pPr>
            <w:r>
              <w:rPr>
                <w:rFonts w:ascii="Arial" w:cs="Arial" w:eastAsia="Arial" w:hAnsi="Arial"/>
                <w:sz w:val="18"/>
                <w:szCs w:val="18"/>
                <w:color w:val="auto"/>
              </w:rPr>
              <w:t>30</w:t>
            </w:r>
          </w:p>
        </w:tc>
        <w:tc>
          <w:tcPr>
            <w:tcW w:w="3040" w:type="dxa"/>
            <w:vAlign w:val="bottom"/>
          </w:tcPr>
          <w:p>
            <w:pPr>
              <w:spacing w:after="0"/>
              <w:rPr>
                <w:sz w:val="24"/>
                <w:szCs w:val="24"/>
                <w:color w:val="auto"/>
              </w:rPr>
            </w:pPr>
          </w:p>
        </w:tc>
      </w:tr>
    </w:tbl>
    <w:p>
      <w:pPr>
        <w:sectPr>
          <w:pgSz w:w="11900" w:h="16838" w:orient="portrait"/>
          <w:cols w:equalWidth="0" w:num="1">
            <w:col w:w="11200"/>
          </w:cols>
          <w:pgMar w:left="240" w:top="419"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2009,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Neal R. Verfuerth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2009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 August 10, 2009</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2019-12-11T04:19:11Z</dcterms:created>
  <dcterms:modified xsi:type="dcterms:W3CDTF">2019-12-11T04:19:11Z</dcterms:modified>
</cp:coreProperties>
</file>