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ind w:left="4380"/>
        <w:spacing w:after="0"/>
        <w:rPr>
          <w:sz w:val="20"/>
          <w:szCs w:val="20"/>
          <w:color w:val="auto"/>
        </w:rPr>
      </w:pPr>
      <w:r>
        <w:rPr>
          <w:rFonts w:ascii="Arial" w:cs="Arial" w:eastAsia="Arial" w:hAnsi="Arial"/>
          <w:sz w:val="18"/>
          <w:szCs w:val="18"/>
          <w:color w:val="auto"/>
        </w:rPr>
        <w:t>_____________________________</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_____________________________</w:t>
      </w:r>
    </w:p>
    <w:p>
      <w:pPr>
        <w:spacing w:after="0" w:line="77" w:lineRule="exact"/>
        <w:rPr>
          <w:sz w:val="24"/>
          <w:szCs w:val="24"/>
          <w:color w:val="auto"/>
        </w:rPr>
      </w:pPr>
    </w:p>
    <w:p>
      <w:pPr>
        <w:ind w:left="500" w:right="360" w:hanging="492"/>
        <w:spacing w:after="0" w:line="269"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500" w:right="360" w:hanging="451"/>
        <w:spacing w:after="0" w:line="269"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______________________________</w:t>
      </w:r>
    </w:p>
    <w:p>
      <w:pPr>
        <w:spacing w:after="0" w:line="7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______________________________</w:t>
      </w:r>
    </w:p>
    <w:p>
      <w:pPr>
        <w:spacing w:after="0" w:line="153"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86"/>
              </w:rPr>
              <w:t>Wisconsin</w:t>
            </w:r>
          </w:p>
        </w:tc>
        <w:tc>
          <w:tcPr>
            <w:tcW w:w="3100" w:type="dxa"/>
            <w:vAlign w:val="bottom"/>
          </w:tcPr>
          <w:p>
            <w:pPr>
              <w:jc w:val="right"/>
              <w:ind w:right="181"/>
              <w:spacing w:after="0"/>
              <w:rPr>
                <w:sz w:val="20"/>
                <w:szCs w:val="20"/>
                <w:color w:val="auto"/>
              </w:rPr>
            </w:pPr>
            <w:r>
              <w:rPr>
                <w:rFonts w:ascii="Arial" w:cs="Arial" w:eastAsia="Arial" w:hAnsi="Arial"/>
                <w:sz w:val="18"/>
                <w:szCs w:val="18"/>
                <w:b w:val="1"/>
                <w:bCs w:val="1"/>
                <w:color w:val="auto"/>
              </w:rPr>
              <w:t>39-1847269</w:t>
            </w:r>
          </w:p>
        </w:tc>
      </w:tr>
      <w:tr>
        <w:trPr>
          <w:trHeight w:val="180"/>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200" w:type="dxa"/>
            <w:vAlign w:val="bottom"/>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3100" w:type="dxa"/>
            <w:vAlign w:val="bottom"/>
          </w:tcPr>
          <w:p>
            <w:pPr>
              <w:jc w:val="center"/>
              <w:ind w:left="1621"/>
              <w:spacing w:after="0"/>
              <w:rPr>
                <w:sz w:val="20"/>
                <w:szCs w:val="20"/>
                <w:color w:val="auto"/>
              </w:rPr>
            </w:pPr>
            <w:r>
              <w:rPr>
                <w:rFonts w:ascii="Arial" w:cs="Arial" w:eastAsia="Arial" w:hAnsi="Arial"/>
                <w:sz w:val="14"/>
                <w:szCs w:val="14"/>
                <w:b w:val="1"/>
                <w:bCs w:val="1"/>
                <w:color w:val="auto"/>
                <w:w w:val="95"/>
              </w:rPr>
              <w:t>Identification number)</w:t>
            </w:r>
          </w:p>
        </w:tc>
      </w:tr>
      <w:tr>
        <w:trPr>
          <w:trHeight w:val="458"/>
        </w:trPr>
        <w:tc>
          <w:tcPr>
            <w:tcW w:w="5200" w:type="dxa"/>
            <w:vAlign w:val="bottom"/>
          </w:tcPr>
          <w:p>
            <w:pPr>
              <w:jc w:val="center"/>
              <w:ind w:right="162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3100" w:type="dxa"/>
            <w:vAlign w:val="bottom"/>
          </w:tcPr>
          <w:p>
            <w:pPr>
              <w:jc w:val="right"/>
              <w:ind w:right="381"/>
              <w:spacing w:after="0"/>
              <w:rPr>
                <w:sz w:val="20"/>
                <w:szCs w:val="20"/>
                <w:color w:val="auto"/>
              </w:rPr>
            </w:pPr>
            <w:r>
              <w:rPr>
                <w:rFonts w:ascii="Arial" w:cs="Arial" w:eastAsia="Arial" w:hAnsi="Arial"/>
                <w:sz w:val="18"/>
                <w:szCs w:val="18"/>
                <w:b w:val="1"/>
                <w:bCs w:val="1"/>
                <w:color w:val="auto"/>
              </w:rPr>
              <w:t>54220</w:t>
            </w:r>
          </w:p>
        </w:tc>
      </w:tr>
      <w:tr>
        <w:trPr>
          <w:trHeight w:val="218"/>
        </w:trPr>
        <w:tc>
          <w:tcPr>
            <w:tcW w:w="5200" w:type="dxa"/>
            <w:vAlign w:val="bottom"/>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00" w:type="dxa"/>
            <w:vAlign w:val="bottom"/>
          </w:tcPr>
          <w:p>
            <w:pPr>
              <w:jc w:val="center"/>
              <w:ind w:left="1641"/>
              <w:spacing w:after="0"/>
              <w:rPr>
                <w:sz w:val="20"/>
                <w:szCs w:val="20"/>
                <w:color w:val="auto"/>
              </w:rPr>
            </w:pPr>
            <w:r>
              <w:rPr>
                <w:rFonts w:ascii="Arial" w:cs="Arial" w:eastAsia="Arial" w:hAnsi="Arial"/>
                <w:sz w:val="14"/>
                <w:szCs w:val="14"/>
                <w:b w:val="1"/>
                <w:bCs w:val="1"/>
                <w:color w:val="auto"/>
                <w:w w:val="92"/>
              </w:rPr>
              <w:t>(Zip code)</w:t>
            </w:r>
          </w:p>
        </w:tc>
      </w:tr>
    </w:tbl>
    <w:p>
      <w:pPr>
        <w:spacing w:after="0" w:line="3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27"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1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500"/>
        </w:trPr>
        <w:tc>
          <w:tcPr>
            <w:tcW w:w="21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18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3"/>
              </w:rPr>
              <w:t>Smaller reporting company x</w:t>
            </w:r>
          </w:p>
        </w:tc>
      </w:tr>
      <w:tr>
        <w:trPr>
          <w:trHeight w:val="567"/>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tc>
      </w:tr>
      <w:tr>
        <w:trPr>
          <w:trHeight w:val="412"/>
        </w:trPr>
        <w:tc>
          <w:tcPr>
            <w:tcW w:w="8340" w:type="dxa"/>
            <w:vAlign w:val="bottom"/>
            <w:gridSpan w:val="2"/>
          </w:tcPr>
          <w:p>
            <w:pPr>
              <w:spacing w:after="0"/>
              <w:rPr>
                <w:sz w:val="20"/>
                <w:szCs w:val="20"/>
                <w:color w:val="auto"/>
              </w:rPr>
            </w:pPr>
            <w:r>
              <w:rPr>
                <w:rFonts w:ascii="Arial" w:cs="Arial" w:eastAsia="Arial" w:hAnsi="Arial"/>
                <w:sz w:val="18"/>
                <w:szCs w:val="18"/>
                <w:color w:val="auto"/>
              </w:rPr>
              <w:t>There were 28,113,622 shares of the Registrant’s common stock outstanding on July 29, 2016.</w:t>
            </w:r>
          </w:p>
        </w:tc>
        <w:tc>
          <w:tcPr>
            <w:tcW w:w="2280" w:type="dxa"/>
            <w:vAlign w:val="bottom"/>
          </w:tcPr>
          <w:p>
            <w:pPr>
              <w:spacing w:after="0"/>
              <w:rPr>
                <w:sz w:val="24"/>
                <w:szCs w:val="24"/>
                <w:color w:val="auto"/>
              </w:rPr>
            </w:pPr>
          </w:p>
        </w:tc>
      </w:tr>
    </w:tbl>
    <w:p>
      <w:pPr>
        <w:sectPr>
          <w:pgSz w:w="11900" w:h="16838" w:orient="portrait"/>
          <w:cols w:equalWidth="0" w:num="1">
            <w:col w:w="11360"/>
          </w:cols>
          <w:pgMar w:left="240" w:top="517" w:right="29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 Ended June 30, 2016</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Page(s)</w:t>
            </w:r>
          </w:p>
        </w:tc>
      </w:tr>
      <w:tr>
        <w:trPr>
          <w:trHeight w:val="196"/>
        </w:trPr>
        <w:tc>
          <w:tcPr>
            <w:tcW w:w="3380" w:type="dxa"/>
            <w:vAlign w:val="bottom"/>
            <w:tcBorders>
              <w:bottom w:val="single" w:sz="8" w:color="auto"/>
            </w:tcBorders>
            <w:gridSpan w:val="9"/>
          </w:tcPr>
          <w:p>
            <w:pPr>
              <w:spacing w:after="0" w:line="170" w:lineRule="exact"/>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400" w:type="dxa"/>
            <w:vAlign w:val="bottom"/>
            <w:gridSpan w:val="15"/>
          </w:tcPr>
          <w:p>
            <w:pPr>
              <w:spacing w:after="0"/>
              <w:rPr>
                <w:rFonts w:ascii="Arial" w:cs="Arial" w:eastAsia="Arial" w:hAnsi="Arial"/>
                <w:sz w:val="18"/>
                <w:szCs w:val="18"/>
                <w:color w:val="auto"/>
              </w:rPr>
            </w:pPr>
            <w:hyperlink w:anchor="page3">
              <w:r>
                <w:rPr>
                  <w:rFonts w:ascii="Arial" w:cs="Arial" w:eastAsia="Arial" w:hAnsi="Arial"/>
                  <w:sz w:val="18"/>
                  <w:szCs w:val="18"/>
                  <w:color w:val="auto"/>
                </w:rPr>
                <w:t>Financial Statements (unaudited)</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5880" w:type="dxa"/>
            <w:vAlign w:val="bottom"/>
            <w:tcBorders>
              <w:bottom w:val="single" w:sz="8" w:color="auto"/>
            </w:tcBorders>
            <w:gridSpan w:val="11"/>
          </w:tcPr>
          <w:p>
            <w:pPr>
              <w:spacing w:after="0"/>
              <w:rPr>
                <w:rFonts w:ascii="Arial" w:cs="Arial" w:eastAsia="Arial" w:hAnsi="Arial"/>
                <w:sz w:val="18"/>
                <w:szCs w:val="18"/>
                <w:color w:val="auto"/>
                <w:w w:val="88"/>
              </w:rPr>
            </w:pPr>
            <w:hyperlink w:anchor="page3">
              <w:r>
                <w:rPr>
                  <w:rFonts w:ascii="Arial" w:cs="Arial" w:eastAsia="Arial" w:hAnsi="Arial"/>
                  <w:sz w:val="18"/>
                  <w:szCs w:val="18"/>
                  <w:color w:val="auto"/>
                  <w:w w:val="88"/>
                </w:rPr>
                <w:t>Condensed Consolidated Balance Sheets as of June 30, 2016 and March 31, 2016</w:t>
              </w:r>
            </w:hyperlink>
          </w:p>
        </w:tc>
        <w:tc>
          <w:tcPr>
            <w:tcW w:w="352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160" w:type="dxa"/>
            <w:vAlign w:val="bottom"/>
            <w:tcBorders>
              <w:bottom w:val="single" w:sz="8" w:color="auto"/>
            </w:tcBorders>
            <w:gridSpan w:val="13"/>
          </w:tcPr>
          <w:p>
            <w:pPr>
              <w:spacing w:after="0"/>
              <w:rPr>
                <w:rFonts w:ascii="Arial" w:cs="Arial" w:eastAsia="Arial" w:hAnsi="Arial"/>
                <w:sz w:val="18"/>
                <w:szCs w:val="18"/>
                <w:color w:val="auto"/>
                <w:w w:val="89"/>
              </w:rPr>
            </w:pPr>
            <w:hyperlink w:anchor="page4">
              <w:r>
                <w:rPr>
                  <w:rFonts w:ascii="Arial" w:cs="Arial" w:eastAsia="Arial" w:hAnsi="Arial"/>
                  <w:sz w:val="18"/>
                  <w:szCs w:val="18"/>
                  <w:color w:val="auto"/>
                  <w:w w:val="89"/>
                </w:rPr>
                <w:t>Condensed Consolidated Statements of Operations for the Three Months Ended June 30, 2016 and June 30, 2015</w:t>
              </w:r>
            </w:hyperlink>
          </w:p>
        </w:tc>
        <w:tc>
          <w:tcPr>
            <w:tcW w:w="124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4">
              <w:r>
                <w:rPr>
                  <w:rFonts w:ascii="Arial" w:cs="Arial" w:eastAsia="Arial" w:hAnsi="Arial"/>
                  <w:sz w:val="18"/>
                  <w:szCs w:val="18"/>
                  <w:color w:val="auto"/>
                  <w:w w:val="79"/>
                </w:rPr>
                <w:t>4</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220" w:type="dxa"/>
            <w:vAlign w:val="bottom"/>
            <w:tcBorders>
              <w:bottom w:val="single" w:sz="8" w:color="auto"/>
            </w:tcBorders>
            <w:gridSpan w:val="14"/>
          </w:tcPr>
          <w:p>
            <w:pPr>
              <w:spacing w:after="0"/>
              <w:rPr>
                <w:rFonts w:ascii="Arial" w:cs="Arial" w:eastAsia="Arial" w:hAnsi="Arial"/>
                <w:sz w:val="18"/>
                <w:szCs w:val="18"/>
                <w:color w:val="auto"/>
                <w:w w:val="89"/>
              </w:rPr>
            </w:pPr>
            <w:hyperlink w:anchor="page5">
              <w:r>
                <w:rPr>
                  <w:rFonts w:ascii="Arial" w:cs="Arial" w:eastAsia="Arial" w:hAnsi="Arial"/>
                  <w:sz w:val="18"/>
                  <w:szCs w:val="18"/>
                  <w:color w:val="auto"/>
                  <w:w w:val="89"/>
                </w:rPr>
                <w:t>Condensed Consolidated Statements of Cash Flows for the Three Months Ended June 30, 2016 and June 30, 2015</w:t>
              </w:r>
            </w:hyperlink>
          </w:p>
        </w:tc>
        <w:tc>
          <w:tcPr>
            <w:tcW w:w="11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Arial" w:cs="Arial" w:eastAsia="Arial" w:hAnsi="Arial"/>
                <w:sz w:val="18"/>
                <w:szCs w:val="18"/>
                <w:color w:val="auto"/>
                <w:w w:val="79"/>
              </w:rPr>
            </w:pPr>
            <w:hyperlink w:anchor="page5">
              <w:r>
                <w:rPr>
                  <w:rFonts w:ascii="Arial" w:cs="Arial" w:eastAsia="Arial" w:hAnsi="Arial"/>
                  <w:sz w:val="18"/>
                  <w:szCs w:val="18"/>
                  <w:color w:val="auto"/>
                  <w:w w:val="79"/>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5"/>
          </w:tcPr>
          <w:p>
            <w:pPr>
              <w:spacing w:after="0"/>
              <w:rPr>
                <w:rFonts w:ascii="Arial" w:cs="Arial" w:eastAsia="Arial" w:hAnsi="Arial"/>
                <w:sz w:val="18"/>
                <w:szCs w:val="18"/>
                <w:color w:val="auto"/>
              </w:rPr>
            </w:pPr>
            <w:hyperlink w:anchor="page6">
              <w:r>
                <w:rPr>
                  <w:rFonts w:ascii="Arial" w:cs="Arial" w:eastAsia="Arial" w:hAnsi="Arial"/>
                  <w:sz w:val="18"/>
                  <w:szCs w:val="18"/>
                  <w:color w:val="auto"/>
                </w:rPr>
                <w:t>Notes to the Condensed Consolidated Financial Statements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auto"/>
              </w:rPr>
            </w:pPr>
            <w:hyperlink w:anchor="page21">
              <w:r>
                <w:rPr>
                  <w:rFonts w:ascii="Arial" w:cs="Arial" w:eastAsia="Arial" w:hAnsi="Arial"/>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21">
              <w:r>
                <w:rPr>
                  <w:rFonts w:ascii="Arial" w:cs="Arial" w:eastAsia="Arial" w:hAnsi="Arial"/>
                  <w:sz w:val="18"/>
                  <w:szCs w:val="18"/>
                  <w:color w:val="auto"/>
                </w:rPr>
                <w:t>21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gridSpan w:val="10"/>
          </w:tcPr>
          <w:p>
            <w:pPr>
              <w:spacing w:after="0"/>
              <w:rPr>
                <w:rFonts w:ascii="Arial" w:cs="Arial" w:eastAsia="Arial" w:hAnsi="Arial"/>
                <w:sz w:val="18"/>
                <w:szCs w:val="18"/>
                <w:color w:val="auto"/>
                <w:w w:val="90"/>
              </w:rPr>
            </w:pPr>
            <w:hyperlink w:anchor="page28">
              <w:r>
                <w:rPr>
                  <w:rFonts w:ascii="Arial" w:cs="Arial" w:eastAsia="Arial" w:hAnsi="Arial"/>
                  <w:sz w:val="18"/>
                  <w:szCs w:val="18"/>
                  <w:color w:val="auto"/>
                  <w:w w:val="90"/>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6"/>
          </w:tcPr>
          <w:p>
            <w:pPr>
              <w:spacing w:after="0"/>
              <w:rPr>
                <w:rFonts w:ascii="Arial" w:cs="Arial" w:eastAsia="Arial" w:hAnsi="Arial"/>
                <w:sz w:val="18"/>
                <w:szCs w:val="18"/>
                <w:color w:val="auto"/>
                <w:w w:val="88"/>
              </w:rPr>
            </w:pPr>
            <w:hyperlink w:anchor="page28">
              <w:r>
                <w:rPr>
                  <w:rFonts w:ascii="Arial" w:cs="Arial" w:eastAsia="Arial" w:hAnsi="Arial"/>
                  <w:sz w:val="18"/>
                  <w:szCs w:val="18"/>
                  <w:color w:val="auto"/>
                  <w:w w:val="88"/>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Arial" w:cs="Arial" w:eastAsia="Arial" w:hAnsi="Arial"/>
                <w:sz w:val="18"/>
                <w:szCs w:val="18"/>
                <w:color w:val="auto"/>
              </w:rPr>
            </w:pPr>
            <w:hyperlink w:anchor="page31">
              <w:r>
                <w:rPr>
                  <w:rFonts w:ascii="Arial" w:cs="Arial" w:eastAsia="Arial" w:hAnsi="Arial"/>
                  <w:sz w:val="18"/>
                  <w:szCs w:val="18"/>
                  <w:color w:val="auto"/>
                </w:rPr>
                <w:t>PART II OTHER INFORMATION</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gridSpan w:val="5"/>
          </w:tcPr>
          <w:p>
            <w:pPr>
              <w:spacing w:after="0"/>
              <w:rPr>
                <w:rFonts w:ascii="Arial" w:cs="Arial" w:eastAsia="Arial" w:hAnsi="Arial"/>
                <w:sz w:val="18"/>
                <w:szCs w:val="18"/>
                <w:color w:val="auto"/>
              </w:rPr>
            </w:pPr>
            <w:hyperlink w:anchor="page31">
              <w:r>
                <w:rPr>
                  <w:rFonts w:ascii="Arial" w:cs="Arial" w:eastAsia="Arial" w:hAnsi="Arial"/>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3"/>
          </w:tcPr>
          <w:p>
            <w:pPr>
              <w:spacing w:after="0"/>
              <w:rPr>
                <w:rFonts w:ascii="Arial" w:cs="Arial" w:eastAsia="Arial" w:hAnsi="Arial"/>
                <w:sz w:val="18"/>
                <w:szCs w:val="18"/>
                <w:color w:val="auto"/>
                <w:w w:val="89"/>
              </w:rPr>
            </w:pPr>
            <w:hyperlink w:anchor="page31">
              <w:r>
                <w:rPr>
                  <w:rFonts w:ascii="Arial" w:cs="Arial" w:eastAsia="Arial" w:hAnsi="Arial"/>
                  <w:sz w:val="18"/>
                  <w:szCs w:val="18"/>
                  <w:color w:val="auto"/>
                  <w:w w:val="8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400" w:type="dxa"/>
            <w:vAlign w:val="bottom"/>
            <w:gridSpan w:val="15"/>
          </w:tcPr>
          <w:p>
            <w:pPr>
              <w:spacing w:after="0"/>
              <w:rPr>
                <w:rFonts w:ascii="Arial" w:cs="Arial" w:eastAsia="Arial" w:hAnsi="Arial"/>
                <w:sz w:val="18"/>
                <w:szCs w:val="18"/>
                <w:color w:val="auto"/>
              </w:rPr>
            </w:pPr>
            <w:hyperlink w:anchor="page31">
              <w:r>
                <w:rPr>
                  <w:rFonts w:ascii="Arial" w:cs="Arial" w:eastAsia="Arial" w:hAnsi="Arial"/>
                  <w:sz w:val="18"/>
                  <w:szCs w:val="18"/>
                  <w:color w:val="auto"/>
                </w:rPr>
                <w:t>Unregistered Sale of Equity Securities and Use of Proceeds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4280" w:type="dxa"/>
            <w:vAlign w:val="bottom"/>
            <w:gridSpan w:val="10"/>
          </w:tcPr>
          <w:p>
            <w:pPr>
              <w:spacing w:after="0"/>
              <w:rPr>
                <w:rFonts w:ascii="Arial" w:cs="Arial" w:eastAsia="Arial" w:hAnsi="Arial"/>
                <w:sz w:val="18"/>
                <w:szCs w:val="18"/>
                <w:color w:val="auto"/>
              </w:rPr>
            </w:pPr>
            <w:hyperlink w:anchor="page31">
              <w:r>
                <w:rPr>
                  <w:rFonts w:ascii="Arial" w:cs="Arial" w:eastAsia="Arial" w:hAnsi="Arial"/>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auto"/>
              </w:rPr>
            </w:pPr>
            <w:hyperlink w:anchor="page32">
              <w:r>
                <w:rPr>
                  <w:rFonts w:ascii="Arial" w:cs="Arial" w:eastAsia="Arial" w:hAnsi="Arial"/>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Arial" w:cs="Arial" w:eastAsia="Arial" w:hAnsi="Arial"/>
                <w:sz w:val="18"/>
                <w:szCs w:val="18"/>
                <w:color w:val="auto"/>
              </w:rPr>
            </w:pPr>
            <w:hyperlink w:anchor="page33">
              <w:r>
                <w:rPr>
                  <w:rFonts w:ascii="Arial" w:cs="Arial" w:eastAsia="Arial" w:hAnsi="Arial"/>
                  <w:sz w:val="18"/>
                  <w:szCs w:val="18"/>
                  <w:color w:val="auto"/>
                </w:rPr>
                <w:t>SIGNATURES</w:t>
              </w:r>
            </w:hyperlink>
          </w:p>
        </w:tc>
        <w:tc>
          <w:tcPr>
            <w:tcW w:w="780" w:type="dxa"/>
            <w:vAlign w:val="bottom"/>
            <w:gridSpan w:val="4"/>
          </w:tcPr>
          <w:p>
            <w:pPr>
              <w:jc w:val="right"/>
              <w:ind w:right="20"/>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9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Arial" w:cs="Arial" w:eastAsia="Arial" w:hAnsi="Arial"/>
                <w:sz w:val="18"/>
                <w:szCs w:val="18"/>
                <w:color w:val="auto"/>
              </w:rPr>
              <w:t>Exhibit 31.2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Exhibit 32.1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Exhibit 32.2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EX-101 PRESENTATION LINKBASE DOCUMENT</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80" w:top="364"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2016</w:t>
            </w:r>
          </w:p>
        </w:tc>
        <w:tc>
          <w:tcPr>
            <w:tcW w:w="240" w:type="dxa"/>
            <w:vAlign w:val="bottom"/>
          </w:tcPr>
          <w:p>
            <w:pPr>
              <w:spacing w:after="0"/>
              <w:rPr>
                <w:sz w:val="18"/>
                <w:szCs w:val="18"/>
                <w:color w:val="auto"/>
              </w:rPr>
            </w:pPr>
          </w:p>
        </w:tc>
        <w:tc>
          <w:tcPr>
            <w:tcW w:w="1580" w:type="dxa"/>
            <w:vAlign w:val="bottom"/>
          </w:tcPr>
          <w:p>
            <w:pPr>
              <w:jc w:val="right"/>
              <w:ind w:right="290"/>
              <w:spacing w:after="0"/>
              <w:rPr>
                <w:sz w:val="20"/>
                <w:szCs w:val="20"/>
                <w:color w:val="auto"/>
              </w:rPr>
            </w:pPr>
            <w:r>
              <w:rPr>
                <w:rFonts w:ascii="Arial" w:cs="Arial" w:eastAsia="Arial" w:hAnsi="Arial"/>
                <w:sz w:val="16"/>
                <w:szCs w:val="16"/>
                <w:b w:val="1"/>
                <w:bCs w:val="1"/>
                <w:color w:val="auto"/>
              </w:rPr>
              <w:t>March 31, 2016</w:t>
            </w:r>
          </w:p>
        </w:tc>
      </w:tr>
      <w:tr>
        <w:trPr>
          <w:trHeight w:val="33"/>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15,542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15,490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17,024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5,038</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48,530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14,242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17,004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accounts receivable</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65,101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70,875</w:t>
            </w:r>
          </w:p>
        </w:tc>
      </w:tr>
      <w:tr>
        <w:trPr>
          <w:trHeight w:val="67"/>
        </w:trPr>
        <w:tc>
          <w:tcPr>
            <w:tcW w:w="76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10,200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11,716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revenue, current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 and capital leases</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19,291</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and capital leases, less current maturities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long-term</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558</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21,625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24,892</w:t>
            </w: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7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766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Shares authorized: 30,000,000 at June 30, 2016 and March 31, 2016; no</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shares issued and outstanding at June 30, 2016 and March 31, 2016</w:t>
            </w:r>
          </w:p>
        </w:tc>
        <w:tc>
          <w:tcPr>
            <w:tcW w:w="28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Common stock, no par value: Shares authorized: 200,000,000 at June 30, 2016 and March 31, 2016;</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16"/>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shares issued: 37,517,419 and 37,192,559 at June 30, 2016 and March 31, 2016; shares outstanding:</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28,091,049 and 27,767,138 at June 30, 2016 and March 31, 2016</w:t>
            </w:r>
          </w:p>
        </w:tc>
        <w:tc>
          <w:tcPr>
            <w:tcW w:w="2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152,575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152,140</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Treasury stock: 9,426,370 and 9,425,421 common shares at June 30, 2016 and March 31, 2016</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Shareholder notes receivable</w:t>
            </w:r>
          </w:p>
        </w:tc>
        <w:tc>
          <w:tcPr>
            <w:tcW w:w="2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(70,078)</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43,476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45,983</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70,875</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76"/>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product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12,830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27,885,588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27,481,624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Diluted net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common shares and share equivalents outstanding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27,885,588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27,481,624</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34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sale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inventory reserves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bad debt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current and long-term</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contract costs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 current and long-term</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sales of property, plant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long-term debt and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revolving credit facility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 of common stock issuance costs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proceeds from employee equity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14,160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17,936</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Orion includes Orion Energy Systems, Inc., a Wisconsin corporation, and all consolidated subsidiaries. Orion is a developer, manufacturer and seller of lighting and energy management systems to commercial and industrial businesses, predominantly in North America.</w:t>
      </w:r>
    </w:p>
    <w:p>
      <w:pPr>
        <w:spacing w:after="0" w:line="93"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Orion’s corporate offices and primary manufacturing operations are located in Manitowoc, Wisconsin. Orion leases office space in Jacksonville, Florida; Chicago, Illinois; and Houston, Texas. Orion leases warehouse space in Augusta, Georgia.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 appropriate, certain reclassifications have been made to prior years’ financial statements to conform to the current year presentation.</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2017 or other interim periods.</w:t>
      </w:r>
    </w:p>
    <w:p>
      <w:pPr>
        <w:spacing w:after="0" w:line="11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condensed consolidated balance sheet at March 31, 2016 has been derived from the audited and adjusted consolidated financial statements at that date but does not include all of the information required by GAAP for complete financial statements.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Orion’s Annual Report on Form 10-K for the fiscal year ended March 31, 2016 filed with the Securities and Exchange Commission on June 23,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and loss contingencies, income taxes and certain equity transactions. Accordingly,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Orion considers all highly liquid, short-term investments with original maturities of three months or less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364" w:right="3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Orion’s financial instruments consist of cash, accounts receivable, accounts payable, accrued expenses and other, revolving credit facility and long-term debt. The carrying amounts of Orion’s financial instruments approximate their respective fair values due to the relatively short-term nature of these instruments, or in the case of long-term debt and revolving credit facility, because of the interest rates currently available to Orion for similar obligations. Valuation techniques used to measure fair value must maximize the use of observable inputs and minimize the use of unobservable inputs. GAAP describes a fair value hierarchy based on the following three levels of inputs, of which the first two are considered observable and the last unobservable, that may be used to measure fair value: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Valuations are based on unadjusted quoted prices in active markets for identical assets or liabilities.</w:t>
      </w:r>
    </w:p>
    <w:p>
      <w:pPr>
        <w:spacing w:after="0" w:line="17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Level 2 — Valuations are based on quoted prices for similar assets or liabilities in active markets, or quoted prices in markets that are not active for which significant inputs are observable, either directly or indirectly.</w:t>
      </w:r>
    </w:p>
    <w:p>
      <w:pPr>
        <w:spacing w:after="0" w:line="116"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Level 3 — 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jc w:val="both"/>
        <w:ind w:right="60" w:firstLine="432"/>
        <w:spacing w:after="0" w:line="288" w:lineRule="auto"/>
        <w:rPr>
          <w:sz w:val="20"/>
          <w:szCs w:val="20"/>
          <w:color w:val="auto"/>
        </w:rPr>
      </w:pPr>
      <w:r>
        <w:rPr>
          <w:rFonts w:ascii="Arial" w:cs="Arial" w:eastAsia="Arial" w:hAnsi="Arial"/>
          <w:sz w:val="16"/>
          <w:szCs w:val="16"/>
          <w:color w:val="auto"/>
        </w:rPr>
        <w:t>Orion’s accounts receivable are due from companies in the commercial, industrial and agricultural industries, as well as wholesalers. Credit is extended based on an evaluation of a customer’s financial condition. Generally, collateral is not required for end users; however, the payment of certain trade accounts receivable from wholesalers is secured by irrevocable standby letters of credit and/or guarantees. Accounts receivable are generally due within 30-60 days.</w:t>
      </w:r>
    </w:p>
    <w:p>
      <w:pPr>
        <w:spacing w:after="0" w:line="295" w:lineRule="auto"/>
        <w:rPr>
          <w:sz w:val="20"/>
          <w:szCs w:val="20"/>
          <w:color w:val="auto"/>
        </w:rPr>
      </w:pPr>
      <w:r>
        <w:rPr>
          <w:rFonts w:ascii="Arial" w:cs="Arial" w:eastAsia="Arial" w:hAnsi="Arial"/>
          <w:sz w:val="16"/>
          <w:szCs w:val="16"/>
          <w:color w:val="auto"/>
        </w:rPr>
        <w:t>Accounts receivable are stated at the amount Orion expects to collect from outstanding balances. Orion provides for probable uncollectible amounts through a charge to earnings and a credit to an allowance for doubtful accounts based on its assessment of the current status of individual accounts. Balances that are still outstanding after Orion has used reasonable collection efforts are written off through a charge to the allowance for doubtful accounts and a credit to accounts receivable. Orion's accounts receivable and allowance for doubtful accounts balances were as follows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6"/>
                <w:szCs w:val="16"/>
                <w:color w:val="auto"/>
              </w:rPr>
            </w:pPr>
          </w:p>
        </w:tc>
        <w:tc>
          <w:tcPr>
            <w:tcW w:w="1280" w:type="dxa"/>
            <w:vAlign w:val="bottom"/>
          </w:tcPr>
          <w:p>
            <w:pPr>
              <w:jc w:val="right"/>
              <w:ind w:right="174"/>
              <w:spacing w:after="0"/>
              <w:rPr>
                <w:sz w:val="20"/>
                <w:szCs w:val="20"/>
                <w:color w:val="auto"/>
              </w:rPr>
            </w:pPr>
            <w:r>
              <w:rPr>
                <w:rFonts w:ascii="Arial" w:cs="Arial" w:eastAsia="Arial" w:hAnsi="Arial"/>
                <w:sz w:val="14"/>
                <w:szCs w:val="14"/>
                <w:b w:val="1"/>
                <w:bCs w:val="1"/>
                <w:color w:val="auto"/>
              </w:rPr>
              <w:t>March 31, 2016</w:t>
            </w: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gross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7"/>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Receivables</w:t>
      </w:r>
    </w:p>
    <w:p>
      <w:pPr>
        <w:spacing w:after="0" w:line="90" w:lineRule="exact"/>
        <w:rPr>
          <w:sz w:val="20"/>
          <w:szCs w:val="20"/>
          <w:color w:val="auto"/>
        </w:rPr>
      </w:pPr>
    </w:p>
    <w:p>
      <w:pPr>
        <w:jc w:val="both"/>
        <w:ind w:right="160" w:firstLine="432"/>
        <w:spacing w:after="0" w:line="308" w:lineRule="auto"/>
        <w:rPr>
          <w:sz w:val="20"/>
          <w:szCs w:val="20"/>
          <w:color w:val="auto"/>
        </w:rPr>
      </w:pPr>
      <w:r>
        <w:rPr>
          <w:rFonts w:ascii="Arial" w:cs="Arial" w:eastAsia="Arial" w:hAnsi="Arial"/>
          <w:sz w:val="17"/>
          <w:szCs w:val="17"/>
          <w:color w:val="auto"/>
        </w:rPr>
        <w:t>Orion considers its lease balances included in consolidated current and long-term accounts receivable from its Orion Throughput Agreement, or OTA, sales-type leases to be financing receivables. Additional disclosures on the credit quality of Orion’s financing receivables are as follows: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 as of June 30, 2016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2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1-90 days</w:t>
            </w:r>
          </w:p>
        </w:tc>
        <w:tc>
          <w:tcPr>
            <w:tcW w:w="22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Greater than 90</w:t>
            </w:r>
          </w:p>
        </w:tc>
        <w:tc>
          <w:tcPr>
            <w:tcW w:w="200" w:type="dxa"/>
            <w:vAlign w:val="bottom"/>
          </w:tcPr>
          <w:p>
            <w:pPr>
              <w:spacing w:after="0"/>
              <w:rPr>
                <w:sz w:val="14"/>
                <w:szCs w:val="14"/>
                <w:color w:val="auto"/>
              </w:rPr>
            </w:pPr>
          </w:p>
        </w:tc>
        <w:tc>
          <w:tcPr>
            <w:tcW w:w="13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6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Total sales-type</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past due</w:t>
            </w:r>
          </w:p>
        </w:tc>
        <w:tc>
          <w:tcPr>
            <w:tcW w:w="220" w:type="dxa"/>
            <w:vAlign w:val="bottom"/>
          </w:tcPr>
          <w:p>
            <w:pPr>
              <w:spacing w:after="0"/>
              <w:rPr>
                <w:sz w:val="16"/>
                <w:szCs w:val="16"/>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days past due</w:t>
            </w: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Lease balances included in consolidated accounts</w:t>
            </w: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3740" w:type="dxa"/>
            <w:vAlign w:val="bottom"/>
          </w:tcPr>
          <w:p>
            <w:pPr>
              <w:ind w:left="40"/>
              <w:spacing w:after="0"/>
              <w:rPr>
                <w:sz w:val="20"/>
                <w:szCs w:val="20"/>
                <w:color w:val="auto"/>
              </w:rPr>
            </w:pPr>
            <w:r>
              <w:rPr>
                <w:rFonts w:ascii="Arial" w:cs="Arial" w:eastAsia="Arial" w:hAnsi="Arial"/>
                <w:sz w:val="18"/>
                <w:szCs w:val="18"/>
                <w:color w:val="auto"/>
                <w:w w:val="91"/>
              </w:rPr>
              <w:t>Lease balances included in consolidated accounts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receivable—long-term</w:t>
            </w:r>
          </w:p>
        </w:tc>
        <w:tc>
          <w:tcPr>
            <w:tcW w:w="16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sales-type leases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Allowance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sales-type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center"/>
              <w:ind w:right="194"/>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1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Aging Analysis as of March 31, 2016 (dollars in thousands):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 Past Due</w:t>
            </w: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1-90 days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Greater than 90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past due</w:t>
            </w:r>
          </w:p>
        </w:tc>
        <w:tc>
          <w:tcPr>
            <w:tcW w:w="220" w:type="dxa"/>
            <w:vAlign w:val="bottom"/>
          </w:tcPr>
          <w:p>
            <w:pPr>
              <w:spacing w:after="0"/>
              <w:rPr>
                <w:sz w:val="14"/>
                <w:szCs w:val="14"/>
                <w:color w:val="auto"/>
              </w:rPr>
            </w:pPr>
          </w:p>
        </w:tc>
        <w:tc>
          <w:tcPr>
            <w:tcW w:w="138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Total sales-type</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past due</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days past due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535"/>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5"/>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Lease balances included in consolidated accounts</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receivable—current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w w:val="95"/>
              </w:rPr>
              <w:t>Lease balances included in consolidated accounts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receivable—long-term</w:t>
            </w:r>
          </w:p>
        </w:tc>
        <w:tc>
          <w:tcPr>
            <w:tcW w:w="16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gross sales-type leases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Allowance</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sales-type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Inventories consist of raw materials and components, such as drivers, metal sheet and coil stock and molded parts; work in process inventories, such as frames and reflectors; and finished goods, including completed fixtures and systems, and accessories. All inventories are stated at the lower of cost or market value with cost determined using the first-in, first-out (FIFO) method. Orion reduces the carrying value of its inventories for differences between the cost and estimated net realizable value, taking into consideration usage in the preceding 9 to 24 months, expected demand, and other information indicating obsolescence. Orion records, as a charge to cost of product revenue, the amount required to reduce the carrying value of inventory to net realizable value. Orion's inventory balances were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Obsolescence</w:t>
            </w:r>
          </w:p>
        </w:tc>
        <w:tc>
          <w:tcPr>
            <w:tcW w:w="280" w:type="dxa"/>
            <w:vAlign w:val="bottom"/>
          </w:tcPr>
          <w:p>
            <w:pPr>
              <w:spacing w:after="0"/>
              <w:rPr>
                <w:sz w:val="14"/>
                <w:szCs w:val="14"/>
                <w:color w:val="auto"/>
              </w:rPr>
            </w:pPr>
          </w:p>
        </w:tc>
        <w:tc>
          <w:tcPr>
            <w:tcW w:w="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7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2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June 30, 2016</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9,715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5,551</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March 31, 2016</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Raw materials and components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9,504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43"/>
        </w:trPr>
        <w:tc>
          <w:tcPr>
            <w:tcW w:w="7760" w:type="dxa"/>
            <w:vAlign w:val="bottom"/>
          </w:tcPr>
          <w:p>
            <w:pPr>
              <w:ind w:left="1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17,024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90" w:lineRule="exact"/>
        <w:rPr>
          <w:sz w:val="20"/>
          <w:szCs w:val="20"/>
          <w:color w:val="auto"/>
        </w:rPr>
      </w:pPr>
    </w:p>
    <w:p>
      <w:pPr>
        <w:ind w:right="760" w:firstLine="432"/>
        <w:spacing w:after="0" w:line="308" w:lineRule="auto"/>
        <w:rPr>
          <w:sz w:val="20"/>
          <w:szCs w:val="20"/>
          <w:color w:val="auto"/>
        </w:rPr>
      </w:pPr>
      <w:r>
        <w:rPr>
          <w:rFonts w:ascii="Arial" w:cs="Arial" w:eastAsia="Arial" w:hAnsi="Arial"/>
          <w:sz w:val="17"/>
          <w:szCs w:val="17"/>
          <w:color w:val="auto"/>
        </w:rPr>
        <w:t>Deferred contract costs consist primarily of the costs of products delivered, and services performed, that are subject to additional performance obligations or customer acceptance. These deferred contract costs are expensed at the time the related revenue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Prepaid expenses and other current assets consist primarily of prepaid insurance premiums, prepaid license fees, purchase deposits, advance payments to contractors, unbilled revenue, prepaid taxes and miscellaneous receivables. Prepaid expenses and other current assets include the following (dollars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4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March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accounts receivable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731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5,038</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111"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 xml:space="preserve">Orion periodically reviews the carrying values of property and equipment for impairment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if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w:t>
      </w:r>
    </w:p>
    <w:p>
      <w:pPr>
        <w:spacing w:after="0" w:line="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June 30, 2016, Orion completed the sale of its Manitowoc manufacturing and distribution facility to Tramontina U.S. Cookware, Inc. ("Tramontina") for gross cash proceeds of $2,600,000, which approximated the assets' net carrying values. In conjunction with the sale, Orion entered into an agreement with Tramontina to leaseback approximately 197,000 square feet of the building for not less than three years, subject to mutual options to reduce the amount of leased space.</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were comprised of the following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8"/>
              </w:rPr>
              <w:t>June 30, 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March 31, 2016</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Buildings and building improvements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11,849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leased to customers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Plant equipment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10,987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10,805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33,205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35,581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420"/>
              <w:spacing w:after="0"/>
              <w:rPr>
                <w:sz w:val="20"/>
                <w:szCs w:val="20"/>
                <w:color w:val="auto"/>
              </w:rPr>
            </w:pPr>
            <w:r>
              <w:rPr>
                <w:rFonts w:ascii="Arial" w:cs="Arial" w:eastAsia="Arial" w:hAnsi="Arial"/>
                <w:sz w:val="18"/>
                <w:szCs w:val="18"/>
                <w:color w:val="auto"/>
              </w:rPr>
              <w:t>Equipment included above under capital leases was as follows (in thousands):</w:t>
            </w: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June 30, 2016</w:t>
            </w:r>
          </w:p>
        </w:tc>
        <w:tc>
          <w:tcPr>
            <w:tcW w:w="1980" w:type="dxa"/>
            <w:vAlign w:val="bottom"/>
            <w:gridSpan w:val="5"/>
          </w:tcPr>
          <w:p>
            <w:pPr>
              <w:ind w:left="80"/>
              <w:spacing w:after="0"/>
              <w:rPr>
                <w:sz w:val="20"/>
                <w:szCs w:val="20"/>
                <w:color w:val="auto"/>
              </w:rPr>
            </w:pPr>
            <w:r>
              <w:rPr>
                <w:rFonts w:ascii="Arial" w:cs="Arial" w:eastAsia="Arial" w:hAnsi="Arial"/>
                <w:sz w:val="14"/>
                <w:szCs w:val="14"/>
                <w:b w:val="1"/>
                <w:bCs w:val="1"/>
                <w:color w:val="auto"/>
              </w:rPr>
              <w:t>March 31, 2016</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408</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(65)</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Equipment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343</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Depreciation is provided over the estimated useful lives of the respective assets, using the straight-line method. Orion recorded depreciation expense of $389,000 and $786,000 for the three months ended June 30,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11" w:right="239" w:bottom="1440" w:gutter="0" w:footer="0" w:header="0"/>
        </w:sectPr>
      </w:pPr>
    </w:p>
    <w:bookmarkStart w:id="9" w:name="page10"/>
    <w:bookmarkEnd w:id="9"/>
    <w:p>
      <w:pPr>
        <w:ind w:left="420"/>
        <w:spacing w:after="0"/>
        <w:rPr>
          <w:sz w:val="20"/>
          <w:szCs w:val="20"/>
          <w:color w:val="auto"/>
        </w:rPr>
      </w:pPr>
      <w:r>
        <w:rPr>
          <w:rFonts w:ascii="Arial" w:cs="Arial" w:eastAsia="Arial" w:hAnsi="Arial"/>
          <w:sz w:val="16"/>
          <w:szCs w:val="16"/>
          <w:color w:val="auto"/>
        </w:rPr>
        <w:t>Depreciable lives by asset category are as follows:</w:t>
      </w:r>
    </w:p>
    <w:p>
      <w:pPr>
        <w:sectPr>
          <w:pgSz w:w="11900" w:h="16838" w:orient="portrait"/>
          <w:cols w:equalWidth="0" w:num="1">
            <w:col w:w="11420"/>
          </w:cols>
          <w:pgMar w:left="240" w:top="530" w:right="239" w:bottom="1440" w:gutter="0" w:footer="0" w:header="0"/>
        </w:sectPr>
      </w:pPr>
    </w:p>
    <w:p>
      <w:pPr>
        <w:spacing w:after="0" w:line="19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Land improvements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10-15 years</w:t>
      </w:r>
    </w:p>
    <w:p>
      <w:pPr>
        <w:spacing w:after="0" w:line="97"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Buildings and building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3-39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Furniture, fixtures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2-10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Shorter of asset life or life of lease</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Equipment leased to customers under Power Purchase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 years</w:t>
      </w:r>
    </w:p>
    <w:p>
      <w:pPr>
        <w:spacing w:after="0" w:line="86"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Plant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3-10 years</w:t>
      </w:r>
    </w:p>
    <w:p>
      <w:pPr>
        <w:spacing w:after="0" w:line="200" w:lineRule="exact"/>
        <w:rPr>
          <w:sz w:val="20"/>
          <w:szCs w:val="20"/>
          <w:color w:val="auto"/>
        </w:rPr>
      </w:pPr>
    </w:p>
    <w:p>
      <w:pPr>
        <w:sectPr>
          <w:pgSz w:w="11900" w:h="16838" w:orient="portrait"/>
          <w:cols w:equalWidth="0" w:num="2">
            <w:col w:w="7440" w:space="720"/>
            <w:col w:w="3260"/>
          </w:cols>
          <w:pgMar w:left="240" w:top="530" w:right="2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ind w:right="40" w:firstLine="432"/>
        <w:spacing w:after="0" w:line="334" w:lineRule="auto"/>
        <w:rPr>
          <w:sz w:val="20"/>
          <w:szCs w:val="20"/>
          <w:color w:val="auto"/>
        </w:rPr>
      </w:pPr>
      <w:r>
        <w:rPr>
          <w:rFonts w:ascii="Arial" w:cs="Arial" w:eastAsia="Arial" w:hAnsi="Arial"/>
          <w:sz w:val="16"/>
          <w:szCs w:val="16"/>
          <w:color w:val="auto"/>
        </w:rPr>
        <w:t>The costs of specifically identifiable intangible assets that do not have an indefinite life are amortized over their estimated useful lives. Intangible assets with indefinite lives are not amortized and are reviewed for impairment annually, as of January 1, or more frequently if impairment indicators arise.</w:t>
      </w:r>
    </w:p>
    <w:p>
      <w:pPr>
        <w:spacing w:after="0" w:line="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Amortizable intangible assets are amortized over their estimated economic useful life to reflect the pattern of economic benefits consumed based upon the following lives and methods:</w:t>
      </w:r>
    </w:p>
    <w:p>
      <w:pPr>
        <w:spacing w:after="0" w:line="116"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Patents</w:t>
            </w:r>
          </w:p>
        </w:tc>
        <w:tc>
          <w:tcPr>
            <w:tcW w:w="1680" w:type="dxa"/>
            <w:vAlign w:val="bottom"/>
          </w:tcPr>
          <w:p>
            <w:pPr>
              <w:ind w:left="420"/>
              <w:spacing w:after="0"/>
              <w:rPr>
                <w:sz w:val="20"/>
                <w:szCs w:val="20"/>
                <w:color w:val="auto"/>
              </w:rPr>
            </w:pPr>
            <w:r>
              <w:rPr>
                <w:rFonts w:ascii="Arial" w:cs="Arial" w:eastAsia="Arial" w:hAnsi="Arial"/>
                <w:sz w:val="18"/>
                <w:szCs w:val="18"/>
                <w:color w:val="auto"/>
              </w:rPr>
              <w:t>10-17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Licenses</w:t>
            </w:r>
          </w:p>
        </w:tc>
        <w:tc>
          <w:tcPr>
            <w:tcW w:w="1680" w:type="dxa"/>
            <w:vAlign w:val="bottom"/>
          </w:tcPr>
          <w:p>
            <w:pPr>
              <w:ind w:left="420"/>
              <w:spacing w:after="0"/>
              <w:rPr>
                <w:sz w:val="20"/>
                <w:szCs w:val="20"/>
                <w:color w:val="auto"/>
              </w:rPr>
            </w:pPr>
            <w:r>
              <w:rPr>
                <w:rFonts w:ascii="Arial" w:cs="Arial" w:eastAsia="Arial" w:hAnsi="Arial"/>
                <w:sz w:val="18"/>
                <w:szCs w:val="18"/>
                <w:color w:val="auto"/>
              </w:rPr>
              <w:t>7-13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tcPr>
          <w:p>
            <w:pPr>
              <w:ind w:left="420"/>
              <w:spacing w:after="0"/>
              <w:rPr>
                <w:sz w:val="20"/>
                <w:szCs w:val="20"/>
                <w:color w:val="auto"/>
              </w:rPr>
            </w:pPr>
            <w:r>
              <w:rPr>
                <w:rFonts w:ascii="Arial" w:cs="Arial" w:eastAsia="Arial" w:hAnsi="Arial"/>
                <w:sz w:val="18"/>
                <w:szCs w:val="18"/>
                <w:color w:val="auto"/>
              </w:rPr>
              <w:t>5-8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Developed technology</w:t>
            </w:r>
          </w:p>
        </w:tc>
        <w:tc>
          <w:tcPr>
            <w:tcW w:w="1680" w:type="dxa"/>
            <w:vAlign w:val="bottom"/>
          </w:tcPr>
          <w:p>
            <w:pPr>
              <w:ind w:left="420"/>
              <w:spacing w:after="0"/>
              <w:rPr>
                <w:sz w:val="20"/>
                <w:szCs w:val="20"/>
                <w:color w:val="auto"/>
              </w:rPr>
            </w:pPr>
            <w:r>
              <w:rPr>
                <w:rFonts w:ascii="Arial" w:cs="Arial" w:eastAsia="Arial" w:hAnsi="Arial"/>
                <w:sz w:val="18"/>
                <w:szCs w:val="18"/>
                <w:color w:val="auto"/>
              </w:rPr>
              <w:t>8 years</w:t>
            </w:r>
          </w:p>
        </w:tc>
        <w:tc>
          <w:tcPr>
            <w:tcW w:w="5280" w:type="dxa"/>
            <w:vAlign w:val="bottom"/>
          </w:tcPr>
          <w:p>
            <w:pPr>
              <w:ind w:left="420"/>
              <w:spacing w:after="0"/>
              <w:rPr>
                <w:sz w:val="20"/>
                <w:szCs w:val="20"/>
                <w:color w:val="auto"/>
              </w:rPr>
            </w:pPr>
            <w:r>
              <w:rPr>
                <w:rFonts w:ascii="Arial" w:cs="Arial" w:eastAsia="Arial" w:hAnsi="Arial"/>
                <w:sz w:val="18"/>
                <w:szCs w:val="18"/>
                <w:color w:val="auto"/>
                <w:w w:val="89"/>
              </w:rPr>
              <w:t>Accelerated based upon the pattern of economic benefits consumed</w:t>
            </w:r>
          </w:p>
        </w:tc>
      </w:tr>
      <w:tr>
        <w:trPr>
          <w:trHeight w:val="270"/>
        </w:trPr>
        <w:tc>
          <w:tcPr>
            <w:tcW w:w="25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680" w:type="dxa"/>
            <w:vAlign w:val="bottom"/>
          </w:tcPr>
          <w:p>
            <w:pPr>
              <w:ind w:left="420"/>
              <w:spacing w:after="0"/>
              <w:rPr>
                <w:sz w:val="20"/>
                <w:szCs w:val="20"/>
                <w:color w:val="auto"/>
              </w:rPr>
            </w:pPr>
            <w:r>
              <w:rPr>
                <w:rFonts w:ascii="Arial" w:cs="Arial" w:eastAsia="Arial" w:hAnsi="Arial"/>
                <w:sz w:val="18"/>
                <w:szCs w:val="18"/>
                <w:color w:val="auto"/>
              </w:rPr>
              <w:t>5 years</w:t>
            </w:r>
          </w:p>
        </w:tc>
        <w:tc>
          <w:tcPr>
            <w:tcW w:w="5280" w:type="dxa"/>
            <w:vAlign w:val="bottom"/>
          </w:tcPr>
          <w:p>
            <w:pPr>
              <w:ind w:left="420"/>
              <w:spacing w:after="0"/>
              <w:rPr>
                <w:sz w:val="20"/>
                <w:szCs w:val="20"/>
                <w:color w:val="auto"/>
              </w:rPr>
            </w:pPr>
            <w:r>
              <w:rPr>
                <w:rFonts w:ascii="Arial" w:cs="Arial" w:eastAsia="Arial" w:hAnsi="Arial"/>
                <w:sz w:val="18"/>
                <w:szCs w:val="18"/>
                <w:color w:val="auto"/>
              </w:rPr>
              <w:t>Straight-line</w:t>
            </w:r>
          </w:p>
        </w:tc>
      </w:tr>
    </w:tbl>
    <w:p>
      <w:pPr>
        <w:spacing w:after="0" w:line="17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Indefinite lived intangible assets are evaluated for potential impairment whenever events or circumstances indicate that the carrying value may not be recoverable based primarily upon whether expected future undiscounted cash flows are sufficient to support the asset recovery. If the actual useful life of the asset is shorter than the estimated life estimated by us, the asset may be deemed to be impaired and accordingly a write-down of the value of the asset determined by a discounted cash flow analysis or shorter amortization period may be required.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and changes in, the carrying amount of other intangible assets were as follows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6"/>
              </w:rPr>
              <w:t>March 31, 2016</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3"/>
                <w:szCs w:val="13"/>
                <w:color w:val="auto"/>
              </w:rPr>
            </w:pPr>
          </w:p>
        </w:tc>
        <w:tc>
          <w:tcPr>
            <w:tcW w:w="10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4,805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8,991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Amortization expense on intangible assets was $243,000 and $351,000 for the three months ended June 30, 2016 and 2015, respectively. As of June 30, 2016, the weighted average useful life of intangible assets was 6.07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8500" w:type="dxa"/>
            <w:vAlign w:val="bottom"/>
          </w:tcPr>
          <w:p>
            <w:pPr>
              <w:ind w:left="340"/>
              <w:spacing w:after="0"/>
              <w:rPr>
                <w:sz w:val="20"/>
                <w:szCs w:val="20"/>
                <w:color w:val="auto"/>
              </w:rPr>
            </w:pPr>
            <w:r>
              <w:rPr>
                <w:rFonts w:ascii="Arial" w:cs="Arial" w:eastAsia="Arial" w:hAnsi="Arial"/>
                <w:sz w:val="18"/>
                <w:szCs w:val="18"/>
                <w:color w:val="auto"/>
                <w:w w:val="96"/>
              </w:rPr>
              <w:t>The estimated amortization expense for each of the next five years is shown below (dollars in thousands):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Fiscal 2018</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2019</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Fiscal 2020</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50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Assets</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 w:type="dxa"/>
            <w:vAlign w:val="bottom"/>
          </w:tcPr>
          <w:p>
            <w:pPr>
              <w:spacing w:after="0"/>
              <w:rPr>
                <w:sz w:val="24"/>
                <w:szCs w:val="24"/>
                <w:color w:val="auto"/>
              </w:rPr>
            </w:pPr>
          </w:p>
        </w:tc>
        <w:tc>
          <w:tcPr>
            <w:tcW w:w="8500" w:type="dxa"/>
            <w:vAlign w:val="bottom"/>
          </w:tcPr>
          <w:p>
            <w:pPr>
              <w:ind w:left="360"/>
              <w:spacing w:after="0"/>
              <w:rPr>
                <w:sz w:val="20"/>
                <w:szCs w:val="20"/>
                <w:color w:val="auto"/>
              </w:rPr>
            </w:pPr>
            <w:r>
              <w:rPr>
                <w:rFonts w:ascii="Arial" w:cs="Arial" w:eastAsia="Arial" w:hAnsi="Arial"/>
                <w:sz w:val="18"/>
                <w:szCs w:val="18"/>
                <w:color w:val="auto"/>
              </w:rPr>
              <w:t>Other long-term assets include the following (dollars in thousands):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4"/>
                <w:szCs w:val="24"/>
                <w:color w:val="auto"/>
              </w:rPr>
            </w:pPr>
          </w:p>
        </w:tc>
        <w:tc>
          <w:tcPr>
            <w:tcW w:w="116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March 31,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costs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Security deposits</w:t>
            </w:r>
          </w:p>
        </w:tc>
        <w:tc>
          <w:tcPr>
            <w:tcW w:w="18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850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Deferred financing costs relate to Orion’s revolving credit agreement and are recognized to interest expense straight-line over the remaining term of the credit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include the following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March 31, 2016</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Sales tax</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Legal and professional fees (1)</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accruals</w:t>
            </w: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40"/>
              <w:spacing w:after="0"/>
              <w:rPr>
                <w:sz w:val="20"/>
                <w:szCs w:val="20"/>
                <w:color w:val="auto"/>
              </w:rPr>
            </w:pPr>
            <w:r>
              <w:rPr>
                <w:rFonts w:ascii="Arial" w:cs="Arial" w:eastAsia="Arial" w:hAnsi="Arial"/>
                <w:sz w:val="18"/>
                <w:szCs w:val="18"/>
                <w:color w:val="auto"/>
              </w:rPr>
              <w:t>(1) Includes a $1,400 loss contingency recorded in fiscal 2016.</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Orion generally offers a limited warranty of one year on its lighting products in addition to those standard warranties offered by major original equipment component manufacturers. The manufacturers’ warranties cover lamps and ballasts, which are significant components in the Orion's lighting products.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the Orion’s warranty accrual (both current and long-term) were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820" w:type="dxa"/>
            <w:vAlign w:val="bottom"/>
            <w:gridSpan w:val="5"/>
          </w:tcPr>
          <w:p>
            <w:pPr>
              <w:jc w:val="right"/>
              <w:ind w:right="374"/>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58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 (1)</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to product cost of revenue</w:t>
            </w:r>
          </w:p>
        </w:tc>
        <w:tc>
          <w:tcPr>
            <w:tcW w:w="8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29</w:t>
            </w:r>
          </w:p>
        </w:tc>
      </w:tr>
      <w:tr>
        <w:trPr>
          <w:trHeight w:val="27"/>
        </w:trPr>
        <w:tc>
          <w:tcPr>
            <w:tcW w:w="8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End of period (1)</w:t>
            </w: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1,038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1,062</w:t>
            </w:r>
          </w:p>
        </w:tc>
      </w:tr>
      <w:tr>
        <w:trPr>
          <w:trHeight w:val="27"/>
        </w:trPr>
        <w:tc>
          <w:tcPr>
            <w:tcW w:w="8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Includes a $310 reserve related to solar operating system warranties.</w:t>
      </w:r>
    </w:p>
    <w:p>
      <w:pPr>
        <w:sectPr>
          <w:pgSz w:w="11900" w:h="16838" w:orient="portrait"/>
          <w:cols w:equalWidth="0" w:num="1">
            <w:col w:w="11400"/>
          </w:cols>
          <w:pgMar w:left="240" w:top="53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30"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Revenue is recognized on the sales of our lighting and related energy-efficiency systems and products when the following four criteria are met:</w:t>
      </w:r>
    </w:p>
    <w:p>
      <w:pPr>
        <w:spacing w:after="0" w:line="210"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and title has passed to the customer;</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sales price is fixed and determinable and no further obligation exists; and</w:t>
      </w:r>
    </w:p>
    <w:p>
      <w:pPr>
        <w:spacing w:after="0" w:line="211" w:lineRule="exact"/>
        <w:rPr>
          <w:rFonts w:ascii="Arial" w:cs="Arial" w:eastAsia="Arial" w:hAnsi="Arial"/>
          <w:sz w:val="18"/>
          <w:szCs w:val="18"/>
          <w:color w:val="auto"/>
        </w:rPr>
      </w:pPr>
    </w:p>
    <w:p>
      <w:pPr>
        <w:ind w:left="1440" w:hanging="784"/>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These four criteria are met for Orion’s product-only revenue upon delivery of the product and title passing to the customer. At that time, Orion provides for estimated costs that may be incurred for product warranties and sales returns. Revenues are presented net of sales tax and other sales related taxes.</w:t>
      </w:r>
    </w:p>
    <w:p>
      <w:pPr>
        <w:spacing w:after="0" w:line="70"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 xml:space="preserve">For sales of Orion’s lighting and energy management technologies under multiple element arrangements, consisting of a combination of product sales and services, Orion determines revenue by allocating the total contract revenue to each element based on their relative selling prices in accordance with ASC 605-25, </w:t>
      </w:r>
      <w:r>
        <w:rPr>
          <w:rFonts w:ascii="Arial" w:cs="Arial" w:eastAsia="Arial" w:hAnsi="Arial"/>
          <w:sz w:val="18"/>
          <w:szCs w:val="18"/>
          <w:i w:val="1"/>
          <w:iCs w:val="1"/>
          <w:color w:val="auto"/>
        </w:rPr>
        <w:t>Revenue Recognition - Multiple Element Arrangements</w:t>
      </w:r>
      <w:r>
        <w:rPr>
          <w:rFonts w:ascii="Arial" w:cs="Arial" w:eastAsia="Arial" w:hAnsi="Arial"/>
          <w:sz w:val="18"/>
          <w:szCs w:val="18"/>
          <w:color w:val="auto"/>
        </w:rPr>
        <w:t>. In such circumstances, Orion uses a hierarchy to determine the selling price to be used for allocating revenue to deliverables: (1) vendor-specific objective evidence (VSOE) of fair value, if available, (2) third-party evidence (TPE) of selling price if VSOE is not available, and (3) best estimate of the selling price if neither VSOE nor TPE is available (a description as to how Orion determines estimated selling price is provided below).</w:t>
      </w:r>
    </w:p>
    <w:p>
      <w:pPr>
        <w:spacing w:after="0" w:line="139"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nature of Orion’s multiple element arrangements for the sale of its lighting and energy management technologies is similar to a construction project, with materials being delivered and contracting and project management activities occurring according to an installation schedule. The significant deliverables include the shipment of products and related transfer of title and the installation.</w:t>
      </w:r>
    </w:p>
    <w:p>
      <w:pPr>
        <w:spacing w:after="0" w:line="127"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To determine the selling price in multiple-element arrangements, Orion establishes the selling price for its energy management system products using management's best estimate of the selling price, as VSOE or TPE does not exist. Product revenue is recognized when products are shipped. For product revenue, management's best estimate of selling price is determined using a cost plus gross profit margin method. In addition, Orion records in service revenue the selling price for its installation and recycling services using management’s best estimate of selling price, as VSOE or TPE does not exist. Service revenue is recognized when services are completed and customer acceptance has been received. Recycling services provided in connection with installation entail the disposal of the customer’s legacy lighting fixtures. Orion’s service revenues, other than for installation and recycling that are completed prior to delivery of the product, are included in product revenue using management’s best estimate of selling price, as VSOE or TPE does not exist. These services include comprehensive site assessment, site field verification, utility incentive and government subsidy management, engineering design, and project management. For these services, along with Orion's installation and recycling services, under a multiple-element arrangement, management’s best estimate of selling price is determined by considering economic conditions and trends, customer demand, pricing practices, margin objectives, competition, geographies in which Orion offers its products and services and internal costs. The determination of an estimated selling price is made through consultation with and approval by management, taking into account the preceding factors.</w:t>
      </w:r>
    </w:p>
    <w:p>
      <w:pPr>
        <w:spacing w:after="0" w:line="45"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Orion offers a financing program, called an Orion Throughput Agreement, or OTA, for a customer’s lease of Orion’s energy management systems. The OTA is structured as a sales-type lease and upon successful installation of the system and customer acknowledgment that the system is operating as specified, revenue is recognized at Orion’s net investment in the lease, which typically is the net present value of the future cash flows.</w:t>
      </w:r>
    </w:p>
    <w:p>
      <w:pPr>
        <w:spacing w:after="0" w:line="111"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Orion offers a financing program, called a power purchase agreement, or PPA, for Orion’s renewable energy product offerings. A PPA is a supply side agreement for the generation of electricity and subsequent sale to the end user. Upon the customer’s acknowledgment that the system is operating as specified, product revenue is recognized on a monthly basis over the life of the PPA contract, which is typically in excess of 10 years.</w:t>
      </w:r>
    </w:p>
    <w:p>
      <w:pPr>
        <w:spacing w:after="0" w:line="11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Deferred revenue relates to advance customer billings, investment tax grants received related to PPAs and a separate obligation to provide maintenance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contract is executed.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9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3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For the three months ended June 30, 2016 and 2015, Orion was in a net loss position; therefore, the basic and diluted weighted average shares outstanding are equal because any increase to the basic shares would be anti-dilutive. The effect of net loss per common share is calculated based upon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June 30,</w:t>
            </w:r>
          </w:p>
        </w:tc>
      </w:tr>
      <w:tr>
        <w:trPr>
          <w:trHeight w:val="276"/>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 (in thousands)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27,885,588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27,481,624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Weighted-average effect of assumed conversion of stock options and restricted shares (excluded because shares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would be anti-dilutive)</w:t>
            </w: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Weighted-average common shares and common share equivalents outstanding</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27,885,588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27,481,624</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per common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dilution because their inclusion would have been anit-dilutive. Amounts are as of the end of each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 2016</w:t>
            </w:r>
          </w:p>
        </w:tc>
        <w:tc>
          <w:tcPr>
            <w:tcW w:w="1460" w:type="dxa"/>
            <w:vAlign w:val="bottom"/>
          </w:tcPr>
          <w:p>
            <w:pPr>
              <w:jc w:val="right"/>
              <w:ind w:right="234"/>
              <w:spacing w:after="0"/>
              <w:rPr>
                <w:sz w:val="20"/>
                <w:szCs w:val="20"/>
                <w:color w:val="auto"/>
              </w:rPr>
            </w:pPr>
            <w:r>
              <w:rPr>
                <w:rFonts w:ascii="Arial" w:cs="Arial" w:eastAsia="Arial" w:hAnsi="Arial"/>
                <w:sz w:val="14"/>
                <w:szCs w:val="14"/>
                <w:b w:val="1"/>
                <w:bCs w:val="1"/>
                <w:color w:val="auto"/>
              </w:rPr>
              <w:t>June 30,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options</w:t>
            </w: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1,949,846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2,337,636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1,482,208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1,052,674</w:t>
            </w:r>
          </w:p>
        </w:tc>
      </w:tr>
      <w:tr>
        <w:trPr>
          <w:trHeight w:val="27"/>
        </w:trPr>
        <w:tc>
          <w:tcPr>
            <w:tcW w:w="83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3,432,054</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3,390,310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Orion's cash is deposited with three financial institutions. At times, deposits in these institutions exceed the amount of insurance provided on such deposits. Orion has not experienced any losses in such accounts and believes that it is not exposed to any significant risk on these balances.</w:t>
      </w:r>
    </w:p>
    <w:p>
      <w:pPr>
        <w:spacing w:after="0" w:line="7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Orion purchases components necessary for its lighting products, including ballasts, lamps and LED components, from multiple suppliers. For the three months ended June 30, 2016 and 2015, no supplier accounted for more than 10% of total cost of revenue.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three months ended June 30, 2016 and 2015, no customer accounted for more than 10% of revenue.</w:t>
      </w:r>
    </w:p>
    <w:p>
      <w:pPr>
        <w:spacing w:after="0" w:line="17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June 30, 2016, no customer accounted for more than 10% of accounts receivable. As of March 31, 2016, one customer accounted for more than 10% of accounts receivable.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During the quarter ended June 30, 2016, Orion adopted the provisions of ASU 2015-03 “Interest-Imputation of Interest (Subtopic 835-30): Simplifying the Presentation of Debt Issuance Costs” and the related ASU 2015-15 “Interest-Imputation of Interest (Subtopic 835-30): Presentation and Subsequent Measurement of Debt Issuance Costs Associated with Line of Credit Arrangements- Amendments to SEC Paragraphs Pursuant to Staff Announcement at June 18, 2015 EITF Meeting (SEC Update).” This guidance requires that debt issuance costs related to a recognized debt liability be presented in the balance sheet as a reduction of the carrying amount of that debt liability, consistent with debt discounts, with the exception of debt issuance costs associated with line of credit agreements which may remain classified as an asset and amortized ratably over the term of the line-of-credit arrangement, regardless of whether there are any outstanding borrowings on the line-of-credit arrangement. As Orion’s only deferred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debt issuance costs relate to its revolving line of credit, upon adoption of these standards a reclassification of the deferred financing costs was not required and there was no impact on Orion’s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March 2016, the Financial Accounting Standards Board (“FASB”) issued Accounting Standard Update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The ASU is effective for Orion in the first quarter of Orion's fiscal 2018. Management is currently assessing the impact of adoption on its consolidated financial statements.</w:t>
      </w:r>
    </w:p>
    <w:p>
      <w:pPr>
        <w:spacing w:after="0" w:line="134"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In February 2016, the FASB issued ASU 2016-02, “Leases (Subtopic 842)." This ASU requires that lessees recognize assets and liabilities on the balance sheet for the rights and obligations created by long-term leases and disclose additional quantitative and qualitative information about leasing arrangements. This ASU also provides clarifications surrounding the presentation of the effects of leases in the income statement and statement of cash flows. This guidance will be effective for Orion on April 1, 2019. Management is currently assessing the impact of adoption on its consolidated financial statements.</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beginning on April 1, 2017 with earlier adoption permitted. The guidance may be adopted either prospectively or retrospectively. Management is currently assessing the impact of this standard on its consolidated financial statements.</w:t>
      </w:r>
    </w:p>
    <w:p>
      <w:pPr>
        <w:spacing w:after="0" w:line="1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This ASU is effective for Orion on April 1, 2017. Orion is currently assessing the impact of this standard on its consolidated financial statements.</w:t>
      </w:r>
    </w:p>
    <w:p>
      <w:pPr>
        <w:spacing w:after="0" w:line="134" w:lineRule="exact"/>
        <w:rPr>
          <w:sz w:val="20"/>
          <w:szCs w:val="20"/>
          <w:color w:val="auto"/>
        </w:rPr>
      </w:pPr>
    </w:p>
    <w:p>
      <w:pPr>
        <w:ind w:right="320" w:firstLine="405"/>
        <w:spacing w:after="0" w:line="257" w:lineRule="auto"/>
        <w:rPr>
          <w:sz w:val="20"/>
          <w:szCs w:val="20"/>
          <w:color w:val="auto"/>
        </w:rPr>
      </w:pPr>
      <w:r>
        <w:rPr>
          <w:rFonts w:ascii="Arial" w:cs="Arial" w:eastAsia="Arial" w:hAnsi="Arial"/>
          <w:sz w:val="18"/>
          <w:szCs w:val="18"/>
          <w:color w:val="auto"/>
        </w:rPr>
        <w:t>In August 2014, the FASB issued Accounting Standards Update No. 2014-15, "Presentation of Financial Statements - Going Concern" ("ASU 2014-15"). ASU 2014-15 requires an entity's management to evaluate whether there are conditions or events, considered in the aggregate, that raise substantial doubt about the entity's ability to continue as a going concern and if those conditions exist, the required disclosures. The standard is effective for annual periods ending after December 15, 2016, and interim periods therein. Orion does not expect adoption of this standard will have a significant impact on its consolidated financial statements.</w:t>
      </w:r>
    </w:p>
    <w:p>
      <w:pPr>
        <w:spacing w:after="0" w:line="13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May 2014, the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Since the issuance of this ASU the FASB has issued further ASU’s to provide additional guidance and clarification as to the application of ASU 2014-09 and delaying its original effective date. These ASU’s are effective for Orion beginning on April 1, 2018 (as amended by ASU 2015-14) and early adoption is not permitted. Companies may use either a full retrospective or modified retrospective approach to adopt this ASU. Orion is currently evaluating the impact and method of adoption of ASU 2014-09, ASU 2015-14, ASU 2016-08, ASU 2016-10, ASU 2016-11 and ASU 2016-12.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RELATED PARTY TRANSACTIONS</w:t>
      </w:r>
    </w:p>
    <w:p>
      <w:pPr>
        <w:spacing w:after="0" w:line="94"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During the three months ended June 30, 2016 and 2015, Orion purchased goods and services in the amount of approximately $2,000 and $6,000, respectively, from an entity for which a director of Orion is a minority owner and serves as president and chairman of the board of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 LONG-TERM DEBT</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16"/>
                <w:szCs w:val="16"/>
                <w:color w:val="auto"/>
              </w:rPr>
            </w:pPr>
          </w:p>
        </w:tc>
        <w:tc>
          <w:tcPr>
            <w:tcW w:w="118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March 31, 2016</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Harris seller's note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546</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Customer equipment finance notes payable</w:t>
            </w: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90</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debt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4,767</w:t>
            </w:r>
          </w:p>
        </w:tc>
      </w:tr>
      <w:tr>
        <w:trPr>
          <w:trHeight w:val="27"/>
        </w:trPr>
        <w:tc>
          <w:tcPr>
            <w:tcW w:w="8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4,021</w:t>
            </w:r>
          </w:p>
        </w:tc>
      </w:tr>
      <w:tr>
        <w:trPr>
          <w:trHeight w:val="27"/>
        </w:trPr>
        <w:tc>
          <w:tcPr>
            <w:tcW w:w="8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February 6, 2015, Orion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The Credit Facility includes a $2,000,000 sublimit for the issuance of letters of credit.</w:t>
      </w:r>
    </w:p>
    <w:p>
      <w:pPr>
        <w:spacing w:after="0" w:line="133"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will require Orion to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w:t>
      </w:r>
    </w:p>
    <w:p>
      <w:pPr>
        <w:spacing w:after="0" w:line="124"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7" w:lineRule="exact"/>
        <w:rPr>
          <w:sz w:val="20"/>
          <w:szCs w:val="20"/>
          <w:color w:val="auto"/>
        </w:rPr>
      </w:pPr>
    </w:p>
    <w:p>
      <w:pPr>
        <w:ind w:right="240"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June 30, 2016, the interest rate was 3.65%.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June 30, 2016, Orion had no outstanding letters of credit. Borrowings outstanding as of June 30, 2016, amounted to approximately $2,488,000 and are included in non-current liabilities in the accompanying Consolidated Balance Sheet. Orion estimates that as of June 30, 2016, it was eligible to borrow an additional $1,186,000 under the Credit Facility based upon current levels of eligible inventory and accounts receivable.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Orion was in compliance with its covenants in the Credit Agreement as of June 30,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Harris Seller's Note</w:t>
      </w:r>
    </w:p>
    <w:p>
      <w:pPr>
        <w:spacing w:after="0" w:line="171"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On July 1, 2013, Orion issued an unsecured and subordinated promissory note in the principal amount of $3,124,000 to partially fund the acquisition of Harris. The note is included in the table above as Harris seller's note. The note's interest rate was 4% per annum. Principal and interest are payable quarterly. The note matured in July 2016, and was paid in full upon maturity.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6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Equipment Lease Obligation</w:t>
      </w:r>
    </w:p>
    <w:p>
      <w:pPr>
        <w:spacing w:after="0" w:line="171"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In March 2016 and June 2015, Orion entered into two lease agreements with a financing company in the principal amount of $377,000 and $19,000, respectively, to fund certain equipment. The leases are secured by the related equipment. The leases bear interest at a rate of 5.94% and 3.6%, respectively, and mature in June 2020 and February 2018. Both leases contain a one dollar buyout option.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Equipment Finance Notes Payable</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2014, Orion entered into a secured borrowing agreement with a financing company in the principal amount of $446,000 to fund completed customer contracts under its OTA finance program that were previously funded under the OTA credit agreement with a major bank, which was terminated in November 2014. This note is included in the table above as customer equipment finance notes payable. The loan amount is secured by the OTA-related equipment and the expected future monthly payments under the supporting 25 individual OTA customer contracts. The borrowing agreement bears interest at a rate of 8.36% and matures in December 2016.</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2011, Orion entered into a note agreement with a financial institution that provided Orion with $2,831,000 to fund completed customer contracts under Orion’s OTA finance program. This note is included in the table above as customer equipment finance notes payable in the prior year. The note bore interest at 7.85%, and matured in April 2016, and was paid in full at June 30, 2016. As of June 30, 2016, Orion was in compliance with the debt service covenant.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Debt</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September 2010, Orion entered into a note agreement with the Wisconsin Department of Commerce that provided Orion with $260,000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$4,600. The note matures in June 2017. The note agreement requires Orion to maintain a certain number of jobs at its Manitowoc facilities during the note’s duration. Orion was in compliance with all covenants in the note agreement as of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income tax provision for the three months ended June 30, 2016 was determined by applying an estimated annual effective tax rate of (0.3)% to loss before taxes. Orion had discrete tax items in the first quarter of fiscal 2017 that increased the rate by 8.8% which resulted in a net rate for the quarter of 8.5%. The discrete tax items in the quarter related to federal tax refunds and the release of a valuation reserve. The estimated effective tax rate for the three month period ended June 30, 2015 was (0.1)%. The estimated effective income tax rate was determined by applying statutory tax rates to pretax loss adjusted for certain permanent book to tax differences and tax credits.</w:t>
      </w:r>
    </w:p>
    <w:p>
      <w:pPr>
        <w:spacing w:after="0" w:line="134"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9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As of June 30, 2016, Orion has federal net operating loss carryforwards of approximately $56,216,000, of which $3,273,000 are associated with the exercise of NQSOs that have not yet been recognized by Orion in its financial statements. Orion also has state net operating loss carryforwards of approximately $40,576,000, of which $3,771,000 are associated with the exercise of NQSOs. Orion also has federal tax credit carryforwards of approximately $1,403,000 and state tax credits of $724,000. Orion's net operating loss and tax credit carryforwards will begin to expire in varying amounts between 2020 and 2036. As of June 30, 2016, Orion has recorded a valuation allowance of $26,612,000 equaling the net deferred tax asset due to the uncertainty of its realization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As of June 30, 2016, the balance of gross unrecognized tax benefits was approximately $113,000, all of which would reduce Orion’s effective tax rate if recognized.</w:t>
      </w:r>
    </w:p>
    <w:p>
      <w:pPr>
        <w:spacing w:after="0" w:line="3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Orion leases office space and equipment under operating leases expiring at various dates through 2020. Rent expense under operating leases was $102,000 and $111,000 for the three months ended June 30, 2016 and 2015, respectively.</w:t>
      </w:r>
    </w:p>
    <w:p>
      <w:pPr>
        <w:spacing w:after="0" w:line="116"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March 1, 2016, Orion entered into a lease agreement as a lessor for excess office space at its corporate headquarters in Manitowoc, WI. The initial term of the lease is 24 months and the tenant has the option to extend the term for up to three additional twelve-month periods. The monthly rental payment Orion receives is $21,000 and is included in general and administrative expenses.</w:t>
      </w:r>
    </w:p>
    <w:p>
      <w:pPr>
        <w:spacing w:after="0" w:line="12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On March 31, 2016, Orion entered into a purchase and sale agreement ("Agreement") with Tramontina U.S. Cookware, Inc., to sell and leaseback its manufacturing and distribution facility for a gross cash purchase price of approximately $2,600,000. The transaction closed on June 30, 2016. Pursuant to the Agreement, a lease was entered into on June 30, 2016, in which Orion is leasing approximately 197,000 square feet of the building for not less than three years, with rent at $2.00 per square foot per annum. Orion's monthly payment under this lease is approximately $40,000. The lease contains options by either party to reduce the amount of leased space after March 1,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Orion. In addition to ordinary-course litigation, Orion is a party to the proceedings described below.</w:t>
      </w:r>
    </w:p>
    <w:p>
      <w:pPr>
        <w:spacing w:after="0" w:line="4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March 27, 2014, Orion was named as a defendant in a civil lawsuit filed by Neal R. Verfuerth, Orion's former chief executive officer who was terminated for cause in November 2012, in the United States District Court for the Eastern District of Wisconsin (Green Bay Division). The plaintiff alleges, among other things, that Orion breached certain agreements entered into with the plaintiff, including the plaintiff’s employment agreement, and violated certain laws. The complaint seeks,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 Orion intends to continue to defend against the claims vigorously. Orion believes that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ind w:right="600" w:firstLine="392"/>
        <w:spacing w:after="0" w:line="342" w:lineRule="auto"/>
        <w:rPr>
          <w:sz w:val="20"/>
          <w:szCs w:val="20"/>
          <w:color w:val="auto"/>
        </w:rPr>
      </w:pPr>
      <w:r>
        <w:rPr>
          <w:rFonts w:ascii="Arial" w:cs="Arial" w:eastAsia="Arial" w:hAnsi="Arial"/>
          <w:sz w:val="16"/>
          <w:szCs w:val="16"/>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$460,000.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0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7 —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Orion had the following shares issued from treasury during the three months ended June 30,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Issued</w:t>
            </w: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Closing Market</w:t>
            </w:r>
          </w:p>
        </w:tc>
        <w:tc>
          <w:tcPr>
            <w:tcW w:w="1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Shares Issued</w:t>
            </w:r>
          </w:p>
        </w:tc>
        <w:tc>
          <w:tcPr>
            <w:tcW w:w="160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3"/>
              </w:rPr>
              <w:t>Dollar Value of</w:t>
            </w: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Repayment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ESPP</w:t>
            </w:r>
          </w:p>
        </w:tc>
        <w:tc>
          <w:tcPr>
            <w:tcW w:w="1620" w:type="dxa"/>
            <w:vAlign w:val="bottom"/>
            <w:gridSpan w:val="2"/>
            <w:vMerge w:val="continue"/>
          </w:tcPr>
          <w:p>
            <w:pPr>
              <w:spacing w:after="0"/>
              <w:rPr>
                <w:sz w:val="12"/>
                <w:szCs w:val="12"/>
                <w:color w:val="auto"/>
              </w:rPr>
            </w:pP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 Loan</w:t>
            </w:r>
          </w:p>
        </w:tc>
        <w:tc>
          <w:tcPr>
            <w:tcW w:w="1600" w:type="dxa"/>
            <w:vAlign w:val="bottom"/>
            <w:gridSpan w:val="3"/>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Loans Issued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Quarter Ended June 30, 2016</w:t>
            </w:r>
          </w:p>
        </w:tc>
        <w:tc>
          <w:tcPr>
            <w:tcW w:w="1500" w:type="dxa"/>
            <w:vAlign w:val="bottom"/>
          </w:tcPr>
          <w:p>
            <w:pPr>
              <w:jc w:val="right"/>
              <w:ind w:right="41"/>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3"/>
              </w:rPr>
              <w:t>$1.16</w:t>
            </w:r>
          </w:p>
        </w:tc>
        <w:tc>
          <w:tcPr>
            <w:tcW w:w="120" w:type="dxa"/>
            <w:vAlign w:val="bottom"/>
          </w:tcPr>
          <w:p>
            <w:pPr>
              <w:spacing w:after="0"/>
              <w:rPr>
                <w:sz w:val="21"/>
                <w:szCs w:val="21"/>
                <w:color w:val="auto"/>
              </w:rPr>
            </w:pPr>
          </w:p>
        </w:tc>
        <w:tc>
          <w:tcPr>
            <w:tcW w:w="1780" w:type="dxa"/>
            <w:vAlign w:val="bottom"/>
            <w:gridSpan w:val="3"/>
          </w:tcPr>
          <w:p>
            <w:pPr>
              <w:ind w:left="12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$1.16</w:t>
            </w:r>
          </w:p>
        </w:tc>
        <w:tc>
          <w:tcPr>
            <w:tcW w:w="120" w:type="dxa"/>
            <w:vAlign w:val="bottom"/>
            <w:shd w:val="clear" w:color="auto" w:fill="CCEEFF"/>
          </w:tcPr>
          <w:p>
            <w:pPr>
              <w:spacing w:after="0"/>
              <w:rPr>
                <w:sz w:val="24"/>
                <w:szCs w:val="24"/>
                <w:color w:val="auto"/>
              </w:rPr>
            </w:pPr>
          </w:p>
        </w:tc>
        <w:tc>
          <w:tcPr>
            <w:tcW w:w="178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60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In prior years, Orion issued loans to non-executive employees to purchase shares of its stock. As of June 30, 2016 and March 31, 2016, $4,000 of such loans remained outstanding and are reflected on Orion’s balance sheet as a contra-equity account.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OPTIONS AND RESTRICTED SHARES</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Orion has historically granted stock options and restricted stock under its 2003 Stock Option and 2004 Stock and Incentive Awards Plans (Plans). Under the terms of the Plans, Orion has reserved 13,500,000 shares for issuance to key employees, consultants and directors. Certain non-employee directors have elected to receive stock awards in lieu of cash compensation pursuant to elections made under Orion’s non-employee director compensation program. The Plans also provide to certain employees accelerated vesting in the event of certain changes of control of Orion as well as under other special circumstances. Orion has not issued stock options since fiscal 2014 and instead has issued restricted stock under the Plans.</w:t>
      </w:r>
    </w:p>
    <w:p>
      <w:pPr>
        <w:spacing w:after="0" w:line="11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Orion accounts for stock-based compensation in accordance with ASC 718, Compensation - Stock Compensation. Under the fair value recognition provisions of ASC 718, stock-based compensation is measured at the grant date based on the fair value of the award and is recognized as expense ratably over the requisite service period, net of estimated forfeitures. Orion did not issue any stock options during the three months ended June 30, 2016 or during fiscal 2016 or 2015.</w:t>
      </w:r>
    </w:p>
    <w:p>
      <w:pPr>
        <w:spacing w:after="0" w:line="133"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For the three months ended June 30, 2016, an aggregate of 771,252 restricted shares, of which 57,065 were issued to an executive in lieu of cash compensation, were granted valued at a price per share of between $1.38 and $1.50, which was the closing market price as of each grant date. For the three months ended June 30, 2015, an aggregate of 485,184 restricted shares were granted valued at a price per share of between $2.21 and $2.62, which was the closing market price as of each grant date.</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40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76"/>
        </w:trPr>
        <w:tc>
          <w:tcPr>
            <w:tcW w:w="3800" w:type="dxa"/>
            <w:vAlign w:val="bottom"/>
            <w:tcBorders>
              <w:bottom w:val="single" w:sz="8" w:color="CCEEFF"/>
            </w:tcBorders>
          </w:tcPr>
          <w:p>
            <w:pPr>
              <w:spacing w:after="0"/>
              <w:rPr>
                <w:sz w:val="24"/>
                <w:szCs w:val="24"/>
                <w:color w:val="auto"/>
              </w:rPr>
            </w:pPr>
          </w:p>
        </w:tc>
        <w:tc>
          <w:tcPr>
            <w:tcW w:w="52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598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5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5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5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98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bottom w:val="single" w:sz="8" w:color="CCEEFF"/>
            </w:tcBorders>
            <w:vMerge w:val="restart"/>
          </w:tcPr>
          <w:p>
            <w:pPr>
              <w:jc w:val="right"/>
              <w:ind w:right="3130"/>
              <w:spacing w:after="0"/>
              <w:rPr>
                <w:sz w:val="20"/>
                <w:szCs w:val="20"/>
                <w:color w:val="auto"/>
              </w:rPr>
            </w:pPr>
            <w:r>
              <w:rPr>
                <w:rFonts w:ascii="Arial" w:cs="Arial" w:eastAsia="Arial" w:hAnsi="Arial"/>
                <w:sz w:val="18"/>
                <w:szCs w:val="18"/>
                <w:color w:val="auto"/>
              </w:rPr>
              <w:t>18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0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Outstanding Awards</w:t>
            </w: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0" w:type="dxa"/>
            <w:vAlign w:val="bottom"/>
            <w:vMerge w:val="restart"/>
          </w:tcPr>
          <w:p>
            <w:pPr>
              <w:jc w:val="center"/>
              <w:ind w:right="20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10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auto"/>
                <w:w w:val="90"/>
              </w:rPr>
              <w:t>Exercise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2016</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787,686</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2,017,046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Granted 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 shares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(714,187)</w:t>
            </w: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restricted shares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37,500</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Forfeited stock options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67,200</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(67,200)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5.11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158,272</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1,949,846</w:t>
            </w:r>
          </w:p>
        </w:tc>
        <w:tc>
          <w:tcPr>
            <w:tcW w:w="116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3.26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2016</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1,783,746</w:t>
            </w:r>
          </w:p>
        </w:tc>
        <w:tc>
          <w:tcPr>
            <w:tcW w:w="1160" w:type="dxa"/>
            <w:vAlign w:val="bottom"/>
            <w:tcBorders>
              <w:bottom w:val="single" w:sz="8" w:color="CCEEFF"/>
            </w:tcBorders>
            <w:gridSpan w:val="2"/>
            <w:shd w:val="clear" w:color="auto" w:fill="CCEEFF"/>
          </w:tcPr>
          <w:p>
            <w:pPr>
              <w:jc w:val="right"/>
              <w:ind w:right="84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firstLine="432"/>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Orion’s closing common stock price of $1.16 as of June 30, 2016.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40"/>
              <w:spacing w:after="0"/>
              <w:rPr>
                <w:sz w:val="20"/>
                <w:szCs w:val="20"/>
                <w:color w:val="auto"/>
              </w:rPr>
            </w:pPr>
            <w:r>
              <w:rPr>
                <w:rFonts w:ascii="Arial" w:cs="Arial" w:eastAsia="Arial" w:hAnsi="Arial"/>
                <w:sz w:val="18"/>
                <w:szCs w:val="18"/>
                <w:color w:val="auto"/>
              </w:rPr>
              <w:t>A summary of the status of Orion’s outstanding non-vested stock options as of June 30, 2016 was as follows:</w:t>
            </w:r>
          </w:p>
        </w:tc>
        <w:tc>
          <w:tcPr>
            <w:tcW w:w="148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148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205,900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7"/>
        </w:trPr>
        <w:tc>
          <w:tcPr>
            <w:tcW w:w="99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166,100</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As of June 30, 2016, compensation cost related to non-vested common stock-based compensation, excluding restricted share awards, amounted to $200,000 over a remaining weighted average expected term of 1.27 years.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first three months of fiscal 2017, Orion granted restricted shares as follows (which are included in the above stock plan activity tables):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March 31, 2016</w:t>
            </w:r>
          </w:p>
        </w:tc>
        <w:tc>
          <w:tcPr>
            <w:tcW w:w="2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1,053,389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714,187</w:t>
            </w:r>
          </w:p>
        </w:tc>
      </w:tr>
      <w:tr>
        <w:trPr>
          <w:trHeight w:val="27"/>
        </w:trPr>
        <w:tc>
          <w:tcPr>
            <w:tcW w:w="90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vested</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(247,868)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Shares forfeited</w:t>
            </w:r>
          </w:p>
        </w:tc>
        <w:tc>
          <w:tcPr>
            <w:tcW w:w="2260" w:type="dxa"/>
            <w:vAlign w:val="bottom"/>
          </w:tcPr>
          <w:p>
            <w:pPr>
              <w:jc w:val="right"/>
              <w:spacing w:after="0"/>
              <w:rPr>
                <w:sz w:val="20"/>
                <w:szCs w:val="20"/>
                <w:color w:val="auto"/>
              </w:rPr>
            </w:pPr>
            <w:r>
              <w:rPr>
                <w:rFonts w:ascii="Arial" w:cs="Arial" w:eastAsia="Arial" w:hAnsi="Arial"/>
                <w:sz w:val="18"/>
                <w:szCs w:val="18"/>
                <w:color w:val="auto"/>
              </w:rPr>
              <w:t>(37,500)</w:t>
            </w:r>
          </w:p>
        </w:tc>
      </w:tr>
      <w:tr>
        <w:trPr>
          <w:trHeight w:val="27"/>
        </w:trPr>
        <w:tc>
          <w:tcPr>
            <w:tcW w:w="90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outstanding at June 30, 2016</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1,482,208</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Per share price on grant date</w:t>
            </w: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$1.34 - $6.80</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June 30, 2016, the weighted average grant-date fair value of restricted shares granted was $1.38.</w:t>
      </w:r>
    </w:p>
    <w:p>
      <w:pPr>
        <w:spacing w:after="0" w:line="17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As of June 30, 2016, the amount of deferred stock-based compensation expense related to grants of restricted shares, to be recognized over a remaining period of 2.47 years, was approximately $2,500,000.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9 — SEGMENTS</w:t>
      </w:r>
    </w:p>
    <w:p>
      <w:pPr>
        <w:spacing w:after="0" w:line="94" w:lineRule="exact"/>
        <w:rPr>
          <w:sz w:val="20"/>
          <w:szCs w:val="20"/>
          <w:color w:val="auto"/>
        </w:rPr>
      </w:pPr>
    </w:p>
    <w:p>
      <w:pPr>
        <w:ind w:right="900" w:firstLine="432"/>
        <w:spacing w:after="0" w:line="334" w:lineRule="auto"/>
        <w:rPr>
          <w:sz w:val="20"/>
          <w:szCs w:val="20"/>
          <w:color w:val="auto"/>
        </w:rPr>
      </w:pPr>
      <w:r>
        <w:rPr>
          <w:rFonts w:ascii="Arial" w:cs="Arial" w:eastAsia="Arial" w:hAnsi="Arial"/>
          <w:sz w:val="16"/>
          <w:szCs w:val="16"/>
          <w:color w:val="auto"/>
        </w:rPr>
        <w:t>Orion has the following business segments: Orion U.S. Markets Division ("USM"), Orion Engineered Services Division ("OES") and Orion Distribution Services Division ("ODS").The accounting policies are the same for each business segment as they are on a consolidated basis.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descriptions of Orion’s segments and their summary financial information are presented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 ("USM")</w:t>
      </w:r>
    </w:p>
    <w:p>
      <w:pPr>
        <w:spacing w:after="0" w:line="171"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USM segment sells commercial lighting systems and energy management systems to the wholesale contractor markets. USM customers include domestic energy service companies, or ESCOs, and electrical contractors.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Engineered Systems Division ("OES")</w:t>
      </w:r>
    </w:p>
    <w:p>
      <w:pPr>
        <w:spacing w:after="0" w:line="171"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 OES segment develops and sells lighting products and provides construction and engineering services for Orion's commercial LED and High Intensity Fluorescent ("HIF") lighting and energy management systems. OES provides turnkey solutions for large national accounts, governments, municipalities and schools.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 ("ODS")</w:t>
      </w:r>
    </w:p>
    <w:p>
      <w:pPr>
        <w:spacing w:after="0" w:line="17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The ODS segment focuses on selling lighting products through manufacturer representative agencies and a network of broadline North American distributors.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90"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which primarily include intercompany eliminations.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center"/>
              <w:ind w:left="757"/>
              <w:spacing w:after="0"/>
              <w:rPr>
                <w:sz w:val="20"/>
                <w:szCs w:val="20"/>
                <w:color w:val="auto"/>
              </w:rPr>
            </w:pPr>
            <w:r>
              <w:rPr>
                <w:rFonts w:ascii="Arial" w:cs="Arial" w:eastAsia="Arial" w:hAnsi="Arial"/>
                <w:sz w:val="14"/>
                <w:szCs w:val="14"/>
                <w:b w:val="1"/>
                <w:bCs w:val="1"/>
                <w:color w:val="auto"/>
                <w:w w:val="90"/>
              </w:rPr>
              <w:t>Revenues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Operating Income (Loss)</w:t>
            </w:r>
          </w:p>
        </w:tc>
      </w:tr>
      <w:tr>
        <w:trPr>
          <w:trHeight w:val="203"/>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For the Three Months Ended June 30,</w:t>
            </w:r>
          </w:p>
        </w:tc>
        <w:tc>
          <w:tcPr>
            <w:tcW w:w="260" w:type="dxa"/>
            <w:vAlign w:val="bottom"/>
          </w:tcPr>
          <w:p>
            <w:pPr>
              <w:spacing w:after="0"/>
              <w:rPr>
                <w:sz w:val="17"/>
                <w:szCs w:val="17"/>
                <w:color w:val="auto"/>
              </w:rPr>
            </w:pPr>
          </w:p>
        </w:tc>
        <w:tc>
          <w:tcPr>
            <w:tcW w:w="28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For the Three Months Ended June 30,</w:t>
            </w:r>
          </w:p>
        </w:tc>
      </w:tr>
      <w:tr>
        <w:trPr>
          <w:trHeight w:val="343"/>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Orion U.S. Markets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11,633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Orion Engineered Systems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Orion Distribution Services</w:t>
            </w:r>
          </w:p>
        </w:tc>
        <w:tc>
          <w:tcPr>
            <w:tcW w:w="24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37"/>
        </w:trPr>
        <w:tc>
          <w:tcPr>
            <w:tcW w:w="516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15,634</w:t>
            </w: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w:t>
            </w:r>
          </w:p>
        </w:tc>
      </w:tr>
      <w:tr>
        <w:trPr>
          <w:trHeight w:val="27"/>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07" w:right="239" w:bottom="1440" w:gutter="0" w:footer="0" w:header="0"/>
        </w:sectPr>
      </w:pPr>
    </w:p>
    <w:bookmarkStart w:id="20" w:name="page21"/>
    <w:bookmarkEnd w:id="20"/>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2016.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We are a leading designer and manufacturer of high-performance, energy-efficient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0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Our lighting products consist primarily of LED and High Intensity Fluorescent ("HIF") lighting fixtures. Our principal customers include national accounts, Energy Service Companies ("ESCOs"), electrical contractors and electrical distributors. Currently, substantially all of our products are manufactured at our production facility location in Manitowoc, Wisconsin, although we are increasingly sourcing products and components from third parties as the LED market continues to evolve and in order to provide versatility in our product development.</w:t>
      </w:r>
    </w:p>
    <w:p>
      <w:pPr>
        <w:spacing w:after="0" w:line="133"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While we continue to provide some solutions using our legacy HIF technology, the market for lighting products is currently in a significant technology shift to LED lighting systems. Compared to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industry transition to LED lighting technology. Based on a July 2015 United States Department of Energy report, we estimate the potential North American LED retrofit market within our key product categories to be approximately 1.1 billion lighting fixtures. We plan to continue to primarily focus on developing and selling innovative LED products, although we will continue to market and sell legacy HIF solutions in circumstances in which LED solutions may not be our customers' best alternative.</w:t>
      </w:r>
    </w:p>
    <w:p>
      <w:pPr>
        <w:spacing w:after="0" w:line="14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do not have long-term contracts with our customers that provide us with recurring revenue from period to period and we typically generate substantially all of our revenue from sales of lighting systems and related services to commercial and industrial customers on a project by 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ESCOs, and electrical distributors to sell to their own customer bases.</w:t>
      </w:r>
    </w:p>
    <w:p>
      <w:pPr>
        <w:spacing w:after="0" w:line="1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achieve our desired growth and profitability depends on our ability to expand our reseller network, develop recurring revenue streams, effectively engage distribution and sales agents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50%. As a result, a change in the total mix of our sales toward higher or lower margin products can cause our profitability to fluctuate from period to period.</w:t>
      </w:r>
    </w:p>
    <w:p>
      <w:pPr>
        <w:spacing w:after="0" w:line="194"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Our fiscal year ends on March 31. We refer to our prior fiscal years which ended on March 31, 2015 as “fiscal 2015”, and the year ended on March 31, 2016, as “fiscal 2016”, and our current fiscal year, which ends on March 31, 2017, as “fiscal 2017.” Our fiscal first quarter of each fiscal year ends on June 30, our fiscal second quarter ends on September 30, our fiscal third quarter ends on December 31 and our fiscal fourth quarter ends on March 31.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Shift to Light Emitting Diode Products</w:t>
      </w:r>
    </w:p>
    <w:p>
      <w:pPr>
        <w:spacing w:after="0" w:line="94"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rapid market shift in the lighting industry from legacy lighting products to LED lighting products has caused us to adopt new strategies, approaches and processes in order to respond proactively to this paradigm shift. These changing underlying business fundamentals in this paradigm shift include:</w:t>
      </w:r>
    </w:p>
    <w:p>
      <w:pPr>
        <w:spacing w:after="0" w:line="46" w:lineRule="exact"/>
        <w:rPr>
          <w:sz w:val="20"/>
          <w:szCs w:val="20"/>
          <w:color w:val="auto"/>
        </w:rPr>
      </w:pPr>
    </w:p>
    <w:p>
      <w:pPr>
        <w:ind w:left="660" w:right="22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Rapidly declining LED product end user customer pricing and related component costs, improving LED product performance and customer return on investment payback periods, all of which are driving increasing customer preferences for LED lighting products compared to legacy lighting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LED lighting product customer sales compared to decreasing HIF product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lower LED product gross margins than those typically realized on sales of legacy lighting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broader and more diverse customer base and market opportunities compared to our historical commercial and industrial facility customers.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importance of highly innovative product designs and features, and faster speed to market product research and development capabilities.</w:t>
      </w:r>
    </w:p>
    <w:p>
      <w:pPr>
        <w:spacing w:after="0" w:line="32" w:lineRule="exact"/>
        <w:rPr>
          <w:rFonts w:ascii="Arial" w:cs="Arial" w:eastAsia="Arial" w:hAnsi="Arial"/>
          <w:sz w:val="16"/>
          <w:szCs w:val="16"/>
          <w:color w:val="auto"/>
        </w:rPr>
      </w:pPr>
    </w:p>
    <w:p>
      <w:pPr>
        <w:ind w:left="660" w:right="4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reliance on international component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Less internal product fabrication and production capabilities needed to support LED product assembly.</w:t>
      </w:r>
    </w:p>
    <w:p>
      <w:pPr>
        <w:spacing w:after="0" w:line="9"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customer bases and sales channels.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Significantly longer end user product warranty requirements for LED products compared to our legacy products.</w:t>
      </w:r>
    </w:p>
    <w:p>
      <w:pPr>
        <w:spacing w:after="0" w:line="76"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June 30, 2016, we sold to, and leased back from, Tramontina U.S. Cookware, Inc. our Manitowoc manufacturing facility for gross cash proceeds of approximately $2,600,000. The agreement included a lease pursuant to which we have leased approximately 197,000 square feet of the building for a term of not less than three years with rent at $2.00 per square foot per annum. The lease contains options by either party to reduce the amount of leased space after March 1, 2017 given sufficient notice.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Outlook</w:t>
      </w:r>
    </w:p>
    <w:p>
      <w:pPr>
        <w:spacing w:after="0" w:line="1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Despite recent economic challenges, we remain optimistic about our near-term and long-term financial performance. We believe that customer purchases of LED lighting systems will continue to increase in the near-term as expected improvements in LED performance and expected decreases in LED product costs to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recent improvements in gross margin as a result of our cost containment initiatives and development of higher-performance LED products; and (v) the increasing volume of unit sales of our new products, specifically our LED high bay lighting fixtures. Our long-term optimism is based upon the considerable size of the existing market opportunity for lighting retrofits, including the market opportunities in commercial office, government and retail markets, the continued development of our new products and product enhancements, including our new LED product offerings, our efforts to expand our channels of distribution and our cost reduction initiatives. As we continue to adapt to the rapidly evolving lighting market, we have implemented significant changes to our manufacturing operations to increase our flexibility, lower our cost structure and remain competitive. Implementing these initiatives may result in additional upfront cost and expenses, including asset impairment or write-down charges and other repositioning expenses and charges, which would likely materially adversely affect our reported results of operations.</w:t>
      </w:r>
    </w:p>
    <w:p>
      <w:pPr>
        <w:spacing w:after="0" w:line="126"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continue to expect that our revenues and gross margin will increase during the remainder of fiscal 2017 as we continue to recognize the benefits of higher purchase volumes of LED components at lower costs, increasing sales volumes of</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2" w:name="page23"/>
    <w:bookmarkEnd w:id="22"/>
    <w:p>
      <w:pPr>
        <w:ind w:right="40"/>
        <w:spacing w:after="0" w:line="297" w:lineRule="auto"/>
        <w:rPr>
          <w:sz w:val="20"/>
          <w:szCs w:val="20"/>
          <w:color w:val="auto"/>
        </w:rPr>
      </w:pPr>
      <w:r>
        <w:rPr>
          <w:rFonts w:ascii="Arial" w:cs="Arial" w:eastAsia="Arial" w:hAnsi="Arial"/>
          <w:sz w:val="16"/>
          <w:szCs w:val="16"/>
          <w:color w:val="auto"/>
        </w:rPr>
        <w:t>our newly introduced and higher-margin LED high bay products and increased utilization of our manufacturing facility. During the remainder of fiscal 2017, we expect to continue to see improvements in our LED product gross margin related to LED products as a result of our negotiated price decreases for lighting components and the benefits of our cost containment initiatives. Our anticipated increase in revenues in fiscal 2017 may impact our available cash and borrowing capacity as a result of the high capital costs associated with the increase in the sales of our products from existing levels. As a result, we have pursued various alternative sources of liquidity, such as the sale and leaseback of our manufacturing facility, which was completed on June 30, 2016.</w:t>
      </w:r>
    </w:p>
    <w:p>
      <w:pPr>
        <w:spacing w:after="0" w:line="104" w:lineRule="exact"/>
        <w:rPr>
          <w:sz w:val="20"/>
          <w:szCs w:val="20"/>
          <w:color w:val="auto"/>
        </w:rPr>
      </w:pPr>
    </w:p>
    <w:p>
      <w:pPr>
        <w:ind w:right="60" w:firstLine="486"/>
        <w:spacing w:after="0" w:line="342" w:lineRule="auto"/>
        <w:rPr>
          <w:sz w:val="20"/>
          <w:szCs w:val="20"/>
          <w:color w:val="auto"/>
        </w:rPr>
      </w:pPr>
      <w:r>
        <w:rPr>
          <w:rFonts w:ascii="Arial" w:cs="Arial" w:eastAsia="Arial" w:hAnsi="Arial"/>
          <w:sz w:val="16"/>
          <w:szCs w:val="16"/>
          <w:color w:val="auto"/>
        </w:rPr>
        <w:t>We expect that our marketing expenditures will increase in the remainder of fiscal 2017 primarily to support more robust customer lead generation and to further enhance our brand awareness with our agents to support their efforts to sell our products through our new indirect channel partners.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(in thousands, except percentages and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2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53"/>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Revenue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15,352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15,795</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98.2 %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95.2 %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(64.4)%</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16,587</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12,113</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73.0 %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200" w:type="dxa"/>
            <w:vAlign w:val="bottom"/>
          </w:tcPr>
          <w:p>
            <w:pPr>
              <w:ind w:left="40"/>
              <w:spacing w:after="0"/>
              <w:rPr>
                <w:sz w:val="20"/>
                <w:szCs w:val="20"/>
                <w:color w:val="auto"/>
              </w:rPr>
            </w:pPr>
            <w:r>
              <w:rPr>
                <w:rFonts w:ascii="Arial" w:cs="Arial" w:eastAsia="Arial" w:hAnsi="Arial"/>
                <w:sz w:val="14"/>
                <w:szCs w:val="14"/>
                <w:color w:val="auto"/>
              </w:rPr>
              <w:t>Total cost of revenue</w:t>
            </w:r>
          </w:p>
        </w:tc>
        <w:tc>
          <w:tcPr>
            <w:tcW w:w="160" w:type="dxa"/>
            <w:vAlign w:val="bottom"/>
          </w:tcPr>
          <w:p>
            <w:pPr>
              <w:spacing w:after="0"/>
              <w:rPr>
                <w:sz w:val="14"/>
                <w:szCs w:val="14"/>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11,608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12,830</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74.2 %</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77.3 %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3,757</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3,901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3,872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0.7 %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23.4 %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3,068</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14.0 %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(3,605)</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(79.2)%</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0" w:type="dxa"/>
            <w:vAlign w:val="bottom"/>
          </w:tcPr>
          <w:p>
            <w:pPr>
              <w:spacing w:after="0"/>
              <w:rPr>
                <w:sz w:val="1"/>
                <w:szCs w:val="1"/>
                <w:color w:val="auto"/>
              </w:rPr>
            </w:pPr>
          </w:p>
        </w:tc>
      </w:tr>
      <w:tr>
        <w:trPr>
          <w:trHeight w:val="74"/>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Income tax (benefit) expense</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120" w:type="dxa"/>
            <w:vAlign w:val="bottom"/>
            <w:gridSpan w:val="2"/>
            <w:vMerge w:val="restart"/>
          </w:tcPr>
          <w:p>
            <w:pPr>
              <w:ind w:left="580"/>
              <w:spacing w:after="0"/>
              <w:rPr>
                <w:sz w:val="20"/>
                <w:szCs w:val="20"/>
                <w:color w:val="auto"/>
              </w:rPr>
            </w:pPr>
            <w:r>
              <w:rPr>
                <w:rFonts w:ascii="Arial" w:cs="Arial" w:eastAsia="Arial" w:hAnsi="Arial"/>
                <w:sz w:val="14"/>
                <w:szCs w:val="14"/>
                <w:color w:val="auto"/>
              </w:rPr>
              <w:t>NM</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and comprehensive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(2,940)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(3,652)</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60"/>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decreased 2.8%, or $443,000, for the first quarter fiscal 2017 versus the first quarter fiscal 2016. The slight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revenue was primarily a result of timing of delivery on several large deals at the end of the first quarter fiscal 2017. Sales also decreased due to the impact of transitioning our distribution sales channel to an agent driven model. LED lighting revenue increased by 18.7% from $9,558,000 in the first quarter fiscal 2016 to $11,344,000 in the first quarter of fiscal 2017. Service revenue decreased 64.4%, or $510,000, primarily due to more solar projects and more installation project revenue in the first quarter fiscal 2016 when compared to the first quarter fiscal 2017. Total revenue decreased by 5.7%, or $953,000, primarily due to the items discussed above.</w:t>
      </w:r>
    </w:p>
    <w:p>
      <w:pPr>
        <w:spacing w:after="0" w:line="1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Cost of Revenue and Gross Margin. </w:t>
      </w:r>
      <w:r>
        <w:rPr>
          <w:rFonts w:ascii="Arial" w:cs="Arial" w:eastAsia="Arial" w:hAnsi="Arial"/>
          <w:sz w:val="18"/>
          <w:szCs w:val="18"/>
          <w:color w:val="auto"/>
        </w:rPr>
        <w:t>Our cost of product revenue decreased 5.7%, or $694,000, in the first quarter fiscal 2017 versus the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fiscal 2016 due primarily to lower component costs and cost containment initiatives. Our cost of service revenue decreased 73.6%, or $528,000 in the first quarter fiscal 2017 versus the comparable period in fiscal 2016 primarily due to lower service revenue in the first quarter fiscal 2017. Gross margin improved from 22.7% of revenue in the first quarter fiscal 2016 to 25.8% in the first quarter fiscal 2017. Our lighting gross margin was positively impacted by a favorable mix of higher-priced and higher-margin LED high bay fixtures, negotiated price decreases for lighting components, and the benefits of our cost containment initiatives.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49" w:right="239" w:bottom="1440" w:gutter="0" w:footer="0" w:header="0"/>
        </w:sectPr>
      </w:pPr>
    </w:p>
    <w:bookmarkStart w:id="23" w:name="page24"/>
    <w:bookmarkEnd w:id="23"/>
    <w:p>
      <w:pPr>
        <w:ind w:left="42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increased 0.7%, or $29,000, in the first quarter fiscal 2017 compared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primarily due to increases in employee costs, legal and consulting expenses.</w:t>
      </w:r>
    </w:p>
    <w:p>
      <w:pPr>
        <w:spacing w:after="0" w:line="11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decreased 5.6%, or $173,000, in the first quarter fiscal 2017 compared to the first quarter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2016. The decrease was primarily due to a decrease in bad debt expense in the first quarter fiscal 2017 when compared to the first quarter fiscal 2016.</w:t>
      </w:r>
    </w:p>
    <w:p>
      <w:pPr>
        <w:spacing w:after="0" w:line="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by 14.0% or $59,000, in the first quarter fiscal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fiscal 2016 primarily due to our investment in product innovation related to our new product development.</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Our other income in the first quarter fiscal 2017 represented product royalties received from a licensing agreement for one of Orion’s</w:t>
      </w:r>
      <w:r>
        <w:rPr>
          <w:rFonts w:ascii="Arial" w:cs="Arial" w:eastAsia="Arial" w:hAnsi="Arial"/>
          <w:sz w:val="18"/>
          <w:szCs w:val="18"/>
          <w:i w:val="1"/>
          <w:iCs w:val="1"/>
          <w:color w:val="auto"/>
        </w:rPr>
        <w:t xml:space="preserve"> </w:t>
      </w:r>
      <w:r>
        <w:rPr>
          <w:rFonts w:ascii="Arial" w:cs="Arial" w:eastAsia="Arial" w:hAnsi="Arial"/>
          <w:sz w:val="18"/>
          <w:szCs w:val="18"/>
          <w:color w:val="auto"/>
        </w:rPr>
        <w:t>patents.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in the first quarter fiscal 2017 decreased by 23.1%, or $21,000, from the first quarter fiscal 2016.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due to a decrease in borrowings under our revolving credit facility.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in the first quarter fiscal 2017 decreased by 79.2%, or $38,000, from the first quarter fiscal 2016. Our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decreased as we continue to increase the utilization of third party finance providers for a majority of our financed projects.</w:t>
      </w:r>
    </w:p>
    <w:p>
      <w:pPr>
        <w:spacing w:after="0" w:line="116"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income tax benefit in the first quarter fiscal 2017 represented federal tax refunds and the release of a valuation reserve. Our normal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is due primarily to minimum state tax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U.S. Markets Division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Orion U.S. Markets Division ("USM") sells lighting solutions into the wholesale markets.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65"/>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140" w:type="dxa"/>
            <w:vAlign w:val="bottom"/>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5,901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11,633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USM segment revenue decreased from the first quarter fiscal 2016 by 49.2%, or $5,725,000. The decrease in revenue during the first quarter fiscal 2017 compared to the first quarter a year ago was primarily due to our transition to more distribution sales through manufacturer representative agents.</w:t>
      </w:r>
    </w:p>
    <w:p>
      <w:pPr>
        <w:spacing w:after="0" w:line="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USM segment operating income in the first quarter fiscal 2017 decreased from the first quarter fiscal 2016 by $95,000. The decrease in operating income in fiscal 2017 was primarily due to the reduction in sales related to the transition to more distribution sales through manufacturer representative agents as described above.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Our Orion Engineered Systems Division ("OES") sells lighting products and provides construction and engineering services for our commercial lighting and energy management systems. OES also provides turnkey solutions for large national accounts, governments, municipalities and schools.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908" w:right="239" w:bottom="1440" w:gutter="0" w:footer="0" w:header="0"/>
        </w:sectPr>
      </w:pPr>
    </w:p>
    <w:bookmarkStart w:id="24" w:name="page25"/>
    <w:bookmarkEnd w:id="24"/>
    <w:p>
      <w:pPr>
        <w:ind w:left="420"/>
        <w:spacing w:after="0"/>
        <w:rPr>
          <w:sz w:val="20"/>
          <w:szCs w:val="20"/>
          <w:color w:val="auto"/>
        </w:rPr>
      </w:pPr>
      <w:r>
        <w:rPr>
          <w:rFonts w:ascii="Arial" w:cs="Arial" w:eastAsia="Arial" w:hAnsi="Arial"/>
          <w:sz w:val="18"/>
          <w:szCs w:val="18"/>
          <w:color w:val="auto"/>
        </w:rPr>
        <w:t>The following table summarizes our OES segment operating results (dollars in thousand):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6"/>
          </w:tcPr>
          <w:p>
            <w:pPr>
              <w:jc w:val="right"/>
              <w:ind w:right="539"/>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65"/>
        </w:trPr>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80" w:type="dxa"/>
            <w:vAlign w:val="bottom"/>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6,800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OES revenue increased in first quarter of fiscal 2017 by 40.8%, or $1,970,000, compared to the first quarter fiscal 2016. This increase in revenue was primarily driven by an increase in lighting revenue due to an increase in customer capital spending within the manufacturing and industrial sector.</w:t>
      </w:r>
    </w:p>
    <w:p>
      <w:pPr>
        <w:spacing w:after="0" w:line="70" w:lineRule="exact"/>
        <w:rPr>
          <w:sz w:val="20"/>
          <w:szCs w:val="20"/>
          <w:color w:val="auto"/>
        </w:rPr>
      </w:pPr>
    </w:p>
    <w:p>
      <w:pPr>
        <w:jc w:val="center"/>
        <w:ind w:right="480"/>
        <w:spacing w:after="0" w:line="342" w:lineRule="auto"/>
        <w:rPr>
          <w:sz w:val="20"/>
          <w:szCs w:val="20"/>
          <w:color w:val="auto"/>
        </w:rPr>
      </w:pPr>
      <w:r>
        <w:rPr>
          <w:rFonts w:ascii="Arial" w:cs="Arial" w:eastAsia="Arial" w:hAnsi="Arial"/>
          <w:sz w:val="16"/>
          <w:szCs w:val="16"/>
          <w:color w:val="auto"/>
        </w:rPr>
        <w:t>OES segment operating loss in the first quarter fiscal 2017 improved by $897,000, from the first quarter fiscal 2016. The increase was due to improvements to our first quarter fiscal 2017 revenues, gross margin related to cost decreases on LED components and a reduction in bad debt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Orion Distribution Services Division ("ODS") sells lighting products to a developing network of North American broadline distributors.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ODS segment operating results (dollars in thousand):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3540" w:type="dxa"/>
            <w:vAlign w:val="bottom"/>
            <w:gridSpan w:val="5"/>
          </w:tcPr>
          <w:p>
            <w:pPr>
              <w:ind w:left="620"/>
              <w:spacing w:after="0"/>
              <w:rPr>
                <w:sz w:val="20"/>
                <w:szCs w:val="20"/>
                <w:color w:val="auto"/>
              </w:rPr>
            </w:pPr>
            <w:r>
              <w:rPr>
                <w:rFonts w:ascii="Arial" w:cs="Arial" w:eastAsia="Arial" w:hAnsi="Arial"/>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65"/>
        </w:trPr>
        <w:tc>
          <w:tcPr>
            <w:tcW w:w="7880" w:type="dxa"/>
            <w:vAlign w:val="bottom"/>
          </w:tcPr>
          <w:p>
            <w:pPr>
              <w:spacing w:after="0"/>
              <w:rPr>
                <w:sz w:val="14"/>
                <w:szCs w:val="14"/>
                <w:color w:val="auto"/>
              </w:rPr>
            </w:pPr>
          </w:p>
        </w:tc>
        <w:tc>
          <w:tcPr>
            <w:tcW w:w="11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1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02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78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78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ODS segment revenue increased in the first quarter fiscal 2017 from the first quarter fiscal 2016 by $2,809,000. The increase in revenue in fiscal 2017 was due to our transition from wholesale to distribution channel sales through manufacturer representative agents.</w:t>
      </w:r>
    </w:p>
    <w:p>
      <w:pPr>
        <w:spacing w:after="0" w:line="11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ODS segment operating loss increased by $663,000, in the first quarter fiscal 2017 compared to the first quarter fiscal 2016. The operating loss was due to the increased contribution margin dollars earned from our increasing revenue offset by our continued investment in selling costs to complete our selling channel transition.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We had approximately $14,160,000 in cash and cash equivalents as of June 30, 2016, compared to $15,542,000 at March 31, 2016. Our cash and cash position as of June 30, 2016 benefited from the gross proceeds of our $2,600,000 sale and leaseback of our manufacturing facility.</w:t>
      </w:r>
    </w:p>
    <w:p>
      <w:pPr>
        <w:spacing w:after="0" w:line="93"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Our future liquidity needs are dependent upon many factors, including our relative revenue, gross margins, cash management practices, capital expenditures, pending or future litigation results, cost containment measures and future potential acquisition transactions. In addition, our working capital costs and needs increase disproportionately as we increase sales from existing levels. Based on our current expectations, while we anticipate realizing improved net income performance during fiscal 2017, we also currently believe that we will experience negative working capital cash flows during some quarters of fiscal 2017. While we believe that we will likely have adequate available cash and equivalents and credit availability under our Credit Agreement to satisfy our currently anticipated working capital and liquidity requirements during the near-term, there can be no assurance to that effect. We are pursuing various alternative sources of liquidity to help ensure that we will have adequate available cash to satisfy our working capital needs. We have also implemented certain inventory management practices which should help to reduce our inventory levels and enhance our cash position. If we experience significant liquidity constraints, we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may be required to reduce our sales efforts, implement additional cost savings initiatives or undertake other efforts to conserve our cash and obtain alternative sources of liquidity.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three months ended June 30, 2016 and 2015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w w:val="99"/>
              </w:rPr>
              <w:t>Three Months Ended June 30,</w:t>
            </w:r>
          </w:p>
        </w:tc>
      </w:tr>
      <w:tr>
        <w:trPr>
          <w:trHeight w:val="276"/>
        </w:trPr>
        <w:tc>
          <w:tcPr>
            <w:tcW w:w="88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8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(2,066)</w:t>
            </w:r>
          </w:p>
        </w:tc>
      </w:tr>
      <w:tr>
        <w:trPr>
          <w:trHeight w:val="27"/>
        </w:trPr>
        <w:tc>
          <w:tcPr>
            <w:tcW w:w="8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consisted of a net loss adjusted for certain non-cash items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depreciation and amortization, stock-based compensation expenses, deferred income taxes, and the effect of changes in working capital and other activities.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Cash used in operating activities for the first quarter fiscal 2017 was $2,315,000 and consisted of net cash used by changes in operating assets and liabilities of $271,000 and a net loss adjusted for non-cash expense items of $2,044,000. Cash used by changes in operating assets and liabilities consisted of an increase of $1,805,000 in accounts receivable due to the increase in lighting revenue and the timing of collections from customers at period end, a decrease in accounts payable of $1,516,000 due to the timing of payments on balances from year end, a decrease of $285,000 in accrued expenses due to the payment of a state tax liability offset by accrued project installation costs. Cash provided by changes in operating assets and liabilities included a decrease of $1,280,000 in inventory due to Orion's continued inventory management efforts and reduced LED pricing, a decrease in prepaid and other assets of $2,203,000 primarily due to the timing of project billings, and an increase in deferred revenue of $52,000 due to project completions.</w:t>
      </w:r>
    </w:p>
    <w:p>
      <w:pPr>
        <w:spacing w:after="0" w:line="1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Cash used in operating activities for the first quarter fiscal 2016 was $2,140,000 and consisted of net cash used by changes in operating assets and liabilities of $335,000 and a net loss adjusted for non-cash expense items of $1,805,000. Cash used by changes in operating assets and liabilities consisted of an increase of $758,000 in accounts receivable due to the delays in cash collections of government projects and utility incentives related to several large national account projects, an increase in inventory of $1,503,000 due to the increasing mix of higher value LED component products and finished goods requiring deposit payments at time of shipment, and a decrease in accrued expenses of $981,000 related to the timing of accrued project installation costs and legal costs. Cash provided by changes in operating assets and liabilities included an increase of $2,009,000 in accounts payable related to inventory purchases and favorable vendor payment terms and a decrease in prepaid and other expenses of $977,000 due to a reduction in unbilled revenue related to the timing of customer billings.</w:t>
      </w:r>
    </w:p>
    <w:p>
      <w:pPr>
        <w:spacing w:after="0" w:line="1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Cash provided by investing activities was $2,547,000 in the first quarter fiscal 2017 which consisted of</w:t>
      </w:r>
      <w:r>
        <w:rPr>
          <w:rFonts w:ascii="Arial" w:cs="Arial" w:eastAsia="Arial" w:hAnsi="Arial"/>
          <w:sz w:val="18"/>
          <w:szCs w:val="18"/>
          <w:i w:val="1"/>
          <w:iCs w:val="1"/>
          <w:color w:val="auto"/>
        </w:rPr>
        <w:t xml:space="preserve"> </w:t>
      </w:r>
      <w:r>
        <w:rPr>
          <w:rFonts w:ascii="Arial" w:cs="Arial" w:eastAsia="Arial" w:hAnsi="Arial"/>
          <w:sz w:val="18"/>
          <w:szCs w:val="18"/>
          <w:color w:val="auto"/>
        </w:rPr>
        <w:t>$2,600,000 of proceeds from the sale of the Manitowoc manufacturing facility. Cash used by investing activities for the first quarter fiscal 2017 of $53,000 was for capital improvements related to production enhancements and technology purchases.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the first quarter fiscal 2016 was $104,000 which included capital improvements related to the build out of our Chicago innovation hub, investments for marketing and trade show signage to reflect our new brand and new product tooling.</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used in financing activities was $1,614,000 for the first quarter fiscal 2017. This included $381,000</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for the repayment of long-term debt and net payments on the revolving credit facility of $1,231,000.</w:t>
      </w:r>
    </w:p>
    <w:p>
      <w:pPr>
        <w:spacing w:after="0" w:line="11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Cash provided by financing activities was $178,000 for the first quarter fiscal 2016. This included $688,000 in net borrowings against the revolving credit facility, partially offset by debt principal payments of $521,000.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net working capital as of June 30, 2016 was $28,378,000, consisting of $45,788,000 in current assets and $17,410,000 in current liabilities. Our net working capital as of March 31, 2016 was $29,239,000, consisting of $48,530,000 in current assets and $19,291,000 in current liabilities. Our current accounts receivable balance increased by $2,208,000 from the fiscal 2016 year-end due to the timing of sales during the quarter. Our current inventory decreased from the fiscal 2016 year-end by $1,534,000 due to decreases in raw materials and components due to better management of purchasing activities to enable more efficient throughput and an increase in the inventory reserve. Our prepaid and other current assets decreased by $2,234,000 due to decreased unbilled revenue for completed projects from fiscal year end of 2016. Our accounts payable increased by $1,516,000 due to the timing of purchases and payments for the first quarter fiscal 2017. Our accrued expenses decreased from our fiscal 2016 year end by $250,000 due to the payment of a state tax settlement offset by increases in legal and warranty accruals.</w:t>
      </w:r>
    </w:p>
    <w:p>
      <w:pPr>
        <w:spacing w:after="0" w:line="1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6, 2015, we entered into a credit and security agreement (Credit Agreement) with Wells Fargo Bank, National Association. The Credit Agreement provides for a revolving credit facility (Credit Facility) that matures on February 6, 2018. Borrowings under the Credit Facility are initially limited to $15,000,000, subject to a borrowing base requirement based on eligible receivables and inventory. The Credit Facility includes a $2,000,000 sublimit for the issuance of letters of credit.</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From and after any increase in the Credit Facility limit from $15,000,000 to $20,000,000, the Credit Agreement requires us to maintain, as of the end of each month, a minimum ratio for the trailing 12-month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also contains other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our stock, or pledge or dispose of assets.</w:t>
      </w:r>
    </w:p>
    <w:p>
      <w:pPr>
        <w:spacing w:after="0" w:line="12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Each subsidiary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Borrowings under the Credit Agreement bear interest at the daily three-month LIBOR plus 3.0% per annum, with a minimum interest charge for each year or portion of a year during the term of the Credit Agreement of $130,000, regardless of usage. As of June 30, 2016, the interest rate was 3.65%.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17"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As of June 30, 2016, we had no outstanding letters of credit. Borrowings outstanding as of June 30, 2016, amounted to approximately $2,488,000 and are included in non-current liabilities in the accompanying Condensed Consolidated Balance Sheet. We estimate that, as of June 30, 2016, we were eligible to borrow an additional $1,186,000 under the Credit Facility based upon current levels of eligible inventory and accounts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71"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Our capital expenditures are primarily for general corporate purposes for our corporate headquarters and technology center, production equipment and tooling and for information technology systems. Our capital expenditures totaled $53,000 and $104,000 for the three-month periods ended June 30, 2016 and 2015, respectively. We plan to incur approximately $1,000,000 in capital expenditures in fiscal 2017. We expect to finance these capital expenditures primarily through our existing cash, equipment secured loans and leases, to the extent needed, long-term debt financing, or by using our available capacity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orders. Backlog at June 30, 2016 totaled $12,600,000 and at March 31, 2016 totaled $5,600,000. We generally expect our backlog to become revenue within one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condensed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inventories, allowance for doubtful accounts, recoverability of long-lived assets, indefinite lived intangible assets, stock-based compensation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2016. For the three months ended, June 30, 2016, there were no material changes in our accounting policies.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2 in the condensed consolidated financial statements included elsewhere in this report.</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2016. There have been no material changes to such exposures since March 31, 2016.</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 on Internal Control over Financial Reporting</w:t>
      </w:r>
    </w:p>
    <w:p>
      <w:pPr>
        <w:spacing w:after="0" w:line="175"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82"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92"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26" w:right="239" w:bottom="1440" w:gutter="0" w:footer="0" w:header="0"/>
        </w:sectPr>
      </w:pPr>
    </w:p>
    <w:bookmarkStart w:id="28" w:name="page29"/>
    <w:bookmarkEnd w:id="28"/>
    <w:p>
      <w:pPr>
        <w:jc w:val="both"/>
        <w:ind w:right="6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connection with our assessment of the effectiveness of internal control over financial reporting, we identified the following material weaknesses that existed as of March 31, 2016 and that continued to exist as of June 30, 2016.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33" w:lineRule="exact"/>
        <w:rPr>
          <w:sz w:val="20"/>
          <w:szCs w:val="20"/>
          <w:color w:val="auto"/>
        </w:rPr>
      </w:pPr>
    </w:p>
    <w:p>
      <w:pPr>
        <w:jc w:val="both"/>
        <w:ind w:left="660" w:hanging="328"/>
        <w:spacing w:after="0" w:line="254"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Risk Assessment and Monitoring Activities. </w:t>
      </w:r>
      <w:r>
        <w:rPr>
          <w:rFonts w:ascii="Arial" w:cs="Arial" w:eastAsia="Arial" w:hAnsi="Arial"/>
          <w:sz w:val="18"/>
          <w:szCs w:val="18"/>
          <w:color w:val="auto"/>
        </w:rPr>
        <w:t>We determined that our controls pertaining to risk assessment and monitoring activities did not operate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effectively, resulting in a material weakness pertaining to these COSO components. Specifically, (i) with respect to risk assessment, we did not sufficiently identify and address risks associated with (a) the adequacy of training needs of employees whose job functions bear upon our accounting and financial reporting; and (b) certain processes, further noted in the Control Activities discussion below, resulting in inadequate contract review activities; and (ii) with respect to monitoring activities, (a) we did not maintain effective controls for the review, supervision and monitoring of our accounting operations and for evaluating the adequacy of our internal control over financial reporting; and (b) there were insufficient procedures to effectively determine the adequacy of our internal control over financial reporting. The deficiencies in these COSO components are interrelated and represent a material weakness.</w:t>
      </w:r>
    </w:p>
    <w:p>
      <w:pPr>
        <w:spacing w:after="0" w:line="138" w:lineRule="exact"/>
        <w:rPr>
          <w:rFonts w:ascii="Arial" w:cs="Arial" w:eastAsia="Arial" w:hAnsi="Arial"/>
          <w:sz w:val="18"/>
          <w:szCs w:val="18"/>
          <w:b w:val="1"/>
          <w:bCs w:val="1"/>
          <w:i w:val="1"/>
          <w:iCs w:val="1"/>
          <w:color w:val="auto"/>
        </w:rPr>
      </w:pPr>
    </w:p>
    <w:p>
      <w:pPr>
        <w:ind w:left="660" w:right="60" w:hanging="328"/>
        <w:spacing w:after="0" w:line="264" w:lineRule="auto"/>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Control Activities - Revenue Recognition</w:t>
      </w:r>
      <w:r>
        <w:rPr>
          <w:rFonts w:ascii="Arial" w:cs="Arial" w:eastAsia="Arial" w:hAnsi="Arial"/>
          <w:sz w:val="18"/>
          <w:szCs w:val="18"/>
          <w:color w:val="auto"/>
        </w:rPr>
        <w:t>. The operating effectiveness of our controls were inadequate to ensure that the review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contracts and the related accounting entries was performed. Revenue recognition controls ensure that the reported amount and timing of revenue recognition are accurate.</w:t>
      </w:r>
    </w:p>
    <w:p>
      <w:pPr>
        <w:spacing w:after="0" w:line="12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material weaknesses discussed above could result in a material misstatement to our annual or interim financial statements that would not be prevented or detected. As a result of the material weaknesses identified, management has concluded that our internal control over financial reporting was not effective as of March 31, 2016 or June 30, 2016. We reviewed the results of management’s assessment with the Audit Committee of our Board of Directors. In addition, we enhanced our closing procedures to ensure that, in all material respects, our financial statements are presented in conformity with GAAP and free of material misstatement as of and for the periods ended March 31, 2016 and June 30, 2016.</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Subsequent to our March 31, 2016 fiscal year end, we began taking a number of actions, including designing and implementing new controls and revising existing controls, in order to remediate the material weaknesses described above. We expect to continue our remediation efforts, including testing the operating effectiveness of new controls, as described below under “Remedial Actions to Address Material Weaknesses” with respect to the material weaknesses identified during the fiscal year ended March 31, 2016, we will provide an update on the status of our remediation activities on a quarterly basis.</w:t>
      </w:r>
    </w:p>
    <w:p>
      <w:pPr>
        <w:spacing w:after="0" w:line="100" w:lineRule="exact"/>
        <w:rPr>
          <w:sz w:val="20"/>
          <w:szCs w:val="20"/>
          <w:color w:val="auto"/>
        </w:rPr>
      </w:pPr>
    </w:p>
    <w:p>
      <w:pPr>
        <w:ind w:right="520" w:firstLine="405"/>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2016 that have materially affected, or are reasonably likely to materially affect, our internal control over financial reporting, other than progress with respect to the implementation of certain remediation efforts, as described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Remedial Actions to Address Material Weaknesses</w:t>
      </w:r>
    </w:p>
    <w:p>
      <w:pPr>
        <w:spacing w:after="0" w:line="175"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continue to evaluate the effectiveness of our remediation efforts, including demonstrating that our new or improved controls operate effectively for a reasonable period of time. If appropriate, we expect to make further changes to our internal controls. The following actions have been taken, are in process of being taken or we expect to take as soon as practicable, to strengthen our controls and organizational structure:</w:t>
      </w:r>
    </w:p>
    <w:p>
      <w:pPr>
        <w:spacing w:after="0" w:line="111"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 and evaluate the process for the review and analysis of complex revenue transactions involving multiple elements; validate or improve the related policy and procedures; evaluate skills of the process owners with regard to the policy and adjust as required;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related remediation steps completed include the implementation of a number of control enhancements throughout the revenue process. New procedures and enhanced review controls have been implemented in the following areas: the sales order self-assessment audit process validation and review, credit approval process enhancements, contract review procedures, sub-assertion process training and an enhanced review of sub-assertions by management, bonding fee revenue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ind w:left="660"/>
        <w:spacing w:after="0" w:line="324" w:lineRule="auto"/>
        <w:rPr>
          <w:sz w:val="20"/>
          <w:szCs w:val="20"/>
          <w:color w:val="auto"/>
        </w:rPr>
      </w:pPr>
      <w:r>
        <w:rPr>
          <w:rFonts w:ascii="Arial" w:cs="Arial" w:eastAsia="Arial" w:hAnsi="Arial"/>
          <w:sz w:val="18"/>
          <w:szCs w:val="18"/>
          <w:color w:val="auto"/>
        </w:rPr>
        <w:t>review, deferred revenue review procedures, and multiple element accounting training and review. Communication of the changes, training, updates to policies and procedures, and additional staffing is currently in process.</w:t>
      </w:r>
    </w:p>
    <w:p>
      <w:pPr>
        <w:spacing w:after="0" w:line="89" w:lineRule="exact"/>
        <w:rPr>
          <w:sz w:val="20"/>
          <w:szCs w:val="20"/>
          <w:color w:val="auto"/>
        </w:rPr>
      </w:pPr>
    </w:p>
    <w:p>
      <w:pPr>
        <w:jc w:val="both"/>
        <w:ind w:left="660" w:hanging="328"/>
        <w:spacing w:after="0" w:line="31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Implement specific remediation actions: train process owners, allow time for process adoption and adequate transaction volume for next steps. We are providing additional training to employees whose job functions bear upon our accounting and financial reporting, including members of the sales and operations departments, in order to ensure that our employees develop a greater understanding of the control activities that they perform;</w:t>
      </w:r>
    </w:p>
    <w:p>
      <w:pPr>
        <w:spacing w:after="0" w:line="92"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enhancing our risk assessment process with regard to control design deficiencies. We plan to perform a more robust assessment of risks impacting our accounting and financial reporting and implement new controls or revise existing controls to address such risks. Risk assessment and control monitoring remediation steps completed include the implementation of a number of control enhancements.</w:t>
      </w:r>
    </w:p>
    <w:p>
      <w:pPr>
        <w:spacing w:after="0" w:line="11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Test and measure the design and effectiveness of the remediation actions; test and provide feedback on the design and operating effectiveness of the controls,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acceptance of completion of the remediation effort by executive management and the Audit &amp; Finance Committee.</w:t>
      </w:r>
    </w:p>
    <w:p>
      <w:pPr>
        <w:spacing w:after="0" w:line="17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While progress has been made, there are additional controls that we need to continue to design and implement, existing controls that require further enhancement to prevent or detect a material misstatement in our financial statements, and additional training to be provided to our employees. These enhanced controls have not yet operated for a sufficient period of time to conclude they are operating effectively, therefore the material weakness has been deemed to continue to exist.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7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There have been no material changes to the legal proceedings set forth in our Annual Report on Form 10-K for the fiscal year ended March 31, 2016, which we filed with the SEC on June 23, 2016.</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2016, which we filed with the SEC on June 23, 2016 and in Part 1 - Item 2 under the heading "Management's Discussion and Analysis of Financial Condition and Results of Operations" in this Form 10-Q.</w:t>
      </w:r>
    </w:p>
    <w:p>
      <w:pPr>
        <w:spacing w:after="0" w:line="19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10340" w:type="dxa"/>
            <w:vAlign w:val="bottom"/>
          </w:tcPr>
          <w:p>
            <w:pPr>
              <w:ind w:left="4680"/>
              <w:spacing w:after="0"/>
              <w:rPr>
                <w:sz w:val="20"/>
                <w:szCs w:val="20"/>
                <w:color w:val="auto"/>
              </w:rPr>
            </w:pPr>
            <w:r>
              <w:rPr>
                <w:rFonts w:ascii="Arial" w:cs="Arial" w:eastAsia="Arial" w:hAnsi="Arial"/>
                <w:sz w:val="18"/>
                <w:szCs w:val="18"/>
                <w:color w:val="auto"/>
              </w:rPr>
              <w:t>32</w:t>
            </w:r>
          </w:p>
        </w:tc>
      </w:tr>
    </w:tbl>
    <w:p>
      <w:pPr>
        <w:sectPr>
          <w:pgSz w:w="11900" w:h="16838" w:orient="portrait"/>
          <w:cols w:equalWidth="0" w:num="1">
            <w:col w:w="11280"/>
          </w:cols>
          <w:pgMar w:left="240" w:top="607" w:right="37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3, 2016.</w:t>
      </w:r>
    </w:p>
    <w:p>
      <w:pPr>
        <w:spacing w:after="0" w:line="30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60"/>
        <w:spacing w:after="0"/>
        <w:tabs>
          <w:tab w:leader="none" w:pos="5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31750</wp:posOffset>
            </wp:positionV>
            <wp:extent cx="3670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364"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Exhibit Index to Form 10-Q for the Period Ended June 30, 2016</w:t>
            </w: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465"/>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Certification of Chief Executive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2"/>
              </w:rPr>
              <w:t>Certification of Chief Financial Officer of Orion Energy Systems, Inc. pursuant to Rule 13a-14(a) or Rule 15d-14(a) promulgated under the</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Securities Exchange Act of 1934, as amended.</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Executive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391"/>
        </w:trPr>
        <w:tc>
          <w:tcPr>
            <w:tcW w:w="90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Certification of Chief Financial Officer of Orion Energy Systems, Inc. pursuant to Rule 13a-14(b) promulgated under the Securities</w:t>
            </w:r>
          </w:p>
        </w:tc>
      </w:tr>
      <w:tr>
        <w:trPr>
          <w:trHeight w:val="230"/>
        </w:trPr>
        <w:tc>
          <w:tcPr>
            <w:tcW w:w="900" w:type="dxa"/>
            <w:vAlign w:val="bottom"/>
          </w:tcPr>
          <w:p>
            <w:pPr>
              <w:spacing w:after="0"/>
              <w:rPr>
                <w:sz w:val="20"/>
                <w:szCs w:val="20"/>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1"/>
              </w:rPr>
              <w:t>Exchange Act of 1934, as amended, and 18 U.S.C. Section 1350, as adopted pursuant to Section 906 of the Sarbanes-Oxley Act of 2002.</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220" w:type="dxa"/>
            <w:vAlign w:val="bottom"/>
            <w:gridSpan w:val="2"/>
          </w:tcPr>
          <w:p>
            <w:pPr>
              <w:ind w:left="4680"/>
              <w:spacing w:after="0"/>
              <w:rPr>
                <w:sz w:val="20"/>
                <w:szCs w:val="20"/>
                <w:color w:val="auto"/>
              </w:rPr>
            </w:pPr>
            <w:r>
              <w:rPr>
                <w:rFonts w:ascii="Arial" w:cs="Arial" w:eastAsia="Arial" w:hAnsi="Arial"/>
                <w:sz w:val="18"/>
                <w:szCs w:val="18"/>
                <w:color w:val="auto"/>
              </w:rPr>
              <w:t>34</w:t>
            </w:r>
          </w:p>
        </w:tc>
        <w:tc>
          <w:tcPr>
            <w:tcW w:w="3120" w:type="dxa"/>
            <w:vAlign w:val="bottom"/>
          </w:tcPr>
          <w:p>
            <w:pPr>
              <w:spacing w:after="0"/>
              <w:rPr>
                <w:sz w:val="24"/>
                <w:szCs w:val="24"/>
                <w:color w:val="auto"/>
              </w:rPr>
            </w:pPr>
          </w:p>
        </w:tc>
      </w:tr>
    </w:tbl>
    <w:p>
      <w:pPr>
        <w:sectPr>
          <w:pgSz w:w="11900" w:h="16838" w:orient="portrait"/>
          <w:cols w:equalWidth="0" w:num="1">
            <w:col w:w="11240"/>
          </w:cols>
          <w:pgMar w:left="280" w:top="351" w:right="3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John H. Scribante, certify that:</w:t>
      </w:r>
    </w:p>
    <w:p>
      <w:pPr>
        <w:spacing w:after="0" w:line="171"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169545</wp:posOffset>
            </wp:positionV>
            <wp:extent cx="4613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0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5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9"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900" w:hanging="406"/>
        <w:spacing w:after="0" w:line="308"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900" w:hanging="406"/>
        <w:spacing w:after="0" w:line="264"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900" w:hanging="406"/>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2016</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31750</wp:posOffset>
            </wp:positionV>
            <wp:extent cx="4613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0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June 30, 2016, as filed with the Securities and Exchange Commission on the date hereof (the “Report”), I, John H. Scribante, Chief Executive Officer of the Company, certify, pursuant to 18 U.S.C. 1350, as adopted pursuant to Section 906 of the Sarbanes-Oxley Act of 2002, that, based on my knowledge:</w:t>
      </w:r>
    </w:p>
    <w:p>
      <w:pPr>
        <w:spacing w:after="0" w:line="174"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60"/>
        <w:spacing w:after="0"/>
        <w:tabs>
          <w:tab w:leader="none" w:pos="6680" w:val="left"/>
        </w:tabs>
        <w:rPr>
          <w:sz w:val="20"/>
          <w:szCs w:val="20"/>
          <w:color w:val="auto"/>
        </w:rPr>
      </w:pPr>
      <w:r>
        <w:rPr>
          <w:rFonts w:ascii="Arial" w:cs="Arial" w:eastAsia="Arial" w:hAnsi="Arial"/>
          <w:sz w:val="18"/>
          <w:szCs w:val="18"/>
          <w:color w:val="auto"/>
        </w:rPr>
        <w:t>Date:</w:t>
        <w:tab/>
        <w:t>August 3, 2016</w:t>
      </w:r>
    </w:p>
    <w:p>
      <w:pPr>
        <w:spacing w:after="0" w:line="29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John H. Scribante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31750</wp:posOffset>
            </wp:positionV>
            <wp:extent cx="3422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H. Scribante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20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Orion Energy Systems, Inc., a Wisconsin corporation (the “Company”), on Form 10-Q for the period ended June 30, 2016,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193" w:lineRule="exact"/>
        <w:rPr>
          <w:sz w:val="20"/>
          <w:szCs w:val="20"/>
          <w:color w:val="auto"/>
        </w:rPr>
      </w:pPr>
    </w:p>
    <w:p>
      <w:pPr>
        <w:ind w:left="1060" w:hanging="4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1060" w:hanging="485"/>
        <w:spacing w:after="0" w:line="261"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6020"/>
        <w:spacing w:after="0"/>
        <w:tabs>
          <w:tab w:leader="none" w:pos="6600" w:val="left"/>
        </w:tabs>
        <w:rPr>
          <w:sz w:val="20"/>
          <w:szCs w:val="20"/>
          <w:color w:val="auto"/>
        </w:rPr>
      </w:pPr>
      <w:r>
        <w:rPr>
          <w:rFonts w:ascii="Arial" w:cs="Arial" w:eastAsia="Arial" w:hAnsi="Arial"/>
          <w:sz w:val="18"/>
          <w:szCs w:val="18"/>
          <w:color w:val="auto"/>
        </w:rPr>
        <w:t>Date:</w:t>
        <w:tab/>
        <w:t>August 3, 2016</w:t>
      </w:r>
    </w:p>
    <w:p>
      <w:pPr>
        <w:spacing w:after="0" w:line="29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169545</wp:posOffset>
            </wp:positionV>
            <wp:extent cx="3447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27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20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2019-12-29T10:29:14Z</dcterms:created>
  <dcterms:modified xsi:type="dcterms:W3CDTF">2019-12-29T10:29:14Z</dcterms:modified>
</cp:coreProperties>
</file>