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90170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109855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7" w:lineRule="exact"/>
        <w:rPr>
          <w:sz w:val="24"/>
          <w:szCs w:val="24"/>
          <w:color w:val="auto"/>
        </w:rPr>
      </w:pPr>
    </w:p>
    <w:p>
      <w:pPr>
        <w:ind w:left="540" w:right="20" w:hanging="532"/>
        <w:spacing w:after="0" w:line="256"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40" w:hanging="532"/>
        <w:spacing w:after="0" w:line="256" w:lineRule="auto"/>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102870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99060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800" w:type="dxa"/>
            <w:vAlign w:val="bottom"/>
            <w:gridSpan w:val="3"/>
          </w:tcPr>
          <w:p>
            <w:pPr>
              <w:jc w:val="center"/>
              <w:ind w:left="640"/>
              <w:spacing w:after="0"/>
              <w:rPr>
                <w:sz w:val="20"/>
                <w:szCs w:val="20"/>
                <w:color w:val="auto"/>
              </w:rPr>
            </w:pPr>
            <w:r>
              <w:rPr>
                <w:rFonts w:ascii="Arial" w:cs="Arial" w:eastAsia="Arial" w:hAnsi="Arial"/>
                <w:sz w:val="18"/>
                <w:szCs w:val="18"/>
                <w:b w:val="1"/>
                <w:bCs w:val="1"/>
                <w:color w:val="auto"/>
                <w:w w:val="88"/>
              </w:rPr>
              <w:t>Wisconsin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right"/>
              <w:ind w:right="2244"/>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48"/>
        </w:trPr>
        <w:tc>
          <w:tcPr>
            <w:tcW w:w="4800" w:type="dxa"/>
            <w:vAlign w:val="bottom"/>
            <w:gridSpan w:val="3"/>
          </w:tcPr>
          <w:p>
            <w:pPr>
              <w:jc w:val="center"/>
              <w:ind w:left="6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80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left="640"/>
              <w:spacing w:after="0"/>
              <w:rPr>
                <w:sz w:val="20"/>
                <w:szCs w:val="20"/>
                <w:color w:val="auto"/>
              </w:rPr>
            </w:pPr>
            <w:r>
              <w:rPr>
                <w:rFonts w:ascii="Arial" w:cs="Arial" w:eastAsia="Arial" w:hAnsi="Arial"/>
                <w:sz w:val="14"/>
                <w:szCs w:val="14"/>
                <w:b w:val="1"/>
                <w:bCs w:val="1"/>
                <w:color w:val="auto"/>
                <w:w w:val="94"/>
              </w:rPr>
              <w:t>incorporation or organization)</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04"/>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23"/>
        </w:trPr>
        <w:tc>
          <w:tcPr>
            <w:tcW w:w="4800" w:type="dxa"/>
            <w:vAlign w:val="bottom"/>
            <w:gridSpan w:val="3"/>
          </w:tcPr>
          <w:p>
            <w:pPr>
              <w:jc w:val="center"/>
              <w:ind w:left="640"/>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right"/>
              <w:ind w:right="2444"/>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190"/>
        </w:trPr>
        <w:tc>
          <w:tcPr>
            <w:tcW w:w="4800" w:type="dxa"/>
            <w:vAlign w:val="bottom"/>
            <w:gridSpan w:val="3"/>
          </w:tcPr>
          <w:p>
            <w:pPr>
              <w:jc w:val="center"/>
              <w:ind w:left="6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2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5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(920) 892-9340</w:t>
            </w:r>
          </w:p>
        </w:tc>
        <w:tc>
          <w:tcPr>
            <w:tcW w:w="0" w:type="dxa"/>
            <w:vAlign w:val="bottom"/>
          </w:tcPr>
          <w:p>
            <w:pPr>
              <w:spacing w:after="0"/>
              <w:rPr>
                <w:sz w:val="1"/>
                <w:szCs w:val="1"/>
                <w:color w:val="auto"/>
              </w:rPr>
            </w:pPr>
          </w:p>
        </w:tc>
      </w:tr>
      <w:tr>
        <w:trPr>
          <w:trHeight w:val="50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center"/>
              <w:ind w:right="928"/>
              <w:spacing w:after="0"/>
              <w:rPr>
                <w:sz w:val="20"/>
                <w:szCs w:val="20"/>
                <w:color w:val="auto"/>
              </w:rPr>
            </w:pPr>
            <w:r>
              <w:rPr>
                <w:rFonts w:ascii="Arial" w:cs="Arial" w:eastAsia="Arial" w:hAnsi="Arial"/>
                <w:sz w:val="14"/>
                <w:szCs w:val="14"/>
                <w:b w:val="1"/>
                <w:bCs w:val="1"/>
                <w:color w:val="auto"/>
                <w:w w:val="93"/>
              </w:rPr>
              <w:t>Trading Symbol (s)</w:t>
            </w:r>
          </w:p>
        </w:tc>
        <w:tc>
          <w:tcPr>
            <w:tcW w:w="10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4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rPr>
              <w:t>OESX</w:t>
            </w:r>
          </w:p>
        </w:tc>
        <w:tc>
          <w:tcPr>
            <w:tcW w:w="3600" w:type="dxa"/>
            <w:vAlign w:val="bottom"/>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00" w:type="dxa"/>
            <w:vAlign w:val="bottom"/>
            <w:gridSpan w:val="3"/>
          </w:tcPr>
          <w:p>
            <w:pPr>
              <w:jc w:val="center"/>
              <w:ind w:right="1180"/>
              <w:spacing w:after="0"/>
              <w:rPr>
                <w:sz w:val="20"/>
                <w:szCs w:val="20"/>
                <w:color w:val="auto"/>
              </w:rPr>
            </w:pPr>
            <w:r>
              <w:rPr>
                <w:rFonts w:ascii="Arial" w:cs="Arial" w:eastAsia="Arial" w:hAnsi="Arial"/>
                <w:sz w:val="14"/>
                <w:szCs w:val="14"/>
                <w:color w:val="auto"/>
                <w:w w:val="93"/>
              </w:rPr>
              <w:t>Common stock, no par value</w:t>
            </w:r>
          </w:p>
        </w:tc>
        <w:tc>
          <w:tcPr>
            <w:tcW w:w="2840" w:type="dxa"/>
            <w:vAlign w:val="bottom"/>
            <w:gridSpan w:val="2"/>
            <w:vMerge w:val="continue"/>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290"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2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58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There were 31,250,071 shares of the Registrant’s common stock outstanding on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 w:name="page2"/>
    <w:bookmarkEnd w:id="1"/>
    <w:p>
      <w:pPr>
        <w:jc w:val="center"/>
        <w:ind w:left="1280"/>
        <w:spacing w:after="0"/>
        <w:rPr>
          <w:sz w:val="20"/>
          <w:szCs w:val="20"/>
          <w:color w:val="auto"/>
        </w:rPr>
      </w:pPr>
      <w:r>
        <w:rPr>
          <w:rFonts w:ascii="Arial" w:cs="Arial" w:eastAsia="Arial" w:hAnsi="Arial"/>
          <w:sz w:val="18"/>
          <w:szCs w:val="18"/>
          <w:b w:val="1"/>
          <w:bCs w:val="1"/>
          <w:color w:val="auto"/>
        </w:rPr>
        <w:t>ORION ENERGY SYSTEMS, INC.</w:t>
      </w:r>
    </w:p>
    <w:p>
      <w:pPr>
        <w:spacing w:after="0" w:line="104"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FOR THE QUARTER ENDED JUNE 30, 2022</w:t>
      </w:r>
    </w:p>
    <w:p>
      <w:pPr>
        <w:spacing w:after="0" w:line="104"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2022 and March 31, 2022</w:t>
              </w:r>
            </w:hyperlink>
          </w:p>
        </w:tc>
        <w:tc>
          <w:tcPr>
            <w:tcW w:w="3000" w:type="dxa"/>
            <w:vAlign w:val="bottom"/>
            <w:gridSpan w:val="4"/>
          </w:tcPr>
          <w:p>
            <w:pPr>
              <w:spacing w:after="0"/>
              <w:rPr>
                <w:sz w:val="22"/>
                <w:szCs w:val="22"/>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June 30, 2022 and June 30, 2021</w:t>
              </w:r>
            </w:hyperlink>
          </w:p>
        </w:tc>
        <w:tc>
          <w:tcPr>
            <w:tcW w:w="720" w:type="dxa"/>
            <w:vAlign w:val="bottom"/>
            <w:gridSpan w:val="2"/>
          </w:tcPr>
          <w:p>
            <w:pPr>
              <w:spacing w:after="0"/>
              <w:rPr>
                <w:sz w:val="22"/>
                <w:szCs w:val="22"/>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Shareholders’ Equity for the Three Months Ended June 30, 2022 and June 30, 2021</w:t>
              </w:r>
            </w:hyperlink>
          </w:p>
        </w:tc>
      </w:tr>
      <w:tr>
        <w:trPr>
          <w:trHeight w:val="264"/>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80" w:type="dxa"/>
            <w:vAlign w:val="bottom"/>
            <w:gridSpan w:val="15"/>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Three Months Ended June 30, 2022 and June 30, 2021</w:t>
              </w:r>
            </w:hyperlink>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68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2"/>
                <w:szCs w:val="22"/>
                <w:color w:val="auto"/>
              </w:rPr>
            </w:pPr>
          </w:p>
        </w:tc>
        <w:tc>
          <w:tcPr>
            <w:tcW w:w="2420" w:type="dxa"/>
            <w:vAlign w:val="bottom"/>
            <w:gridSpan w:val="3"/>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7100" w:type="dxa"/>
            <w:vAlign w:val="bottom"/>
            <w:gridSpan w:val="9"/>
          </w:tcPr>
          <w:p>
            <w:pPr>
              <w:spacing w:after="0"/>
              <w:rPr>
                <w:sz w:val="22"/>
                <w:szCs w:val="22"/>
                <w:color w:val="auto"/>
              </w:rPr>
            </w:pPr>
          </w:p>
        </w:tc>
      </w:tr>
      <w:tr>
        <w:trPr>
          <w:trHeight w:val="264"/>
        </w:trPr>
        <w:tc>
          <w:tcPr>
            <w:tcW w:w="25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PART II OTHER INFORMATION</w:t>
              </w:r>
            </w:hyperlink>
          </w:p>
        </w:tc>
        <w:tc>
          <w:tcPr>
            <w:tcW w:w="7420" w:type="dxa"/>
            <w:vAlign w:val="bottom"/>
            <w:gridSpan w:val="10"/>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2"/>
                <w:szCs w:val="22"/>
                <w:color w:val="auto"/>
              </w:rPr>
            </w:pPr>
          </w:p>
        </w:tc>
        <w:tc>
          <w:tcPr>
            <w:tcW w:w="7540" w:type="dxa"/>
            <w:vAlign w:val="bottom"/>
            <w:gridSpan w:val="11"/>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4520" w:type="dxa"/>
            <w:vAlign w:val="bottom"/>
            <w:gridSpan w:val="5"/>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560" w:type="dxa"/>
            <w:vAlign w:val="bottom"/>
            <w:gridSpan w:val="12"/>
          </w:tcPr>
          <w:p>
            <w:pPr>
              <w:spacing w:after="0"/>
              <w:rPr>
                <w:sz w:val="22"/>
                <w:szCs w:val="22"/>
                <w:color w:val="auto"/>
              </w:rPr>
            </w:pPr>
          </w:p>
        </w:tc>
      </w:tr>
      <w:tr>
        <w:trPr>
          <w:trHeight w:val="264"/>
        </w:trPr>
        <w:tc>
          <w:tcPr>
            <w:tcW w:w="108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23495</wp:posOffset>
            </wp:positionV>
            <wp:extent cx="462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9960" w:space="700"/>
            <w:col w:w="58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9,424</w:t>
            </w:r>
          </w:p>
        </w:tc>
        <w:tc>
          <w:tcPr>
            <w:tcW w:w="180" w:type="dxa"/>
            <w:vAlign w:val="bottom"/>
          </w:tcPr>
          <w:p>
            <w:pPr>
              <w:spacing w:after="0"/>
              <w:rPr>
                <w:sz w:val="19"/>
                <w:szCs w:val="19"/>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Revenue earned but not billed</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80,601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7,411</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maturities of long-term debt</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Deferred revenue, long-term</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Shares authorized: 30,000,000 at</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2022 and March 31, 2022; no shares issued and outstanding at</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2022 and March 31, 2022</w:t>
            </w: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Common stock, no par value: Shares authorized: 200,000,000 at June 30, 2022</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40"/>
              <w:spacing w:after="0"/>
              <w:rPr>
                <w:sz w:val="20"/>
                <w:szCs w:val="20"/>
                <w:color w:val="auto"/>
              </w:rPr>
            </w:pPr>
            <w:r>
              <w:rPr>
                <w:rFonts w:ascii="Arial" w:cs="Arial" w:eastAsia="Arial" w:hAnsi="Arial"/>
                <w:sz w:val="18"/>
                <w:szCs w:val="18"/>
                <w:color w:val="auto"/>
              </w:rPr>
              <w:t>and March 31, 2022; shares issued: 40,723,299 at June 30, 2022 and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40"/>
              <w:spacing w:after="0"/>
              <w:rPr>
                <w:sz w:val="20"/>
                <w:szCs w:val="20"/>
                <w:color w:val="auto"/>
              </w:rPr>
            </w:pPr>
            <w:r>
              <w:rPr>
                <w:rFonts w:ascii="Arial" w:cs="Arial" w:eastAsia="Arial" w:hAnsi="Arial"/>
                <w:sz w:val="18"/>
                <w:szCs w:val="18"/>
                <w:color w:val="auto"/>
              </w:rPr>
              <w:t>40,570,909 at March 31, 2022; shares outstanding: 31,250,071 at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June 30, 2022 and 31,097,872 at March 31, 2022</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Treasury stock, common shares: 9,476,228 at June 30, 2022 and 9,473,037 at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March 31, 2022</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(36,240)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(36,239)</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Retained deficit</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(59,915)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(57,080)</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shareholders’ equity</w:t>
            </w:r>
          </w:p>
        </w:tc>
        <w:tc>
          <w:tcPr>
            <w:tcW w:w="10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62,572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1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80,601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2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13,483</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28,246</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18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17,906</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35,101</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10,385</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19,433</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8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5,438</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 of revenue</w:t>
            </w:r>
          </w:p>
        </w:tc>
        <w:tc>
          <w:tcPr>
            <w:tcW w:w="18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14,352</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24,871</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10,230</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Acquisition costs</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18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7,171</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6,812</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(3,617)</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(expense) income</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23"/>
        </w:trPr>
        <w:tc>
          <w:tcPr>
            <w:tcW w:w="52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expense</w:t>
            </w:r>
          </w:p>
        </w:tc>
        <w:tc>
          <w:tcPr>
            <w:tcW w:w="18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(Loss) income before income tax</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(3,650)</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(815)</w:t>
            </w: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FF0FC"/>
          </w:tcPr>
          <w:p>
            <w:pPr>
              <w:spacing w:after="0"/>
              <w:rPr>
                <w:sz w:val="19"/>
                <w:szCs w:val="19"/>
                <w:color w:val="auto"/>
              </w:rPr>
            </w:pPr>
          </w:p>
        </w:tc>
      </w:tr>
      <w:tr>
        <w:trPr>
          <w:trHeight w:val="26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 income</w:t>
            </w:r>
          </w:p>
        </w:tc>
        <w:tc>
          <w:tcPr>
            <w:tcW w:w="180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28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Borders>
              <w:bottom w:val="single" w:sz="8" w:color="CFF0FC"/>
            </w:tcBorders>
          </w:tcPr>
          <w:p>
            <w:pPr>
              <w:spacing w:after="0"/>
              <w:rPr>
                <w:sz w:val="22"/>
                <w:szCs w:val="22"/>
                <w:color w:val="auto"/>
              </w:rPr>
            </w:pPr>
          </w:p>
        </w:tc>
      </w:tr>
      <w:tr>
        <w:trPr>
          <w:trHeight w:val="196"/>
        </w:trPr>
        <w:tc>
          <w:tcPr>
            <w:tcW w:w="5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Basic net (loss) income per share attributable to</w:t>
            </w:r>
          </w:p>
        </w:tc>
        <w:tc>
          <w:tcPr>
            <w:tcW w:w="18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22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(0.09)</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20"/>
                <w:szCs w:val="20"/>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31,138,398</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30,860,178</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income per share</w:t>
            </w:r>
          </w:p>
        </w:tc>
        <w:tc>
          <w:tcPr>
            <w:tcW w:w="22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(0.09)</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9"/>
                <w:szCs w:val="19"/>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rPr>
              <w:t>Weighted-average common shares and share</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equivalents outstanding</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31,138,398</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31,289,924</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ind w:left="340" w:right="178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Shareholders’ Equity</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2380" w:type="dxa"/>
            <w:vAlign w:val="bottom"/>
            <w:tcBorders>
              <w:bottom w:val="single" w:sz="8" w:color="auto"/>
            </w:tcBorders>
            <w:gridSpan w:val="5"/>
          </w:tcPr>
          <w:p>
            <w:pPr>
              <w:jc w:val="right"/>
              <w:ind w:right="635"/>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jc w:val="center"/>
              <w:ind w:right="361"/>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5"/>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31,097,872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158,419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(57,080)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Exercise of stock options for cash</w:t>
            </w:r>
          </w:p>
        </w:tc>
        <w:tc>
          <w:tcPr>
            <w:tcW w:w="1060" w:type="dxa"/>
            <w:vAlign w:val="bottom"/>
          </w:tcPr>
          <w:p>
            <w:pPr>
              <w:jc w:val="right"/>
              <w:spacing w:after="0"/>
              <w:rPr>
                <w:sz w:val="20"/>
                <w:szCs w:val="20"/>
                <w:color w:val="auto"/>
              </w:rPr>
            </w:pPr>
            <w:r>
              <w:rPr>
                <w:rFonts w:ascii="Arial" w:cs="Arial" w:eastAsia="Arial" w:hAnsi="Arial"/>
                <w:sz w:val="18"/>
                <w:szCs w:val="18"/>
                <w:color w:val="auto"/>
              </w:rPr>
              <w:t>26,646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125,744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2022</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31,250,071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(36,240</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(59,915</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Shareholders’ Equity</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2380" w:type="dxa"/>
            <w:vAlign w:val="bottom"/>
            <w:tcBorders>
              <w:bottom w:val="single" w:sz="8" w:color="auto"/>
            </w:tcBorders>
            <w:gridSpan w:val="5"/>
          </w:tcPr>
          <w:p>
            <w:pPr>
              <w:jc w:val="right"/>
              <w:ind w:right="635"/>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jc w:val="center"/>
              <w:ind w:right="361"/>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60" w:type="dxa"/>
            <w:vAlign w:val="bottom"/>
            <w:vMerge w:val="restart"/>
          </w:tcPr>
          <w:p>
            <w:pPr>
              <w:spacing w:after="0"/>
              <w:rPr>
                <w:sz w:val="20"/>
                <w:szCs w:val="20"/>
                <w:color w:val="auto"/>
              </w:rPr>
            </w:pPr>
            <w:r>
              <w:rPr>
                <w:rFonts w:ascii="Arial" w:cs="Arial" w:eastAsia="Arial" w:hAnsi="Arial"/>
                <w:sz w:val="18"/>
                <w:szCs w:val="18"/>
                <w:color w:val="auto"/>
              </w:rPr>
              <w:t>Balance, March 31, 2021</w:t>
            </w: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5"/>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30,805,300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157,485</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(36,240)</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(63,171)</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 for cash</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Shares issued under Employee Stock Purchase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Plan</w:t>
            </w:r>
          </w:p>
        </w:tc>
        <w:tc>
          <w:tcPr>
            <w:tcW w:w="1060" w:type="dxa"/>
            <w:vAlign w:val="bottom"/>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Employee tax withholdings on stock-based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 June 30,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31,000,701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157,746</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(36,241</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(60,661</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27"/>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Net (loss) income</w:t>
            </w:r>
          </w:p>
        </w:tc>
        <w:tc>
          <w:tcPr>
            <w:tcW w:w="19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(2,835)</w:t>
            </w:r>
          </w:p>
        </w:tc>
        <w:tc>
          <w:tcPr>
            <w:tcW w:w="110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9"/>
                <w:szCs w:val="19"/>
                <w:color w:val="auto"/>
              </w:rPr>
            </w:pPr>
          </w:p>
        </w:tc>
      </w:tr>
      <w:tr>
        <w:trPr>
          <w:trHeight w:val="215"/>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income to net cash used in</w:t>
            </w:r>
          </w:p>
        </w:tc>
        <w:tc>
          <w:tcPr>
            <w:tcW w:w="10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activities:</w:t>
            </w:r>
          </w:p>
        </w:tc>
        <w:tc>
          <w:tcPr>
            <w:tcW w:w="10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672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r>
      <w:tr>
        <w:trPr>
          <w:trHeight w:val="229"/>
        </w:trPr>
        <w:tc>
          <w:tcPr>
            <w:tcW w:w="6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r>
      <w:tr>
        <w:trPr>
          <w:trHeight w:val="229"/>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issue costs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Deferred income tax</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r>
      <w:tr>
        <w:trPr>
          <w:trHeight w:val="229"/>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Gain on sale of property and equipment</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tcPr>
          <w:p>
            <w:pPr>
              <w:ind w:left="500"/>
              <w:spacing w:after="0"/>
              <w:rPr>
                <w:sz w:val="20"/>
                <w:szCs w:val="20"/>
                <w:color w:val="auto"/>
              </w:rPr>
            </w:pPr>
            <w:r>
              <w:rPr>
                <w:rFonts w:ascii="Arial" w:cs="Arial" w:eastAsia="Arial" w:hAnsi="Arial"/>
                <w:sz w:val="18"/>
                <w:szCs w:val="18"/>
                <w:color w:val="auto"/>
              </w:rPr>
              <w:t>Provision for inventory reserves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(5,934)</w:t>
            </w:r>
          </w:p>
        </w:tc>
      </w:tr>
      <w:tr>
        <w:trPr>
          <w:trHeight w:val="229"/>
        </w:trPr>
        <w:tc>
          <w:tcPr>
            <w:tcW w:w="6720" w:type="dxa"/>
            <w:vAlign w:val="bottom"/>
          </w:tcPr>
          <w:p>
            <w:pPr>
              <w:ind w:left="500"/>
              <w:spacing w:after="0"/>
              <w:rPr>
                <w:sz w:val="20"/>
                <w:szCs w:val="20"/>
                <w:color w:val="auto"/>
              </w:rPr>
            </w:pPr>
            <w:r>
              <w:rPr>
                <w:rFonts w:ascii="Arial" w:cs="Arial" w:eastAsia="Arial" w:hAnsi="Arial"/>
                <w:sz w:val="18"/>
                <w:szCs w:val="18"/>
                <w:color w:val="auto"/>
              </w:rPr>
              <w:t>Revenue earned but not billed</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9"/>
                <w:szCs w:val="19"/>
                <w:color w:val="auto"/>
              </w:rPr>
            </w:pPr>
          </w:p>
        </w:tc>
      </w:tr>
      <w:tr>
        <w:trPr>
          <w:trHeight w:val="229"/>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(1,232)</w:t>
            </w: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r>
      <w:tr>
        <w:trPr>
          <w:trHeight w:val="229"/>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Accrued expenses and other</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(3,550)</w:t>
            </w:r>
          </w:p>
        </w:tc>
      </w:tr>
      <w:tr>
        <w:trPr>
          <w:trHeight w:val="229"/>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 and long-term</w:t>
            </w:r>
          </w:p>
        </w:tc>
        <w:tc>
          <w:tcPr>
            <w:tcW w:w="10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9"/>
                <w:szCs w:val="19"/>
                <w:color w:val="auto"/>
              </w:rPr>
            </w:pPr>
          </w:p>
        </w:tc>
      </w:tr>
      <w:tr>
        <w:trPr>
          <w:trHeight w:val="223"/>
        </w:trPr>
        <w:tc>
          <w:tcPr>
            <w:tcW w:w="6720" w:type="dxa"/>
            <w:vAlign w:val="bottom"/>
          </w:tcPr>
          <w:p>
            <w:pPr>
              <w:ind w:left="260"/>
              <w:spacing w:after="0"/>
              <w:rPr>
                <w:sz w:val="20"/>
                <w:szCs w:val="20"/>
                <w:color w:val="auto"/>
              </w:rPr>
            </w:pPr>
            <w:r>
              <w:rPr>
                <w:rFonts w:ascii="Arial" w:cs="Arial" w:eastAsia="Arial" w:hAnsi="Arial"/>
                <w:sz w:val="18"/>
                <w:szCs w:val="18"/>
                <w:b w:val="1"/>
                <w:bCs w:val="1"/>
                <w:color w:val="auto"/>
              </w:rPr>
              <w:t>Net cash used in operating activities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(5,005)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(2,966)</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Cash to fund acquisition</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investment</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(500)</w:t>
            </w: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patents and licenses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23"/>
        </w:trPr>
        <w:tc>
          <w:tcPr>
            <w:tcW w:w="6720" w:type="dxa"/>
            <w:vAlign w:val="bottom"/>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Payment of long-term debt</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credit facility</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Payments of revolving credit facility</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Deferred financing costs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equity exercises</w:t>
            </w:r>
          </w:p>
        </w:tc>
        <w:tc>
          <w:tcPr>
            <w:tcW w:w="10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r>
      <w:tr>
        <w:trPr>
          <w:trHeight w:val="223"/>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cash provided by financing activities</w:t>
            </w:r>
          </w:p>
        </w:tc>
        <w:tc>
          <w:tcPr>
            <w:tcW w:w="10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FF0FC"/>
            </w:tcBorders>
          </w:tcPr>
          <w:p>
            <w:pPr>
              <w:spacing w:after="0"/>
              <w:rPr>
                <w:sz w:val="19"/>
                <w:szCs w:val="19"/>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(5,042)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(3,530)</w:t>
            </w:r>
          </w:p>
        </w:tc>
        <w:tc>
          <w:tcPr>
            <w:tcW w:w="120" w:type="dxa"/>
            <w:vAlign w:val="bottom"/>
            <w:shd w:val="clear" w:color="auto" w:fill="CFF0FC"/>
          </w:tcPr>
          <w:p>
            <w:pPr>
              <w:spacing w:after="0"/>
              <w:rPr>
                <w:sz w:val="19"/>
                <w:szCs w:val="19"/>
                <w:color w:val="auto"/>
              </w:rPr>
            </w:pPr>
          </w:p>
        </w:tc>
      </w:tr>
      <w:tr>
        <w:trPr>
          <w:trHeight w:val="229"/>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14,466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19,393</w:t>
            </w:r>
          </w:p>
        </w:tc>
        <w:tc>
          <w:tcPr>
            <w:tcW w:w="120" w:type="dxa"/>
            <w:vAlign w:val="bottom"/>
            <w:tcBorders>
              <w:bottom w:val="single" w:sz="8" w:color="CFF0FC"/>
            </w:tcBorders>
          </w:tcPr>
          <w:p>
            <w:pPr>
              <w:spacing w:after="0"/>
              <w:rPr>
                <w:sz w:val="19"/>
                <w:szCs w:val="19"/>
                <w:color w:val="auto"/>
              </w:rPr>
            </w:pPr>
          </w:p>
        </w:tc>
      </w:tr>
      <w:tr>
        <w:trPr>
          <w:trHeight w:val="223"/>
        </w:trPr>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15,863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jc w:val="both"/>
        <w:ind w:firstLine="489"/>
        <w:spacing w:after="0" w:line="286" w:lineRule="auto"/>
        <w:rPr>
          <w:sz w:val="20"/>
          <w:szCs w:val="20"/>
          <w:color w:val="auto"/>
        </w:rPr>
      </w:pPr>
      <w:r>
        <w:rPr>
          <w:rFonts w:ascii="Arial" w:cs="Arial" w:eastAsia="Arial" w:hAnsi="Arial"/>
          <w:sz w:val="17"/>
          <w:szCs w:val="17"/>
          <w:color w:val="auto"/>
        </w:rPr>
        <w:t>Orion includes Orion Energy Systems, Inc., a Wisconsin corporation, and all consolidated subsidiaries. Orion is a developer, manufacturer and provider of energy-efficient LED lighting, controls and Internet of Things (“IoT”) systems, including turnkey project implementation, program management and system maintenance to commercial and industrial businesses, and federal and local governments, predominantly in North America.</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IMPACT OF COVID-19</w:t>
      </w:r>
    </w:p>
    <w:p>
      <w:pPr>
        <w:spacing w:after="0" w:line="175" w:lineRule="exact"/>
        <w:rPr>
          <w:sz w:val="20"/>
          <w:szCs w:val="20"/>
          <w:color w:val="auto"/>
        </w:rPr>
      </w:pPr>
    </w:p>
    <w:p>
      <w:pPr>
        <w:jc w:val="both"/>
        <w:ind w:firstLine="788"/>
        <w:spacing w:after="0" w:line="291" w:lineRule="auto"/>
        <w:rPr>
          <w:sz w:val="20"/>
          <w:szCs w:val="20"/>
          <w:color w:val="auto"/>
        </w:rPr>
      </w:pPr>
      <w:r>
        <w:rPr>
          <w:rFonts w:ascii="Arial" w:cs="Arial" w:eastAsia="Arial" w:hAnsi="Arial"/>
          <w:sz w:val="16"/>
          <w:szCs w:val="16"/>
          <w:color w:val="auto"/>
        </w:rPr>
        <w:t>The COVID-19 pandemic has disrupted business, trade, commerce, financial and credit markets, in the U.S. and globally. Orion’s business was adversely impacted by measures taken by customers, suppliers, government entities and others to control the spread of the virus beginning in March 2020, the last few weeks of Orion’s 2020 fiscal year, and continuing most significantly into the second quarter of fiscal 2021. During the third quarter of fiscal 2021, Orion experienced a rebound in business as project installations resumed for its largest customer. However, potential future risks remain due to the COVID-19 pandemic. It is not possible to predict the overall impact, including the economic and regulatory impact, the COVID-19 pandemic will have on Orion’s business, liquidity, capital resources or financial results. If the COVID-19 pandemic becomes more pronounced in Orion’s markets or experiences a resurgence in markets recovering from the spread of COVID-19, Orion’s results of operation would likely be materially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consolidated financial statements include the accounts of Orion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93"/>
        <w:spacing w:after="0" w:line="296" w:lineRule="auto"/>
        <w:rPr>
          <w:sz w:val="20"/>
          <w:szCs w:val="20"/>
          <w:color w:val="auto"/>
        </w:rPr>
      </w:pPr>
      <w:r>
        <w:rPr>
          <w:rFonts w:ascii="Arial" w:cs="Arial" w:eastAsia="Arial" w:hAnsi="Arial"/>
          <w:sz w:val="16"/>
          <w:szCs w:val="16"/>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2023 or other interim periods.</w:t>
      </w:r>
    </w:p>
    <w:p>
      <w:pPr>
        <w:spacing w:after="0" w:line="107"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Condensed Consolidated Balance Sheet March 31, 2022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2022 filed with the SEC on June 10,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impairment analyses, and certain equity transactions. Accordingly, actual results could differ from those estimates.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spacing w:after="0" w:line="130"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 purchases components necessary for its lighting products, including lamps and LED components, from multiple suppliers. For the three months ended June 30, 2022, no suppliers accounted for more than 10.0% of total cost of revenue. For the three months ended June 30, 2021, one supplier accounted for 12.8% of total cost of revenue.</w:t>
      </w:r>
    </w:p>
    <w:p>
      <w:pPr>
        <w:spacing w:after="0" w:line="130"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For the three months ended June 30, 2022, one customer accounted for 13.8% of total revenue. For the three months ended June 30, 2021, two customers accounted for 50.9 % and 14.2% of total revenue, respectively.</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As of June 30, 2022, one customer accounted for 10.8% of accounts receivable. As of March 31, 2022, two customers accounted for 11.8% and 10.4% of accounts receivable,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489"/>
        <w:spacing w:after="0" w:line="272"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 REVENUE</w:t>
      </w:r>
    </w:p>
    <w:p>
      <w:pPr>
        <w:spacing w:after="0" w:line="175"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Orion generates revenue primarily by selling manufactured or sourced commercial lighting fixtures and components, installing these fixtures in customer’s facilities, and providing maintenance services including repairs and replacements for the lighting and related electrical components. Orion recognizes revenue in accordance with the guidance in “Revenue from Contracts with Customers” (Topic 606) (“ASC 606”) when control of the goods or services being provided (which we refer to as a performance obligation) is transferred to a customer at an amount that reflects the consideration Orion expects to receive in exchange for those goods or services.</w:t>
      </w:r>
    </w:p>
    <w:p>
      <w:pPr>
        <w:spacing w:after="0" w:line="134"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During the fourth quarter of fiscal 2022, Orion acquired Stay-Lite Lighting, which provides lighting and electrical services. The results of Stay-Lite Lighting are included in the Orion Services Group segment and accelerate the growth of Orion’s maintenance services customer offering. The disaggregated revenue table provides total revenue from the maintenance services offering.</w:t>
      </w:r>
    </w:p>
    <w:p>
      <w:pPr>
        <w:spacing w:after="0" w:line="130"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Revenue from the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 of Operations.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detail of Orion’s total revenue for the three months ended June 30, 2022 and June 30, 2021 (dollars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w w:val="93"/>
              </w:rPr>
              <w:t>Three Months Ended June 30, 2022</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86"/>
              </w:rPr>
              <w:t>Services</w:t>
            </w:r>
          </w:p>
        </w:tc>
        <w:tc>
          <w:tcPr>
            <w:tcW w:w="340" w:type="dxa"/>
            <w:vAlign w:val="bottom"/>
          </w:tcPr>
          <w:p>
            <w:pPr>
              <w:spacing w:after="0"/>
              <w:rPr>
                <w:sz w:val="13"/>
                <w:szCs w:val="13"/>
                <w:color w:val="auto"/>
              </w:rPr>
            </w:pPr>
          </w:p>
        </w:tc>
        <w:tc>
          <w:tcPr>
            <w:tcW w:w="1000" w:type="dxa"/>
            <w:vAlign w:val="bottom"/>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Lighting product and installation</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12,404</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1,358</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Maintenance services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Solar energy related revenues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4,423</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4,423</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w w:val="93"/>
              </w:rPr>
              <w:t>Three Months Ended June 30, 2021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980" w:type="dxa"/>
            <w:vAlign w:val="bottom"/>
            <w:vMerge w:val="restart"/>
          </w:tcPr>
          <w:p>
            <w:pPr>
              <w:spacing w:after="0"/>
              <w:rPr>
                <w:sz w:val="20"/>
                <w:szCs w:val="20"/>
                <w:color w:val="auto"/>
              </w:rPr>
            </w:pPr>
            <w:r>
              <w:rPr>
                <w:rFonts w:ascii="Arial" w:cs="Arial" w:eastAsia="Arial" w:hAnsi="Arial"/>
                <w:sz w:val="18"/>
                <w:szCs w:val="18"/>
                <w:color w:val="auto"/>
              </w:rPr>
              <w:t>Revenue from contracts with customers:</w:t>
            </w: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86"/>
              </w:rPr>
              <w:t>Services</w:t>
            </w:r>
          </w:p>
        </w:tc>
        <w:tc>
          <w:tcPr>
            <w:tcW w:w="340" w:type="dxa"/>
            <w:vAlign w:val="bottom"/>
          </w:tcPr>
          <w:p>
            <w:pPr>
              <w:spacing w:after="0"/>
              <w:rPr>
                <w:sz w:val="13"/>
                <w:szCs w:val="13"/>
                <w:color w:val="auto"/>
              </w:rPr>
            </w:pPr>
          </w:p>
        </w:tc>
        <w:tc>
          <w:tcPr>
            <w:tcW w:w="1000" w:type="dxa"/>
            <w:vAlign w:val="bottom"/>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Lighting product and installation</w:t>
            </w:r>
          </w:p>
        </w:tc>
        <w:tc>
          <w:tcPr>
            <w:tcW w:w="1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27,359</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Maintenance services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Solar energy related revenues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 from contracts with customers</w:t>
            </w:r>
          </w:p>
        </w:tc>
        <w:tc>
          <w:tcPr>
            <w:tcW w:w="16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27,473</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6,855</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Revenue accounted for under other guidance</w:t>
            </w:r>
          </w:p>
        </w:tc>
        <w:tc>
          <w:tcPr>
            <w:tcW w:w="1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Total revenue</w:t>
            </w:r>
          </w:p>
        </w:tc>
        <w:tc>
          <w:tcPr>
            <w:tcW w:w="16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From time to time, Orion sells the receivables from one customer to a financing institution. The was no activity during the three months ended June 30, 2022. The total amount received from the sales of these receivables during the three months ended June 30, 2021 was $2.4 million. Orion’s losses on these sales were $2 thousand, for the three months ended June 30, 2021 and are included in Interest expense in the Condensed Consolidated Statement of Operations.</w:t>
      </w:r>
    </w:p>
    <w:p>
      <w:pPr>
        <w:spacing w:after="0" w:line="133"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following chart shows the balance of Orion’s receivables arising from contracts with customers, contract assets and contract liabilities as of June 30, 2022 and March 31, 2022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680" w:type="dxa"/>
            <w:vAlign w:val="bottom"/>
            <w:tcBorders>
              <w:bottom w:val="single" w:sz="8" w:color="CFF0FC"/>
            </w:tcBorders>
          </w:tcPr>
          <w:p>
            <w:pPr>
              <w:spacing w:after="0"/>
              <w:rPr>
                <w:sz w:val="14"/>
                <w:szCs w:val="14"/>
                <w:color w:val="auto"/>
              </w:rPr>
            </w:pPr>
          </w:p>
        </w:tc>
        <w:tc>
          <w:tcPr>
            <w:tcW w:w="40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4"/>
                <w:szCs w:val="14"/>
                <w:color w:val="auto"/>
              </w:rPr>
            </w:pP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40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2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Contract assets</w:t>
            </w:r>
          </w:p>
        </w:tc>
        <w:tc>
          <w:tcPr>
            <w:tcW w:w="4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1,704</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4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648"/>
        </w:trPr>
        <w:tc>
          <w:tcPr>
            <w:tcW w:w="3680" w:type="dxa"/>
            <w:vAlign w:val="bottom"/>
          </w:tcPr>
          <w:p>
            <w:pPr>
              <w:spacing w:after="0"/>
              <w:rPr>
                <w:sz w:val="24"/>
                <w:szCs w:val="24"/>
                <w:color w:val="auto"/>
              </w:rPr>
            </w:pPr>
          </w:p>
        </w:tc>
        <w:tc>
          <w:tcPr>
            <w:tcW w:w="4040" w:type="dxa"/>
            <w:vAlign w:val="bottom"/>
          </w:tcPr>
          <w:p>
            <w:pPr>
              <w:jc w:val="right"/>
              <w:ind w:right="197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 w:name="page10"/>
    <w:bookmarkEnd w:id="9"/>
    <w:p>
      <w:pPr>
        <w:ind w:firstLine="493"/>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ind w:right="20" w:firstLine="493"/>
        <w:spacing w:after="0" w:line="277" w:lineRule="auto"/>
        <w:rPr>
          <w:sz w:val="20"/>
          <w:szCs w:val="20"/>
          <w:color w:val="auto"/>
        </w:rPr>
      </w:pPr>
      <w:r>
        <w:rPr>
          <w:rFonts w:ascii="Arial" w:cs="Arial" w:eastAsia="Arial" w:hAnsi="Arial"/>
          <w:sz w:val="18"/>
          <w:szCs w:val="18"/>
          <w:color w:val="auto"/>
        </w:rPr>
        <w:t>As of June 30, 2022, and March 31, 2022, Orion's accounts receivable and allowance for doubtful accounts balances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11,753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04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11,735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2022, and March 31, 2022, Orion's inventory balances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Excess and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320" w:type="dxa"/>
            <w:vAlign w:val="bottom"/>
          </w:tcPr>
          <w:p>
            <w:pPr>
              <w:spacing w:after="0"/>
              <w:rPr>
                <w:sz w:val="12"/>
                <w:szCs w:val="12"/>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June 30, 2022</w:t>
            </w:r>
          </w:p>
        </w:tc>
        <w:tc>
          <w:tcPr>
            <w:tcW w:w="208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10,462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(799)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(594)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20,324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As of March 31, 2022</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10,781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(664)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21,903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2022, and March 31, 2022, prepaid expenses and other current assets include the following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518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Payroll tax credit</w:t>
            </w:r>
          </w:p>
        </w:tc>
        <w:tc>
          <w:tcPr>
            <w:tcW w:w="41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1,587</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prepaid expenses</w:t>
            </w:r>
          </w:p>
        </w:tc>
        <w:tc>
          <w:tcPr>
            <w:tcW w:w="41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1,037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41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2,624</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100" w:type="dxa"/>
            <w:vAlign w:val="bottom"/>
            <w:vMerge w:val="restart"/>
          </w:tcPr>
          <w:p>
            <w:pPr>
              <w:jc w:val="right"/>
              <w:ind w:right="1919"/>
              <w:spacing w:after="0"/>
              <w:rPr>
                <w:sz w:val="20"/>
                <w:szCs w:val="20"/>
                <w:color w:val="auto"/>
              </w:rPr>
            </w:pPr>
            <w:r>
              <w:rPr>
                <w:rFonts w:ascii="Arial" w:cs="Arial" w:eastAsia="Arial" w:hAnsi="Arial"/>
                <w:sz w:val="18"/>
                <w:szCs w:val="18"/>
                <w:color w:val="auto"/>
              </w:rPr>
              <w:t>10</w:t>
            </w: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2022, and March 31, 2022, property and equipment, net,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Land and land improvements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9,491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9,491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Plant equipment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11,135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11,130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Gross property and equipment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(23,877)</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(23,524)</w:t>
            </w:r>
          </w:p>
        </w:tc>
      </w:tr>
      <w:tr>
        <w:trPr>
          <w:trHeight w:val="223"/>
        </w:trPr>
        <w:tc>
          <w:tcPr>
            <w:tcW w:w="77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property and equipment, net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From time to time, Orion leases assets from third parties. Orion also leases certain assets to third parties.</w:t>
      </w:r>
    </w:p>
    <w:p>
      <w:pPr>
        <w:spacing w:after="0" w:line="171" w:lineRule="exact"/>
        <w:rPr>
          <w:sz w:val="20"/>
          <w:szCs w:val="20"/>
          <w:color w:val="auto"/>
        </w:rPr>
      </w:pPr>
    </w:p>
    <w:p>
      <w:pPr>
        <w:jc w:val="both"/>
        <w:ind w:firstLine="489"/>
        <w:spacing w:after="0" w:line="311" w:lineRule="auto"/>
        <w:rPr>
          <w:sz w:val="20"/>
          <w:szCs w:val="20"/>
          <w:color w:val="auto"/>
        </w:rPr>
      </w:pPr>
      <w:r>
        <w:rPr>
          <w:rFonts w:ascii="Arial" w:cs="Arial" w:eastAsia="Arial" w:hAnsi="Arial"/>
          <w:sz w:val="16"/>
          <w:szCs w:val="16"/>
          <w:color w:val="auto"/>
        </w:rPr>
        <w:t>Orion accounts for leases in accordance with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4080" w:type="dxa"/>
            <w:vAlign w:val="bottom"/>
            <w:gridSpan w:val="2"/>
          </w:tcPr>
          <w:p>
            <w:pPr>
              <w:ind w:left="70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CFF0FC"/>
            </w:tcBorders>
            <w:shd w:val="clear" w:color="auto" w:fill="CFF0FC"/>
          </w:tcPr>
          <w:p>
            <w:pPr>
              <w:spacing w:after="0"/>
              <w:rPr>
                <w:sz w:val="19"/>
                <w:szCs w:val="19"/>
                <w:color w:val="auto"/>
              </w:rPr>
            </w:pPr>
          </w:p>
        </w:tc>
        <w:tc>
          <w:tcPr>
            <w:tcW w:w="33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4080" w:type="dxa"/>
            <w:vAlign w:val="bottom"/>
            <w:gridSpan w:val="2"/>
          </w:tcPr>
          <w:p>
            <w:pPr>
              <w:ind w:left="700"/>
              <w:spacing w:after="0"/>
              <w:rPr>
                <w:sz w:val="20"/>
                <w:szCs w:val="20"/>
                <w:color w:val="auto"/>
              </w:rPr>
            </w:pPr>
            <w:r>
              <w:rPr>
                <w:rFonts w:ascii="Arial" w:cs="Arial" w:eastAsia="Arial" w:hAnsi="Arial"/>
                <w:sz w:val="18"/>
                <w:szCs w:val="18"/>
                <w:color w:val="auto"/>
              </w:rPr>
              <w:t>Other long-term assets</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2,283</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19"/>
                <w:szCs w:val="19"/>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70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408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Accrued expenses and other</w:t>
            </w:r>
          </w:p>
        </w:tc>
        <w:tc>
          <w:tcPr>
            <w:tcW w:w="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FF0FC"/>
          </w:tcPr>
          <w:p>
            <w:pPr>
              <w:spacing w:after="0"/>
              <w:rPr>
                <w:sz w:val="19"/>
                <w:szCs w:val="19"/>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408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w:t>
            </w:r>
          </w:p>
        </w:tc>
        <w:tc>
          <w:tcPr>
            <w:tcW w:w="120" w:type="dxa"/>
            <w:vAlign w:val="bottom"/>
            <w:shd w:val="clear" w:color="auto" w:fill="CFF0FC"/>
          </w:tcPr>
          <w:p>
            <w:pPr>
              <w:spacing w:after="0"/>
              <w:rPr>
                <w:sz w:val="19"/>
                <w:szCs w:val="19"/>
                <w:color w:val="auto"/>
              </w:rPr>
            </w:pPr>
          </w:p>
        </w:tc>
      </w:tr>
      <w:tr>
        <w:trPr>
          <w:trHeight w:val="223"/>
        </w:trPr>
        <w:tc>
          <w:tcPr>
            <w:tcW w:w="2780" w:type="dxa"/>
            <w:vAlign w:val="bottom"/>
          </w:tcPr>
          <w:p>
            <w:pPr>
              <w:ind w:left="500"/>
              <w:spacing w:after="0"/>
              <w:rPr>
                <w:sz w:val="20"/>
                <w:szCs w:val="20"/>
                <w:color w:val="auto"/>
              </w:rPr>
            </w:pPr>
            <w:r>
              <w:rPr>
                <w:rFonts w:ascii="Arial" w:cs="Arial" w:eastAsia="Arial" w:hAnsi="Arial"/>
                <w:sz w:val="18"/>
                <w:szCs w:val="18"/>
                <w:color w:val="auto"/>
              </w:rPr>
              <w:t>Total lease liabilities</w:t>
            </w:r>
          </w:p>
        </w:tc>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Orion had operating lease costs of $0.3 million for the three months ended June 30, 2022. Orion had operating lease costs of $0.2 million for the three months ended June 30, 2021.</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maturity of lease liabilities for each of the next five years is shown below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53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w w:val="91"/>
              </w:rPr>
              <w:t>Operating Leases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Fiscal 2023</w:t>
            </w:r>
          </w:p>
        </w:tc>
        <w:tc>
          <w:tcPr>
            <w:tcW w:w="6720" w:type="dxa"/>
            <w:vAlign w:val="bottom"/>
            <w:gridSpan w:val="2"/>
            <w:shd w:val="clear" w:color="auto" w:fill="CFF0FC"/>
          </w:tcPr>
          <w:p>
            <w:pPr>
              <w:ind w:left="5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Fiscal 2024</w:t>
            </w:r>
          </w:p>
        </w:tc>
        <w:tc>
          <w:tcPr>
            <w:tcW w:w="5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Fiscal 2025</w:t>
            </w:r>
          </w:p>
        </w:tc>
        <w:tc>
          <w:tcPr>
            <w:tcW w:w="53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Fiscal 2026</w:t>
            </w:r>
          </w:p>
        </w:tc>
        <w:tc>
          <w:tcPr>
            <w:tcW w:w="5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Fiscal 2027</w:t>
            </w:r>
          </w:p>
        </w:tc>
        <w:tc>
          <w:tcPr>
            <w:tcW w:w="532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payments</w:t>
            </w:r>
          </w:p>
        </w:tc>
        <w:tc>
          <w:tcPr>
            <w:tcW w:w="532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Interest</w:t>
            </w:r>
          </w:p>
        </w:tc>
        <w:tc>
          <w:tcPr>
            <w:tcW w:w="532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532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320" w:type="dxa"/>
            <w:vAlign w:val="bottom"/>
            <w:vMerge w:val="restart"/>
          </w:tcPr>
          <w:p>
            <w:pPr>
              <w:jc w:val="right"/>
              <w:ind w:right="3430"/>
              <w:spacing w:after="0"/>
              <w:rPr>
                <w:sz w:val="20"/>
                <w:szCs w:val="20"/>
                <w:color w:val="auto"/>
              </w:rPr>
            </w:pPr>
            <w:r>
              <w:rPr>
                <w:rFonts w:ascii="Arial" w:cs="Arial" w:eastAsia="Arial" w:hAnsi="Arial"/>
                <w:sz w:val="18"/>
                <w:szCs w:val="18"/>
                <w:color w:val="auto"/>
              </w:rPr>
              <w:t>11</w:t>
            </w: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2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71" w:lineRule="exact"/>
        <w:rPr>
          <w:sz w:val="20"/>
          <w:szCs w:val="20"/>
          <w:color w:val="auto"/>
        </w:rPr>
      </w:pPr>
    </w:p>
    <w:p>
      <w:pPr>
        <w:jc w:val="both"/>
        <w:ind w:firstLine="489"/>
        <w:spacing w:after="0" w:line="27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under ASC 842. The total transaction price in these contracts is allocated between the lease and non-lease components in the same manner as the total transaction price of other turnkey projects containing lighting fixtures and installation services.</w:t>
      </w:r>
    </w:p>
    <w:p>
      <w:pPr>
        <w:spacing w:after="0" w:line="124"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Condensed Consolidated Statement of Operations.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chart shows the amount of revenue and cost of sales arising from sales-type leases during the three months ended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Three Months Ended June 30,</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10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7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3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3660" w:type="dxa"/>
            <w:vAlign w:val="bottom"/>
            <w:gridSpan w:val="2"/>
            <w:shd w:val="clear" w:color="auto" w:fill="CFF0FC"/>
          </w:tcPr>
          <w:p>
            <w:pPr>
              <w:jc w:val="right"/>
              <w:ind w:right="114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20"/>
                <w:szCs w:val="20"/>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66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OTHER INTANGIBLE ASSETS, NET</w:t>
      </w:r>
    </w:p>
    <w:p>
      <w:pPr>
        <w:spacing w:after="0" w:line="175"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Orion has $0.6 million of goodwill related to its purchase of Stay-Light Lighting during fiscal year 2022, which has an indefinite life. The goodwill is assigned to the Orion Services Group reporting unit. Goodwill increased by $0.2 million to $0.6 million as compared to March 31, 2022. This increase is due to updates to purchase accounting within the measurement period. See Note 19 – Acquisition for further discussion of the Stay-Lite Lighting acquisition.</w:t>
      </w:r>
    </w:p>
    <w:p>
      <w:pPr>
        <w:spacing w:after="0" w:line="133"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As of June 30, 2022, and March 31, 2022, the components of, and changes in, the carrying amount of other intangible assets, net, were as follows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March 31, 2022</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020" w:type="dxa"/>
            <w:vAlign w:val="bottom"/>
            <w:gridSpan w:val="3"/>
          </w:tcPr>
          <w:p>
            <w:pPr>
              <w:jc w:val="right"/>
              <w:ind w:right="1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020" w:type="dxa"/>
            <w:vAlign w:val="bottom"/>
            <w:gridSpan w:val="3"/>
          </w:tcPr>
          <w:p>
            <w:pPr>
              <w:jc w:val="right"/>
              <w:ind w:right="1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Amortized Intangible Assets</w:t>
            </w:r>
          </w:p>
        </w:tc>
        <w:tc>
          <w:tcPr>
            <w:tcW w:w="16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60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2,620</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(1,927)</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2,652</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(1,932)</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Licenses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Trade name and trademarks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(3,632)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(3,618)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Amortized Intangible Assets</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Trade name and trademarks</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4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4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00" w:type="dxa"/>
            <w:vAlign w:val="bottom"/>
          </w:tcPr>
          <w:p>
            <w:pPr>
              <w:ind w:left="260"/>
              <w:spacing w:after="0"/>
              <w:rPr>
                <w:sz w:val="20"/>
                <w:szCs w:val="20"/>
                <w:color w:val="auto"/>
              </w:rPr>
            </w:pPr>
            <w:r>
              <w:rPr>
                <w:rFonts w:ascii="Arial" w:cs="Arial" w:eastAsia="Arial" w:hAnsi="Arial"/>
                <w:sz w:val="18"/>
                <w:szCs w:val="18"/>
                <w:color w:val="auto"/>
              </w:rPr>
              <w:t>Total Amortized Intangible Assets</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on intangible assets was $0.1 million for the three months ended June 30, 2022.</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on intangible assets was $0.1 million for the three months ended June 30, 2021.</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2022, the weighted average remaining useful life of intangible assets was 8.5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16"/>
          <w:szCs w:val="16"/>
          <w:color w:val="auto"/>
        </w:rPr>
        <w:t>The estimated amortization expense for the remainder of fiscal 2022, the next five fiscal years and beyond is shown below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Fiscal 2023 (period remaining)</w:t>
            </w:r>
          </w:p>
        </w:tc>
        <w:tc>
          <w:tcPr>
            <w:tcW w:w="32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Fiscal 2024</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Fiscal 2025</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Fiscal 2026</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Fiscal 2027</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Fiscal 2028</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NOTE 11 — ACCRUED EXPENSES AND OTHER</w:t>
            </w: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560" w:type="dxa"/>
            <w:vAlign w:val="bottom"/>
            <w:gridSpan w:val="5"/>
          </w:tcPr>
          <w:p>
            <w:pPr>
              <w:ind w:left="500"/>
              <w:spacing w:after="0"/>
              <w:rPr>
                <w:sz w:val="20"/>
                <w:szCs w:val="20"/>
                <w:color w:val="auto"/>
              </w:rPr>
            </w:pPr>
            <w:r>
              <w:rPr>
                <w:rFonts w:ascii="Arial" w:cs="Arial" w:eastAsia="Arial" w:hAnsi="Arial"/>
                <w:sz w:val="18"/>
                <w:szCs w:val="18"/>
                <w:color w:val="auto"/>
                <w:w w:val="97"/>
              </w:rPr>
              <w:t>As of June 30, 2022, and March 31, 2022, accrued expenses and other included the following (dollars in thousands):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24"/>
                <w:szCs w:val="24"/>
                <w:color w:val="auto"/>
              </w:rPr>
            </w:pPr>
          </w:p>
        </w:tc>
        <w:tc>
          <w:tcPr>
            <w:tcW w:w="1400" w:type="dxa"/>
            <w:vAlign w:val="bottom"/>
            <w:gridSpan w:val="3"/>
          </w:tcPr>
          <w:p>
            <w:pPr>
              <w:ind w:lef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accruals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1,598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Credits due to customers</w:t>
            </w: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884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Sales tax</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Sales returns reserve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7,362</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4520" w:type="dxa"/>
            <w:vAlign w:val="bottom"/>
            <w:tcBorders>
              <w:bottom w:val="single" w:sz="8" w:color="CFF0FC"/>
            </w:tcBorders>
          </w:tcPr>
          <w:p>
            <w:pPr>
              <w:spacing w:after="0"/>
              <w:rPr>
                <w:sz w:val="13"/>
                <w:szCs w:val="13"/>
                <w:color w:val="auto"/>
              </w:rPr>
            </w:pPr>
          </w:p>
        </w:tc>
        <w:tc>
          <w:tcPr>
            <w:tcW w:w="32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3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Accruals</w:t>
            </w:r>
          </w:p>
        </w:tc>
        <w:tc>
          <w:tcPr>
            <w:tcW w:w="3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Warranty claims (net of vendor reimbursements)</w:t>
            </w:r>
          </w:p>
        </w:tc>
        <w:tc>
          <w:tcPr>
            <w:tcW w:w="3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End of period</w:t>
            </w:r>
          </w:p>
        </w:tc>
        <w:tc>
          <w:tcPr>
            <w:tcW w:w="3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0" w:type="dxa"/>
            <w:vAlign w:val="bottom"/>
            <w:vMerge w:val="restart"/>
          </w:tcPr>
          <w:p>
            <w:pPr>
              <w:jc w:val="right"/>
              <w:ind w:right="1910"/>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12 — NET (LOSS) INCOME PER COMMON SHARE</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Basic net income per common share is computed by dividing net income attributable to common shareholders by the weighted-average number of common shares outstanding for the period and does not consider common stock equivalents.</w:t>
      </w:r>
    </w:p>
    <w:p>
      <w:pPr>
        <w:spacing w:after="0" w:line="116" w:lineRule="exact"/>
        <w:rPr>
          <w:sz w:val="20"/>
          <w:szCs w:val="20"/>
          <w:color w:val="auto"/>
        </w:rPr>
      </w:pPr>
    </w:p>
    <w:p>
      <w:pPr>
        <w:jc w:val="both"/>
        <w:ind w:firstLine="493"/>
        <w:spacing w:after="0" w:line="279" w:lineRule="auto"/>
        <w:rPr>
          <w:sz w:val="20"/>
          <w:szCs w:val="20"/>
          <w:color w:val="auto"/>
        </w:rPr>
      </w:pPr>
      <w:r>
        <w:rPr>
          <w:rFonts w:ascii="Arial" w:cs="Arial" w:eastAsia="Arial" w:hAnsi="Arial"/>
          <w:sz w:val="17"/>
          <w:szCs w:val="17"/>
          <w:color w:val="auto"/>
        </w:rPr>
        <w:t>Diluted net income per common share reflects the dilution that would occur if stock options were exercised and restricted shares vested. In the computation of diluted net income per common share, Orion uses the treasury stock method for outstanding options and restricted shares. For the three months ended June 30, 2022, Orion was in a net loss position; therefore, the Basic and Diluted weighted-average shares outstanding are equal because any increase to the basic shares would be anti-dilutive. Net income per common share is calculated based upon the following shares:</w:t>
      </w:r>
    </w:p>
    <w:p>
      <w:pPr>
        <w:spacing w:after="0" w:line="17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 income (in thousands)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(2,835)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31,138,398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30,860,178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common share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equivalents outstanding</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31,138,398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31,289,924</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income per common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(0.09)</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income per common share because their inclusion would have been anti-dilutive. The number of shares is as of the end of each period:</w:t>
      </w:r>
    </w:p>
    <w:p>
      <w:pPr>
        <w:spacing w:after="0" w:line="17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center"/>
              <w:ind w:left="301"/>
              <w:spacing w:after="0" w:line="155" w:lineRule="exact"/>
              <w:rPr>
                <w:sz w:val="20"/>
                <w:szCs w:val="20"/>
                <w:color w:val="auto"/>
              </w:rPr>
            </w:pPr>
            <w:r>
              <w:rPr>
                <w:rFonts w:ascii="Arial" w:cs="Arial" w:eastAsia="Arial" w:hAnsi="Arial"/>
                <w:sz w:val="14"/>
                <w:szCs w:val="14"/>
                <w:b w:val="1"/>
                <w:bCs w:val="1"/>
                <w:color w:val="auto"/>
                <w:w w:val="89"/>
              </w:rPr>
              <w:t>2022</w:t>
            </w:r>
          </w:p>
        </w:tc>
        <w:tc>
          <w:tcPr>
            <w:tcW w:w="3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1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Restricted shares</w:t>
            </w:r>
          </w:p>
        </w:tc>
        <w:tc>
          <w:tcPr>
            <w:tcW w:w="118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NOTE 13 — LONG-TERM DEBT</w:t>
            </w: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7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20" w:type="dxa"/>
            <w:vAlign w:val="bottom"/>
          </w:tcPr>
          <w:p>
            <w:pPr>
              <w:ind w:left="500"/>
              <w:spacing w:after="0"/>
              <w:rPr>
                <w:sz w:val="20"/>
                <w:szCs w:val="20"/>
                <w:color w:val="auto"/>
              </w:rPr>
            </w:pPr>
            <w:r>
              <w:rPr>
                <w:rFonts w:ascii="Arial" w:cs="Arial" w:eastAsia="Arial" w:hAnsi="Arial"/>
                <w:sz w:val="18"/>
                <w:szCs w:val="18"/>
                <w:color w:val="auto"/>
              </w:rPr>
              <w:t>Long-term debt consisted of the following (dollars in thousands):</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720" w:type="dxa"/>
            <w:vAlign w:val="bottom"/>
          </w:tcPr>
          <w:p>
            <w:pPr>
              <w:spacing w:after="0"/>
              <w:rPr>
                <w:sz w:val="24"/>
                <w:szCs w:val="24"/>
                <w:color w:val="auto"/>
              </w:rPr>
            </w:pPr>
          </w:p>
        </w:tc>
        <w:tc>
          <w:tcPr>
            <w:tcW w:w="1180" w:type="dxa"/>
            <w:vAlign w:val="bottom"/>
          </w:tcPr>
          <w:p>
            <w:pPr>
              <w:jc w:val="center"/>
              <w:ind w:left="301"/>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ind w:left="301"/>
              <w:spacing w:after="0"/>
              <w:rPr>
                <w:sz w:val="20"/>
                <w:szCs w:val="20"/>
                <w:color w:val="auto"/>
              </w:rPr>
            </w:pPr>
            <w:r>
              <w:rPr>
                <w:rFonts w:ascii="Arial" w:cs="Arial" w:eastAsia="Arial" w:hAnsi="Arial"/>
                <w:sz w:val="14"/>
                <w:szCs w:val="14"/>
                <w:b w:val="1"/>
                <w:bCs w:val="1"/>
                <w:color w:val="auto"/>
                <w:w w:val="89"/>
              </w:rPr>
              <w:t>2022</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180" w:type="dxa"/>
            <w:vAlign w:val="bottom"/>
            <w:shd w:val="clear" w:color="auto" w:fill="CFF0FC"/>
          </w:tcPr>
          <w:p>
            <w:pPr>
              <w:jc w:val="right"/>
              <w:ind w:right="100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debt obligations</w:t>
            </w: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1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18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1180" w:type="dxa"/>
            <w:vAlign w:val="bottom"/>
            <w:tcBorders>
              <w:top w:val="single" w:sz="8" w:color="auto"/>
              <w:bottom w:val="single" w:sz="8" w:color="auto"/>
            </w:tcBorders>
            <w:shd w:val="clear" w:color="auto" w:fill="CFF0FC"/>
          </w:tcPr>
          <w:p>
            <w:pPr>
              <w:jc w:val="right"/>
              <w:ind w:right="100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89"/>
        <w:spacing w:after="0" w:line="342" w:lineRule="auto"/>
        <w:rPr>
          <w:sz w:val="20"/>
          <w:szCs w:val="20"/>
          <w:color w:val="auto"/>
        </w:rPr>
      </w:pPr>
      <w:r>
        <w:rPr>
          <w:rFonts w:ascii="Arial" w:cs="Arial" w:eastAsia="Arial" w:hAnsi="Arial"/>
          <w:sz w:val="16"/>
          <w:szCs w:val="16"/>
          <w:color w:val="auto"/>
        </w:rPr>
        <w:t>On December 29, 2020, Orion entered into a new $25 million Loan and Security Agreement with Bank of America, N.A., as lender (the “Credit Agreement”). The Credit Agreement replaced Orion’s prior $20.15 million secured revolving credit and security agreement (the “Prior Credit Agreement”).</w:t>
      </w:r>
    </w:p>
    <w:p>
      <w:pPr>
        <w:spacing w:after="0" w:line="7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Orion with increased financing capacity and liquidity to fund its operations and implement its strategic plans.</w:t>
      </w:r>
    </w:p>
    <w:p>
      <w:pPr>
        <w:spacing w:after="0" w:line="116" w:lineRule="exact"/>
        <w:rPr>
          <w:sz w:val="20"/>
          <w:szCs w:val="20"/>
          <w:color w:val="auto"/>
        </w:rPr>
      </w:pPr>
    </w:p>
    <w:p>
      <w:pPr>
        <w:jc w:val="both"/>
        <w:ind w:firstLine="489"/>
        <w:spacing w:after="0" w:line="311" w:lineRule="auto"/>
        <w:rPr>
          <w:sz w:val="20"/>
          <w:szCs w:val="20"/>
          <w:color w:val="auto"/>
        </w:rPr>
      </w:pPr>
      <w:r>
        <w:rPr>
          <w:rFonts w:ascii="Arial" w:cs="Arial" w:eastAsia="Arial" w:hAnsi="Arial"/>
          <w:sz w:val="16"/>
          <w:szCs w:val="16"/>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June 30, 2022, the borrowing base supports $15.8 million availability of the Credit Facility. As of June 30, 2022, no amounts were borrowed under the Credit Facility.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18"/>
          <w:szCs w:val="18"/>
          <w:color w:val="auto"/>
        </w:rPr>
        <w:t>As of June 30, 2022, Orion was in compliance with all debt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Obligations</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per annum, respectively, and both debts mature in January 2024.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75"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months ended June 30, 2022 and 2021, Orion recorded income tax (benefit)/expense of $(0.8) million and $0.9 million, respectively, using this methodology.</w:t>
      </w:r>
    </w:p>
    <w:p>
      <w:pPr>
        <w:spacing w:after="0" w:line="133"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color w:val="auto"/>
        </w:rPr>
        <w:t>As of June 30, 2022 and March 31, 2022, Orion has a recorded valuation allowance of $1.2 million against its net deferred tax asset balance. 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As of June 30, 2022, Orion’s balance of gross unrecognized tax benefits was approximately $0.2 million, all of which would reduce Orion’s effective tax rate if recognized.</w:t>
      </w:r>
    </w:p>
    <w:p>
      <w:pPr>
        <w:spacing w:after="0" w:line="116"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0" w:firstLine="493"/>
        <w:spacing w:after="0" w:line="308" w:lineRule="auto"/>
        <w:rPr>
          <w:sz w:val="20"/>
          <w:szCs w:val="20"/>
          <w:color w:val="auto"/>
        </w:rPr>
      </w:pPr>
      <w:r>
        <w:rPr>
          <w:rFonts w:ascii="Arial" w:cs="Arial" w:eastAsia="Arial" w:hAnsi="Arial"/>
          <w:sz w:val="17"/>
          <w:szCs w:val="17"/>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493"/>
        <w:spacing w:after="0" w:line="342" w:lineRule="auto"/>
        <w:rPr>
          <w:sz w:val="20"/>
          <w:szCs w:val="20"/>
          <w:color w:val="auto"/>
        </w:rPr>
      </w:pPr>
      <w:r>
        <w:rPr>
          <w:rFonts w:ascii="Arial" w:cs="Arial" w:eastAsia="Arial" w:hAnsi="Arial"/>
          <w:sz w:val="16"/>
          <w:szCs w:val="16"/>
          <w:color w:val="auto"/>
        </w:rPr>
        <w:t>During fiscal year 2018, Orion was notified of a pending sales and use tax audit by the Wisconsin Department of Revenue for the period covering April 1, 2013 through March 31, 2017. This sales and use tax audit was settled during the quarter ended June 30, 2022 with no tax adjustment.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7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On January 3, 2019, Orion entered into Amendment No. 1 to the Rights Agreement, which amended the Rights Agreement dated as of January 7, 2009 and extended its terms by three years to January 7, 2022. In December 2021, Orion’s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Board of Directors announced that it had decided to allow the Rights Agreement to terminate and expire by its terms on January 7, 2022.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June 30, 2022, Orion issued 443 shares under the ESPP plan at a closing market price of $2.01.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117" w:lineRule="exact"/>
        <w:rPr>
          <w:sz w:val="20"/>
          <w:szCs w:val="20"/>
          <w:color w:val="auto"/>
        </w:rPr>
      </w:pPr>
    </w:p>
    <w:p>
      <w:pPr>
        <w:jc w:val="both"/>
        <w:ind w:firstLine="583"/>
        <w:spacing w:after="0" w:line="279" w:lineRule="auto"/>
        <w:rPr>
          <w:sz w:val="20"/>
          <w:szCs w:val="20"/>
          <w:color w:val="auto"/>
        </w:rPr>
      </w:pPr>
      <w:r>
        <w:rPr>
          <w:rFonts w:ascii="Arial" w:cs="Arial" w:eastAsia="Arial" w:hAnsi="Arial"/>
          <w:sz w:val="17"/>
          <w:szCs w:val="17"/>
          <w:color w:val="auto"/>
        </w:rPr>
        <w:t>In March 2020, Orion filed a universal shelf registration statement with the Securities and Exchange Commission. Under the shelf registration statement, Orion currently has the flexibility to publicly offer and sell from time to time up to $100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63"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No share sales were effected pursuant to the ATM program through June 30,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 OPTIONS AND RESTRICTED SHARES</w:t>
      </w:r>
    </w:p>
    <w:p>
      <w:pPr>
        <w:spacing w:after="0" w:line="175"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At Orion’s 2019 annual meeting of shareholders held on August 7, 2019, Orion’s shareholders approved the Orion Energy Systems, Inc. 2016 Omnibus Incentive Plan, as amended and restated (the “Amended 2016 Plan”).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w:t>
      </w:r>
    </w:p>
    <w:p>
      <w:pPr>
        <w:spacing w:after="0" w:line="134"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30"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22" w:lineRule="exact"/>
        <w:rPr>
          <w:sz w:val="20"/>
          <w:szCs w:val="20"/>
          <w:color w:val="auto"/>
        </w:rPr>
      </w:pPr>
    </w:p>
    <w:p>
      <w:pPr>
        <w:jc w:val="both"/>
        <w:ind w:right="20" w:firstLine="489"/>
        <w:spacing w:after="0" w:line="277"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first three months of fiscal 2022, Orion had the following activity related to its stock-based compensation: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Restricted Shares</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Options</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March 31, 2022</w:t>
            </w: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450,458</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Awards granted</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756,738</w:t>
            </w:r>
          </w:p>
        </w:tc>
        <w:tc>
          <w:tcPr>
            <w:tcW w:w="28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Awards vested or exercised</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(125,744)</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(26,646)</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Awards forfeited</w:t>
            </w: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June 30, 2022</w:t>
            </w: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1,081,452</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115,782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Per share weighted average price on grant date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As of June 30, 2022, the amount of deferred stock-based compensation expense to be recognized, over a remaining period of 3.0 years, was approximately $2.1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Orion has the following business segments: Orion Services Group Division ("OSG"), Orion Distribution Services Division ("ODS"), and Orion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Markets Division ("USM"). The accounting policies are the same for each business segment as they are on a consolidated basis.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Services Group Division</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OSG segment develops and sells lighting products and provides construction, engineering along with installation and maintenance services for Orion's commercial lighting and energy management systems. OSG provides engineering, design, lighting products and in many cases turnkey solutions for large national accounts, governments, municipalities, schools and other customers.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ODS segment sells lighting products through manufacturer representative agencies and a network of North American broadline electrical distributors and contractors.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USM segment sells commercial lighting systems and energy management systems to contractors and energy service companies ("ESCOs").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ind w:firstLine="489"/>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240"/>
          </w:cols>
          <w:pgMar w:left="320" w:top="598" w:right="339" w:bottom="1440" w:gutter="0" w:footer="0" w:header="0"/>
        </w:sectPr>
      </w:pPr>
    </w:p>
    <w:p>
      <w:pPr>
        <w:spacing w:after="0" w:line="243"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6350</wp:posOffset>
            </wp:positionV>
            <wp:extent cx="15944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60"/>
        <w:spacing w:after="0"/>
        <w:tabs>
          <w:tab w:leader="none" w:pos="76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6350</wp:posOffset>
            </wp:positionV>
            <wp:extent cx="16116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wp:posOffset>
            </wp:positionV>
            <wp:extent cx="16116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0"/>
        <w:spacing w:after="0"/>
        <w:tabs>
          <w:tab w:leader="none" w:pos="14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8240" w:space="720"/>
            <w:col w:w="2280"/>
          </w:cols>
          <w:pgMar w:left="320" w:top="59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Orion Services Group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9,035</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21,988</w:t>
            </w:r>
          </w:p>
        </w:tc>
        <w:tc>
          <w:tcPr>
            <w:tcW w:w="24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(2,229)</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(1,523)</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(1,219)</w:t>
            </w:r>
          </w:p>
        </w:tc>
      </w:tr>
      <w:tr>
        <w:trPr>
          <w:trHeight w:val="223"/>
        </w:trPr>
        <w:tc>
          <w:tcPr>
            <w:tcW w:w="58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17,906</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ACQUISITION</w:t>
      </w:r>
    </w:p>
    <w:p>
      <w:pPr>
        <w:spacing w:after="0" w:line="175"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Effective on January 1, 2022, Orion acquired all of the issued and outstanding capital stock of Stay-Lite Lighting, Inc. (“Stay-Lite Lighting”), a nationwide lighting and electrical maintenance service provider, for $4.3 million (the “Stay-Lite Acquisition”). Stay-Lite Lighting will operate as Stay-Lite Lighting, an Orion Energy Systems business. The acquisition accelerates the growth of Orion's maintenance services offerings through its Orion Services Group, which provides lighting and electrical services to customers.</w:t>
      </w:r>
    </w:p>
    <w:p>
      <w:pPr>
        <w:spacing w:after="0" w:line="133" w:lineRule="exact"/>
        <w:rPr>
          <w:sz w:val="20"/>
          <w:szCs w:val="20"/>
          <w:color w:val="auto"/>
        </w:rPr>
      </w:pPr>
    </w:p>
    <w:p>
      <w:pPr>
        <w:jc w:val="both"/>
        <w:ind w:firstLine="489"/>
        <w:spacing w:after="0" w:line="296" w:lineRule="auto"/>
        <w:rPr>
          <w:sz w:val="20"/>
          <w:szCs w:val="20"/>
          <w:color w:val="auto"/>
        </w:rPr>
      </w:pPr>
      <w:r>
        <w:rPr>
          <w:rFonts w:ascii="Arial" w:cs="Arial" w:eastAsia="Arial" w:hAnsi="Arial"/>
          <w:sz w:val="16"/>
          <w:szCs w:val="16"/>
          <w:color w:val="auto"/>
        </w:rPr>
        <w:t>Orion has accounted for this transaction as a business combination. Orion has preliminarily allocated the purchase price of approximately $4.3 million, which includes an estimate of the earn-out liability of $0.2 million and $0.1 million for the working capital adjustment received in the first quarter fiscal 2023, to the assets acquired and liabilities assumed at estimated fair values, and the excess of the purchase price over the aggregate fair values is recorded as goodwill. Orion could pay up to $0.7 million in earnout related purchase price, which is based on performance during the current and following calendar years. Orion is in the process of finalizing third party valuations of property and equipment and intangible assets and related tax impacts.</w:t>
      </w:r>
    </w:p>
    <w:p>
      <w:pPr>
        <w:spacing w:after="0" w:line="107"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preliminary allocation of the purchase consideration to the fair value of the assets acquired and liabilities assumed as of January 1, 2022, is as follows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Accounts receivable</w:t>
            </w:r>
          </w:p>
        </w:tc>
        <w:tc>
          <w:tcPr>
            <w:tcW w:w="3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 earned but not billed</w:t>
            </w:r>
          </w:p>
        </w:tc>
        <w:tc>
          <w:tcPr>
            <w:tcW w:w="3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Inventory</w:t>
            </w:r>
          </w:p>
        </w:tc>
        <w:tc>
          <w:tcPr>
            <w:tcW w:w="3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3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3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3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Accounts payable</w:t>
            </w:r>
          </w:p>
        </w:tc>
        <w:tc>
          <w:tcPr>
            <w:tcW w:w="3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(965)</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3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(550)</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r>
      <w:tr>
        <w:trPr>
          <w:trHeight w:val="223"/>
        </w:trPr>
        <w:tc>
          <w:tcPr>
            <w:tcW w:w="6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purchase consideration</w:t>
            </w:r>
          </w:p>
        </w:tc>
        <w:tc>
          <w:tcPr>
            <w:tcW w:w="35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89"/>
        <w:spacing w:after="0" w:line="286" w:lineRule="auto"/>
        <w:rPr>
          <w:sz w:val="20"/>
          <w:szCs w:val="20"/>
          <w:color w:val="auto"/>
        </w:rPr>
      </w:pPr>
      <w:r>
        <w:rPr>
          <w:rFonts w:ascii="Arial" w:cs="Arial" w:eastAsia="Arial" w:hAnsi="Arial"/>
          <w:sz w:val="17"/>
          <w:szCs w:val="17"/>
          <w:color w:val="auto"/>
        </w:rPr>
        <w:t>Goodwill recorded from the acquisition of Stay-Lite Lighting is attributable to the expected synergies from the business combination. The goodwill resulting from the acquisition is deductible for tax purposes. The intangible assets include amounts recognized for the fair value of the trade name and customer relationships. The fair value of the intangible assets was determined based upon the income (discounted cash flow) approach.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8" w:name="page19"/>
    <w:bookmarkEnd w:id="18"/>
    <w:p>
      <w:pPr>
        <w:ind w:left="500"/>
        <w:spacing w:after="0"/>
        <w:rPr>
          <w:sz w:val="20"/>
          <w:szCs w:val="20"/>
          <w:color w:val="auto"/>
        </w:rPr>
      </w:pPr>
      <w:r>
        <w:rPr>
          <w:rFonts w:ascii="Arial" w:cs="Arial" w:eastAsia="Arial" w:hAnsi="Arial"/>
          <w:sz w:val="18"/>
          <w:szCs w:val="18"/>
          <w:color w:val="auto"/>
        </w:rPr>
        <w:t>The following table presents the details of the intangible assets acquired at the date of acquisition (dollars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00" w:type="dxa"/>
            <w:vAlign w:val="bottom"/>
          </w:tcPr>
          <w:p>
            <w:pPr>
              <w:ind w:left="480"/>
              <w:spacing w:after="0"/>
              <w:rPr>
                <w:sz w:val="20"/>
                <w:szCs w:val="20"/>
                <w:color w:val="auto"/>
              </w:rPr>
            </w:pPr>
            <w:r>
              <w:rPr>
                <w:rFonts w:ascii="Arial" w:cs="Arial" w:eastAsia="Arial" w:hAnsi="Arial"/>
                <w:sz w:val="14"/>
                <w:szCs w:val="14"/>
                <w:b w:val="1"/>
                <w:bCs w:val="1"/>
                <w:color w:val="auto"/>
              </w:rPr>
              <w:t>Estimated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Estimated Useful Life</w:t>
            </w:r>
          </w:p>
        </w:tc>
      </w:tr>
      <w:tr>
        <w:trPr>
          <w:trHeight w:val="171"/>
        </w:trPr>
        <w:tc>
          <w:tcPr>
            <w:tcW w:w="7860" w:type="dxa"/>
            <w:vAlign w:val="bottom"/>
          </w:tcPr>
          <w:p>
            <w:pPr>
              <w:spacing w:after="0"/>
              <w:rPr>
                <w:sz w:val="14"/>
                <w:szCs w:val="14"/>
                <w:color w:val="auto"/>
              </w:rPr>
            </w:pPr>
          </w:p>
        </w:tc>
        <w:tc>
          <w:tcPr>
            <w:tcW w:w="1200" w:type="dxa"/>
            <w:vAlign w:val="bottom"/>
          </w:tcPr>
          <w:p>
            <w:pPr>
              <w:ind w:left="460"/>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Tradename</w:t>
            </w:r>
          </w:p>
        </w:tc>
        <w:tc>
          <w:tcPr>
            <w:tcW w:w="1200" w:type="dxa"/>
            <w:vAlign w:val="bottom"/>
            <w:tcBorders>
              <w:top w:val="single" w:sz="8" w:color="auto"/>
            </w:tcBorders>
            <w:shd w:val="clear" w:color="auto" w:fill="CFF0FC"/>
          </w:tcPr>
          <w:p>
            <w:pPr>
              <w:jc w:val="right"/>
              <w:ind w:right="102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Transaction costs related to the acquisition totaled $0.5 million in fiscal 2022 and $14 thousand in the first quarter fiscal 2023 and are recorded in acquisition costs in the consolidated statements of operations.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Stay-Lite Lighting’s post-acquisition results of operations since January 1, 2022 are included in the Orion’s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Stay-Lite Lighting are included in the Orion Services Group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175"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489"/>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2022.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89"/>
        <w:spacing w:after="0" w:line="254" w:lineRule="auto"/>
        <w:rPr>
          <w:sz w:val="20"/>
          <w:szCs w:val="20"/>
          <w:color w:val="auto"/>
        </w:rPr>
      </w:pPr>
      <w:r>
        <w:rPr>
          <w:rFonts w:ascii="Arial" w:cs="Arial" w:eastAsia="Arial" w:hAnsi="Arial"/>
          <w:sz w:val="18"/>
          <w:szCs w:val="18"/>
          <w:color w:val="auto"/>
        </w:rPr>
        <w:t>We provide state-of-the-art light emitting diode (“LED”) lighting systems, wireless Internet of Things (“IoT”) enabled control solutions, project engineering, energy project management design and maintenance services.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three primary market segments: commercial office and retail, area lighting, and industrial applications, although we do sell and install products into other markets. Our services consist of turnkey installation and system maintenance. Virtually all our sales occur within North America.</w:t>
      </w:r>
    </w:p>
    <w:p>
      <w:pPr>
        <w:spacing w:after="0" w:line="141"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color w:val="auto"/>
        </w:rPr>
        <w:t>Our lighting products consist primarily of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most of our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34" w:lineRule="exact"/>
        <w:rPr>
          <w:sz w:val="20"/>
          <w:szCs w:val="20"/>
          <w:color w:val="auto"/>
        </w:rPr>
      </w:pPr>
    </w:p>
    <w:p>
      <w:pPr>
        <w:jc w:val="both"/>
        <w:ind w:firstLine="489"/>
        <w:spacing w:after="0" w:line="275" w:lineRule="auto"/>
        <w:rPr>
          <w:sz w:val="20"/>
          <w:szCs w:val="20"/>
          <w:color w:val="auto"/>
        </w:rPr>
      </w:pPr>
      <w:r>
        <w:rPr>
          <w:rFonts w:ascii="Arial" w:cs="Arial" w:eastAsia="Arial" w:hAnsi="Arial"/>
          <w:sz w:val="17"/>
          <w:szCs w:val="17"/>
          <w:color w:val="auto"/>
        </w:rPr>
        <w:t>We differentiate ourselves from our competitors through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which enables us to support a lifetime business relationship with our customer. We completed the acquisition of Stay-Lite Lighting on January 1, 2022, which is intended to further expand our maintenance services capabilities.</w:t>
      </w:r>
    </w:p>
    <w:p>
      <w:pPr>
        <w:spacing w:after="0" w:line="122" w:lineRule="exact"/>
        <w:rPr>
          <w:sz w:val="20"/>
          <w:szCs w:val="20"/>
          <w:color w:val="auto"/>
        </w:rPr>
      </w:pPr>
    </w:p>
    <w:p>
      <w:pPr>
        <w:jc w:val="both"/>
        <w:ind w:firstLine="489"/>
        <w:spacing w:after="0" w:line="286" w:lineRule="auto"/>
        <w:rPr>
          <w:sz w:val="20"/>
          <w:szCs w:val="20"/>
          <w:color w:val="auto"/>
        </w:rPr>
      </w:pPr>
      <w:r>
        <w:rPr>
          <w:rFonts w:ascii="Arial" w:cs="Arial" w:eastAsia="Arial" w:hAnsi="Arial"/>
          <w:sz w:val="17"/>
          <w:szCs w:val="17"/>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firstLine="489"/>
        <w:spacing w:after="0" w:line="268" w:lineRule="auto"/>
        <w:rPr>
          <w:sz w:val="20"/>
          <w:szCs w:val="20"/>
          <w:color w:val="auto"/>
        </w:rPr>
      </w:pPr>
      <w:r>
        <w:rPr>
          <w:rFonts w:ascii="Arial" w:cs="Arial" w:eastAsia="Arial" w:hAnsi="Arial"/>
          <w:sz w:val="17"/>
          <w:szCs w:val="17"/>
          <w:color w:val="auto"/>
        </w:rPr>
        <w:t>In fiscal 2022, we continued to successfully capitalize on our capability of being a full service, turn-key provider of LED lighting and controls systems with design, build, installation and project management services, as we continued a very large project for a major national account.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controls products and services that we offer to our customers. We currently plan on 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While we intend to pursue these expansion strategies organically, we also are actively exploring potential business acquisitions, like our acquisition of Stay-Lite Lighting, which would more quickly add these types of expanded and different capabilities to our product and services offerings. It is possible that one or more of such potential acquisitions, if successfully completed, could significantly change, and potentially transform, the nature and extent of our business.</w:t>
      </w:r>
    </w:p>
    <w:p>
      <w:pPr>
        <w:spacing w:after="0" w:line="132"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We generally do not have long-term contracts with our customers for product or turnkey services that provide us with recurring annual revenue. However, some of our maintenance services contracts consist of multi-year arrangements. We typically generate substantially all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27"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30" w:lineRule="exact"/>
        <w:rPr>
          <w:sz w:val="20"/>
          <w:szCs w:val="20"/>
          <w:color w:val="auto"/>
        </w:rPr>
      </w:pPr>
    </w:p>
    <w:p>
      <w:pPr>
        <w:ind w:right="120" w:firstLine="489"/>
        <w:spacing w:after="0" w:line="263" w:lineRule="auto"/>
        <w:rPr>
          <w:sz w:val="20"/>
          <w:szCs w:val="20"/>
          <w:color w:val="auto"/>
        </w:rPr>
      </w:pPr>
      <w:r>
        <w:rPr>
          <w:rFonts w:ascii="Arial" w:cs="Arial" w:eastAsia="Arial" w:hAnsi="Arial"/>
          <w:sz w:val="18"/>
          <w:szCs w:val="18"/>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30" w:lineRule="exact"/>
        <w:rPr>
          <w:sz w:val="20"/>
          <w:szCs w:val="20"/>
          <w:color w:val="auto"/>
        </w:rPr>
      </w:pPr>
    </w:p>
    <w:p>
      <w:pPr>
        <w:ind w:right="100" w:firstLine="489"/>
        <w:spacing w:after="0" w:line="259" w:lineRule="auto"/>
        <w:rPr>
          <w:sz w:val="20"/>
          <w:szCs w:val="20"/>
          <w:color w:val="auto"/>
        </w:rPr>
      </w:pPr>
      <w:r>
        <w:rPr>
          <w:rFonts w:ascii="Arial" w:cs="Arial" w:eastAsia="Arial" w:hAnsi="Arial"/>
          <w:sz w:val="18"/>
          <w:szCs w:val="18"/>
          <w:color w:val="auto"/>
        </w:rPr>
        <w:t>Our fiscal year ends on March 31. Our current fiscal year ends on March 31, 2023 and is referred to as “fiscal 2023”. We refer to our just completed fiscal year, which ended on March 31, 2022, as "fiscal 2022", and our prior fiscal year which ended on March 31, 2021 as "fiscal 2021". Our fiscal first quarter of each fiscal year ends on June 30, our fiscal second quarter ends on September 30, our fiscal third quarter ends on December 31 and our fiscal fourth quarter ends on March 31.</w:t>
      </w:r>
    </w:p>
    <w:p>
      <w:pPr>
        <w:spacing w:after="0" w:line="133" w:lineRule="exact"/>
        <w:rPr>
          <w:sz w:val="20"/>
          <w:szCs w:val="20"/>
          <w:color w:val="auto"/>
        </w:rPr>
      </w:pPr>
    </w:p>
    <w:p>
      <w:pPr>
        <w:ind w:right="300" w:firstLine="489"/>
        <w:spacing w:after="0" w:line="311" w:lineRule="auto"/>
        <w:rPr>
          <w:sz w:val="20"/>
          <w:szCs w:val="20"/>
          <w:color w:val="auto"/>
        </w:rPr>
      </w:pPr>
      <w:r>
        <w:rPr>
          <w:rFonts w:ascii="Arial" w:cs="Arial" w:eastAsia="Arial" w:hAnsi="Arial"/>
          <w:sz w:val="16"/>
          <w:szCs w:val="16"/>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Services Group Division ("OSG"), and Orion Distribution Services Division ("ODS"), and Orion U.S. Markets Division (“USM”).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75" w:lineRule="exact"/>
        <w:rPr>
          <w:sz w:val="20"/>
          <w:szCs w:val="20"/>
          <w:color w:val="auto"/>
        </w:rPr>
      </w:pPr>
    </w:p>
    <w:p>
      <w:pPr>
        <w:jc w:val="both"/>
        <w:ind w:firstLine="599"/>
        <w:spacing w:after="0" w:line="263" w:lineRule="auto"/>
        <w:rPr>
          <w:sz w:val="20"/>
          <w:szCs w:val="20"/>
          <w:color w:val="auto"/>
        </w:rPr>
      </w:pPr>
      <w:r>
        <w:rPr>
          <w:rFonts w:ascii="Arial" w:cs="Arial" w:eastAsia="Arial" w:hAnsi="Arial"/>
          <w:sz w:val="18"/>
          <w:szCs w:val="18"/>
          <w:color w:val="auto"/>
        </w:rPr>
        <w:t>The COVID-19 pandemic has disrupted business, trade, commerce, financial and credit markets, in the U.S. and globally. Our business was adversely impacted by measures taken by customers, suppliers, government entities and others to control the spread of the virus beginning in March 2020, the last few weeks of our 2020 fiscal year, and continuing most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significantly into the second quarter of fiscal 2021. During the third quarter of fiscal 2021, we experienced a rebound in business as project installations resumed for our largest customer. However, potential future risks remain due to the COVID-19 pandemic. It is not possible to predict the overall impact, including the economic and regulatory impact, the COVID-19 pandemic will have on put business, liquidity, capital resources or financial results. If the COVID-19 pandemic becomes more pronounced in our markets or experiences a resurgence in markets recovering from the spread of COVID-19, our results of operation would likely be materially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Stay-Lite Lighting</w:t>
      </w:r>
    </w:p>
    <w:p>
      <w:pPr>
        <w:spacing w:after="0" w:line="175" w:lineRule="exact"/>
        <w:rPr>
          <w:sz w:val="20"/>
          <w:szCs w:val="20"/>
          <w:color w:val="auto"/>
        </w:rPr>
      </w:pPr>
    </w:p>
    <w:p>
      <w:pPr>
        <w:jc w:val="both"/>
        <w:ind w:right="20" w:firstLine="599"/>
        <w:spacing w:after="0" w:line="275" w:lineRule="auto"/>
        <w:rPr>
          <w:sz w:val="20"/>
          <w:szCs w:val="20"/>
          <w:color w:val="auto"/>
        </w:rPr>
      </w:pPr>
      <w:r>
        <w:rPr>
          <w:rFonts w:ascii="Arial" w:cs="Arial" w:eastAsia="Arial" w:hAnsi="Arial"/>
          <w:sz w:val="17"/>
          <w:szCs w:val="17"/>
          <w:color w:val="auto"/>
        </w:rPr>
        <w:t>Effective on January 1, 2022, we acquired all of the issued and outstanding capital stock of Stay-Lite Lighting, a nationwide lighting and electrical maintenance service provider, for a cash purchase price of $4.0 million. In addition, depending upon the performance during the current and following calendar years, Orion could pay up to an additional $0.7 million in earn out related purchase price. The acquisition was funded from existing cash resources. Stay-Lite Lighting will operate as Stay-Lite, an Orion Energy Systems business. The acquisition accelerates the growth of our maintenance services offerings through our Orion Services Group, which provides lighting and electrical services to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599"/>
        <w:spacing w:after="0" w:line="308" w:lineRule="auto"/>
        <w:rPr>
          <w:sz w:val="20"/>
          <w:szCs w:val="20"/>
          <w:color w:val="auto"/>
        </w:rPr>
      </w:pPr>
      <w:r>
        <w:rPr>
          <w:rFonts w:ascii="Arial" w:cs="Arial" w:eastAsia="Arial" w:hAnsi="Arial"/>
          <w:sz w:val="17"/>
          <w:szCs w:val="17"/>
          <w:color w:val="auto"/>
        </w:rPr>
        <w:t>During the fourth quarter of fiscal 2022, we substantially completed a significant project rollout for our large national retail customer. During the first quarter of fiscal 2021, we continued to support this customer, but at lower revenue levels than the comparative prior year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June 30, 2022 versus Three Months Ended June 30, 2021</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2"/>
              </w:rPr>
              <w:t>Three Months Ended June 30,</w:t>
            </w: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9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ind w:right="133"/>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Revenue</w:t>
            </w:r>
          </w:p>
        </w:tc>
        <w:tc>
          <w:tcPr>
            <w:tcW w:w="3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28,246</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6,855</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19,433</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22.2%</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24,871</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80.2%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19.8%</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3,111</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Acquisition costs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ind w:left="680"/>
              <w:spacing w:after="0"/>
              <w:rPr>
                <w:sz w:val="20"/>
                <w:szCs w:val="20"/>
                <w:color w:val="auto"/>
              </w:rPr>
            </w:pPr>
            <w:r>
              <w:rPr>
                <w:rFonts w:ascii="Arial" w:cs="Arial" w:eastAsia="Arial" w:hAnsi="Arial"/>
                <w:sz w:val="18"/>
                <w:szCs w:val="18"/>
                <w:color w:val="auto"/>
              </w:rPr>
              <w:t>NM</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3,245</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(Loss) income from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(3,617)</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3,418</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(205.8)%</w:t>
            </w: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ind w:left="680"/>
              <w:spacing w:after="0"/>
              <w:rPr>
                <w:sz w:val="20"/>
                <w:szCs w:val="20"/>
                <w:color w:val="auto"/>
              </w:rPr>
            </w:pPr>
            <w:r>
              <w:rPr>
                <w:rFonts w:ascii="Arial" w:cs="Arial" w:eastAsia="Arial" w:hAnsi="Arial"/>
                <w:sz w:val="18"/>
                <w:szCs w:val="18"/>
                <w:color w:val="auto"/>
              </w:rPr>
              <w:t>NM</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(Loss) income before income tax</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3,384</w:t>
            </w:r>
          </w:p>
        </w:tc>
        <w:tc>
          <w:tcPr>
            <w:tcW w:w="220" w:type="dxa"/>
            <w:vAlign w:val="bottom"/>
          </w:tcPr>
          <w:p>
            <w:pPr>
              <w:spacing w:after="0"/>
              <w:rPr>
                <w:sz w:val="19"/>
                <w:szCs w:val="19"/>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ind w:left="680"/>
              <w:spacing w:after="0"/>
              <w:rPr>
                <w:sz w:val="20"/>
                <w:szCs w:val="20"/>
                <w:color w:val="auto"/>
              </w:rPr>
            </w:pPr>
            <w:r>
              <w:rPr>
                <w:rFonts w:ascii="Arial" w:cs="Arial" w:eastAsia="Arial" w:hAnsi="Arial"/>
                <w:sz w:val="18"/>
                <w:szCs w:val="18"/>
                <w:color w:val="auto"/>
              </w:rPr>
              <w:t>NM</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(2,835)</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2,510</w:t>
            </w:r>
          </w:p>
        </w:tc>
        <w:tc>
          <w:tcPr>
            <w:tcW w:w="220" w:type="dxa"/>
            <w:vAlign w:val="bottom"/>
            <w:vMerge w:val="continue"/>
          </w:tcPr>
          <w:p>
            <w:pPr>
              <w:spacing w:after="0"/>
              <w:rPr>
                <w:sz w:val="19"/>
                <w:szCs w:val="19"/>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0</wp:posOffset>
            </wp:positionV>
            <wp:extent cx="383222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32225" cy="25400"/>
                    </a:xfrm>
                    <a:prstGeom prst="rect">
                      <a:avLst/>
                    </a:prstGeom>
                    <a:noFill/>
                  </pic:spPr>
                </pic:pic>
              </a:graphicData>
            </a:graphic>
          </wp:anchor>
        </w:drawing>
      </w:r>
    </w:p>
    <w:p>
      <w:pPr>
        <w:spacing w:after="0" w:line="10" w:lineRule="exact"/>
        <w:rPr>
          <w:sz w:val="20"/>
          <w:szCs w:val="20"/>
          <w:color w:val="auto"/>
        </w:rPr>
      </w:pPr>
    </w:p>
    <w:p>
      <w:pPr>
        <w:ind w:left="740" w:hanging="732"/>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NM - Not Meaningful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jc w:val="both"/>
        <w:ind w:firstLine="489"/>
        <w:spacing w:after="0" w:line="269" w:lineRule="auto"/>
        <w:rPr>
          <w:sz w:val="20"/>
          <w:szCs w:val="20"/>
          <w:color w:val="auto"/>
        </w:rPr>
      </w:pPr>
      <w:r>
        <w:rPr>
          <w:rFonts w:ascii="Arial" w:cs="Arial" w:eastAsia="Arial" w:hAnsi="Arial"/>
          <w:sz w:val="17"/>
          <w:szCs w:val="17"/>
          <w:i w:val="1"/>
          <w:iCs w:val="1"/>
          <w:color w:val="auto"/>
        </w:rPr>
        <w:t xml:space="preserve">Revenue, Cost of Revenue and Gross Margin. </w:t>
      </w:r>
      <w:r>
        <w:rPr>
          <w:rFonts w:ascii="Arial" w:cs="Arial" w:eastAsia="Arial" w:hAnsi="Arial"/>
          <w:sz w:val="17"/>
          <w:szCs w:val="17"/>
          <w:color w:val="auto"/>
        </w:rPr>
        <w:t>Product revenue decreased 52.3%, or $14.8 million, for the first quarter of fiscal 2023 versus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2022. Service revenue decreased 35.5%, or $2.4 million, for the first quarter of fiscal 2023 versus the first quarter of fiscal 2022. The decrease in product and service revenue was due to significantly lower project revenues from our largest customer and other customer delays on several larger LED lighting and controls projects, primarily caused by the response of customers to supply chain disruptions and COVID-19 related impacts to our businesses. This includes installations from our existing large national retail customer, which represented 13.8% of total revenue in the first quarter of fiscal 2023. This decrease in revenue is partially offset by revenues due to the acquisition of Stay-Lite Lighting. Cost of product revenue decreased by 46.6%, or $9.0 million, in the first quarter of fiscal 2023 versus the comparable period in fiscal 2022. Cost of service revenue decreased by 27.1%, or $1.5 million, in the first quarter of fiscal 2023 versus the comparable period in fiscal 2022. The decrease in product and service costs was primarily due to the decrease in revenue. Gross margin decreased from 29.1% of revenue in the first quarter of fiscal 2022 to 19.8% in the first quarter of fiscal 2023, due primarily to reduced sales decreasing absorption of fixed costs.</w:t>
      </w:r>
    </w:p>
    <w:p>
      <w:pPr>
        <w:spacing w:after="0" w:line="22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20.7%, or $0.6 million, in the first quarter of fiscal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fiscal 2022. This comparative increase was primarily due to the acquisition of Stay-Lite Lighting.</w:t>
      </w:r>
    </w:p>
    <w:p>
      <w:pPr>
        <w:spacing w:after="0" w:line="116"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11.0%, or $0.4 million, in the first quarter of fiscal 2023 compared to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2022. This comparative decrease was primarily due to a reduction in commission expense on lower sales, partially offset by increased employment costs.</w:t>
      </w:r>
    </w:p>
    <w:p>
      <w:pPr>
        <w:spacing w:after="0" w:line="13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12.7%, or $0.1 million, in the first quarter of fiscal 2023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fiscal 2022, as a result of increased testing.</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first quarter of fiscal 2023 decreased 10.5%, or $2 thousand, from the first quarter of fiscal 2022.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interest expense was due to fewer sales of receivables.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Services Group Division</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OSG segment develops and sells lighting products and provides construction, engineering along with installation and maintenance services for our commercial lighting and energy management systems. OSG provides engineering, design, lighting products and in many cases turnkey solutions for large national accounts, governments, municipalities, schools and other customers.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OSG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Three Months Ended June 30,</w:t>
            </w:r>
          </w:p>
        </w:tc>
        <w:tc>
          <w:tcPr>
            <w:tcW w:w="1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256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Borders>
              <w:bottom w:val="single" w:sz="8" w:color="CFF0FC"/>
            </w:tcBorders>
          </w:tcPr>
          <w:p>
            <w:pPr>
              <w:spacing w:after="0"/>
              <w:rPr>
                <w:sz w:val="14"/>
                <w:szCs w:val="14"/>
                <w:color w:val="auto"/>
              </w:rPr>
            </w:pPr>
          </w:p>
        </w:tc>
        <w:tc>
          <w:tcPr>
            <w:tcW w:w="256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5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9,035</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21,988</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Operating income</w:t>
            </w:r>
          </w:p>
        </w:tc>
        <w:tc>
          <w:tcPr>
            <w:tcW w:w="336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(2,229)</w:t>
            </w:r>
          </w:p>
        </w:tc>
        <w:tc>
          <w:tcPr>
            <w:tcW w:w="11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1,864</w:t>
            </w:r>
          </w:p>
        </w:tc>
        <w:tc>
          <w:tcPr>
            <w:tcW w:w="3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5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99"/>
              <w:spacing w:after="0"/>
              <w:rPr>
                <w:sz w:val="20"/>
                <w:szCs w:val="20"/>
                <w:color w:val="auto"/>
              </w:rPr>
            </w:pPr>
            <w:r>
              <w:rPr>
                <w:rFonts w:ascii="Arial" w:cs="Arial" w:eastAsia="Arial" w:hAnsi="Arial"/>
                <w:sz w:val="18"/>
                <w:szCs w:val="18"/>
                <w:color w:val="auto"/>
              </w:rPr>
              <w:t>(24.7)%</w:t>
            </w:r>
          </w:p>
        </w:tc>
        <w:tc>
          <w:tcPr>
            <w:tcW w:w="7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OSG segment revenue in the first quarter of fiscal 2023 decreased by 58.9%, or $13.0 million. The decrease in revenue was due to a significant reduction of project volume from our largest customer and other customer delays on several larger LED lighting and controls projects, primarily caused by the response of customers to supply chain disruptions and COVID-19 related impacts to our businesses. This revenue decrease is partially offset by the added revenue from Stay-Lite Lighting. This decrease led to a corresponding operating loss in this segment, as a result of revenue decreasing absorption of fixed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Three Months Ended June 30,</w:t>
            </w:r>
          </w:p>
        </w:tc>
        <w:tc>
          <w:tcPr>
            <w:tcW w:w="1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256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Borders>
              <w:bottom w:val="single" w:sz="8" w:color="CFF0FC"/>
            </w:tcBorders>
          </w:tcPr>
          <w:p>
            <w:pPr>
              <w:spacing w:after="0"/>
              <w:rPr>
                <w:sz w:val="14"/>
                <w:szCs w:val="14"/>
                <w:color w:val="auto"/>
              </w:rPr>
            </w:pPr>
          </w:p>
        </w:tc>
        <w:tc>
          <w:tcPr>
            <w:tcW w:w="256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5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4,826</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9,286</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Operating income</w:t>
            </w:r>
          </w:p>
        </w:tc>
        <w:tc>
          <w:tcPr>
            <w:tcW w:w="340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1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2,122</w:t>
            </w:r>
          </w:p>
        </w:tc>
        <w:tc>
          <w:tcPr>
            <w:tcW w:w="3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5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99"/>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22.9%</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93"/>
        <w:spacing w:after="0" w:line="342" w:lineRule="auto"/>
        <w:rPr>
          <w:sz w:val="20"/>
          <w:szCs w:val="20"/>
          <w:color w:val="auto"/>
        </w:rPr>
      </w:pPr>
      <w:r>
        <w:rPr>
          <w:rFonts w:ascii="Arial" w:cs="Arial" w:eastAsia="Arial" w:hAnsi="Arial"/>
          <w:sz w:val="16"/>
          <w:szCs w:val="16"/>
          <w:color w:val="auto"/>
        </w:rPr>
        <w:t>ODS segment revenue in the first quarter of fiscal 2023 decreased by 48.0%, or $4.5 million, compared to the first quarter of fiscal 2022, primarily due to a decrease in sales to one customer. The decrease in sales resulted in a corresponding operating loss in this segment based on operating leverage.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Three Months Ended June 30,</w:t>
            </w:r>
          </w:p>
        </w:tc>
        <w:tc>
          <w:tcPr>
            <w:tcW w:w="1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1"/>
                <w:szCs w:val="11"/>
                <w:color w:val="auto"/>
              </w:rPr>
            </w:pPr>
          </w:p>
        </w:tc>
        <w:tc>
          <w:tcPr>
            <w:tcW w:w="32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4,045</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3,827</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Operating income</w:t>
            </w:r>
          </w:p>
        </w:tc>
        <w:tc>
          <w:tcPr>
            <w:tcW w:w="34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186</w:t>
            </w:r>
          </w:p>
        </w:tc>
        <w:tc>
          <w:tcPr>
            <w:tcW w:w="11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651</w:t>
            </w:r>
          </w:p>
        </w:tc>
        <w:tc>
          <w:tcPr>
            <w:tcW w:w="3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4.6%</w:t>
            </w: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17.0%</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93"/>
        <w:spacing w:after="0" w:line="308" w:lineRule="auto"/>
        <w:rPr>
          <w:sz w:val="20"/>
          <w:szCs w:val="20"/>
          <w:color w:val="auto"/>
        </w:rPr>
      </w:pPr>
      <w:r>
        <w:rPr>
          <w:rFonts w:ascii="Arial" w:cs="Arial" w:eastAsia="Arial" w:hAnsi="Arial"/>
          <w:sz w:val="17"/>
          <w:szCs w:val="17"/>
          <w:color w:val="auto"/>
        </w:rPr>
        <w:t>USM segment revenue in the first quarter of fiscal 2023 increased by 5.7%, or $0.2 million, compared to the first quarter of fiscal 2022, primarily due to a more diversified customer base. Operating income in this segment decreased as a result of increased allocation of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We believe our existing cash and operating cash flow provide us with the financial flexibility needed to meet our capital requirements, including to fund targeted capital expenditures, acquisitions and working capital for one year from the date of this report, as well as our longer-term capital requirements for periods beyond at least one year from the date of this report.</w:t>
      </w:r>
    </w:p>
    <w:p>
      <w:pPr>
        <w:spacing w:after="0" w:line="130"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We had approximately $9.4 million in cash and cash equivalents as of June 30, 2022, compared to $14.5 million at March 31, 2022. Our cash position decreased as a result of overall use of working capital during the first quarter of fiscal 2023.</w:t>
      </w:r>
    </w:p>
    <w:p>
      <w:pPr>
        <w:spacing w:after="0" w:line="116" w:lineRule="exact"/>
        <w:rPr>
          <w:sz w:val="20"/>
          <w:szCs w:val="20"/>
          <w:color w:val="auto"/>
        </w:rPr>
      </w:pPr>
    </w:p>
    <w:p>
      <w:pPr>
        <w:jc w:val="both"/>
        <w:ind w:firstLine="493"/>
        <w:spacing w:after="0" w:line="255"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margins, cash management practices, cost containment, working capital management, capital expenditures. While we believe that we will likely have adequate available cash and equivalents and credit availability under our Credit Agreement to satisfy our currently anticipated working capital and liquidity requirements during the next 12 months based on our current cash flow forecast, there can be no assurance to that effect. If we experience significant liquidity constraints, we may be required to issue equity or debt securities, reduce our sales efforts, implement additional cost savings initiatives or undertake other efforts to conserve our cash.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three months ended June 30, 2022 and 2021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169"/>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ind w:right="29"/>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4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(5,005)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(2,966)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Investing activities</w:t>
            </w:r>
          </w:p>
        </w:tc>
        <w:tc>
          <w:tcPr>
            <w:tcW w:w="2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(656)</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4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480" w:type="dxa"/>
            <w:vAlign w:val="bottom"/>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(5,042)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6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(3,530)</w:t>
            </w:r>
          </w:p>
        </w:tc>
        <w:tc>
          <w:tcPr>
            <w:tcW w:w="1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consists of net loss adjusted for certain non-cash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depreciation, amortization of intangible assets, stock-based compensation, amortization of debt issue costs, provisions for reserves, and the effect of changes in working capital and other activities.</w:t>
      </w:r>
    </w:p>
    <w:p>
      <w:pPr>
        <w:spacing w:after="0" w:line="130"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Cash used in operating activities for the first three months of fiscal 2023 was $5.0 million and consisted of our net loss of $2.8 million adjusted for non-cash expense items and net cash used in changes in working capital of $2.0 million, the largest of which was a $2.5 million decrease in accounts payable.</w:t>
      </w:r>
    </w:p>
    <w:p>
      <w:pPr>
        <w:spacing w:after="0" w:line="130" w:lineRule="exact"/>
        <w:rPr>
          <w:sz w:val="20"/>
          <w:szCs w:val="20"/>
          <w:color w:val="auto"/>
        </w:rPr>
      </w:pPr>
    </w:p>
    <w:p>
      <w:pPr>
        <w:jc w:val="both"/>
        <w:ind w:firstLine="489"/>
        <w:spacing w:after="0" w:line="296" w:lineRule="auto"/>
        <w:rPr>
          <w:sz w:val="20"/>
          <w:szCs w:val="20"/>
          <w:color w:val="auto"/>
        </w:rPr>
      </w:pPr>
      <w:r>
        <w:rPr>
          <w:rFonts w:ascii="Arial" w:cs="Arial" w:eastAsia="Arial" w:hAnsi="Arial"/>
          <w:sz w:val="16"/>
          <w:szCs w:val="16"/>
          <w:color w:val="auto"/>
        </w:rPr>
        <w:t>Cash used in operating activities for the first three months of fiscal 2022 was $3.0 million and consisted of our net income adjusted for non-cash expense items of $1.6 million and net cash used in changes in operating assets and liabilities of $7.0 million. Cash used by operating assets and liabilities consisted primarily of an increase in accounts receivable of $5.9 million due to higher sales and the timing of collections, and a decrease in accrued expenses and other of $3.6 million due to timing of invoices received. Cash provided by changes in operating assets and liabilities consisted primarily of a decrease of $1.9 million in revenue earned but not billed and an increase in accounts payable of $1.4 million due to the timing of payments.</w:t>
      </w:r>
    </w:p>
    <w:p>
      <w:pPr>
        <w:spacing w:after="0" w:line="107"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of $0.1 million in the first three months of fiscal 2022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purchases of property and equipment.</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Cash used in investing activities of $0.7 million in the first three months of fiscal 2022 consisted primarily of cash paid for a non-controlling equity stake in ndustrial of $0.5 million and purchases of property and equipment.</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provided by financing activities of $48 thousand in the first three months of fiscal 2023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proceeds from employee equity exercises.</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Cash provided by financing activities of $0.1 million in the first three months of fiscal 2022 consisted primarily of proceeds from employee equity exercises.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Our net working capital as of June 30, 2022 was $29.5 million, consisting of $44.4 million in current assets and $14.9 million in current liabilities. Our net working capital as of March 31, 2022 was $32.9 million, consisting of $51.2 million in current assets and $18.4 million in current liabilities. The decrease in our working capital from the fiscal 2022 year-end was primarily due to an overall reduction in project volume performed for our largest customer.</w:t>
      </w:r>
    </w:p>
    <w:p>
      <w:pPr>
        <w:spacing w:after="0" w:line="133"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Because of recent supply chain challenges, we have been making additional incremental inventory purchases. Our accounts receivables, inventory and payables may increase to the extent our revenue and order levels increase.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On December 29, 2020, we entered into a new $25 million Loan and Security Agreement (the “Credit Agreement”) with Bank of America, N.A., as lender (the “Lender”). The Credit Agreement replaced our prior $20.15 million secured revolving credit and security agreement (the “Prior Credit Agreement”).</w:t>
      </w:r>
    </w:p>
    <w:p>
      <w:pPr>
        <w:spacing w:after="0" w:line="13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us with increased financing capacity and liquidity to fund our operations and implement our strategic plans.</w:t>
      </w:r>
    </w:p>
    <w:p>
      <w:pPr>
        <w:spacing w:after="0" w:line="116" w:lineRule="exact"/>
        <w:rPr>
          <w:sz w:val="20"/>
          <w:szCs w:val="20"/>
          <w:color w:val="auto"/>
        </w:rPr>
      </w:pPr>
    </w:p>
    <w:p>
      <w:pPr>
        <w:jc w:val="both"/>
        <w:ind w:firstLine="489"/>
        <w:spacing w:after="0" w:line="311" w:lineRule="auto"/>
        <w:rPr>
          <w:sz w:val="20"/>
          <w:szCs w:val="20"/>
          <w:color w:val="auto"/>
        </w:rPr>
      </w:pPr>
      <w:r>
        <w:rPr>
          <w:rFonts w:ascii="Arial" w:cs="Arial" w:eastAsia="Arial" w:hAnsi="Arial"/>
          <w:sz w:val="16"/>
          <w:szCs w:val="16"/>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June 30, 2022, the borrowing base supports $15.8 million availability of the Credit Facility. As of June 30, 2022, no amounts were borrowed under the Credit Facility.</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first lien security interest in substantially all of our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purchase orders. Backlog totaled $8.3 million and $10.1 million as of June 30, 2022 and March 31, 2022, respectively. We generally expect our backlog to be recognized as revenue within one year, although the COVID-19 pandemic may extend this time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ind w:firstLine="493"/>
        <w:spacing w:after="0" w:line="286" w:lineRule="auto"/>
        <w:rPr>
          <w:sz w:val="20"/>
          <w:szCs w:val="20"/>
          <w:color w:val="auto"/>
        </w:rPr>
      </w:pPr>
      <w:r>
        <w:rPr>
          <w:rFonts w:ascii="Arial" w:cs="Arial" w:eastAsia="Arial" w:hAnsi="Arial"/>
          <w:sz w:val="17"/>
          <w:szCs w:val="17"/>
          <w:color w:val="auto"/>
        </w:rPr>
        <w:t>We have experienced increases in various input costs including labor, components and transportation in the past year. In response, we have implemented multiple price increases, and we have substantially mitigated the inflationary pressures, such that our results from operations have not been materially affected by inflation. We are monitoring input costs and cannot currently predict the future impact to our operations by inflation.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93"/>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2022. For the three months ended June 30, 2022, there were no material changes in our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3 in the Condensed Consolidated Financial Statements included elsewhere in this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6" w:name="page27"/>
    <w:bookmarkEnd w:id="26"/>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2022. There have been no material changes to such exposures since March 31, 2022.</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spacing w:after="0" w:line="130"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As of June 30, 2022,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13a-15(e) and Rule 15d-15(e) of the Exchange Act) for the quarter ended June 30, 2022, that materially affected, or are reasonably likely to materially affect, our internal control over financial reporting.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15 – Commitments and Contingencies, to the Condensed Consolidated Financial Statements in Item 1 of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2022, which we filed with the SEC on June 10, 2022 and in Part 1 - Item 2 under the heading "Management's Discussion and Analysis of Financial Condition and Results of Operations" in this Form 10-Q.</w:t>
      </w:r>
    </w:p>
    <w:p>
      <w:pPr>
        <w:spacing w:after="0" w:line="21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1"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570"/>
              <w:spacing w:after="0"/>
              <w:rPr>
                <w:sz w:val="20"/>
                <w:szCs w:val="20"/>
                <w:color w:val="auto"/>
              </w:rPr>
            </w:pPr>
            <w:r>
              <w:rPr>
                <w:rFonts w:ascii="Arial" w:cs="Arial" w:eastAsia="Arial" w:hAnsi="Arial"/>
                <w:sz w:val="18"/>
                <w:szCs w:val="18"/>
                <w:color w:val="auto"/>
              </w:rPr>
              <w:t>10.1</w:t>
            </w:r>
          </w:p>
        </w:tc>
        <w:tc>
          <w:tcPr>
            <w:tcW w:w="10120" w:type="dxa"/>
            <w:vAlign w:val="bottom"/>
            <w:tcBorders>
              <w:bottom w:val="single" w:sz="8" w:color="0000EE"/>
            </w:tcBorders>
            <w:gridSpan w:val="11"/>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Voluntary Retirement and Consulting Agreement, dated as of August 2, 2022 and effective as of November 10, 2022, between Orion Energy</w:t>
              </w:r>
            </w:hyperlink>
          </w:p>
        </w:tc>
      </w:tr>
      <w:tr>
        <w:trPr>
          <w:trHeight w:val="196"/>
        </w:trPr>
        <w:tc>
          <w:tcPr>
            <w:tcW w:w="108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Systems, Inc. and Michael W. Altschaefl, is hereby incorporated by reference.</w:t>
              </w:r>
            </w:hyperlink>
          </w:p>
        </w:tc>
      </w:tr>
      <w:tr>
        <w:trPr>
          <w:trHeight w:val="20"/>
        </w:trPr>
        <w:tc>
          <w:tcPr>
            <w:tcW w:w="108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jc w:val="right"/>
              <w:ind w:right="570"/>
              <w:spacing w:after="0"/>
              <w:rPr>
                <w:sz w:val="20"/>
                <w:szCs w:val="20"/>
                <w:color w:val="auto"/>
              </w:rPr>
            </w:pPr>
            <w:r>
              <w:rPr>
                <w:rFonts w:ascii="Arial" w:cs="Arial" w:eastAsia="Arial" w:hAnsi="Arial"/>
                <w:sz w:val="18"/>
                <w:szCs w:val="18"/>
                <w:color w:val="auto"/>
              </w:rPr>
              <w:t>10.2</w:t>
            </w:r>
          </w:p>
        </w:tc>
        <w:tc>
          <w:tcPr>
            <w:tcW w:w="9900" w:type="dxa"/>
            <w:vAlign w:val="bottom"/>
            <w:tcBorders>
              <w:bottom w:val="single" w:sz="8" w:color="0000EE"/>
            </w:tcBorders>
            <w:gridSpan w:val="7"/>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Amended Executive Employment and Severance Agreement, effective as of November 10, 2022, by and between Orion Energy Systems,</w:t>
              </w:r>
            </w:hyperlink>
          </w:p>
        </w:tc>
        <w:tc>
          <w:tcPr>
            <w:tcW w:w="22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Inc. and Michael H. Jenkins, is hereby incorporated by reference.</w:t>
              </w:r>
            </w:hyperlink>
          </w:p>
        </w:tc>
      </w:tr>
      <w:tr>
        <w:trPr>
          <w:trHeight w:val="20"/>
        </w:trPr>
        <w:tc>
          <w:tcPr>
            <w:tcW w:w="108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jc w:val="right"/>
              <w:ind w:right="570"/>
              <w:spacing w:after="0"/>
              <w:rPr>
                <w:sz w:val="20"/>
                <w:szCs w:val="20"/>
                <w:color w:val="auto"/>
              </w:rPr>
            </w:pPr>
            <w:r>
              <w:rPr>
                <w:rFonts w:ascii="Arial" w:cs="Arial" w:eastAsia="Arial" w:hAnsi="Arial"/>
                <w:sz w:val="18"/>
                <w:szCs w:val="18"/>
                <w:color w:val="auto"/>
              </w:rPr>
              <w:t>10.3</w:t>
            </w:r>
          </w:p>
        </w:tc>
        <w:tc>
          <w:tcPr>
            <w:tcW w:w="10120" w:type="dxa"/>
            <w:vAlign w:val="bottom"/>
            <w:tcBorders>
              <w:bottom w:val="single" w:sz="8" w:color="0000EE"/>
            </w:tcBorders>
            <w:gridSpan w:val="11"/>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Consulting Agreement, dated as of August 2, 2022 and effective as of August 4, 2022, between Orion Energy Systems, Inc. and Alan Howe,</w:t>
              </w:r>
            </w:hyperlink>
          </w:p>
        </w:tc>
      </w:tr>
      <w:tr>
        <w:trPr>
          <w:trHeight w:val="196"/>
        </w:trPr>
        <w:tc>
          <w:tcPr>
            <w:tcW w:w="108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is hereby incorporated by reference.</w:t>
              </w:r>
            </w:hyperlink>
          </w:p>
        </w:tc>
      </w:tr>
      <w:tr>
        <w:trPr>
          <w:trHeight w:val="20"/>
        </w:trPr>
        <w:tc>
          <w:tcPr>
            <w:tcW w:w="108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jc w:val="right"/>
              <w:ind w:right="570"/>
              <w:spacing w:after="0"/>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Chief Executive Officer of Orion Energy Systems, Inc. pursuant to Rule 13a-14(a) or Rule 15d-14(a) promulgated under the</w:t>
              </w:r>
            </w:hyperlink>
          </w:p>
        </w:tc>
        <w:tc>
          <w:tcPr>
            <w:tcW w:w="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Securities Exchange Act of 1934, as amended.+</w:t>
              </w:r>
            </w:hyperlink>
          </w:p>
        </w:tc>
        <w:tc>
          <w:tcPr>
            <w:tcW w:w="6660" w:type="dxa"/>
            <w:vAlign w:val="bottom"/>
            <w:gridSpan w:val="9"/>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Arial" w:cs="Arial" w:eastAsia="Arial" w:hAnsi="Arial"/>
                <w:sz w:val="18"/>
                <w:szCs w:val="18"/>
                <w:color w:val="auto"/>
              </w:rPr>
              <w:t>31.2</w:t>
            </w:r>
          </w:p>
        </w:tc>
        <w:tc>
          <w:tcPr>
            <w:tcW w:w="10120" w:type="dxa"/>
            <w:vAlign w:val="bottom"/>
            <w:gridSpan w:val="11"/>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Chief Financial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Securities Exchange Act of 1934, as amended.+</w:t>
              </w:r>
            </w:hyperlink>
          </w:p>
        </w:tc>
        <w:tc>
          <w:tcPr>
            <w:tcW w:w="6580" w:type="dxa"/>
            <w:vAlign w:val="bottom"/>
            <w:tcBorders>
              <w:top w:val="single" w:sz="8" w:color="0000EE"/>
            </w:tcBorders>
            <w:gridSpan w:val="7"/>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Arial" w:cs="Arial" w:eastAsia="Arial" w:hAnsi="Arial"/>
                <w:sz w:val="18"/>
                <w:szCs w:val="18"/>
                <w:color w:val="auto"/>
              </w:rPr>
              <w:t>32.1</w:t>
            </w:r>
          </w:p>
        </w:tc>
        <w:tc>
          <w:tcPr>
            <w:tcW w:w="95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of Chief Executive Officer of Orion Energy Systems, Inc. pursuant to Rule 13a-14(b) promulgated under the Securities</w:t>
              </w:r>
            </w:hyperlink>
          </w:p>
        </w:tc>
        <w:tc>
          <w:tcPr>
            <w:tcW w:w="58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9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Exchange Act of 1934, as amended, and 18 U.S.C. Section 1350, as adopted pursuant to Section 906 of the Sarbanes-Oxley Act of 2002.+</w:t>
              </w:r>
            </w:hyperlink>
          </w:p>
        </w:tc>
        <w:tc>
          <w:tcPr>
            <w:tcW w:w="160" w:type="dxa"/>
            <w:vAlign w:val="bottom"/>
            <w:gridSpan w:val="3"/>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Arial" w:cs="Arial" w:eastAsia="Arial" w:hAnsi="Arial"/>
                <w:sz w:val="18"/>
                <w:szCs w:val="18"/>
                <w:color w:val="auto"/>
              </w:rPr>
              <w:t>32.2</w:t>
            </w:r>
          </w:p>
        </w:tc>
        <w:tc>
          <w:tcPr>
            <w:tcW w:w="10120" w:type="dxa"/>
            <w:vAlign w:val="bottom"/>
            <w:gridSpan w:val="11"/>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Certification of Chief Financial Officer of Orion Energy Systems, Inc. pursuant to Rule 13a-14(b) promulgated under the Securities</w:t>
              </w:r>
            </w:hyperlink>
          </w:p>
        </w:tc>
      </w:tr>
      <w:tr>
        <w:trPr>
          <w:trHeight w:val="20"/>
        </w:trPr>
        <w:tc>
          <w:tcPr>
            <w:tcW w:w="1080" w:type="dxa"/>
            <w:vAlign w:val="bottom"/>
          </w:tcPr>
          <w:p>
            <w:pPr>
              <w:spacing w:after="0" w:line="20" w:lineRule="exact"/>
              <w:rPr>
                <w:sz w:val="1"/>
                <w:szCs w:val="1"/>
                <w:color w:val="auto"/>
              </w:rPr>
            </w:pPr>
          </w:p>
        </w:tc>
        <w:tc>
          <w:tcPr>
            <w:tcW w:w="9480" w:type="dxa"/>
            <w:vAlign w:val="bottom"/>
            <w:gridSpan w:val="5"/>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9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Exchange Act of 1934, as amended, and 18 U.S.C. Section 1350, as adopted pursuant to Section 906 of the Sarbanes-Oxley Act of 2002.+</w:t>
              </w:r>
            </w:hyperlink>
          </w:p>
        </w:tc>
        <w:tc>
          <w:tcPr>
            <w:tcW w:w="160" w:type="dxa"/>
            <w:vAlign w:val="bottom"/>
            <w:gridSpan w:val="3"/>
          </w:tcPr>
          <w:p>
            <w:pPr>
              <w:spacing w:after="0"/>
              <w:rPr>
                <w:sz w:val="17"/>
                <w:szCs w:val="17"/>
                <w:color w:val="auto"/>
              </w:rPr>
            </w:pPr>
          </w:p>
        </w:tc>
      </w:tr>
      <w:tr>
        <w:trPr>
          <w:trHeight w:val="358"/>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7"/>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080" w:right="420" w:hanging="107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2022, has been formatted in Inline XBRL.</w:t>
      </w:r>
    </w:p>
    <w:p>
      <w:pPr>
        <w:spacing w:after="0" w:line="17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5,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Per Brodin</w:t>
            </w:r>
          </w:p>
        </w:tc>
      </w:tr>
      <w:tr>
        <w:trPr>
          <w:trHeight w:val="195"/>
        </w:trPr>
        <w:tc>
          <w:tcPr>
            <w:tcW w:w="5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 Per Brodin</w:t>
            </w: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Officer and Authorized Signatory)</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3"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225"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 Per Brodin, certify that:</w:t>
      </w:r>
    </w:p>
    <w:p>
      <w:pPr>
        <w:spacing w:after="0" w:line="225"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J. Per Brodin</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2022,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41" w:lineRule="exact"/>
        <w:rPr>
          <w:sz w:val="20"/>
          <w:szCs w:val="20"/>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August 5, 2022</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Orion Energy Systems, Inc., a Wisconsin corporation (the “Company”), on Form 10-Q for the period ended June 30, 2022,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spacing w:after="0" w:line="57" w:lineRule="exact"/>
        <w:rPr>
          <w:sz w:val="20"/>
          <w:szCs w:val="20"/>
          <w:color w:val="auto"/>
        </w:rPr>
      </w:pPr>
    </w:p>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August 5, 2022</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 Per Brodin</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decimal"/>
      <w:start w:val="104"/>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4" Type="http://schemas.openxmlformats.org/officeDocument/2006/relationships/hyperlink" Target="http://www.sec.gov/Archives/edgar/data/1409375/000119312522210605/d353290dex101.htm" TargetMode="External"/><Relationship Id="rId55" Type="http://schemas.openxmlformats.org/officeDocument/2006/relationships/hyperlink" Target="http://www.sec.gov/Archives/edgar/data/1409375/000119312522210605/d353290dex102.htm" TargetMode="External"/><Relationship Id="rId56" Type="http://schemas.openxmlformats.org/officeDocument/2006/relationships/hyperlink" Target="http://www.sec.gov/Archives/edgar/data/1409375/000119312522210605/d35329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2022-08-05T15:12:30Z</dcterms:created>
  <dcterms:modified xsi:type="dcterms:W3CDTF">2022-08-05T15:12:30Z</dcterms:modified>
</cp:coreProperties>
</file>