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esx-20230630.htm"/>
      <w:bookmarkStart w:id="1" w:name="ksoesx20230630"/>
      <w:bookmarkEnd w:id="0"/>
      <w:bookmarkEnd w:id="1"/>
      <w:r>
        <w:rPr/>
        <w:t> </w:t>
      </w:r>
    </w:p>
    <w:p>
      <w:pPr>
        <w:pStyle w:val="TextBody"/>
        <w:pBdr>
          <w:bottom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12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120"/>
        <w:jc w:val="center"/>
        <w:rPr/>
      </w:pPr>
      <w:r>
        <w:rPr/>
        <w:t> </w:t>
      </w:r>
    </w:p>
    <w:p>
      <w:pPr>
        <w:pStyle w:val="TextBody"/>
        <w:bidi w:val="0"/>
        <w:spacing w:before="0" w:after="0"/>
        <w:jc w:val="both"/>
        <w:rPr/>
      </w:pPr>
      <w:r>
        <w:rPr/>
        <w:t xml:space="preserve">☒ </w:t>
      </w:r>
      <w:r>
        <w:rPr>
          <w:rFonts w:ascii="Times New Roman;serif" w:hAnsi="Times New Roman;serif"/>
          <w:b/>
          <w:sz w:val="24"/>
        </w:rPr>
        <w:t>QUARTERLY REPORT PURSUANT TO SECTION 13 OR 15(d) OF THE SECURITIES EXCHANGE ACT OF 1934</w:t>
      </w:r>
    </w:p>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p>
      <w:pPr>
        <w:pStyle w:val="TextBody"/>
        <w:bidi w:val="0"/>
        <w:spacing w:before="120" w:after="0"/>
        <w:jc w:val="both"/>
        <w:rPr/>
      </w:pPr>
      <w:r>
        <w:rPr/>
        <w:t xml:space="preserve">☐ </w:t>
      </w:r>
      <w:r>
        <w:rPr>
          <w:rFonts w:ascii="Times New Roman;serif" w:hAnsi="Times New Roman;serif"/>
          <w:b/>
          <w:sz w:val="24"/>
        </w:rPr>
        <w:t>TRANSITION REPORT PURSUANT TO SECTION 13 OR 15(d) OF THE SECURITIES EXCHANGE ACT OF 1934</w:t>
      </w:r>
    </w:p>
    <w:p>
      <w:pPr>
        <w:pStyle w:val="TextBody"/>
        <w:bidi w:val="0"/>
        <w:spacing w:before="120" w:after="0"/>
        <w:jc w:val="center"/>
        <w:rPr>
          <w:rFonts w:ascii="Times New Roman;serif" w:hAnsi="Times New Roman;serif"/>
          <w:b/>
          <w:sz w:val="20"/>
        </w:rPr>
      </w:pPr>
      <w:r>
        <w:rPr>
          <w:rFonts w:ascii="Times New Roman;serif" w:hAnsi="Times New Roman;serif"/>
          <w:b/>
          <w:sz w:val="20"/>
        </w:rPr>
        <w:t>Commission file number 001-33887</w:t>
      </w:r>
    </w:p>
    <w:p>
      <w:pPr>
        <w:pStyle w:val="TextBody"/>
        <w:pBdr>
          <w:bottom w:val="single" w:sz="4" w:space="1" w:color="000000"/>
        </w:pBdr>
        <w:bidi w:val="0"/>
        <w:spacing w:before="0" w:after="12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Orion Energy Systems,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303" w:type="dxa"/>
        <w:jc w:val="left"/>
        <w:tblInd w:w="0" w:type="dxa"/>
        <w:tblLayout w:type="fixed"/>
        <w:tblCellMar>
          <w:top w:w="28" w:type="dxa"/>
          <w:left w:w="28" w:type="dxa"/>
          <w:bottom w:w="28" w:type="dxa"/>
          <w:right w:w="28" w:type="dxa"/>
        </w:tblCellMar>
      </w:tblPr>
      <w:tblGrid>
        <w:gridCol w:w="2371"/>
        <w:gridCol w:w="146"/>
        <w:gridCol w:w="17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Wisconsin</w:t>
            </w:r>
          </w:p>
        </w:tc>
        <w:tc>
          <w:tcPr>
            <w:tcW w:w="146" w:type="dxa"/>
            <w:tcBorders/>
            <w:vAlign w:val="center"/>
          </w:tcPr>
          <w:p>
            <w:pPr>
              <w:pStyle w:val="TableContents"/>
              <w:bidi w:val="0"/>
              <w:spacing w:before="0" w:after="0"/>
              <w:ind w:left="0" w:right="0" w:hanging="0"/>
              <w:jc w:val="center"/>
              <w:rPr/>
            </w:pPr>
            <w:r>
              <w:rPr/>
              <w:t> </w:t>
            </w:r>
          </w:p>
        </w:tc>
        <w:tc>
          <w:tcPr>
            <w:tcW w:w="17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39-1847269</w:t>
            </w:r>
          </w:p>
        </w:tc>
      </w:tr>
      <w:tr>
        <w:trPr/>
        <w:tc>
          <w:tcPr>
            <w:tcW w:w="237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vAlign w:val="center"/>
          </w:tcPr>
          <w:p>
            <w:pPr>
              <w:pStyle w:val="TableContents"/>
              <w:bidi w:val="0"/>
              <w:spacing w:before="0" w:after="0"/>
              <w:ind w:left="0" w:right="0" w:hanging="0"/>
              <w:jc w:val="center"/>
              <w:rPr/>
            </w:pPr>
            <w:r>
              <w:rPr/>
              <w:t> </w:t>
            </w:r>
          </w:p>
        </w:tc>
        <w:tc>
          <w:tcPr>
            <w:tcW w:w="17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number)</w:t>
            </w:r>
          </w:p>
        </w:tc>
      </w:tr>
    </w:tbl>
    <w:p>
      <w:pPr>
        <w:pStyle w:val="TextBody"/>
        <w:bidi w:val="0"/>
        <w:spacing w:before="0" w:after="0"/>
        <w:jc w:val="left"/>
        <w:rPr/>
      </w:pPr>
      <w:r>
        <w:rPr/>
        <w:t> </w:t>
      </w:r>
    </w:p>
    <w:tbl>
      <w:tblPr>
        <w:tblW w:w="5023" w:type="dxa"/>
        <w:jc w:val="left"/>
        <w:tblInd w:w="0" w:type="dxa"/>
        <w:tblLayout w:type="fixed"/>
        <w:tblCellMar>
          <w:top w:w="28" w:type="dxa"/>
          <w:left w:w="28" w:type="dxa"/>
          <w:bottom w:w="28" w:type="dxa"/>
          <w:right w:w="28" w:type="dxa"/>
        </w:tblCellMar>
      </w:tblPr>
      <w:tblGrid>
        <w:gridCol w:w="3991"/>
        <w:gridCol w:w="146"/>
        <w:gridCol w:w="88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2210 Woodland Drive, Manitowoc, Wisconsin</w:t>
            </w:r>
          </w:p>
        </w:tc>
        <w:tc>
          <w:tcPr>
            <w:tcW w:w="14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54220</w:t>
            </w:r>
          </w:p>
        </w:tc>
      </w:tr>
      <w:tr>
        <w:trPr/>
        <w:tc>
          <w:tcPr>
            <w:tcW w:w="399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Registrant’s telephone number, including area code: (920) 892-9340</w:t>
      </w:r>
    </w:p>
    <w:p>
      <w:pPr>
        <w:pStyle w:val="TextBody"/>
        <w:bidi w:val="0"/>
        <w:spacing w:before="40" w:after="0"/>
        <w:jc w:val="center"/>
        <w:rPr/>
      </w:pPr>
      <w:r>
        <w:rPr/>
        <w:t> </w:t>
      </w:r>
    </w:p>
    <w:p>
      <w:pPr>
        <w:pStyle w:val="TextBody"/>
        <w:bidi w:val="0"/>
        <w:spacing w:before="40" w:after="0"/>
        <w:jc w:val="center"/>
        <w:rPr>
          <w:rFonts w:ascii="Times New Roman;serif" w:hAnsi="Times New Roman;serif"/>
          <w:b/>
          <w:sz w:val="20"/>
        </w:rPr>
      </w:pPr>
      <w:r>
        <w:rPr>
          <w:rFonts w:ascii="Times New Roman;serif" w:hAnsi="Times New Roman;serif"/>
          <w:b/>
          <w:sz w:val="20"/>
        </w:rPr>
        <w:t>Securities registered pursuant to Section 12(b) of the act:</w:t>
      </w:r>
    </w:p>
    <w:p>
      <w:pPr>
        <w:pStyle w:val="TextBody"/>
        <w:bidi w:val="0"/>
        <w:spacing w:before="0" w:after="0"/>
        <w:jc w:val="left"/>
        <w:rPr/>
      </w:pPr>
      <w:r>
        <w:rPr/>
        <w:t> </w:t>
      </w:r>
    </w:p>
    <w:tbl>
      <w:tblPr>
        <w:tblW w:w="7390" w:type="dxa"/>
        <w:jc w:val="left"/>
        <w:tblInd w:w="0" w:type="dxa"/>
        <w:tblLayout w:type="fixed"/>
        <w:tblCellMar>
          <w:top w:w="28" w:type="dxa"/>
          <w:left w:w="28" w:type="dxa"/>
          <w:bottom w:w="28" w:type="dxa"/>
          <w:right w:w="28" w:type="dxa"/>
        </w:tblCellMar>
      </w:tblPr>
      <w:tblGrid>
        <w:gridCol w:w="2131"/>
        <w:gridCol w:w="146"/>
        <w:gridCol w:w="1501"/>
        <w:gridCol w:w="146"/>
        <w:gridCol w:w="34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 Symbol (s)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21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Common stock, no par value</w:t>
            </w:r>
          </w:p>
        </w:tc>
        <w:tc>
          <w:tcPr>
            <w:tcW w:w="146" w:type="dxa"/>
            <w:tcBorders/>
            <w:vAlign w:val="center"/>
          </w:tcPr>
          <w:p>
            <w:pPr>
              <w:pStyle w:val="TableContents"/>
              <w:bidi w:val="0"/>
              <w:spacing w:before="0" w:after="0"/>
              <w:ind w:left="0" w:right="0" w:hanging="0"/>
              <w:jc w:val="center"/>
              <w:rPr/>
            </w:pPr>
            <w:r>
              <w:rPr/>
              <w:t> </w:t>
            </w:r>
          </w:p>
        </w:tc>
        <w:tc>
          <w:tcPr>
            <w:tcW w:w="15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OESX</w:t>
            </w:r>
          </w:p>
        </w:tc>
        <w:tc>
          <w:tcPr>
            <w:tcW w:w="146" w:type="dxa"/>
            <w:tcBorders/>
            <w:vAlign w:val="center"/>
          </w:tcPr>
          <w:p>
            <w:pPr>
              <w:pStyle w:val="TableContents"/>
              <w:bidi w:val="0"/>
              <w:spacing w:before="0" w:after="0"/>
              <w:ind w:left="0" w:right="0" w:hanging="0"/>
              <w:jc w:val="center"/>
              <w:rPr/>
            </w:pPr>
            <w:r>
              <w:rPr/>
              <w:t> </w:t>
            </w:r>
          </w:p>
        </w:tc>
        <w:tc>
          <w:tcPr>
            <w:tcW w:w="34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The Nasdaq Stock Market LLC</w:t>
            </w:r>
          </w:p>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(NASDAQ Capital Market)</w:t>
            </w:r>
          </w:p>
        </w:tc>
      </w:tr>
    </w:tbl>
    <w:p>
      <w:pPr>
        <w:pStyle w:val="TextBody"/>
        <w:bidi w:val="0"/>
        <w:spacing w:before="100" w:after="0"/>
        <w:jc w:val="both"/>
        <w:rPr/>
      </w:pPr>
      <w:r>
        <w:rPr/>
        <w:t> </w:t>
      </w:r>
    </w:p>
    <w:p>
      <w:pPr>
        <w:pStyle w:val="TextBody"/>
        <w:bidi w:val="0"/>
        <w:spacing w:before="100" w:after="0"/>
        <w:jc w:val="both"/>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bidi w:val="0"/>
        <w:spacing w:before="120" w:after="0"/>
        <w:jc w:val="both"/>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bidi w:val="0"/>
        <w:spacing w:before="120" w:after="0"/>
        <w:jc w:val="both"/>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120" w:after="0"/>
        <w:jc w:val="both"/>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6"/>
        </w:rPr>
        <w:t xml:space="preserve">No </w:t>
      </w:r>
      <w:r>
        <w:rPr>
          <w:rFonts w:ascii="Times New Roman" w:hAnsi="Times New Roman"/>
          <w:sz w:val="20"/>
        </w:rPr>
        <w:t>☒</w:t>
      </w:r>
    </w:p>
    <w:p>
      <w:pPr>
        <w:pStyle w:val="TextBody"/>
        <w:bidi w:val="0"/>
        <w:spacing w:before="120" w:after="0"/>
        <w:jc w:val="both"/>
        <w:rPr>
          <w:rFonts w:ascii="Times New Roman" w:hAnsi="Times New Roman"/>
          <w:sz w:val="20"/>
        </w:rPr>
      </w:pPr>
      <w:r>
        <w:rPr>
          <w:rFonts w:ascii="Times New Roman;serif" w:hAnsi="Times New Roman;serif"/>
          <w:b w:val="false"/>
          <w:sz w:val="16"/>
        </w:rPr>
        <w:t>There were 32,502,558</w:t>
      </w:r>
      <w:r>
        <w:rPr>
          <w:rFonts w:ascii="Times New Roman" w:hAnsi="Times New Roman"/>
          <w:sz w:val="20"/>
        </w:rPr>
        <w:t xml:space="preserve"> </w:t>
      </w:r>
      <w:r>
        <w:rPr>
          <w:rFonts w:ascii="Times New Roman;serif" w:hAnsi="Times New Roman;serif"/>
          <w:b w:val="false"/>
          <w:sz w:val="16"/>
        </w:rPr>
        <w:t>shares of the Registrant’s common stock outstanding on August 4, 2023.</w:t>
      </w:r>
    </w:p>
    <w:p>
      <w:pPr>
        <w:pStyle w:val="TextBody"/>
        <w:pBdr>
          <w:bottom w:val="double" w:sz="6" w:space="3" w:color="000000"/>
        </w:pBdr>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table_of_contents"/>
      <w:bookmarkEnd w:id="2"/>
      <w:r>
        <w:rPr>
          <w:rFonts w:ascii="Times New Roman;serif" w:hAnsi="Times New Roman;serif"/>
          <w:b/>
          <w:sz w:val="20"/>
        </w:rPr>
        <w:t>ORION ENERGY SYSTEMS, INC.</w:t>
      </w:r>
    </w:p>
    <w:p>
      <w:pPr>
        <w:pStyle w:val="TextBody"/>
        <w:bidi w:val="0"/>
        <w:spacing w:before="100" w:after="0"/>
        <w:jc w:val="center"/>
        <w:rPr>
          <w:rFonts w:ascii="Times New Roman;serif" w:hAnsi="Times New Roman;serif"/>
          <w:b/>
          <w:sz w:val="20"/>
        </w:rPr>
      </w:pPr>
      <w:r>
        <w:rPr>
          <w:rFonts w:ascii="Times New Roman;serif" w:hAnsi="Times New Roman;serif"/>
          <w:b/>
          <w:sz w:val="20"/>
        </w:rPr>
        <w:t>QUARTERLY REPORT ON FORM 10-Q</w:t>
      </w:r>
    </w:p>
    <w:p>
      <w:pPr>
        <w:pStyle w:val="TextBody"/>
        <w:bidi w:val="0"/>
        <w:spacing w:before="100" w:after="0"/>
        <w:jc w:val="center"/>
        <w:rPr>
          <w:rFonts w:ascii="Times New Roman;serif" w:hAnsi="Times New Roman;serif"/>
          <w:b/>
          <w:sz w:val="20"/>
        </w:rPr>
      </w:pPr>
      <w:r>
        <w:rPr>
          <w:rFonts w:ascii="Times New Roman;serif" w:hAnsi="Times New Roman;serif"/>
          <w:b/>
          <w:sz w:val="20"/>
        </w:rPr>
        <w:t>FOR THE QUARTER ENDED JUNE 30, 2023</w:t>
      </w:r>
    </w:p>
    <w:p>
      <w:pPr>
        <w:pStyle w:val="TextBody"/>
        <w:bidi w:val="0"/>
        <w:spacing w:before="10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76"/>
        <w:gridCol w:w="8656"/>
        <w:gridCol w:w="673"/>
      </w:tblGrid>
      <w:tr>
        <w:trPr/>
        <w:tc>
          <w:tcPr>
            <w:tcW w:w="876" w:type="dxa"/>
            <w:tcBorders/>
            <w:vAlign w:val="center"/>
          </w:tcPr>
          <w:p>
            <w:pPr>
              <w:pStyle w:val="TableContents"/>
              <w:bidi w:val="0"/>
              <w:spacing w:before="0" w:after="283"/>
              <w:jc w:val="left"/>
              <w:rPr>
                <w:sz w:val="4"/>
                <w:szCs w:val="4"/>
              </w:rPr>
            </w:pPr>
            <w:r>
              <w:rPr>
                <w:sz w:val="4"/>
                <w:szCs w:val="4"/>
              </w:rPr>
            </w:r>
          </w:p>
        </w:tc>
        <w:tc>
          <w:tcPr>
            <w:tcW w:w="865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876" w:type="dxa"/>
            <w:tcBorders/>
            <w:vAlign w:val="center"/>
          </w:tcPr>
          <w:p>
            <w:pPr>
              <w:pStyle w:val="TableContents"/>
              <w:bidi w:val="0"/>
              <w:spacing w:before="40" w:after="40"/>
              <w:ind w:left="0" w:right="0" w:hanging="0"/>
              <w:jc w:val="left"/>
              <w:rPr/>
            </w:pPr>
            <w:r>
              <w:rPr/>
              <w:t> </w:t>
            </w:r>
          </w:p>
        </w:tc>
        <w:tc>
          <w:tcPr>
            <w:tcW w:w="8656" w:type="dxa"/>
            <w:tcBorders/>
            <w:vAlign w:val="center"/>
          </w:tcPr>
          <w:p>
            <w:pPr>
              <w:pStyle w:val="TableContents"/>
              <w:bidi w:val="0"/>
              <w:spacing w:before="40" w:after="40"/>
              <w:ind w:left="0" w:right="0" w:hanging="0"/>
              <w:jc w:val="left"/>
              <w:rPr/>
            </w:pPr>
            <w:r>
              <w:rPr/>
              <w:t> </w:t>
            </w:r>
          </w:p>
        </w:tc>
        <w:tc>
          <w:tcPr>
            <w:tcW w:w="673" w:type="dxa"/>
            <w:tcBorders>
              <w:bottom w:val="single" w:sz="8" w:space="0" w:color="000000"/>
            </w:tcBorders>
            <w:tcMar>
              <w:top w:w="0" w:type="dxa"/>
              <w:left w:w="0" w:type="dxa"/>
              <w:right w:w="0" w:type="dxa"/>
            </w:tcMar>
            <w:vAlign w:val="center"/>
          </w:tcPr>
          <w:p>
            <w:pPr>
              <w:pStyle w:val="TableContents"/>
              <w:bidi w:val="0"/>
              <w:spacing w:before="40" w:after="40"/>
              <w:ind w:left="0" w:right="0" w:hanging="0"/>
              <w:jc w:val="center"/>
              <w:rPr>
                <w:rFonts w:ascii="Times New Roman;serif" w:hAnsi="Times New Roman;serif"/>
                <w:b/>
                <w:sz w:val="16"/>
              </w:rPr>
            </w:pPr>
            <w:r>
              <w:rPr>
                <w:rFonts w:ascii="Times New Roman;serif" w:hAnsi="Times New Roman;serif"/>
                <w:b/>
                <w:sz w:val="16"/>
              </w:rPr>
              <w:t>Page(s)</w:t>
            </w:r>
          </w:p>
        </w:tc>
      </w:tr>
      <w:tr>
        <w:trPr/>
        <w:tc>
          <w:tcPr>
            <w:tcW w:w="9532" w:type="dxa"/>
            <w:gridSpan w:val="2"/>
            <w:tcBorders/>
            <w:vAlign w:val="center"/>
          </w:tcPr>
          <w:p>
            <w:pPr>
              <w:pStyle w:val="TableContents"/>
              <w:bidi w:val="0"/>
              <w:spacing w:before="40" w:after="40"/>
              <w:ind w:left="0" w:right="0" w:hanging="0"/>
              <w:jc w:val="left"/>
              <w:rPr/>
            </w:pPr>
            <w:hyperlink w:anchor="part_i_financial_information">
              <w:r>
                <w:rPr>
                  <w:rStyle w:val="InternetLink"/>
                  <w:rFonts w:ascii="Times New Roman;serif" w:hAnsi="Times New Roman;serif"/>
                  <w:b w:val="false"/>
                  <w:sz w:val="20"/>
                  <w:u w:val="single"/>
                </w:rPr>
                <w:t>PART I FINANCIAL INFORMATION</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876" w:type="dxa"/>
            <w:tcBorders/>
            <w:vAlign w:val="center"/>
          </w:tcPr>
          <w:p>
            <w:pPr>
              <w:pStyle w:val="TableContents"/>
              <w:bidi w:val="0"/>
              <w:spacing w:before="40" w:after="4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656" w:type="dxa"/>
            <w:tcBorders/>
            <w:vAlign w:val="center"/>
          </w:tcPr>
          <w:p>
            <w:pPr>
              <w:pStyle w:val="TableContents"/>
              <w:bidi w:val="0"/>
              <w:spacing w:before="40" w:after="40"/>
              <w:ind w:left="0" w:right="0" w:hanging="0"/>
              <w:jc w:val="left"/>
              <w:rPr/>
            </w:pPr>
            <w:hyperlink w:anchor="item_1__financial_statements">
              <w:r>
                <w:rPr>
                  <w:rStyle w:val="InternetLink"/>
                  <w:rFonts w:ascii="Times New Roman;serif" w:hAnsi="Times New Roman;serif"/>
                  <w:b w:val="false"/>
                  <w:sz w:val="20"/>
                  <w:u w:val="single"/>
                </w:rPr>
                <w:t>Financial Statements (unaudited)</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876" w:type="dxa"/>
            <w:tcBorders/>
            <w:vAlign w:val="center"/>
          </w:tcPr>
          <w:p>
            <w:pPr>
              <w:pStyle w:val="TableContents"/>
              <w:bidi w:val="0"/>
              <w:spacing w:before="40" w:after="40"/>
              <w:ind w:left="0" w:right="0" w:hanging="0"/>
              <w:jc w:val="left"/>
              <w:rPr/>
            </w:pPr>
            <w:r>
              <w:rPr/>
              <w:t> </w:t>
            </w:r>
          </w:p>
        </w:tc>
        <w:tc>
          <w:tcPr>
            <w:tcW w:w="8656" w:type="dxa"/>
            <w:tcBorders/>
            <w:vAlign w:val="center"/>
          </w:tcPr>
          <w:p>
            <w:pPr>
              <w:pStyle w:val="TableContents"/>
              <w:bidi w:val="0"/>
              <w:spacing w:before="40" w:after="40"/>
              <w:ind w:left="0" w:right="0" w:hanging="0"/>
              <w:jc w:val="left"/>
              <w:rPr/>
            </w:pPr>
            <w:hyperlink w:anchor="condensed_consolidated_balance">
              <w:r>
                <w:rPr>
                  <w:rStyle w:val="InternetLink"/>
                  <w:rFonts w:ascii="Times New Roman;serif" w:hAnsi="Times New Roman;serif"/>
                  <w:b w:val="false"/>
                  <w:sz w:val="20"/>
                  <w:u w:val="single"/>
                </w:rPr>
                <w:t>Condensed Consolidated Balance Sheets as of June 30, 2023 and March 31, 2023</w:t>
              </w:r>
            </w:hyperlink>
          </w:p>
        </w:tc>
        <w:tc>
          <w:tcPr>
            <w:tcW w:w="673" w:type="dxa"/>
            <w:tcBorders/>
            <w:vAlign w:val="center"/>
          </w:tcPr>
          <w:p>
            <w:pPr>
              <w:pStyle w:val="TableContents"/>
              <w:bidi w:val="0"/>
              <w:spacing w:before="30" w:after="3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876" w:type="dxa"/>
            <w:tcBorders/>
            <w:vAlign w:val="center"/>
          </w:tcPr>
          <w:p>
            <w:pPr>
              <w:pStyle w:val="TableContents"/>
              <w:bidi w:val="0"/>
              <w:spacing w:before="40" w:after="40"/>
              <w:ind w:left="0" w:right="0" w:hanging="0"/>
              <w:jc w:val="left"/>
              <w:rPr/>
            </w:pPr>
            <w:r>
              <w:rPr/>
              <w:t> </w:t>
            </w:r>
          </w:p>
        </w:tc>
        <w:tc>
          <w:tcPr>
            <w:tcW w:w="8656" w:type="dxa"/>
            <w:tcBorders/>
            <w:vAlign w:val="center"/>
          </w:tcPr>
          <w:p>
            <w:pPr>
              <w:pStyle w:val="TableContents"/>
              <w:bidi w:val="0"/>
              <w:spacing w:before="40" w:after="40"/>
              <w:ind w:left="0" w:right="0" w:hanging="0"/>
              <w:jc w:val="left"/>
              <w:rPr/>
            </w:pPr>
            <w:hyperlink w:anchor="unaudited_condensed_consolidated_stateme">
              <w:r>
                <w:rPr>
                  <w:rStyle w:val="InternetLink"/>
                  <w:rFonts w:ascii="Times New Roman;serif" w:hAnsi="Times New Roman;serif"/>
                  <w:b w:val="false"/>
                  <w:sz w:val="20"/>
                  <w:u w:val="single"/>
                </w:rPr>
                <w:t>Condensed Consolidated Statements of Operations for the Three Months Ended June 30, 2023 and June 30, 2022</w:t>
              </w:r>
            </w:hyperlink>
          </w:p>
        </w:tc>
        <w:tc>
          <w:tcPr>
            <w:tcW w:w="673" w:type="dxa"/>
            <w:tcBorders/>
            <w:vAlign w:val="center"/>
          </w:tcPr>
          <w:p>
            <w:pPr>
              <w:pStyle w:val="TableContents"/>
              <w:bidi w:val="0"/>
              <w:spacing w:before="10" w:after="1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876" w:type="dxa"/>
            <w:tcBorders/>
            <w:vAlign w:val="center"/>
          </w:tcPr>
          <w:p>
            <w:pPr>
              <w:pStyle w:val="TableContents"/>
              <w:bidi w:val="0"/>
              <w:spacing w:before="40" w:after="40"/>
              <w:ind w:left="0" w:right="0" w:hanging="0"/>
              <w:jc w:val="left"/>
              <w:rPr/>
            </w:pPr>
            <w:r>
              <w:rPr/>
              <w:t> </w:t>
            </w:r>
          </w:p>
        </w:tc>
        <w:tc>
          <w:tcPr>
            <w:tcW w:w="8656" w:type="dxa"/>
            <w:tcBorders/>
            <w:vAlign w:val="center"/>
          </w:tcPr>
          <w:p>
            <w:pPr>
              <w:pStyle w:val="TableContents"/>
              <w:bidi w:val="0"/>
              <w:spacing w:before="40" w:after="40"/>
              <w:ind w:left="0" w:right="0" w:hanging="0"/>
              <w:jc w:val="left"/>
              <w:rPr/>
            </w:pPr>
            <w:hyperlink w:anchor="statements_shareholders_equity">
              <w:r>
                <w:rPr>
                  <w:rStyle w:val="InternetLink"/>
                  <w:rFonts w:ascii="Times New Roman;serif" w:hAnsi="Times New Roman;serif"/>
                  <w:b w:val="false"/>
                  <w:sz w:val="20"/>
                  <w:u w:val="single"/>
                </w:rPr>
                <w:t>Condensed Consolidated Statements of Shareholders’ Equity for the Three Months Ended June 30, 2023 and June 30, 2022</w:t>
              </w:r>
            </w:hyperlink>
          </w:p>
        </w:tc>
        <w:tc>
          <w:tcPr>
            <w:tcW w:w="673" w:type="dxa"/>
            <w:tcBorders/>
            <w:vAlign w:val="center"/>
          </w:tcPr>
          <w:p>
            <w:pPr>
              <w:pStyle w:val="TableContents"/>
              <w:bidi w:val="0"/>
              <w:spacing w:before="10" w:after="1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76" w:type="dxa"/>
            <w:tcBorders/>
            <w:vAlign w:val="center"/>
          </w:tcPr>
          <w:p>
            <w:pPr>
              <w:pStyle w:val="TableContents"/>
              <w:bidi w:val="0"/>
              <w:spacing w:before="40" w:after="40"/>
              <w:ind w:left="0" w:right="0" w:hanging="0"/>
              <w:jc w:val="left"/>
              <w:rPr/>
            </w:pPr>
            <w:r>
              <w:rPr/>
              <w:t> </w:t>
            </w:r>
          </w:p>
        </w:tc>
        <w:tc>
          <w:tcPr>
            <w:tcW w:w="8656" w:type="dxa"/>
            <w:tcBorders/>
            <w:vAlign w:val="center"/>
          </w:tcPr>
          <w:p>
            <w:pPr>
              <w:pStyle w:val="TableContents"/>
              <w:bidi w:val="0"/>
              <w:spacing w:before="40" w:after="40"/>
              <w:ind w:left="0" w:right="0" w:hanging="0"/>
              <w:jc w:val="left"/>
              <w:rPr/>
            </w:pPr>
            <w:hyperlink w:anchor="consolidated_stateme_cash_flow">
              <w:r>
                <w:rPr>
                  <w:rStyle w:val="InternetLink"/>
                  <w:rFonts w:ascii="Times New Roman;serif" w:hAnsi="Times New Roman;serif"/>
                  <w:b w:val="false"/>
                  <w:sz w:val="20"/>
                  <w:u w:val="single"/>
                </w:rPr>
                <w:t>Condensed Consolidated Statements of Cash Flows for the Three Months Ended June 30, 2023 and June 30, 2022</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76" w:type="dxa"/>
            <w:tcBorders/>
            <w:vAlign w:val="center"/>
          </w:tcPr>
          <w:p>
            <w:pPr>
              <w:pStyle w:val="TableContents"/>
              <w:bidi w:val="0"/>
              <w:spacing w:before="40" w:after="40"/>
              <w:ind w:left="0" w:right="0" w:hanging="0"/>
              <w:jc w:val="left"/>
              <w:rPr/>
            </w:pPr>
            <w:r>
              <w:rPr/>
              <w:t> </w:t>
            </w:r>
          </w:p>
        </w:tc>
        <w:tc>
          <w:tcPr>
            <w:tcW w:w="8656" w:type="dxa"/>
            <w:tcBorders/>
            <w:vAlign w:val="center"/>
          </w:tcPr>
          <w:p>
            <w:pPr>
              <w:pStyle w:val="TableContents"/>
              <w:bidi w:val="0"/>
              <w:spacing w:before="40" w:after="40"/>
              <w:ind w:left="0" w:right="0" w:hanging="0"/>
              <w:jc w:val="left"/>
              <w:rPr/>
            </w:pPr>
            <w:hyperlink w:anchor="notes_to_condensed_consolidate_financial">
              <w:r>
                <w:rPr>
                  <w:rStyle w:val="InternetLink"/>
                  <w:rFonts w:ascii="Times New Roman;serif" w:hAnsi="Times New Roman;serif"/>
                  <w:b w:val="false"/>
                  <w:sz w:val="20"/>
                  <w:u w:val="single"/>
                </w:rPr>
                <w:t>Notes to the Condensed Consolidated Financial Statements</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76" w:type="dxa"/>
            <w:tcBorders/>
            <w:vAlign w:val="center"/>
          </w:tcPr>
          <w:p>
            <w:pPr>
              <w:pStyle w:val="TableContents"/>
              <w:bidi w:val="0"/>
              <w:spacing w:before="40" w:after="4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656" w:type="dxa"/>
            <w:tcBorders/>
            <w:vAlign w:val="center"/>
          </w:tcPr>
          <w:p>
            <w:pPr>
              <w:pStyle w:val="TableContents"/>
              <w:bidi w:val="0"/>
              <w:spacing w:before="40" w:after="40"/>
              <w:ind w:left="0" w:right="0" w:hanging="0"/>
              <w:jc w:val="left"/>
              <w:rPr/>
            </w:pPr>
            <w:hyperlink w:anchor="item_2__management_s_discussion_and_anal">
              <w:r>
                <w:rPr>
                  <w:rStyle w:val="InternetLink"/>
                  <w:rFonts w:ascii="Times New Roman;serif" w:hAnsi="Times New Roman;serif"/>
                  <w:b w:val="false"/>
                  <w:sz w:val="20"/>
                  <w:u w:val="single"/>
                </w:rPr>
                <w:t>Management’s Discussion and Analysis of Financial Condition and Results of Operations</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876" w:type="dxa"/>
            <w:tcBorders/>
            <w:vAlign w:val="center"/>
          </w:tcPr>
          <w:p>
            <w:pPr>
              <w:pStyle w:val="TableContents"/>
              <w:bidi w:val="0"/>
              <w:spacing w:before="40" w:after="4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656" w:type="dxa"/>
            <w:tcBorders/>
            <w:vAlign w:val="center"/>
          </w:tcPr>
          <w:p>
            <w:pPr>
              <w:pStyle w:val="TableContents"/>
              <w:bidi w:val="0"/>
              <w:spacing w:before="40" w:after="40"/>
              <w:ind w:left="0" w:right="0" w:hanging="0"/>
              <w:jc w:val="left"/>
              <w:rPr/>
            </w:pPr>
            <w:hyperlink w:anchor="item_3__quantitative_and_qualitative_dis">
              <w:r>
                <w:rPr>
                  <w:rStyle w:val="InternetLink"/>
                  <w:rFonts w:ascii="Times New Roman;serif" w:hAnsi="Times New Roman;serif"/>
                  <w:b w:val="false"/>
                  <w:sz w:val="20"/>
                  <w:u w:val="single"/>
                </w:rPr>
                <w:t>Quantitative and Qualitative Disclosures about Market Risk</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76" w:type="dxa"/>
            <w:tcBorders/>
            <w:vAlign w:val="center"/>
          </w:tcPr>
          <w:p>
            <w:pPr>
              <w:pStyle w:val="TableContents"/>
              <w:bidi w:val="0"/>
              <w:spacing w:before="40" w:after="4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656" w:type="dxa"/>
            <w:tcBorders/>
            <w:vAlign w:val="center"/>
          </w:tcPr>
          <w:p>
            <w:pPr>
              <w:pStyle w:val="TableContents"/>
              <w:bidi w:val="0"/>
              <w:spacing w:before="40" w:after="40"/>
              <w:ind w:left="0" w:right="0" w:hanging="0"/>
              <w:jc w:val="left"/>
              <w:rPr/>
            </w:pPr>
            <w:hyperlink w:anchor="item_4__controls_and_procedures">
              <w:r>
                <w:rPr>
                  <w:rStyle w:val="InternetLink"/>
                  <w:rFonts w:ascii="Times New Roman;serif" w:hAnsi="Times New Roman;serif"/>
                  <w:b w:val="false"/>
                  <w:sz w:val="20"/>
                  <w:u w:val="single"/>
                </w:rPr>
                <w:t>Controls and Procedures</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9532" w:type="dxa"/>
            <w:gridSpan w:val="2"/>
            <w:tcBorders/>
            <w:vAlign w:val="center"/>
          </w:tcPr>
          <w:p>
            <w:pPr>
              <w:pStyle w:val="TableContents"/>
              <w:bidi w:val="0"/>
              <w:spacing w:before="40" w:after="40"/>
              <w:ind w:left="0" w:right="0" w:hanging="0"/>
              <w:jc w:val="left"/>
              <w:rPr/>
            </w:pPr>
            <w:hyperlink w:anchor="part_ii_other_information">
              <w:r>
                <w:rPr>
                  <w:rStyle w:val="InternetLink"/>
                  <w:rFonts w:ascii="Times New Roman;serif" w:hAnsi="Times New Roman;serif"/>
                  <w:b w:val="false"/>
                  <w:sz w:val="20"/>
                  <w:u w:val="single"/>
                </w:rPr>
                <w:t>PART II OTHER INFORMATION</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76" w:type="dxa"/>
            <w:tcBorders/>
            <w:vAlign w:val="center"/>
          </w:tcPr>
          <w:p>
            <w:pPr>
              <w:pStyle w:val="TableContents"/>
              <w:bidi w:val="0"/>
              <w:spacing w:before="40" w:after="4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656" w:type="dxa"/>
            <w:tcBorders/>
            <w:vAlign w:val="center"/>
          </w:tcPr>
          <w:p>
            <w:pPr>
              <w:pStyle w:val="TableContents"/>
              <w:bidi w:val="0"/>
              <w:spacing w:before="40" w:after="40"/>
              <w:ind w:left="0" w:right="0" w:hanging="0"/>
              <w:jc w:val="left"/>
              <w:rPr/>
            </w:pPr>
            <w:hyperlink w:anchor="item_1__legal_proceedings">
              <w:r>
                <w:rPr>
                  <w:rStyle w:val="InternetLink"/>
                  <w:rFonts w:ascii="Times New Roman;serif" w:hAnsi="Times New Roman;serif"/>
                  <w:b w:val="false"/>
                  <w:sz w:val="20"/>
                  <w:u w:val="single"/>
                </w:rPr>
                <w:t>Legal Proceedings</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76" w:type="dxa"/>
            <w:tcBorders/>
            <w:vAlign w:val="center"/>
          </w:tcPr>
          <w:p>
            <w:pPr>
              <w:pStyle w:val="TableContents"/>
              <w:bidi w:val="0"/>
              <w:spacing w:before="40" w:after="4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656" w:type="dxa"/>
            <w:tcBorders/>
            <w:vAlign w:val="center"/>
          </w:tcPr>
          <w:p>
            <w:pPr>
              <w:pStyle w:val="TableContents"/>
              <w:bidi w:val="0"/>
              <w:spacing w:before="40" w:after="40"/>
              <w:ind w:left="0" w:right="0" w:hanging="0"/>
              <w:jc w:val="left"/>
              <w:rPr/>
            </w:pPr>
            <w:hyperlink w:anchor="item_1a__risk_factors">
              <w:r>
                <w:rPr>
                  <w:rStyle w:val="InternetLink"/>
                  <w:rFonts w:ascii="Times New Roman;serif" w:hAnsi="Times New Roman;serif"/>
                  <w:b w:val="false"/>
                  <w:sz w:val="20"/>
                  <w:u w:val="single"/>
                </w:rPr>
                <w:t>Risk Factors</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76" w:type="dxa"/>
            <w:tcBorders/>
            <w:vAlign w:val="center"/>
          </w:tcPr>
          <w:p>
            <w:pPr>
              <w:pStyle w:val="TableContents"/>
              <w:bidi w:val="0"/>
              <w:spacing w:before="40" w:after="4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656" w:type="dxa"/>
            <w:tcBorders/>
            <w:vAlign w:val="center"/>
          </w:tcPr>
          <w:p>
            <w:pPr>
              <w:pStyle w:val="TableContents"/>
              <w:bidi w:val="0"/>
              <w:spacing w:before="40" w:after="40"/>
              <w:ind w:left="0" w:right="0" w:hanging="0"/>
              <w:jc w:val="left"/>
              <w:rPr/>
            </w:pPr>
            <w:hyperlink w:anchor="item_2__unregistered_sale_of_equity_secu">
              <w:r>
                <w:rPr>
                  <w:rStyle w:val="InternetLink"/>
                  <w:rFonts w:ascii="Times New Roman;serif" w:hAnsi="Times New Roman;serif"/>
                  <w:b w:val="false"/>
                  <w:sz w:val="20"/>
                  <w:u w:val="single"/>
                </w:rPr>
                <w:t>Unregistered Sales of Equity Securities and Use of Proceeds</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76" w:type="dxa"/>
            <w:tcBorders/>
            <w:vAlign w:val="center"/>
          </w:tcPr>
          <w:p>
            <w:pPr>
              <w:pStyle w:val="TableContents"/>
              <w:bidi w:val="0"/>
              <w:spacing w:before="40" w:after="4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656" w:type="dxa"/>
            <w:tcBorders/>
            <w:vAlign w:val="center"/>
          </w:tcPr>
          <w:p>
            <w:pPr>
              <w:pStyle w:val="TableContents"/>
              <w:bidi w:val="0"/>
              <w:spacing w:before="40" w:after="40"/>
              <w:ind w:left="0" w:right="0" w:hanging="0"/>
              <w:jc w:val="left"/>
              <w:rPr/>
            </w:pPr>
            <w:hyperlink w:anchor="item_5__other_information">
              <w:r>
                <w:rPr>
                  <w:rStyle w:val="InternetLink"/>
                  <w:rFonts w:ascii="Times New Roman;serif" w:hAnsi="Times New Roman;serif"/>
                  <w:b w:val="false"/>
                  <w:sz w:val="20"/>
                  <w:u w:val="single"/>
                </w:rPr>
                <w:t>Other Information</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76" w:type="dxa"/>
            <w:tcBorders/>
            <w:vAlign w:val="center"/>
          </w:tcPr>
          <w:p>
            <w:pPr>
              <w:pStyle w:val="TableContents"/>
              <w:bidi w:val="0"/>
              <w:spacing w:before="40" w:after="4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656" w:type="dxa"/>
            <w:tcBorders/>
            <w:vAlign w:val="center"/>
          </w:tcPr>
          <w:p>
            <w:pPr>
              <w:pStyle w:val="TableContents"/>
              <w:bidi w:val="0"/>
              <w:spacing w:before="40" w:after="40"/>
              <w:ind w:left="0" w:right="0" w:hanging="0"/>
              <w:jc w:val="left"/>
              <w:rPr/>
            </w:pPr>
            <w:hyperlink w:anchor="item_6__exhibits">
              <w:r>
                <w:rPr>
                  <w:rStyle w:val="InternetLink"/>
                  <w:rFonts w:ascii="Times New Roman;serif" w:hAnsi="Times New Roman;serif"/>
                  <w:b w:val="false"/>
                  <w:sz w:val="20"/>
                  <w:u w:val="single"/>
                </w:rPr>
                <w:t>Exhibits</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9532" w:type="dxa"/>
            <w:gridSpan w:val="2"/>
            <w:tcBorders/>
            <w:vAlign w:val="center"/>
          </w:tcPr>
          <w:p>
            <w:pPr>
              <w:pStyle w:val="TableContents"/>
              <w:bidi w:val="0"/>
              <w:spacing w:before="40" w:after="40"/>
              <w:ind w:left="0" w:right="0" w:hanging="0"/>
              <w:jc w:val="left"/>
              <w:rPr/>
            </w:pPr>
            <w:hyperlink w:anchor="signature">
              <w:r>
                <w:rPr>
                  <w:rStyle w:val="InternetLink"/>
                  <w:rFonts w:ascii="Times New Roman;serif" w:hAnsi="Times New Roman;serif"/>
                  <w:b w:val="false"/>
                  <w:sz w:val="20"/>
                  <w:u w:val="single"/>
                </w:rPr>
                <w:t>SIGNATURE</w:t>
              </w:r>
            </w:hyperlink>
          </w:p>
        </w:tc>
        <w:tc>
          <w:tcPr>
            <w:tcW w:w="6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r>
    </w:tbl>
    <w:p>
      <w:pPr>
        <w:pStyle w:val="TextBody"/>
        <w:bidi w:val="0"/>
        <w:spacing w:before="60" w:after="0"/>
        <w:jc w:val="left"/>
        <w:rPr/>
      </w:pPr>
      <w:r>
        <w:rPr/>
        <w:t> </w:t>
      </w:r>
    </w:p>
    <w:p>
      <w:pPr>
        <w:pStyle w:val="TextBody"/>
        <w:bidi w:val="0"/>
        <w:spacing w:before="6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3" w:name="part_i_financial_information"/>
      <w:bookmarkEnd w:id="3"/>
      <w:r>
        <w:rPr>
          <w:rFonts w:ascii="Times New Roman;serif" w:hAnsi="Times New Roman;serif"/>
          <w:b/>
          <w:sz w:val="20"/>
        </w:rPr>
        <w:t>PART I – FINANCIAL INFORMATION</w:t>
      </w:r>
    </w:p>
    <w:p>
      <w:pPr>
        <w:pStyle w:val="TextBody"/>
        <w:bidi w:val="0"/>
        <w:spacing w:before="180" w:after="0"/>
        <w:jc w:val="both"/>
        <w:rPr>
          <w:rFonts w:ascii="Times New Roman;serif" w:hAnsi="Times New Roman;serif"/>
          <w:b/>
          <w:sz w:val="20"/>
        </w:rPr>
      </w:pPr>
      <w:bookmarkStart w:id="4" w:name="item_1__financial_statements"/>
      <w:bookmarkEnd w:id="4"/>
      <w:r>
        <w:rPr>
          <w:rFonts w:ascii="Times New Roman;serif" w:hAnsi="Times New Roman;serif"/>
          <w:b/>
          <w:sz w:val="20"/>
        </w:rPr>
        <w:t>ITEM 1. FINANCIAL STATEMENTS</w:t>
      </w:r>
    </w:p>
    <w:p>
      <w:pPr>
        <w:pStyle w:val="TextBody"/>
        <w:bidi w:val="0"/>
        <w:spacing w:before="240" w:after="0"/>
        <w:jc w:val="center"/>
        <w:rPr>
          <w:rFonts w:ascii="Times New Roman;serif" w:hAnsi="Times New Roman;serif"/>
          <w:b/>
          <w:sz w:val="20"/>
        </w:rPr>
      </w:pPr>
      <w:bookmarkStart w:id="5" w:name="unaudited_condensed_consolidated_balance"/>
      <w:bookmarkEnd w:id="5"/>
      <w:r>
        <w:rPr>
          <w:rFonts w:ascii="Times New Roman;serif" w:hAnsi="Times New Roman;serif"/>
          <w:b/>
          <w:sz w:val="20"/>
        </w:rPr>
        <w:t>ORION ENERGY SYSTEMS, INC. AND SUBSIDIARIES</w:t>
      </w:r>
    </w:p>
    <w:p>
      <w:pPr>
        <w:pStyle w:val="TextBody"/>
        <w:bidi w:val="0"/>
        <w:spacing w:before="0" w:after="0"/>
        <w:jc w:val="center"/>
        <w:rPr>
          <w:rFonts w:ascii="Times New Roman;serif" w:hAnsi="Times New Roman;serif"/>
          <w:b/>
          <w:sz w:val="20"/>
        </w:rPr>
      </w:pPr>
      <w:bookmarkStart w:id="6" w:name="condensed_consolidated_balance"/>
      <w:bookmarkEnd w:id="6"/>
      <w:r>
        <w:rPr>
          <w:rFonts w:ascii="Times New Roman;serif" w:hAnsi="Times New Roman;serif"/>
          <w:b/>
          <w:sz w:val="20"/>
        </w:rPr>
        <w:t>UNAUDITED 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amounts)</w:t>
      </w:r>
    </w:p>
    <w:p>
      <w:pPr>
        <w:pStyle w:val="TextBody"/>
        <w:bidi w:val="0"/>
        <w:spacing w:before="0" w:after="0"/>
        <w:jc w:val="left"/>
        <w:rPr/>
      </w:pPr>
      <w:r>
        <w:rPr/>
        <w:t> </w:t>
      </w:r>
    </w:p>
    <w:tbl>
      <w:tblPr>
        <w:tblW w:w="9465" w:type="dxa"/>
        <w:jc w:val="left"/>
        <w:tblInd w:w="0" w:type="dxa"/>
        <w:tblLayout w:type="fixed"/>
        <w:tblCellMar>
          <w:top w:w="28" w:type="dxa"/>
          <w:left w:w="28" w:type="dxa"/>
          <w:bottom w:w="28" w:type="dxa"/>
          <w:right w:w="28" w:type="dxa"/>
        </w:tblCellMar>
      </w:tblPr>
      <w:tblGrid>
        <w:gridCol w:w="6211"/>
        <w:gridCol w:w="146"/>
        <w:gridCol w:w="239"/>
        <w:gridCol w:w="886"/>
        <w:gridCol w:w="166"/>
        <w:gridCol w:w="146"/>
        <w:gridCol w:w="268"/>
        <w:gridCol w:w="992"/>
        <w:gridCol w:w="411"/>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15,992</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13,728</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earned but not billed</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1,320</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Inventories, net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18,205</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2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50,361</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10,470</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intangible assets, net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6,004</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2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71,579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13,405</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10,552</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current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maturities of long-term debt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2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24,454</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 less current maturities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long-term</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2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Shareholders’ equity:</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2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Preferred stock, $0.01</w:t>
            </w:r>
            <w:r>
              <w:rPr>
                <w:rFonts w:ascii="Times New Roman" w:hAnsi="Times New Roman"/>
                <w:sz w:val="20"/>
              </w:rPr>
              <w:t> </w:t>
            </w:r>
            <w:r>
              <w:rPr>
                <w:rFonts w:ascii="Times New Roman;serif" w:hAnsi="Times New Roman;serif"/>
                <w:b w:val="false"/>
                <w:sz w:val="20"/>
              </w:rPr>
              <w:t>par value: Shares authorized: 30,000,000</w:t>
            </w:r>
            <w:r>
              <w:rPr>
                <w:rFonts w:ascii="Times New Roman" w:hAnsi="Times New Roman"/>
                <w:sz w:val="20"/>
              </w:rPr>
              <w:t> </w:t>
            </w:r>
            <w:r>
              <w:rPr>
                <w:rFonts w:ascii="Times New Roman;serif" w:hAnsi="Times New Roman;serif"/>
                <w:b w:val="false"/>
                <w:sz w:val="20"/>
              </w:rPr>
              <w:t>at</w:t>
              <w:br/>
              <w:t>   June 30, 2023 and March 31, 2023; no</w:t>
            </w:r>
            <w:r>
              <w:rPr>
                <w:rFonts w:ascii="Times New Roman" w:hAnsi="Times New Roman"/>
                <w:sz w:val="20"/>
              </w:rPr>
              <w:t> </w:t>
            </w:r>
            <w:r>
              <w:rPr>
                <w:rFonts w:ascii="Times New Roman;serif" w:hAnsi="Times New Roman;serif"/>
                <w:b w:val="false"/>
                <w:sz w:val="20"/>
              </w:rPr>
              <w:t xml:space="preserve">shares issued and outstanding at </w:t>
              <w:br/>
              <w:t>   June 30, 2023 and March 31, 2023</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Common stock, no</w:t>
            </w:r>
            <w:r>
              <w:rPr>
                <w:rFonts w:ascii="Times New Roman" w:hAnsi="Times New Roman"/>
                <w:sz w:val="20"/>
              </w:rPr>
              <w:t> </w:t>
            </w:r>
            <w:r>
              <w:rPr>
                <w:rFonts w:ascii="Times New Roman;serif" w:hAnsi="Times New Roman;serif"/>
                <w:b w:val="false"/>
                <w:sz w:val="20"/>
              </w:rPr>
              <w:t>par value: Shares authorized: 200,000,000</w:t>
            </w:r>
            <w:r>
              <w:rPr>
                <w:rFonts w:ascii="Times New Roman" w:hAnsi="Times New Roman"/>
                <w:sz w:val="20"/>
              </w:rPr>
              <w:t> </w:t>
            </w:r>
            <w:r>
              <w:rPr>
                <w:rFonts w:ascii="Times New Roman;serif" w:hAnsi="Times New Roman;serif"/>
                <w:b w:val="false"/>
                <w:sz w:val="20"/>
              </w:rPr>
              <w:t xml:space="preserve">at </w:t>
              <w:br/>
              <w:t>June 30, 2023 and March 31, 2023; shares issued: 41,973,543</w:t>
            </w:r>
            <w:r>
              <w:rPr>
                <w:rFonts w:ascii="Times New Roman" w:hAnsi="Times New Roman"/>
                <w:sz w:val="20"/>
              </w:rPr>
              <w:t> </w:t>
            </w:r>
            <w:r>
              <w:rPr>
                <w:rFonts w:ascii="Times New Roman;serif" w:hAnsi="Times New Roman;serif"/>
                <w:b w:val="false"/>
                <w:sz w:val="20"/>
              </w:rPr>
              <w:t xml:space="preserve">at </w:t>
              <w:br/>
              <w:t>June 30, 2023 and 41,767,092</w:t>
            </w:r>
            <w:r>
              <w:rPr>
                <w:rFonts w:ascii="Times New Roman" w:hAnsi="Times New Roman"/>
                <w:sz w:val="20"/>
              </w:rPr>
              <w:t> </w:t>
            </w:r>
            <w:r>
              <w:rPr>
                <w:rFonts w:ascii="Times New Roman;serif" w:hAnsi="Times New Roman;serif"/>
                <w:b w:val="false"/>
                <w:sz w:val="20"/>
              </w:rPr>
              <w:t xml:space="preserve">at March 31, 2023; shares outstanding: </w:t>
              <w:br/>
              <w:t>32,502,558</w:t>
            </w:r>
            <w:r>
              <w:rPr>
                <w:rFonts w:ascii="Times New Roman" w:hAnsi="Times New Roman"/>
                <w:sz w:val="20"/>
              </w:rPr>
              <w:t> </w:t>
            </w:r>
            <w:r>
              <w:rPr>
                <w:rFonts w:ascii="Times New Roman;serif" w:hAnsi="Times New Roman;serif"/>
                <w:b w:val="false"/>
                <w:sz w:val="20"/>
              </w:rPr>
              <w:t>at June 30, 2023 and 32,295,408</w:t>
            </w:r>
            <w:r>
              <w:rPr>
                <w:rFonts w:ascii="Times New Roman" w:hAnsi="Times New Roman"/>
                <w:sz w:val="20"/>
              </w:rPr>
              <w:t> </w:t>
            </w:r>
            <w:r>
              <w:rPr>
                <w:rFonts w:ascii="Times New Roman;serif" w:hAnsi="Times New Roman;serif"/>
                <w:b w:val="false"/>
                <w:sz w:val="20"/>
              </w:rPr>
              <w:t>at March 31, 2023</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161,095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160,907</w:t>
            </w:r>
          </w:p>
        </w:tc>
        <w:tc>
          <w:tcPr>
            <w:tcW w:w="41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Treasury stock, common shares: 9,470,985</w:t>
            </w:r>
            <w:r>
              <w:rPr>
                <w:rFonts w:ascii="Times New Roman" w:hAnsi="Times New Roman"/>
                <w:sz w:val="20"/>
              </w:rPr>
              <w:t> </w:t>
            </w:r>
            <w:r>
              <w:rPr>
                <w:rFonts w:ascii="Times New Roman;serif" w:hAnsi="Times New Roman;serif"/>
                <w:b w:val="false"/>
                <w:sz w:val="20"/>
              </w:rPr>
              <w:t>at June 30, 2023 and 9,471,684</w:t>
            </w:r>
            <w:r>
              <w:rPr>
                <w:rFonts w:ascii="Times New Roman" w:hAnsi="Times New Roman"/>
                <w:sz w:val="20"/>
              </w:rPr>
              <w:t> </w:t>
            </w:r>
            <w:r>
              <w:rPr>
                <w:rFonts w:ascii="Times New Roman;serif" w:hAnsi="Times New Roman;serif"/>
                <w:b w:val="false"/>
                <w:sz w:val="20"/>
              </w:rPr>
              <w:br/>
              <w:t>at March 31, 2023</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(36,237</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Retained deficit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(91,421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shareholders’ equity</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33,249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2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71,579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ORION ENERGY SYSTEMS, INC. AND SUBSIDIARIES</w:t>
      </w:r>
    </w:p>
    <w:p>
      <w:pPr>
        <w:pStyle w:val="TextBody"/>
        <w:bidi w:val="0"/>
        <w:spacing w:before="0" w:after="0"/>
        <w:jc w:val="center"/>
        <w:rPr>
          <w:rFonts w:ascii="Times New Roman;serif" w:hAnsi="Times New Roman;serif"/>
          <w:b/>
          <w:sz w:val="20"/>
        </w:rPr>
      </w:pPr>
      <w:bookmarkStart w:id="7" w:name="unaudited_condensed_consolidated_stateme"/>
      <w:bookmarkEnd w:id="7"/>
      <w:r>
        <w:rPr>
          <w:rFonts w:ascii="Times New Roman;serif" w:hAnsi="Times New Roman;serif"/>
          <w:b/>
          <w:sz w:val="20"/>
        </w:rPr>
        <w:t>UNAUDITED CONDENSED CONSOLIDATED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and per share amounts)</w:t>
      </w:r>
    </w:p>
    <w:p>
      <w:pPr>
        <w:pStyle w:val="TextBody"/>
        <w:bidi w:val="0"/>
        <w:spacing w:before="0" w:after="0"/>
        <w:jc w:val="left"/>
        <w:rPr/>
      </w:pPr>
      <w:r>
        <w:rPr/>
        <w:t> </w:t>
      </w:r>
    </w:p>
    <w:tbl>
      <w:tblPr>
        <w:tblW w:w="7279" w:type="dxa"/>
        <w:jc w:val="left"/>
        <w:tblInd w:w="0" w:type="dxa"/>
        <w:tblLayout w:type="fixed"/>
        <w:tblCellMar>
          <w:top w:w="28" w:type="dxa"/>
          <w:left w:w="28" w:type="dxa"/>
          <w:bottom w:w="28" w:type="dxa"/>
          <w:right w:w="28" w:type="dxa"/>
        </w:tblCellMar>
      </w:tblPr>
      <w:tblGrid>
        <w:gridCol w:w="3916"/>
        <w:gridCol w:w="146"/>
        <w:gridCol w:w="211"/>
        <w:gridCol w:w="1036"/>
        <w:gridCol w:w="166"/>
        <w:gridCol w:w="146"/>
        <w:gridCol w:w="211"/>
        <w:gridCol w:w="1036"/>
        <w:gridCol w:w="4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13,483</w:t>
            </w:r>
          </w:p>
        </w:tc>
        <w:tc>
          <w:tcPr>
            <w:tcW w:w="41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9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17,906</w:t>
            </w:r>
          </w:p>
        </w:tc>
        <w:tc>
          <w:tcPr>
            <w:tcW w:w="41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product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10,385</w:t>
            </w:r>
          </w:p>
        </w:tc>
        <w:tc>
          <w:tcPr>
            <w:tcW w:w="41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9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9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3,554</w:t>
            </w:r>
          </w:p>
        </w:tc>
        <w:tc>
          <w:tcPr>
            <w:tcW w:w="41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3,754</w:t>
            </w:r>
          </w:p>
        </w:tc>
        <w:tc>
          <w:tcPr>
            <w:tcW w:w="41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related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41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2,889</w:t>
            </w:r>
          </w:p>
        </w:tc>
        <w:tc>
          <w:tcPr>
            <w:tcW w:w="41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9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(3,617</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debt issue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9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net loss per share attributable to</w:t>
              <w:br/>
              <w:t>   common shareholders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32,345,823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31,138,398</w:t>
            </w:r>
          </w:p>
        </w:tc>
        <w:tc>
          <w:tcPr>
            <w:tcW w:w="41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net loss per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and share</w:t>
              <w:br/>
              <w:t>   equivalents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32,345,823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31,138,398</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ORION ENERGY SYSTEMS, INC. AND SUBSIDIARIES</w:t>
      </w:r>
    </w:p>
    <w:p>
      <w:pPr>
        <w:pStyle w:val="TextBody"/>
        <w:bidi w:val="0"/>
        <w:spacing w:before="0" w:after="0"/>
        <w:jc w:val="center"/>
        <w:rPr>
          <w:rFonts w:ascii="Times New Roman;serif" w:hAnsi="Times New Roman;serif"/>
          <w:b/>
          <w:sz w:val="20"/>
        </w:rPr>
      </w:pPr>
      <w:bookmarkStart w:id="8" w:name="statements_shareholders_equity"/>
      <w:bookmarkEnd w:id="8"/>
      <w:r>
        <w:rPr>
          <w:rFonts w:ascii="Times New Roman;serif" w:hAnsi="Times New Roman;serif"/>
          <w:b/>
          <w:sz w:val="20"/>
        </w:rPr>
        <w:t>UNAUDITED CONDENSED CONSOLIDATED STATEMENTS OF SHAREHOLDERS’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amounts)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424"/>
        <w:gridCol w:w="146"/>
        <w:gridCol w:w="146"/>
        <w:gridCol w:w="1036"/>
        <w:gridCol w:w="146"/>
        <w:gridCol w:w="146"/>
        <w:gridCol w:w="211"/>
        <w:gridCol w:w="781"/>
        <w:gridCol w:w="146"/>
        <w:gridCol w:w="146"/>
        <w:gridCol w:w="211"/>
        <w:gridCol w:w="736"/>
        <w:gridCol w:w="166"/>
        <w:gridCol w:w="146"/>
        <w:gridCol w:w="211"/>
        <w:gridCol w:w="736"/>
        <w:gridCol w:w="166"/>
        <w:gridCol w:w="146"/>
        <w:gridCol w:w="272"/>
        <w:gridCol w:w="875"/>
        <w:gridCol w:w="212"/>
      </w:tblGrid>
      <w:tr>
        <w:trPr/>
        <w:tc>
          <w:tcPr>
            <w:tcW w:w="3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23"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Shareholders’ Equity</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7" w:type="dxa"/>
            <w:gridSpan w:val="2"/>
            <w:tcBorders/>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center"/>
              <w:rPr/>
            </w:pPr>
            <w:r>
              <w:rPr/>
              <w:t> </w:t>
            </w:r>
          </w:p>
        </w:tc>
      </w:tr>
      <w:tr>
        <w:trPr/>
        <w:tc>
          <w:tcPr>
            <w:tcW w:w="34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 xml:space="preserve">Paid-in </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Treasury</w:t>
              <w:b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Retained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 xml:space="preserve">Shareholders’ </w:t>
              <w:br/>
              <w:t>Equity</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32,295,408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(91,421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33,249</w:t>
            </w:r>
          </w:p>
        </w:tc>
        <w:tc>
          <w:tcPr>
            <w:tcW w:w="212" w:type="dxa"/>
            <w:tcBorders/>
            <w:vAlign w:val="center"/>
          </w:tcPr>
          <w:p>
            <w:pPr>
              <w:pStyle w:val="TableContents"/>
              <w:bidi w:val="0"/>
              <w:spacing w:before="0" w:after="0"/>
              <w:ind w:left="0" w:right="0" w:hanging="0"/>
              <w:jc w:val="left"/>
              <w:rPr/>
            </w:pPr>
            <w:r>
              <w:rPr/>
              <w:t> </w:t>
            </w:r>
          </w:p>
        </w:tc>
      </w:tr>
      <w:tr>
        <w:trPr/>
        <w:tc>
          <w:tcPr>
            <w:tcW w:w="34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issued under Employee Stock Purchase</w:t>
              <w:br/>
              <w:t>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2" w:type="dxa"/>
            <w:tcBorders/>
            <w:vAlign w:val="center"/>
          </w:tcPr>
          <w:p>
            <w:pPr>
              <w:pStyle w:val="TableContents"/>
              <w:bidi w:val="0"/>
              <w:spacing w:before="0" w:after="0"/>
              <w:ind w:left="0" w:right="0" w:hanging="0"/>
              <w:jc w:val="left"/>
              <w:rPr/>
            </w:pPr>
            <w:r>
              <w:rPr/>
              <w:t> </w:t>
            </w:r>
          </w:p>
        </w:tc>
      </w:tr>
      <w:tr>
        <w:trPr/>
        <w:tc>
          <w:tcPr>
            <w:tcW w:w="34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212" w:type="dxa"/>
            <w:tcBorders/>
            <w:vAlign w:val="center"/>
          </w:tcPr>
          <w:p>
            <w:pPr>
              <w:pStyle w:val="TableContents"/>
              <w:bidi w:val="0"/>
              <w:spacing w:before="0" w:after="0"/>
              <w:ind w:left="0" w:right="0" w:hanging="0"/>
              <w:jc w:val="left"/>
              <w:rPr/>
            </w:pPr>
            <w:r>
              <w:rPr/>
              <w:t> </w:t>
            </w:r>
          </w:p>
        </w:tc>
      </w:tr>
      <w:tr>
        <w:trPr/>
        <w:tc>
          <w:tcPr>
            <w:tcW w:w="34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(6,637</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32,502,558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161,095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26,801</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7" w:type="dxa"/>
            <w:gridSpan w:val="2"/>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405"/>
        <w:gridCol w:w="146"/>
        <w:gridCol w:w="146"/>
        <w:gridCol w:w="1036"/>
        <w:gridCol w:w="166"/>
        <w:gridCol w:w="146"/>
        <w:gridCol w:w="211"/>
        <w:gridCol w:w="781"/>
        <w:gridCol w:w="146"/>
        <w:gridCol w:w="146"/>
        <w:gridCol w:w="211"/>
        <w:gridCol w:w="736"/>
        <w:gridCol w:w="166"/>
        <w:gridCol w:w="146"/>
        <w:gridCol w:w="211"/>
        <w:gridCol w:w="736"/>
        <w:gridCol w:w="166"/>
        <w:gridCol w:w="146"/>
        <w:gridCol w:w="272"/>
        <w:gridCol w:w="874"/>
        <w:gridCol w:w="212"/>
      </w:tblGrid>
      <w:tr>
        <w:trPr/>
        <w:tc>
          <w:tcPr>
            <w:tcW w:w="3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42"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Shareholders’ Equity</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6" w:type="dxa"/>
            <w:gridSpan w:val="2"/>
            <w:tcBorders/>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center"/>
              <w:rPr/>
            </w:pPr>
            <w:r>
              <w:rPr/>
              <w:t> </w:t>
            </w:r>
          </w:p>
        </w:tc>
      </w:tr>
      <w:tr>
        <w:trPr/>
        <w:tc>
          <w:tcPr>
            <w:tcW w:w="34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 xml:space="preserve">Paid-in </w:t>
              <w:b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Treasury</w:t>
              <w:b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Retained </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 xml:space="preserve">Shareholders’ </w:t>
              <w:br/>
              <w:t>Equity</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31,097,872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65,100</w:t>
            </w:r>
          </w:p>
        </w:tc>
        <w:tc>
          <w:tcPr>
            <w:tcW w:w="212" w:type="dxa"/>
            <w:tcBorders/>
            <w:vAlign w:val="center"/>
          </w:tcPr>
          <w:p>
            <w:pPr>
              <w:pStyle w:val="TableContents"/>
              <w:bidi w:val="0"/>
              <w:spacing w:before="0" w:after="0"/>
              <w:ind w:left="0" w:right="0" w:hanging="0"/>
              <w:jc w:val="left"/>
              <w:rPr/>
            </w:pPr>
            <w:r>
              <w:rPr/>
              <w:t> </w:t>
            </w:r>
          </w:p>
        </w:tc>
      </w:tr>
      <w:tr>
        <w:trPr/>
        <w:tc>
          <w:tcPr>
            <w:tcW w:w="3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of stock options for cash</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12" w:type="dxa"/>
            <w:tcBorders/>
            <w:vAlign w:val="center"/>
          </w:tcPr>
          <w:p>
            <w:pPr>
              <w:pStyle w:val="TableContents"/>
              <w:bidi w:val="0"/>
              <w:spacing w:before="0" w:after="0"/>
              <w:ind w:left="0" w:right="0" w:hanging="0"/>
              <w:jc w:val="left"/>
              <w:rPr/>
            </w:pPr>
            <w:r>
              <w:rPr/>
              <w:t> </w:t>
            </w:r>
          </w:p>
        </w:tc>
      </w:tr>
      <w:tr>
        <w:trPr/>
        <w:tc>
          <w:tcPr>
            <w:tcW w:w="3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issued under Employee Stock Purchase</w:t>
              <w:br/>
              <w:t>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2" w:type="dxa"/>
            <w:tcBorders/>
            <w:vAlign w:val="center"/>
          </w:tcPr>
          <w:p>
            <w:pPr>
              <w:pStyle w:val="TableContents"/>
              <w:bidi w:val="0"/>
              <w:spacing w:before="0" w:after="0"/>
              <w:ind w:left="0" w:right="0" w:hanging="0"/>
              <w:jc w:val="left"/>
              <w:rPr/>
            </w:pPr>
            <w:r>
              <w:rPr/>
              <w:t> </w:t>
            </w:r>
          </w:p>
        </w:tc>
      </w:tr>
      <w:tr>
        <w:trPr/>
        <w:tc>
          <w:tcPr>
            <w:tcW w:w="3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125,744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212" w:type="dxa"/>
            <w:tcBorders/>
            <w:vAlign w:val="center"/>
          </w:tcPr>
          <w:p>
            <w:pPr>
              <w:pStyle w:val="TableContents"/>
              <w:bidi w:val="0"/>
              <w:spacing w:before="0" w:after="0"/>
              <w:ind w:left="0" w:right="0" w:hanging="0"/>
              <w:jc w:val="left"/>
              <w:rPr/>
            </w:pPr>
            <w:r>
              <w:rPr/>
              <w:t> </w:t>
            </w:r>
          </w:p>
        </w:tc>
      </w:tr>
      <w:tr>
        <w:trPr/>
        <w:tc>
          <w:tcPr>
            <w:tcW w:w="3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tax withholdings on stock-based</w:t>
              <w:br/>
              <w:t>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(2,835</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31,250,071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158,727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62,572</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0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6" w:type="dxa"/>
            <w:gridSpan w:val="2"/>
            <w:tcBorders/>
            <w:vAlign w:val="center"/>
          </w:tcPr>
          <w:p>
            <w:pPr>
              <w:pStyle w:val="TableContents"/>
              <w:bidi w:val="0"/>
              <w:spacing w:before="0" w:after="0"/>
              <w:ind w:left="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9" w:name="condensed_consolidated_statements_of_cas"/>
      <w:bookmarkEnd w:id="9"/>
      <w:r>
        <w:rPr>
          <w:rFonts w:ascii="Times New Roman;serif" w:hAnsi="Times New Roman;serif"/>
          <w:b/>
          <w:sz w:val="20"/>
        </w:rPr>
        <w:t>ORION ENERGY SYSTEMS, INC. AND SUBSIDIARIES</w:t>
      </w:r>
    </w:p>
    <w:p>
      <w:pPr>
        <w:pStyle w:val="TextBody"/>
        <w:bidi w:val="0"/>
        <w:spacing w:before="0" w:after="0"/>
        <w:jc w:val="center"/>
        <w:rPr>
          <w:rFonts w:ascii="Times New Roman;serif" w:hAnsi="Times New Roman;serif"/>
          <w:b/>
          <w:sz w:val="20"/>
        </w:rPr>
      </w:pPr>
      <w:bookmarkStart w:id="10" w:name="consolidated_stateme_cash_flow"/>
      <w:bookmarkEnd w:id="10"/>
      <w:r>
        <w:rPr>
          <w:rFonts w:ascii="Times New Roman;serif" w:hAnsi="Times New Roman;serif"/>
          <w:b/>
          <w:sz w:val="20"/>
        </w:rPr>
        <w:t>UNAUDITED 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left"/>
        <w:rPr/>
      </w:pPr>
      <w:r>
        <w:rPr/>
        <w:t> </w:t>
      </w:r>
    </w:p>
    <w:tbl>
      <w:tblPr>
        <w:tblW w:w="9457" w:type="dxa"/>
        <w:jc w:val="left"/>
        <w:tblInd w:w="0" w:type="dxa"/>
        <w:tblLayout w:type="fixed"/>
        <w:tblCellMar>
          <w:top w:w="28" w:type="dxa"/>
          <w:left w:w="28" w:type="dxa"/>
          <w:bottom w:w="28" w:type="dxa"/>
          <w:right w:w="28" w:type="dxa"/>
        </w:tblCellMar>
      </w:tblPr>
      <w:tblGrid>
        <w:gridCol w:w="6436"/>
        <w:gridCol w:w="146"/>
        <w:gridCol w:w="229"/>
        <w:gridCol w:w="734"/>
        <w:gridCol w:w="180"/>
        <w:gridCol w:w="158"/>
        <w:gridCol w:w="229"/>
        <w:gridCol w:w="734"/>
        <w:gridCol w:w="611"/>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8" w:type="dxa"/>
            <w:tcBorders/>
            <w:vAlign w:val="center"/>
          </w:tcPr>
          <w:p>
            <w:pPr>
              <w:pStyle w:val="TableContents"/>
              <w:bidi w:val="0"/>
              <w:spacing w:before="0" w:after="0"/>
              <w:ind w:left="0" w:right="0" w:hanging="0"/>
              <w:jc w:val="center"/>
              <w:rPr/>
            </w:pPr>
            <w:r>
              <w:rPr/>
              <w:t> </w:t>
            </w:r>
          </w:p>
        </w:tc>
        <w:tc>
          <w:tcPr>
            <w:tcW w:w="9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963"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963"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(6,637</w:t>
            </w:r>
          </w:p>
        </w:tc>
        <w:tc>
          <w:tcPr>
            <w:tcW w:w="1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(2,835</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w:t>
              <w:br/>
              <w:t>operating activities:</w:t>
            </w:r>
          </w:p>
        </w:tc>
        <w:tc>
          <w:tcPr>
            <w:tcW w:w="146" w:type="dxa"/>
            <w:tcBorders/>
            <w:vAlign w:val="center"/>
          </w:tcPr>
          <w:p>
            <w:pPr>
              <w:pStyle w:val="TableContents"/>
              <w:bidi w:val="0"/>
              <w:spacing w:before="0" w:after="0"/>
              <w:ind w:left="0" w:right="0" w:hanging="0"/>
              <w:jc w:val="left"/>
              <w:rPr/>
            </w:pPr>
            <w:r>
              <w:rPr/>
              <w:t> </w:t>
            </w:r>
          </w:p>
        </w:tc>
        <w:tc>
          <w:tcPr>
            <w:tcW w:w="963"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963"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intangible assets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debt issue costs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income tax</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Loss (gain) on sale of property and equipment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for inventory reserves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 net of acquisition:</w:t>
            </w:r>
          </w:p>
        </w:tc>
        <w:tc>
          <w:tcPr>
            <w:tcW w:w="146" w:type="dxa"/>
            <w:tcBorders/>
            <w:vAlign w:val="center"/>
          </w:tcPr>
          <w:p>
            <w:pPr>
              <w:pStyle w:val="TableContents"/>
              <w:bidi w:val="0"/>
              <w:spacing w:before="0" w:after="0"/>
              <w:ind w:left="0" w:right="0" w:hanging="0"/>
              <w:jc w:val="left"/>
              <w:rPr/>
            </w:pPr>
            <w:r>
              <w:rPr/>
              <w:t> </w:t>
            </w:r>
          </w:p>
        </w:tc>
        <w:tc>
          <w:tcPr>
            <w:tcW w:w="963"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963"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(1,075</w:t>
            </w:r>
          </w:p>
        </w:tc>
        <w:tc>
          <w:tcPr>
            <w:tcW w:w="1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Revenue earned but not billed</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1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611" w:type="dxa"/>
            <w:tcBorders/>
            <w:vAlign w:val="center"/>
          </w:tcPr>
          <w:p>
            <w:pPr>
              <w:pStyle w:val="TableContents"/>
              <w:bidi w:val="0"/>
              <w:spacing w:before="0" w:after="0"/>
              <w:ind w:left="0" w:right="0" w:firstLine="400"/>
              <w:jc w:val="left"/>
              <w:rPr/>
            </w:pPr>
            <w:r>
              <w:rPr/>
              <w:t> </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(1,906</w:t>
            </w:r>
          </w:p>
        </w:tc>
        <w:tc>
          <w:tcPr>
            <w:tcW w:w="1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and other</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(1,273</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 current and long-term</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(7,327</w:t>
            </w:r>
          </w:p>
        </w:tc>
        <w:tc>
          <w:tcPr>
            <w:tcW w:w="1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(5,005</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963"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963"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to fund acquisition, net of cash received</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1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Additions to patents and licenses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sale of property, plant and equipment</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1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963"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963"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long-term debt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revolving credit facility</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of revolving credit facility</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to settle employee tax withholdings on stock-based compensation</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employee equity exercises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Net cash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(7,743</w:t>
            </w:r>
          </w:p>
        </w:tc>
        <w:tc>
          <w:tcPr>
            <w:tcW w:w="1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(5,042</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beginning of period</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15,992</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14,466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end of period</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8,249</w:t>
            </w:r>
          </w:p>
        </w:tc>
        <w:tc>
          <w:tcPr>
            <w:tcW w:w="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9,424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963"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963"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4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assets obtained in exchange for new operating lease liabilities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w:t>
            </w:r>
          </w:p>
        </w:tc>
        <w:tc>
          <w:tcPr>
            <w:tcW w:w="180"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4"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1" w:name="orion_energy_systems_inc_subsidiaries"/>
      <w:bookmarkEnd w:id="11"/>
      <w:r>
        <w:rPr>
          <w:rFonts w:ascii="Times New Roman;serif" w:hAnsi="Times New Roman;serif"/>
          <w:b/>
          <w:sz w:val="20"/>
        </w:rPr>
        <w:t>ORION ENERGY SYSTEMS, INC. AND SUBSIDIARIES</w:t>
      </w:r>
    </w:p>
    <w:p>
      <w:pPr>
        <w:pStyle w:val="TextBody"/>
        <w:bidi w:val="0"/>
        <w:spacing w:before="0" w:after="0"/>
        <w:jc w:val="center"/>
        <w:rPr>
          <w:rFonts w:ascii="Times New Roman" w:hAnsi="Times New Roman"/>
          <w:sz w:val="20"/>
        </w:rPr>
      </w:pPr>
      <w:bookmarkStart w:id="12" w:name="notes_to_condensed_consolidate_financial"/>
      <w:bookmarkEnd w:id="12"/>
      <w:r>
        <w:rPr>
          <w:rFonts w:ascii="Times New Roman;serif" w:hAnsi="Times New Roman;serif"/>
          <w:b/>
          <w:sz w:val="20"/>
        </w:rPr>
        <w:t>UNAUDITED NOTES TO THE CONDENSED C</w:t>
      </w:r>
      <w:bookmarkStart w:id="13" w:name="unaudited_notes_to_condensed_consolidate"/>
      <w:bookmarkEnd w:id="13"/>
      <w:r>
        <w:rPr>
          <w:rFonts w:ascii="Times New Roman;serif" w:hAnsi="Times New Roman;serif"/>
          <w:b/>
          <w:sz w:val="20"/>
        </w:rPr>
        <w:t>ONSOLIDATED FINANCIAL STATEMENTS</w:t>
      </w:r>
    </w:p>
    <w:p>
      <w:pPr>
        <w:pStyle w:val="TextBody"/>
        <w:bidi w:val="0"/>
        <w:spacing w:before="180" w:after="0"/>
        <w:jc w:val="left"/>
        <w:rPr>
          <w:rFonts w:ascii="Times New Roman;serif" w:hAnsi="Times New Roman;serif"/>
          <w:b/>
          <w:sz w:val="20"/>
        </w:rPr>
      </w:pPr>
      <w:bookmarkStart w:id="14" w:name="note_1___description_of_business"/>
      <w:bookmarkEnd w:id="14"/>
      <w:r>
        <w:rPr>
          <w:rFonts w:ascii="Times New Roman;serif" w:hAnsi="Times New Roman;serif"/>
          <w:b/>
          <w:sz w:val="20"/>
        </w:rPr>
        <w:t>NOTE 1 — DESCRIPTION OF BUSINESS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 installation services to commercial and industrial businesses, and federal and local governments, predominantly in North America.</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Orion’s corporate offices and leased primary manufacturing operations are located in Manitowoc, Wisconsin. Orion also leases office space in Jacksonville, Florida, Lawrence, Massachusetts and Pewaukee, Wisconsin.</w:t>
      </w:r>
    </w:p>
    <w:p>
      <w:pPr>
        <w:pStyle w:val="TextBody"/>
        <w:bidi w:val="0"/>
        <w:spacing w:before="280" w:after="0"/>
        <w:jc w:val="left"/>
        <w:rPr>
          <w:rFonts w:ascii="Times New Roman;serif" w:hAnsi="Times New Roman;serif"/>
          <w:b/>
          <w:sz w:val="20"/>
        </w:rPr>
      </w:pPr>
      <w:bookmarkStart w:id="15" w:name="note_2___summary_of_significant_accounti"/>
      <w:bookmarkEnd w:id="15"/>
      <w:r>
        <w:rPr>
          <w:rFonts w:ascii="Times New Roman;serif" w:hAnsi="Times New Roman;serif"/>
          <w:b/>
          <w:sz w:val="20"/>
        </w:rPr>
        <w:t>NOTE 2 — SUMMARY OF SIGNIFICANT ACCOUNTING POLICIES</w:t>
      </w:r>
    </w:p>
    <w:p>
      <w:pPr>
        <w:pStyle w:val="TextBody"/>
        <w:bidi w:val="0"/>
        <w:spacing w:before="180" w:after="0"/>
        <w:jc w:val="left"/>
        <w:rPr>
          <w:rFonts w:ascii="Times New Roman;serif" w:hAnsi="Times New Roman;serif"/>
          <w:b/>
          <w:i/>
          <w:sz w:val="20"/>
        </w:rPr>
      </w:pPr>
      <w:r>
        <w:rPr>
          <w:rFonts w:ascii="Times New Roman;serif" w:hAnsi="Times New Roman;serif"/>
          <w:b/>
          <w:i/>
          <w:sz w:val="20"/>
        </w:rPr>
        <w:t>Principles of Consolidation</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consolidated financial statements include the accounts of Orion and its wholly-owned subsidiaries. All significant intercompany transactions and balances have been eliminated in consolidation.</w:t>
      </w:r>
    </w:p>
    <w:p>
      <w:pPr>
        <w:pStyle w:val="TextBody"/>
        <w:bidi w:val="0"/>
        <w:spacing w:before="280" w:after="0"/>
        <w:jc w:val="left"/>
        <w:rPr>
          <w:rFonts w:ascii="Times New Roman;serif" w:hAnsi="Times New Roman;serif"/>
          <w:b/>
          <w:i/>
          <w:sz w:val="20"/>
        </w:rPr>
      </w:pPr>
      <w:r>
        <w:rPr>
          <w:rFonts w:ascii="Times New Roman;serif" w:hAnsi="Times New Roman;serif"/>
          <w:b/>
          <w:i/>
          <w:sz w:val="20"/>
        </w:rPr>
        <w:t>Basis of Presentation</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2024 or other interim periods.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Condensed Consolidated Balance Sheet as of March 31, 2023 has been derived from the audited consolidated financial statements at that date but does not include all of the information required by GAAP for complete financial statements.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accompanying unaudited Condensed Consolidated Financial Statements should be read in conjunction with the audited consolidated financial statements and footnotes thereto included in Orion’s Annual Report on Form 10-K for the fiscal year ended March 31, 2023 filed with the SEC on June 12, 2023.</w:t>
      </w:r>
    </w:p>
    <w:p>
      <w:pPr>
        <w:pStyle w:val="TextBody"/>
        <w:bidi w:val="0"/>
        <w:spacing w:before="280" w:after="0"/>
        <w:jc w:val="left"/>
        <w:rPr>
          <w:rFonts w:ascii="Times New Roman" w:hAnsi="Times New Roman"/>
          <w:sz w:val="20"/>
        </w:rPr>
      </w:pPr>
      <w:r>
        <w:rPr>
          <w:rFonts w:ascii="Times New Roman;serif" w:hAnsi="Times New Roman;serif"/>
          <w:b/>
          <w:i/>
          <w:sz w:val="20"/>
        </w:rPr>
        <w:t>Allowance for Credit Losses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Orion performs ongoing evaluations of its customers and continuously monitors collections and payments. Orion estimates an allowance for credit losses based upon the historical collectability based on past due status and makes judgments about the creditworthiness of customers based on ongoing credit evaluations. We also consider customer-specific information, current market conditions, and reasonable and supportable forecasts of future economic conditions.</w:t>
      </w:r>
      <w:r>
        <w:rPr>
          <w:rFonts w:ascii="Times New Roman" w:hAnsi="Times New Roman"/>
          <w:sz w:val="20"/>
        </w:rPr>
        <w:t xml:space="preserve"> </w:t>
      </w:r>
    </w:p>
    <w:p>
      <w:pPr>
        <w:pStyle w:val="TextBody"/>
        <w:bidi w:val="0"/>
        <w:spacing w:before="280" w:after="0"/>
        <w:jc w:val="left"/>
        <w:rPr>
          <w:rFonts w:ascii="Times New Roman;serif" w:hAnsi="Times New Roman;serif"/>
          <w:b/>
          <w:i/>
          <w:sz w:val="20"/>
        </w:rPr>
      </w:pPr>
      <w:r>
        <w:rPr>
          <w:rFonts w:ascii="Times New Roman;serif" w:hAnsi="Times New Roman;serif"/>
          <w:b/>
          <w:i/>
          <w:sz w:val="20"/>
        </w:rPr>
        <w:t>Use of Estimates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credit losses, accruals for warranty and loss contingencies, earn-out, income taxes, impairment analyses, and certain equity transactions. Accordingly, actual results could differ from those estimates.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left"/>
        <w:rPr>
          <w:rFonts w:ascii="Times New Roman;serif" w:hAnsi="Times New Roman;serif"/>
          <w:b/>
          <w:i/>
          <w:sz w:val="20"/>
        </w:rPr>
      </w:pPr>
      <w:r>
        <w:rPr>
          <w:rFonts w:ascii="Times New Roman;serif" w:hAnsi="Times New Roman;serif"/>
          <w:b/>
          <w:i/>
          <w:sz w:val="20"/>
        </w:rPr>
        <w:t>Concentration of Credit Risk and Other Risks and Uncertainties</w:t>
      </w:r>
    </w:p>
    <w:p>
      <w:pPr>
        <w:pStyle w:val="TextBody"/>
        <w:bidi w:val="0"/>
        <w:spacing w:before="180" w:after="0"/>
        <w:jc w:val="both"/>
        <w:rPr>
          <w:rFonts w:ascii="Times New Roman" w:hAnsi="Times New Roman"/>
          <w:sz w:val="20"/>
        </w:rPr>
      </w:pPr>
      <w:r>
        <w:rPr>
          <w:rFonts w:ascii="Times New Roman;serif" w:hAnsi="Times New Roman;serif"/>
          <w:b w:val="false"/>
          <w:sz w:val="20"/>
        </w:rPr>
        <w:t>Orion's cash is primarily deposited with one</w:t>
      </w:r>
      <w:r>
        <w:rPr>
          <w:rFonts w:ascii="Times New Roman" w:hAnsi="Times New Roman"/>
          <w:sz w:val="20"/>
        </w:rPr>
        <w:t xml:space="preserve"> </w:t>
      </w:r>
      <w:r>
        <w:rPr>
          <w:rFonts w:ascii="Times New Roman;serif" w:hAnsi="Times New Roman;serif"/>
          <w:b w:val="false"/>
          <w:sz w:val="20"/>
        </w:rPr>
        <w:t>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pStyle w:val="TextBody"/>
        <w:bidi w:val="0"/>
        <w:spacing w:before="180" w:after="0"/>
        <w:jc w:val="both"/>
        <w:rPr>
          <w:rFonts w:ascii="Times New Roman" w:hAnsi="Times New Roman"/>
          <w:sz w:val="20"/>
        </w:rPr>
      </w:pPr>
      <w:r>
        <w:rPr>
          <w:rFonts w:ascii="Times New Roman;serif" w:hAnsi="Times New Roman;serif"/>
          <w:b w:val="false"/>
          <w:sz w:val="20"/>
        </w:rPr>
        <w:t>Orion purchases components necessary for its lighting products, including lamps and LED components, from multiple suppliers. For the three months ended June 30, 2023 and June 30, 2022, no</w:t>
      </w:r>
      <w:r>
        <w:rPr>
          <w:rFonts w:ascii="Times New Roman" w:hAnsi="Times New Roman"/>
          <w:sz w:val="20"/>
        </w:rPr>
        <w:t xml:space="preserve"> </w:t>
      </w:r>
      <w:r>
        <w:rPr>
          <w:rFonts w:ascii="Times New Roman;serif" w:hAnsi="Times New Roman;serif"/>
          <w:b w:val="false"/>
          <w:sz w:val="20"/>
        </w:rPr>
        <w:t>suppliers accounted for more than 10.0% of total cost of revenue.</w:t>
      </w:r>
    </w:p>
    <w:p>
      <w:pPr>
        <w:pStyle w:val="TextBody"/>
        <w:bidi w:val="0"/>
        <w:spacing w:before="180" w:after="0"/>
        <w:jc w:val="both"/>
        <w:rPr>
          <w:rFonts w:ascii="Times New Roman" w:hAnsi="Times New Roman"/>
          <w:sz w:val="20"/>
        </w:rPr>
      </w:pPr>
      <w:r>
        <w:rPr>
          <w:rFonts w:ascii="Times New Roman;serif" w:hAnsi="Times New Roman;serif"/>
          <w:b w:val="false"/>
          <w:sz w:val="20"/>
        </w:rPr>
        <w:t>For the three months ended June 30, 2023, two</w:t>
      </w:r>
      <w:r>
        <w:rPr>
          <w:rFonts w:ascii="Times New Roman" w:hAnsi="Times New Roman"/>
          <w:sz w:val="20"/>
        </w:rPr>
        <w:t xml:space="preserve"> </w:t>
      </w:r>
      <w:r>
        <w:rPr>
          <w:rFonts w:ascii="Times New Roman;serif" w:hAnsi="Times New Roman;serif"/>
          <w:b w:val="false"/>
          <w:sz w:val="20"/>
        </w:rPr>
        <w:t>customers accounted for 20.6% and 11.0% of</w:t>
      </w:r>
      <w:r>
        <w:rPr>
          <w:rFonts w:ascii="Times New Roman" w:hAnsi="Times New Roman"/>
          <w:sz w:val="20"/>
        </w:rPr>
        <w:t xml:space="preserve"> </w:t>
      </w:r>
      <w:r>
        <w:rPr>
          <w:rFonts w:ascii="Times New Roman;serif" w:hAnsi="Times New Roman;serif"/>
          <w:b w:val="false"/>
          <w:sz w:val="20"/>
        </w:rPr>
        <w:t>total revenue, respectively. For the three months ended June 30, 2022, one</w:t>
      </w:r>
      <w:r>
        <w:rPr>
          <w:rFonts w:ascii="Times New Roman" w:hAnsi="Times New Roman"/>
          <w:sz w:val="20"/>
        </w:rPr>
        <w:t xml:space="preserve"> </w:t>
      </w:r>
      <w:r>
        <w:rPr>
          <w:rFonts w:ascii="Times New Roman;serif" w:hAnsi="Times New Roman;serif"/>
          <w:b w:val="false"/>
          <w:sz w:val="20"/>
        </w:rPr>
        <w:t>customer accounted for 13.8% of total revenue.</w:t>
      </w:r>
    </w:p>
    <w:p>
      <w:pPr>
        <w:pStyle w:val="TextBody"/>
        <w:bidi w:val="0"/>
        <w:spacing w:before="180" w:after="0"/>
        <w:jc w:val="both"/>
        <w:rPr>
          <w:rFonts w:ascii="Times New Roman" w:hAnsi="Times New Roman"/>
          <w:sz w:val="20"/>
        </w:rPr>
      </w:pPr>
      <w:r>
        <w:rPr>
          <w:rFonts w:ascii="Times New Roman;serif" w:hAnsi="Times New Roman;serif"/>
          <w:b w:val="false"/>
          <w:sz w:val="20"/>
        </w:rPr>
        <w:t>As of June 30, 2023, one</w:t>
      </w:r>
      <w:r>
        <w:rPr>
          <w:rFonts w:ascii="Times New Roman" w:hAnsi="Times New Roman"/>
          <w:sz w:val="20"/>
        </w:rPr>
        <w:t xml:space="preserve"> </w:t>
      </w:r>
      <w:r>
        <w:rPr>
          <w:rFonts w:ascii="Times New Roman;serif" w:hAnsi="Times New Roman;serif"/>
          <w:b w:val="false"/>
          <w:sz w:val="20"/>
        </w:rPr>
        <w:t>customer accounted for 11.1% of accounts receivable. As of March 31, 2023, one</w:t>
      </w:r>
      <w:r>
        <w:rPr>
          <w:rFonts w:ascii="Times New Roman" w:hAnsi="Times New Roman"/>
          <w:sz w:val="20"/>
        </w:rPr>
        <w:t xml:space="preserve"> </w:t>
      </w:r>
      <w:r>
        <w:rPr>
          <w:rFonts w:ascii="Times New Roman;serif" w:hAnsi="Times New Roman;serif"/>
          <w:b w:val="false"/>
          <w:sz w:val="20"/>
        </w:rPr>
        <w:t>customers accounted for 10.8% of accounts receivable.</w:t>
      </w:r>
    </w:p>
    <w:p>
      <w:pPr>
        <w:pStyle w:val="TextBody"/>
        <w:bidi w:val="0"/>
        <w:spacing w:before="280" w:after="0"/>
        <w:jc w:val="left"/>
        <w:rPr>
          <w:rFonts w:ascii="Times New Roman;serif" w:hAnsi="Times New Roman;serif"/>
          <w:b/>
          <w:i/>
          <w:sz w:val="20"/>
        </w:rPr>
      </w:pPr>
      <w:r>
        <w:rPr>
          <w:rFonts w:ascii="Times New Roman;serif" w:hAnsi="Times New Roman;serif"/>
          <w:b/>
          <w:i/>
          <w:sz w:val="20"/>
        </w:rPr>
        <w:t>Recent Accounting Pronouncements</w:t>
      </w:r>
    </w:p>
    <w:p>
      <w:pPr>
        <w:pStyle w:val="TextBody"/>
        <w:bidi w:val="0"/>
        <w:spacing w:before="0" w:after="0"/>
        <w:jc w:val="both"/>
        <w:rPr/>
      </w:pPr>
      <w:r>
        <w:rPr/>
        <w:t> </w:t>
      </w:r>
    </w:p>
    <w:p>
      <w:pPr>
        <w:pStyle w:val="TextBody"/>
        <w:bidi w:val="0"/>
        <w:spacing w:before="0" w:after="0"/>
        <w:jc w:val="left"/>
        <w:rPr>
          <w:rFonts w:ascii="Times New Roman;serif" w:hAnsi="Times New Roman;serif"/>
          <w:b/>
          <w:sz w:val="20"/>
          <w:u w:val="single"/>
        </w:rPr>
      </w:pPr>
      <w:r>
        <w:rPr>
          <w:rFonts w:ascii="Times New Roman;serif" w:hAnsi="Times New Roman;serif"/>
          <w:b/>
          <w:sz w:val="20"/>
          <w:u w:val="single"/>
        </w:rPr>
        <w:t>Recently Adopted Standards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adopted ASU 2016-13 effective April 1, 2023. The effect of adoption was immaterial.</w:t>
      </w:r>
    </w:p>
    <w:p>
      <w:pPr>
        <w:pStyle w:val="TextBody"/>
        <w:bidi w:val="0"/>
        <w:spacing w:before="280" w:after="0"/>
        <w:jc w:val="both"/>
        <w:rPr>
          <w:rFonts w:ascii="Times New Roman;serif" w:hAnsi="Times New Roman;serif"/>
          <w:b/>
          <w:sz w:val="20"/>
        </w:rPr>
      </w:pPr>
      <w:bookmarkStart w:id="16" w:name="note_3___revenue"/>
      <w:bookmarkEnd w:id="16"/>
      <w:r>
        <w:rPr>
          <w:rFonts w:ascii="Times New Roman;serif" w:hAnsi="Times New Roman;serif"/>
          <w:b/>
          <w:sz w:val="20"/>
        </w:rPr>
        <w:t>NOTE 3 — REVENUE</w:t>
      </w:r>
    </w:p>
    <w:p>
      <w:pPr>
        <w:pStyle w:val="TextBody"/>
        <w:bidi w:val="0"/>
        <w:spacing w:before="180" w:after="0"/>
        <w:jc w:val="both"/>
        <w:rPr>
          <w:rFonts w:ascii="Times New Roman" w:hAnsi="Times New Roman"/>
          <w:sz w:val="20"/>
        </w:rPr>
      </w:pPr>
      <w:r>
        <w:rPr>
          <w:rFonts w:ascii="Times New Roman;serif" w:hAnsi="Times New Roman;serif"/>
          <w:b w:val="false"/>
          <w:sz w:val="20"/>
        </w:rPr>
        <w:t>Orion generates revenue primarily by selling manufactured or sourced commercial lighting fixtures and components, sourced electric vehicle chargers and related products, installing these products in customer’s facilities, and providing maintenance services including repairs and replacements for the lighting and related electrical components. Orion recognizes revenue in accordance with the guidance in “Revenue from Contracts with Customers” (Topic 606) (“ASC 606”) when control of the goods or services being provided (which we refer to as a performance obligation) is transferred to a customer at an amount that reflects the consideration Orion expects to receive in exchange for those goods or services.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During the third quarter of fiscal 2023, Orion acquired Voltrek LLC ("Voltrek"), which sells and installs sourced electric vehicle charging stations and related software subscriptions and renewals. The results of Voltrek are included in the Orion Electric Vehicle Charging segment ("EV") and compliment Orion’s existing turnkey installation model.</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sale of charging stations and related software subscriptions and renewals is presented in Product revenue. Orion is the principal in the sales of charging stations as it has control of the physical products prior to transfer to the customer. Accordingly, revenue is recognized on a gross basis. For certain sales, primarily software subscriptions and renewals,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pStyle w:val="TextBody"/>
        <w:bidi w:val="0"/>
        <w:spacing w:before="180" w:after="0"/>
        <w:jc w:val="both"/>
        <w:rPr>
          <w:rFonts w:ascii="Times New Roman" w:hAnsi="Times New Roman"/>
          <w:sz w:val="20"/>
        </w:rPr>
      </w:pPr>
      <w:r>
        <w:rPr>
          <w:rFonts w:ascii="Times New Roman;serif" w:hAnsi="Times New Roman;serif"/>
          <w:b w:val="false"/>
          <w:sz w:val="20"/>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Condensed Consolidated Statement of Operations.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both"/>
        <w:rPr>
          <w:rFonts w:ascii="Times New Roman" w:hAnsi="Times New Roman"/>
          <w:sz w:val="20"/>
        </w:rPr>
      </w:pPr>
      <w:r>
        <w:rPr>
          <w:rFonts w:ascii="Times New Roman;serif" w:hAnsi="Times New Roman;serif"/>
          <w:b w:val="false"/>
          <w:sz w:val="20"/>
        </w:rPr>
        <w:t>Revenue from the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Condensed Consolidated Statement of Operations.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following tables provide detail of Orion’s total revenue for the three months ended June 30, 2023 and June 30, 2022 (dollars in thousands):</w:t>
      </w:r>
    </w:p>
    <w:p>
      <w:pPr>
        <w:pStyle w:val="TextBody"/>
        <w:bidi w:val="0"/>
        <w:spacing w:before="0" w:after="0"/>
        <w:jc w:val="both"/>
        <w:rPr/>
      </w:pPr>
      <w:r>
        <w:rPr/>
        <w:t> </w:t>
      </w:r>
    </w:p>
    <w:tbl>
      <w:tblPr>
        <w:tblW w:w="7358" w:type="dxa"/>
        <w:jc w:val="left"/>
        <w:tblInd w:w="0" w:type="dxa"/>
        <w:tblLayout w:type="fixed"/>
        <w:tblCellMar>
          <w:top w:w="28" w:type="dxa"/>
          <w:left w:w="28" w:type="dxa"/>
          <w:bottom w:w="28" w:type="dxa"/>
          <w:right w:w="28" w:type="dxa"/>
        </w:tblCellMar>
      </w:tblPr>
      <w:tblGrid>
        <w:gridCol w:w="3781"/>
        <w:gridCol w:w="146"/>
        <w:gridCol w:w="211"/>
        <w:gridCol w:w="676"/>
        <w:gridCol w:w="146"/>
        <w:gridCol w:w="146"/>
        <w:gridCol w:w="211"/>
        <w:gridCol w:w="571"/>
        <w:gridCol w:w="146"/>
        <w:gridCol w:w="146"/>
        <w:gridCol w:w="211"/>
        <w:gridCol w:w="676"/>
        <w:gridCol w:w="2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14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Services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from contracts with customers: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3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Lighting product and installation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12,616</w:t>
            </w:r>
          </w:p>
        </w:tc>
        <w:tc>
          <w:tcPr>
            <w:tcW w:w="291" w:type="dxa"/>
            <w:tcBorders/>
            <w:vAlign w:val="center"/>
          </w:tcPr>
          <w:p>
            <w:pPr>
              <w:pStyle w:val="TableContents"/>
              <w:bidi w:val="0"/>
              <w:spacing w:before="0" w:after="0"/>
              <w:ind w:left="0" w:right="0" w:firstLine="100"/>
              <w:jc w:val="left"/>
              <w:rPr/>
            </w:pPr>
            <w:r>
              <w:rPr/>
              <w:t> </w:t>
            </w:r>
          </w:p>
        </w:tc>
      </w:tr>
      <w:tr>
        <w:trPr/>
        <w:tc>
          <w:tcPr>
            <w:tcW w:w="3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Maintenance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3,754</w:t>
            </w:r>
          </w:p>
        </w:tc>
        <w:tc>
          <w:tcPr>
            <w:tcW w:w="291" w:type="dxa"/>
            <w:tcBorders/>
            <w:vAlign w:val="center"/>
          </w:tcPr>
          <w:p>
            <w:pPr>
              <w:pStyle w:val="TableContents"/>
              <w:bidi w:val="0"/>
              <w:spacing w:before="0" w:after="0"/>
              <w:ind w:left="0" w:right="0" w:firstLine="100"/>
              <w:jc w:val="left"/>
              <w:rPr/>
            </w:pPr>
            <w:r>
              <w:rPr/>
              <w:t> </w:t>
            </w:r>
          </w:p>
        </w:tc>
      </w:tr>
      <w:tr>
        <w:trPr/>
        <w:tc>
          <w:tcPr>
            <w:tcW w:w="3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Electric vehicle charging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1,238</w:t>
            </w:r>
          </w:p>
        </w:tc>
        <w:tc>
          <w:tcPr>
            <w:tcW w:w="291" w:type="dxa"/>
            <w:tcBorders/>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 from contracts with customers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13,666</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57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17,608</w:t>
            </w:r>
          </w:p>
        </w:tc>
        <w:tc>
          <w:tcPr>
            <w:tcW w:w="2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accounted for under other guidance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17,613</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14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Services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from contracts with customers: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3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Lighting product and installation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13,762</w:t>
            </w:r>
          </w:p>
        </w:tc>
        <w:tc>
          <w:tcPr>
            <w:tcW w:w="291" w:type="dxa"/>
            <w:tcBorders/>
            <w:vAlign w:val="center"/>
          </w:tcPr>
          <w:p>
            <w:pPr>
              <w:pStyle w:val="TableContents"/>
              <w:bidi w:val="0"/>
              <w:spacing w:before="0" w:after="0"/>
              <w:ind w:left="0" w:right="0" w:firstLine="100"/>
              <w:jc w:val="left"/>
              <w:rPr/>
            </w:pPr>
            <w:r>
              <w:rPr/>
              <w:t> </w:t>
            </w:r>
          </w:p>
        </w:tc>
      </w:tr>
      <w:tr>
        <w:trPr/>
        <w:tc>
          <w:tcPr>
            <w:tcW w:w="3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Maintenance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4,054</w:t>
            </w:r>
          </w:p>
        </w:tc>
        <w:tc>
          <w:tcPr>
            <w:tcW w:w="291" w:type="dxa"/>
            <w:tcBorders/>
            <w:vAlign w:val="center"/>
          </w:tcPr>
          <w:p>
            <w:pPr>
              <w:pStyle w:val="TableContents"/>
              <w:bidi w:val="0"/>
              <w:spacing w:before="0" w:after="0"/>
              <w:ind w:left="0" w:right="0" w:firstLine="100"/>
              <w:jc w:val="left"/>
              <w:rPr/>
            </w:pPr>
            <w:r>
              <w:rPr/>
              <w:t> </w:t>
            </w:r>
          </w:p>
        </w:tc>
      </w:tr>
      <w:tr>
        <w:trPr/>
        <w:tc>
          <w:tcPr>
            <w:tcW w:w="3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Solar energy related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 from contracts with customers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17,816</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accounted for under other guidance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17,906</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0"/>
        <w:jc w:val="both"/>
        <w:rPr>
          <w:rFonts w:ascii="Times New Roman" w:hAnsi="Times New Roman"/>
          <w:sz w:val="20"/>
        </w:rPr>
      </w:pPr>
      <w:r>
        <w:rPr>
          <w:rFonts w:ascii="Times New Roman;serif" w:hAnsi="Times New Roman;serif"/>
          <w:b w:val="false"/>
          <w:sz w:val="20"/>
        </w:rPr>
        <w:t>From time to time, Orion sells the receivables from one customer to a financing institution. The was no</w:t>
      </w:r>
      <w:r>
        <w:rPr>
          <w:rFonts w:ascii="Times New Roman" w:hAnsi="Times New Roman"/>
          <w:sz w:val="20"/>
        </w:rPr>
        <w:t xml:space="preserve"> </w:t>
      </w:r>
      <w:r>
        <w:rPr>
          <w:rFonts w:ascii="Times New Roman;serif" w:hAnsi="Times New Roman;serif"/>
          <w:b w:val="false"/>
          <w:sz w:val="20"/>
        </w:rPr>
        <w:t>such activity during the three months ended June 30, 2023 or 2022.</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following chart shows the balance of Orion’s receivables arising from contracts with customers, contract assets and contract liabilities as of June 30, 2023 and March 31, 2023 (dollars in thousands):</w:t>
      </w:r>
    </w:p>
    <w:p>
      <w:pPr>
        <w:pStyle w:val="TextBody"/>
        <w:bidi w:val="0"/>
        <w:spacing w:before="0" w:after="0"/>
        <w:jc w:val="both"/>
        <w:rPr/>
      </w:pPr>
      <w:r>
        <w:rPr/>
        <w:t> </w:t>
      </w:r>
    </w:p>
    <w:tbl>
      <w:tblPr>
        <w:tblW w:w="4519" w:type="dxa"/>
        <w:jc w:val="left"/>
        <w:tblInd w:w="0" w:type="dxa"/>
        <w:tblLayout w:type="fixed"/>
        <w:tblCellMar>
          <w:top w:w="28" w:type="dxa"/>
          <w:left w:w="28" w:type="dxa"/>
          <w:bottom w:w="28" w:type="dxa"/>
          <w:right w:w="28" w:type="dxa"/>
        </w:tblCellMar>
      </w:tblPr>
      <w:tblGrid>
        <w:gridCol w:w="2116"/>
        <w:gridCol w:w="146"/>
        <w:gridCol w:w="211"/>
        <w:gridCol w:w="676"/>
        <w:gridCol w:w="146"/>
        <w:gridCol w:w="146"/>
        <w:gridCol w:w="211"/>
        <w:gridCol w:w="676"/>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13,728</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1,320</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significant changes in the contract assets outside of standard reclassifications to accounts receivable, net upon billing. Deferred revenue, current as of June 30, 2023 and March 31, 2023, includes $0.7</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respectively, of contract liabilities which represent consideration received from a new customer contract on which installation has not yet begun and Orion has not fulfilled the promises included.</w:t>
      </w:r>
    </w:p>
    <w:p>
      <w:pPr>
        <w:pStyle w:val="TextBody"/>
        <w:bidi w:val="0"/>
        <w:spacing w:before="280" w:after="0"/>
        <w:jc w:val="both"/>
        <w:rPr>
          <w:rFonts w:ascii="Times New Roman;serif" w:hAnsi="Times New Roman;serif"/>
          <w:b/>
          <w:sz w:val="20"/>
        </w:rPr>
      </w:pPr>
      <w:bookmarkStart w:id="17" w:name="note_4___accounts_receivable"/>
      <w:bookmarkEnd w:id="17"/>
      <w:r>
        <w:rPr>
          <w:rFonts w:ascii="Times New Roman;serif" w:hAnsi="Times New Roman;serif"/>
          <w:b/>
          <w:sz w:val="20"/>
        </w:rPr>
        <w:t>NOTE 4 — ACCOUNTS RECEIVABLE, NET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and March 31, 2023, Orion's accounts receivable and allowance for credit losses balances were as follows (dollars in thousands):</w:t>
      </w:r>
    </w:p>
    <w:p>
      <w:pPr>
        <w:pStyle w:val="TextBody"/>
        <w:bidi w:val="0"/>
        <w:spacing w:before="0" w:after="0"/>
        <w:jc w:val="both"/>
        <w:rPr/>
      </w:pPr>
      <w:r>
        <w:rPr/>
        <w:t> </w:t>
      </w:r>
    </w:p>
    <w:tbl>
      <w:tblPr>
        <w:tblW w:w="4739" w:type="dxa"/>
        <w:jc w:val="left"/>
        <w:tblInd w:w="0" w:type="dxa"/>
        <w:tblLayout w:type="fixed"/>
        <w:tblCellMar>
          <w:top w:w="28" w:type="dxa"/>
          <w:left w:w="28" w:type="dxa"/>
          <w:bottom w:w="28" w:type="dxa"/>
          <w:right w:w="28" w:type="dxa"/>
        </w:tblCellMar>
      </w:tblPr>
      <w:tblGrid>
        <w:gridCol w:w="2296"/>
        <w:gridCol w:w="146"/>
        <w:gridCol w:w="211"/>
        <w:gridCol w:w="676"/>
        <w:gridCol w:w="166"/>
        <w:gridCol w:w="146"/>
        <w:gridCol w:w="211"/>
        <w:gridCol w:w="676"/>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gross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13,814</w:t>
            </w:r>
          </w:p>
        </w:tc>
        <w:tc>
          <w:tcPr>
            <w:tcW w:w="211" w:type="dxa"/>
            <w:tcBorders/>
            <w:vAlign w:val="center"/>
          </w:tcPr>
          <w:p>
            <w:pPr>
              <w:pStyle w:val="TableContents"/>
              <w:bidi w:val="0"/>
              <w:spacing w:before="0" w:after="0"/>
              <w:ind w:left="0" w:right="0" w:hanging="0"/>
              <w:jc w:val="left"/>
              <w:rPr/>
            </w:pPr>
            <w:r>
              <w:rPr/>
              <w:t> </w:t>
            </w:r>
          </w:p>
        </w:tc>
      </w:tr>
      <w:tr>
        <w:trPr/>
        <w:tc>
          <w:tcPr>
            <w:tcW w:w="2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credit losses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13,728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Changes in Orion’s allowance for credit losses were as follows (dollars in thousands):</w:t>
      </w:r>
    </w:p>
    <w:tbl>
      <w:tblPr>
        <w:tblW w:w="4316" w:type="dxa"/>
        <w:jc w:val="left"/>
        <w:tblInd w:w="0" w:type="dxa"/>
        <w:tblLayout w:type="fixed"/>
        <w:tblCellMar>
          <w:top w:w="28" w:type="dxa"/>
          <w:left w:w="28" w:type="dxa"/>
          <w:bottom w:w="28" w:type="dxa"/>
          <w:right w:w="28" w:type="dxa"/>
        </w:tblCellMar>
      </w:tblPr>
      <w:tblGrid>
        <w:gridCol w:w="1771"/>
        <w:gridCol w:w="146"/>
        <w:gridCol w:w="290"/>
        <w:gridCol w:w="662"/>
        <w:gridCol w:w="228"/>
        <w:gridCol w:w="201"/>
        <w:gridCol w:w="290"/>
        <w:gridCol w:w="517"/>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center"/>
              <w:rPr/>
            </w:pPr>
            <w:r>
              <w:rPr/>
              <w:t> </w:t>
            </w:r>
          </w:p>
        </w:tc>
        <w:tc>
          <w:tcPr>
            <w:tcW w:w="8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of period</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Credit loss expense</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6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5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w:t>
            </w:r>
          </w:p>
        </w:tc>
        <w:tc>
          <w:tcPr>
            <w:tcW w:w="146" w:type="dxa"/>
            <w:tcBorders/>
            <w:vAlign w:val="center"/>
          </w:tcPr>
          <w:p>
            <w:pPr>
              <w:pStyle w:val="TableContents"/>
              <w:bidi w:val="0"/>
              <w:spacing w:before="0" w:after="0"/>
              <w:ind w:left="0" w:right="0" w:hanging="0"/>
              <w:jc w:val="left"/>
              <w:rPr/>
            </w:pPr>
            <w:r>
              <w:rPr/>
              <w:t> </w:t>
            </w:r>
          </w:p>
        </w:tc>
        <w:tc>
          <w:tcPr>
            <w:tcW w:w="2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2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 of period</w:t>
            </w:r>
          </w:p>
        </w:tc>
        <w:tc>
          <w:tcPr>
            <w:tcW w:w="146" w:type="dxa"/>
            <w:tcBorders/>
            <w:vAlign w:val="center"/>
          </w:tcPr>
          <w:p>
            <w:pPr>
              <w:pStyle w:val="TableContents"/>
              <w:bidi w:val="0"/>
              <w:spacing w:before="0" w:after="0"/>
              <w:ind w:left="0" w:right="0" w:hanging="0"/>
              <w:jc w:val="left"/>
              <w:rPr/>
            </w:pPr>
            <w:r>
              <w:rPr/>
              <w:t> </w:t>
            </w:r>
          </w:p>
        </w:tc>
        <w:tc>
          <w:tcPr>
            <w:tcW w:w="2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 w:type="dxa"/>
            <w:tcBorders/>
            <w:vAlign w:val="center"/>
          </w:tcPr>
          <w:p>
            <w:pPr>
              <w:pStyle w:val="TableContents"/>
              <w:bidi w:val="0"/>
              <w:spacing w:before="0" w:after="0"/>
              <w:ind w:left="0" w:right="0" w:hanging="0"/>
              <w:jc w:val="left"/>
              <w:rPr/>
            </w:pPr>
            <w:r>
              <w:rPr/>
              <w:t> </w:t>
            </w:r>
          </w:p>
        </w:tc>
        <w:tc>
          <w:tcPr>
            <w:tcW w:w="2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80" w:after="0"/>
        <w:jc w:val="left"/>
        <w:rPr>
          <w:rFonts w:ascii="Times New Roman;serif" w:hAnsi="Times New Roman;serif"/>
          <w:b/>
          <w:sz w:val="20"/>
        </w:rPr>
      </w:pPr>
      <w:bookmarkStart w:id="18" w:name="note_5___inventories"/>
      <w:bookmarkEnd w:id="18"/>
      <w:r>
        <w:rPr>
          <w:rFonts w:ascii="Times New Roman;serif" w:hAnsi="Times New Roman;serif"/>
          <w:b/>
          <w:sz w:val="20"/>
        </w:rPr>
        <w:t>NOTE 5 — INVENTORIES, NET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and March 31, 2023, Orion's inventory balances were as follows (dollars in thousands):</w:t>
      </w:r>
    </w:p>
    <w:p>
      <w:pPr>
        <w:pStyle w:val="TextBody"/>
        <w:bidi w:val="0"/>
        <w:spacing w:before="0" w:after="0"/>
        <w:jc w:val="left"/>
        <w:rPr/>
      </w:pPr>
      <w:r>
        <w:rPr/>
        <w:t> </w:t>
      </w:r>
    </w:p>
    <w:tbl>
      <w:tblPr>
        <w:tblW w:w="6807" w:type="dxa"/>
        <w:jc w:val="left"/>
        <w:tblInd w:w="0" w:type="dxa"/>
        <w:tblLayout w:type="fixed"/>
        <w:tblCellMar>
          <w:top w:w="28" w:type="dxa"/>
          <w:left w:w="28" w:type="dxa"/>
          <w:bottom w:w="28" w:type="dxa"/>
          <w:right w:w="28" w:type="dxa"/>
        </w:tblCellMar>
      </w:tblPr>
      <w:tblGrid>
        <w:gridCol w:w="2641"/>
        <w:gridCol w:w="146"/>
        <w:gridCol w:w="211"/>
        <w:gridCol w:w="676"/>
        <w:gridCol w:w="146"/>
        <w:gridCol w:w="146"/>
        <w:gridCol w:w="263"/>
        <w:gridCol w:w="788"/>
        <w:gridCol w:w="166"/>
        <w:gridCol w:w="146"/>
        <w:gridCol w:w="211"/>
        <w:gridCol w:w="676"/>
        <w:gridCol w:w="5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Excess and</w:t>
              <w:br/>
              <w:t>Obsolescence</w:t>
              <w:br/>
              <w:t>Reserve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 of June 30, 2023</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Raw materials and components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6,879</w:t>
            </w:r>
          </w:p>
        </w:tc>
        <w:tc>
          <w:tcPr>
            <w:tcW w:w="591" w:type="dxa"/>
            <w:tcBorders/>
            <w:vAlign w:val="center"/>
          </w:tcPr>
          <w:p>
            <w:pPr>
              <w:pStyle w:val="TableContents"/>
              <w:bidi w:val="0"/>
              <w:spacing w:before="0" w:after="0"/>
              <w:ind w:left="0" w:right="0" w:firstLine="200"/>
              <w:jc w:val="left"/>
              <w:rPr/>
            </w:pPr>
            <w:r>
              <w:rPr/>
              <w:t> </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Work in process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w:t>
            </w:r>
          </w:p>
        </w:tc>
        <w:tc>
          <w:tcPr>
            <w:tcW w:w="591" w:type="dxa"/>
            <w:tcBorders/>
            <w:vAlign w:val="center"/>
          </w:tcPr>
          <w:p>
            <w:pPr>
              <w:pStyle w:val="TableContents"/>
              <w:bidi w:val="0"/>
              <w:spacing w:before="0" w:after="0"/>
              <w:ind w:left="0" w:right="0" w:firstLine="200"/>
              <w:jc w:val="left"/>
              <w:rPr/>
            </w:pPr>
            <w:r>
              <w:rPr/>
              <w:t> </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6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17,689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 of March 31, 2023</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Raw materials and components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8,894</w:t>
            </w:r>
          </w:p>
        </w:tc>
        <w:tc>
          <w:tcPr>
            <w:tcW w:w="591" w:type="dxa"/>
            <w:tcBorders/>
            <w:vAlign w:val="center"/>
          </w:tcPr>
          <w:p>
            <w:pPr>
              <w:pStyle w:val="TableContents"/>
              <w:bidi w:val="0"/>
              <w:spacing w:before="0" w:after="0"/>
              <w:ind w:left="0" w:right="0" w:firstLine="200"/>
              <w:jc w:val="left"/>
              <w:rPr/>
            </w:pPr>
            <w:r>
              <w:rPr/>
              <w:t> </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Work in process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w:t>
            </w:r>
          </w:p>
        </w:tc>
        <w:tc>
          <w:tcPr>
            <w:tcW w:w="591" w:type="dxa"/>
            <w:tcBorders/>
            <w:vAlign w:val="center"/>
          </w:tcPr>
          <w:p>
            <w:pPr>
              <w:pStyle w:val="TableContents"/>
              <w:bidi w:val="0"/>
              <w:spacing w:before="0" w:after="0"/>
              <w:ind w:left="0" w:right="0" w:firstLine="200"/>
              <w:jc w:val="left"/>
              <w:rPr/>
            </w:pPr>
            <w:r>
              <w:rPr/>
              <w:t> </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6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18,205</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80" w:after="0"/>
        <w:jc w:val="both"/>
        <w:rPr>
          <w:rFonts w:ascii="Times New Roman;serif" w:hAnsi="Times New Roman;serif"/>
          <w:b/>
          <w:sz w:val="20"/>
        </w:rPr>
      </w:pPr>
      <w:r>
        <w:rPr>
          <w:rFonts w:ascii="Times New Roman;serif" w:hAnsi="Times New Roman;serif"/>
          <w:b/>
          <w:sz w:val="20"/>
        </w:rPr>
        <w:t>NOTE 6 — PREPAID EXPENSES AND OTHER CURRENT ASSETS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Prepaid expenses and other current assets consist primarily of prepaid insurance premiums, debt issue costs, prepaid subscription fees and sales tax receivable.</w:t>
      </w:r>
    </w:p>
    <w:p>
      <w:pPr>
        <w:pStyle w:val="TextBody"/>
        <w:bidi w:val="0"/>
        <w:spacing w:before="280" w:after="0"/>
        <w:jc w:val="left"/>
        <w:rPr>
          <w:rFonts w:ascii="Times New Roman;serif" w:hAnsi="Times New Roman;serif"/>
          <w:b/>
          <w:sz w:val="20"/>
        </w:rPr>
      </w:pPr>
      <w:bookmarkStart w:id="19" w:name="note_7___property_and_equipment"/>
      <w:bookmarkEnd w:id="19"/>
      <w:r>
        <w:rPr>
          <w:rFonts w:ascii="Times New Roman;serif" w:hAnsi="Times New Roman;serif"/>
          <w:b/>
          <w:sz w:val="20"/>
        </w:rPr>
        <w:t>NOTE 7 — PROPERTY AND EQUIPMENT, NET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and March 31, 2023, property and equipment, net, included the following (dollars in thousands):</w:t>
      </w:r>
    </w:p>
    <w:p>
      <w:pPr>
        <w:pStyle w:val="TextBody"/>
        <w:bidi w:val="0"/>
        <w:spacing w:before="0" w:after="0"/>
        <w:jc w:val="left"/>
        <w:rPr/>
      </w:pPr>
      <w:r>
        <w:rPr/>
        <w:t> </w:t>
      </w:r>
    </w:p>
    <w:tbl>
      <w:tblPr>
        <w:tblW w:w="6009" w:type="dxa"/>
        <w:jc w:val="left"/>
        <w:tblInd w:w="0" w:type="dxa"/>
        <w:tblLayout w:type="fixed"/>
        <w:tblCellMar>
          <w:top w:w="28" w:type="dxa"/>
          <w:left w:w="28" w:type="dxa"/>
          <w:bottom w:w="28" w:type="dxa"/>
          <w:right w:w="28" w:type="dxa"/>
        </w:tblCellMar>
      </w:tblPr>
      <w:tblGrid>
        <w:gridCol w:w="3346"/>
        <w:gridCol w:w="146"/>
        <w:gridCol w:w="211"/>
        <w:gridCol w:w="736"/>
        <w:gridCol w:w="166"/>
        <w:gridCol w:w="146"/>
        <w:gridCol w:w="211"/>
        <w:gridCol w:w="736"/>
        <w:gridCol w:w="3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Land and land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w:t>
            </w:r>
          </w:p>
        </w:tc>
        <w:tc>
          <w:tcPr>
            <w:tcW w:w="3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Buildings and building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9,491</w:t>
            </w:r>
          </w:p>
        </w:tc>
        <w:tc>
          <w:tcPr>
            <w:tcW w:w="3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fixtures and office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7,782</w:t>
            </w:r>
          </w:p>
        </w:tc>
        <w:tc>
          <w:tcPr>
            <w:tcW w:w="3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w:t>
            </w:r>
          </w:p>
        </w:tc>
        <w:tc>
          <w:tcPr>
            <w:tcW w:w="3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Equipment leased to customers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4,997</w:t>
            </w:r>
          </w:p>
        </w:tc>
        <w:tc>
          <w:tcPr>
            <w:tcW w:w="3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Plant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11,234</w:t>
            </w:r>
          </w:p>
        </w:tc>
        <w:tc>
          <w:tcPr>
            <w:tcW w:w="3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Vehicles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w:t>
            </w:r>
          </w:p>
        </w:tc>
        <w:tc>
          <w:tcPr>
            <w:tcW w:w="3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3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Gross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35,234</w:t>
            </w:r>
          </w:p>
        </w:tc>
        <w:tc>
          <w:tcPr>
            <w:tcW w:w="3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(24,764</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3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10,470</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280" w:after="0"/>
        <w:jc w:val="left"/>
        <w:rPr>
          <w:rFonts w:ascii="Times New Roman;serif" w:hAnsi="Times New Roman;serif"/>
          <w:b/>
          <w:sz w:val="20"/>
        </w:rPr>
      </w:pPr>
      <w:r>
        <w:rPr>
          <w:rFonts w:ascii="Times New Roman;serif" w:hAnsi="Times New Roman;serif"/>
          <w:b/>
          <w:sz w:val="20"/>
        </w:rPr>
        <w:t>NOTE 8 — LEASES</w:t>
      </w:r>
    </w:p>
    <w:p>
      <w:pPr>
        <w:pStyle w:val="TextBody"/>
        <w:bidi w:val="0"/>
        <w:spacing w:before="180" w:after="0"/>
        <w:jc w:val="both"/>
        <w:rPr>
          <w:rFonts w:ascii="Times New Roman" w:hAnsi="Times New Roman"/>
          <w:sz w:val="20"/>
        </w:rPr>
      </w:pPr>
      <w:r>
        <w:rPr>
          <w:rFonts w:ascii="Times New Roman;serif" w:hAnsi="Times New Roman;serif"/>
          <w:b w:val="false"/>
          <w:sz w:val="20"/>
        </w:rPr>
        <w:t>From time to time, Orion leases assets from third parties. Orion also leases certain assets to third parties.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Orion accounts for leases in accordance with ASC 842. 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A summary of Orion’s assets leased from third parties follows (dollars in thousands):</w:t>
      </w:r>
    </w:p>
    <w:tbl>
      <w:tblPr>
        <w:tblW w:w="8197" w:type="dxa"/>
        <w:jc w:val="left"/>
        <w:tblInd w:w="0" w:type="dxa"/>
        <w:tblLayout w:type="fixed"/>
        <w:tblCellMar>
          <w:top w:w="28" w:type="dxa"/>
          <w:left w:w="28" w:type="dxa"/>
          <w:bottom w:w="28" w:type="dxa"/>
          <w:right w:w="28" w:type="dxa"/>
        </w:tblCellMar>
      </w:tblPr>
      <w:tblGrid>
        <w:gridCol w:w="2206"/>
        <w:gridCol w:w="146"/>
        <w:gridCol w:w="2431"/>
        <w:gridCol w:w="146"/>
        <w:gridCol w:w="303"/>
        <w:gridCol w:w="822"/>
        <w:gridCol w:w="146"/>
        <w:gridCol w:w="146"/>
        <w:gridCol w:w="340"/>
        <w:gridCol w:w="920"/>
        <w:gridCol w:w="5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sheet classification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0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2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assets</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2,174</w:t>
            </w:r>
          </w:p>
        </w:tc>
        <w:tc>
          <w:tcPr>
            <w:tcW w:w="591" w:type="dxa"/>
            <w:tcBorders/>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2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Accrued expenses and other</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823</w:t>
            </w:r>
          </w:p>
        </w:tc>
        <w:tc>
          <w:tcPr>
            <w:tcW w:w="591" w:type="dxa"/>
            <w:tcBorders/>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liabilities</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20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24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Orion had operating lease costs of</w:t>
      </w:r>
      <w:r>
        <w:rPr>
          <w:rFonts w:ascii="Times New Roman" w:hAnsi="Times New Roman"/>
          <w:sz w:val="20"/>
        </w:rPr>
        <w:t xml:space="preserve"> </w:t>
      </w:r>
      <w:r>
        <w:rPr>
          <w:rFonts w:ascii="Times New Roman;serif" w:hAnsi="Times New Roman;serif"/>
          <w:b w:val="false"/>
          <w:sz w:val="20"/>
        </w:rPr>
        <w:t>$0.4</w:t>
      </w:r>
      <w:r>
        <w:rPr>
          <w:rFonts w:ascii="Times New Roman" w:hAnsi="Times New Roman"/>
          <w:sz w:val="20"/>
        </w:rPr>
        <w:t xml:space="preserve"> </w:t>
      </w:r>
      <w:r>
        <w:rPr>
          <w:rFonts w:ascii="Times New Roman;serif" w:hAnsi="Times New Roman;serif"/>
          <w:b w:val="false"/>
          <w:sz w:val="20"/>
        </w:rPr>
        <w:t>million for the three months ended June 30, 2023. Orion had operating lease costs of $0.3</w:t>
      </w:r>
      <w:r>
        <w:rPr>
          <w:rFonts w:ascii="Times New Roman" w:hAnsi="Times New Roman"/>
          <w:sz w:val="20"/>
        </w:rPr>
        <w:t xml:space="preserve"> </w:t>
      </w:r>
      <w:r>
        <w:rPr>
          <w:rFonts w:ascii="Times New Roman;serif" w:hAnsi="Times New Roman;serif"/>
          <w:b w:val="false"/>
          <w:sz w:val="20"/>
        </w:rPr>
        <w:t>million for the three months ended June 30, 2022.</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estimated maturity of lease liabilities for each of the next five years is shown below (dollars in thousands):</w:t>
      </w:r>
    </w:p>
    <w:p>
      <w:pPr>
        <w:pStyle w:val="TextBody"/>
        <w:bidi w:val="0"/>
        <w:spacing w:before="0" w:after="0"/>
        <w:jc w:val="both"/>
        <w:rPr/>
      </w:pPr>
      <w:r>
        <w:rPr/>
        <w:t> </w:t>
      </w:r>
    </w:p>
    <w:tbl>
      <w:tblPr>
        <w:tblW w:w="4713" w:type="dxa"/>
        <w:jc w:val="left"/>
        <w:tblInd w:w="0" w:type="dxa"/>
        <w:tblLayout w:type="fixed"/>
        <w:tblCellMar>
          <w:top w:w="28" w:type="dxa"/>
          <w:left w:w="28" w:type="dxa"/>
          <w:bottom w:w="28" w:type="dxa"/>
          <w:right w:w="28" w:type="dxa"/>
        </w:tblCellMar>
      </w:tblPr>
      <w:tblGrid>
        <w:gridCol w:w="2686"/>
        <w:gridCol w:w="146"/>
        <w:gridCol w:w="428"/>
        <w:gridCol w:w="1162"/>
        <w:gridCol w:w="2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Maturity of Lease Liabilities</w:t>
            </w:r>
          </w:p>
        </w:tc>
        <w:tc>
          <w:tcPr>
            <w:tcW w:w="146" w:type="dxa"/>
            <w:tcBorders/>
            <w:vAlign w:val="center"/>
          </w:tcPr>
          <w:p>
            <w:pPr>
              <w:pStyle w:val="TableContents"/>
              <w:bidi w:val="0"/>
              <w:spacing w:before="0" w:after="0"/>
              <w:ind w:left="0" w:right="0" w:hanging="0"/>
              <w:jc w:val="left"/>
              <w:rPr/>
            </w:pPr>
            <w:r>
              <w:rPr/>
              <w:t> </w:t>
            </w:r>
          </w:p>
        </w:tc>
        <w:tc>
          <w:tcPr>
            <w:tcW w:w="1590"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Leases</w:t>
            </w:r>
          </w:p>
        </w:tc>
        <w:tc>
          <w:tcPr>
            <w:tcW w:w="2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Fiscal 2024 (period remaining)</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w:t>
            </w:r>
          </w:p>
        </w:tc>
        <w:tc>
          <w:tcPr>
            <w:tcW w:w="2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Fiscal 2025</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1,083</w:t>
            </w:r>
          </w:p>
        </w:tc>
        <w:tc>
          <w:tcPr>
            <w:tcW w:w="2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Fiscal 2026</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984</w:t>
            </w:r>
          </w:p>
        </w:tc>
        <w:tc>
          <w:tcPr>
            <w:tcW w:w="2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Fiscal 2027</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2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Fiscal 2028</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3,029</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6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Interest</w:t>
            </w:r>
          </w:p>
        </w:tc>
        <w:tc>
          <w:tcPr>
            <w:tcW w:w="146" w:type="dxa"/>
            <w:tcBorders/>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vAlign w:val="center"/>
          </w:tcPr>
          <w:p>
            <w:pPr>
              <w:pStyle w:val="TableContents"/>
              <w:bidi w:val="0"/>
              <w:spacing w:before="0" w:after="0"/>
              <w:ind w:left="0" w:right="0" w:hanging="0"/>
              <w:jc w:val="left"/>
              <w:rPr/>
            </w:pPr>
            <w:r>
              <w:rPr/>
              <w:t> </w:t>
            </w:r>
          </w:p>
        </w:tc>
        <w:tc>
          <w:tcPr>
            <w:tcW w:w="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2,793</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80" w:after="0"/>
        <w:jc w:val="both"/>
        <w:rPr>
          <w:rFonts w:ascii="Times New Roman;serif" w:hAnsi="Times New Roman;serif"/>
          <w:b/>
          <w:i/>
          <w:sz w:val="20"/>
        </w:rPr>
      </w:pPr>
      <w:r>
        <w:rPr>
          <w:rFonts w:ascii="Times New Roman;serif" w:hAnsi="Times New Roman;serif"/>
          <w:b/>
          <w:i/>
          <w:sz w:val="20"/>
        </w:rPr>
        <w:t>Assets Orion Leases to Other Parties</w:t>
      </w:r>
    </w:p>
    <w:p>
      <w:pPr>
        <w:pStyle w:val="TextBody"/>
        <w:bidi w:val="0"/>
        <w:spacing w:before="180" w:after="0"/>
        <w:jc w:val="both"/>
        <w:rPr>
          <w:rFonts w:ascii="Times New Roman" w:hAnsi="Times New Roman"/>
          <w:sz w:val="20"/>
        </w:rPr>
      </w:pPr>
      <w:r>
        <w:rPr>
          <w:rFonts w:ascii="Times New Roman;serif" w:hAnsi="Times New Roman;serif"/>
          <w:b w:val="false"/>
          <w:sz w:val="20"/>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under ASC 842. The total transaction price in these contracts is allocated between the lease and non-lease components in the same manner as the total transaction price of other turnkey projects containing lighting fixtures and installation services.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Revenues, and production and acquisition costs, associated with sales-type leases are included in Product revenue and Costs of product revenues in the Condensed Consolidated Statement of Operations. There was no</w:t>
      </w:r>
      <w:r>
        <w:rPr>
          <w:rFonts w:ascii="Times New Roman" w:hAnsi="Times New Roman"/>
          <w:sz w:val="20"/>
        </w:rPr>
        <w:t xml:space="preserve"> </w:t>
      </w:r>
      <w:r>
        <w:rPr>
          <w:rFonts w:ascii="Times New Roman;serif" w:hAnsi="Times New Roman;serif"/>
          <w:b w:val="false"/>
          <w:sz w:val="20"/>
        </w:rPr>
        <w:t>revenue and cost of sales arising from sales-type leases during the three months ended June 30, 2023 and June 30,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left"/>
        <w:rPr>
          <w:rFonts w:ascii="Times New Roman;serif" w:hAnsi="Times New Roman;serif"/>
          <w:b/>
          <w:sz w:val="20"/>
        </w:rPr>
      </w:pPr>
      <w:bookmarkStart w:id="20" w:name="note_8___intangible_assets"/>
      <w:bookmarkEnd w:id="20"/>
      <w:r>
        <w:rPr>
          <w:rFonts w:ascii="Times New Roman;serif" w:hAnsi="Times New Roman;serif"/>
          <w:b/>
          <w:sz w:val="20"/>
        </w:rPr>
        <w:t>NOTE 9 — GOODWILL AND OTHER INTANGIBLE ASSETS, NET</w:t>
      </w:r>
    </w:p>
    <w:p>
      <w:pPr>
        <w:pStyle w:val="TextBody"/>
        <w:bidi w:val="0"/>
        <w:spacing w:before="180" w:after="0"/>
        <w:jc w:val="both"/>
        <w:rPr>
          <w:rFonts w:ascii="Times New Roman" w:hAnsi="Times New Roman"/>
          <w:sz w:val="20"/>
        </w:rPr>
      </w:pPr>
      <w:r>
        <w:rPr>
          <w:rFonts w:ascii="Times New Roman;serif" w:hAnsi="Times New Roman;serif"/>
          <w:b w:val="false"/>
          <w:sz w:val="20"/>
        </w:rPr>
        <w:t>Orion has $0.9</w:t>
      </w:r>
      <w:r>
        <w:rPr>
          <w:rFonts w:ascii="Times New Roman" w:hAnsi="Times New Roman"/>
          <w:sz w:val="20"/>
        </w:rPr>
        <w:t xml:space="preserve"> </w:t>
      </w:r>
      <w:r>
        <w:rPr>
          <w:rFonts w:ascii="Times New Roman;serif" w:hAnsi="Times New Roman;serif"/>
          <w:b w:val="false"/>
          <w:sz w:val="20"/>
        </w:rPr>
        <w:t>million of goodwill related to its purchase of Voltrek in the third quarter of fiscal 2023, which has an indefinite life, and is assigned to the EV Charging operating segment.</w:t>
      </w:r>
    </w:p>
    <w:p>
      <w:pPr>
        <w:pStyle w:val="TextBody"/>
        <w:bidi w:val="0"/>
        <w:spacing w:before="180" w:after="0"/>
        <w:jc w:val="both"/>
        <w:rPr>
          <w:rFonts w:ascii="Times New Roman" w:hAnsi="Times New Roman"/>
          <w:sz w:val="20"/>
        </w:rPr>
      </w:pPr>
      <w:r>
        <w:rPr>
          <w:rFonts w:ascii="Times New Roman;serif" w:hAnsi="Times New Roman;serif"/>
          <w:b w:val="false"/>
          <w:sz w:val="20"/>
        </w:rPr>
        <w:t>Orion has $0.6</w:t>
      </w:r>
      <w:r>
        <w:rPr>
          <w:rFonts w:ascii="Times New Roman" w:hAnsi="Times New Roman"/>
          <w:sz w:val="20"/>
        </w:rPr>
        <w:t xml:space="preserve"> </w:t>
      </w:r>
      <w:r>
        <w:rPr>
          <w:rFonts w:ascii="Times New Roman;serif" w:hAnsi="Times New Roman;serif"/>
          <w:b w:val="false"/>
          <w:sz w:val="20"/>
        </w:rPr>
        <w:t>million of goodwill related to its purchase of Stay-Light Lighting during fiscal year 2022, which has an indefinite life, and is assigned to the Maintenance operating segment.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See Note 18 – Acquisition for further discussion of the Voltrek acquisition.</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and March 31, 2023, the components of, and changes in, the carrying amount of other intangible assets, net, were as follows (dollars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873"/>
        <w:gridCol w:w="146"/>
        <w:gridCol w:w="196"/>
        <w:gridCol w:w="601"/>
        <w:gridCol w:w="146"/>
        <w:gridCol w:w="146"/>
        <w:gridCol w:w="276"/>
        <w:gridCol w:w="805"/>
        <w:gridCol w:w="166"/>
        <w:gridCol w:w="146"/>
        <w:gridCol w:w="196"/>
        <w:gridCol w:w="511"/>
        <w:gridCol w:w="146"/>
        <w:gridCol w:w="146"/>
        <w:gridCol w:w="246"/>
        <w:gridCol w:w="585"/>
        <w:gridCol w:w="146"/>
        <w:gridCol w:w="146"/>
        <w:gridCol w:w="196"/>
        <w:gridCol w:w="601"/>
        <w:gridCol w:w="146"/>
        <w:gridCol w:w="146"/>
        <w:gridCol w:w="276"/>
        <w:gridCol w:w="805"/>
        <w:gridCol w:w="166"/>
        <w:gridCol w:w="146"/>
        <w:gridCol w:w="196"/>
        <w:gridCol w:w="511"/>
        <w:gridCol w:w="393"/>
      </w:tblGrid>
      <w:tr>
        <w:trPr/>
        <w:tc>
          <w:tcPr>
            <w:tcW w:w="1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87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31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8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7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Gross </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Useful Life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7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Amortized Intangible Assets</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7" w:type="dxa"/>
            <w:gridSpan w:val="2"/>
            <w:tcBorders/>
            <w:vAlign w:val="center"/>
          </w:tcPr>
          <w:p>
            <w:pPr>
              <w:pStyle w:val="TableContents"/>
              <w:bidi w:val="0"/>
              <w:spacing w:before="0" w:after="0"/>
              <w:ind w:left="0" w:right="0" w:hanging="0"/>
              <w:jc w:val="center"/>
              <w:rPr/>
            </w:pPr>
            <w:r>
              <w:rPr/>
              <w:t> </w:t>
            </w:r>
          </w:p>
        </w:tc>
        <w:tc>
          <w:tcPr>
            <w:tcW w:w="393" w:type="dxa"/>
            <w:tcBorders/>
            <w:vAlign w:val="center"/>
          </w:tcPr>
          <w:p>
            <w:pPr>
              <w:pStyle w:val="TableContents"/>
              <w:bidi w:val="0"/>
              <w:spacing w:before="0" w:after="0"/>
              <w:ind w:left="0" w:right="0" w:firstLine="100"/>
              <w:jc w:val="center"/>
              <w:rPr/>
            </w:pPr>
            <w:r>
              <w:rPr/>
              <w:t> </w:t>
            </w:r>
          </w:p>
        </w:tc>
      </w:tr>
      <w:tr>
        <w:trPr/>
        <w:tc>
          <w:tcPr>
            <w:tcW w:w="1873"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Patents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591</w:t>
            </w:r>
          </w:p>
        </w:tc>
        <w:tc>
          <w:tcPr>
            <w:tcW w:w="393" w:type="dxa"/>
            <w:tcBorders/>
            <w:vAlign w:val="center"/>
          </w:tcPr>
          <w:p>
            <w:pPr>
              <w:pStyle w:val="TableContents"/>
              <w:bidi w:val="0"/>
              <w:spacing w:before="0" w:after="0"/>
              <w:ind w:left="0" w:right="0" w:firstLine="100"/>
              <w:jc w:val="left"/>
              <w:rPr/>
            </w:pPr>
            <w:r>
              <w:rPr/>
              <w:t> </w:t>
            </w:r>
          </w:p>
        </w:tc>
      </w:tr>
      <w:tr>
        <w:trPr/>
        <w:tc>
          <w:tcPr>
            <w:tcW w:w="1873"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Licenses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firstLine="100"/>
              <w:jc w:val="left"/>
              <w:rPr/>
            </w:pPr>
            <w:r>
              <w:rPr/>
              <w:t> </w:t>
            </w:r>
          </w:p>
        </w:tc>
      </w:tr>
      <w:tr>
        <w:trPr/>
        <w:tc>
          <w:tcPr>
            <w:tcW w:w="1873"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Trade name and trademarks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391</w:t>
            </w:r>
          </w:p>
        </w:tc>
        <w:tc>
          <w:tcPr>
            <w:tcW w:w="393" w:type="dxa"/>
            <w:tcBorders/>
            <w:vAlign w:val="center"/>
          </w:tcPr>
          <w:p>
            <w:pPr>
              <w:pStyle w:val="TableContents"/>
              <w:bidi w:val="0"/>
              <w:spacing w:before="0" w:after="0"/>
              <w:ind w:left="0" w:right="0" w:firstLine="100"/>
              <w:jc w:val="left"/>
              <w:rPr/>
            </w:pPr>
            <w:r>
              <w:rPr/>
              <w:t> </w:t>
            </w:r>
          </w:p>
        </w:tc>
      </w:tr>
      <w:tr>
        <w:trPr/>
        <w:tc>
          <w:tcPr>
            <w:tcW w:w="1873"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Customer relationships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1,595</w:t>
            </w:r>
          </w:p>
        </w:tc>
        <w:tc>
          <w:tcPr>
            <w:tcW w:w="393" w:type="dxa"/>
            <w:tcBorders/>
            <w:vAlign w:val="center"/>
          </w:tcPr>
          <w:p>
            <w:pPr>
              <w:pStyle w:val="TableContents"/>
              <w:bidi w:val="0"/>
              <w:spacing w:before="0" w:after="0"/>
              <w:ind w:left="0" w:right="0" w:firstLine="100"/>
              <w:jc w:val="left"/>
              <w:rPr/>
            </w:pPr>
            <w:r>
              <w:rPr/>
              <w:t> </w:t>
            </w:r>
          </w:p>
        </w:tc>
      </w:tr>
      <w:tr>
        <w:trPr/>
        <w:tc>
          <w:tcPr>
            <w:tcW w:w="1873"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Vendor relationships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2,417</w:t>
            </w:r>
          </w:p>
        </w:tc>
        <w:tc>
          <w:tcPr>
            <w:tcW w:w="393" w:type="dxa"/>
            <w:tcBorders/>
            <w:vAlign w:val="center"/>
          </w:tcPr>
          <w:p>
            <w:pPr>
              <w:pStyle w:val="TableContents"/>
              <w:bidi w:val="0"/>
              <w:spacing w:before="0" w:after="0"/>
              <w:ind w:left="0" w:right="0" w:firstLine="100"/>
              <w:jc w:val="left"/>
              <w:rPr/>
            </w:pPr>
            <w:r>
              <w:rPr/>
              <w:t> </w:t>
            </w:r>
          </w:p>
        </w:tc>
      </w:tr>
      <w:tr>
        <w:trPr/>
        <w:tc>
          <w:tcPr>
            <w:tcW w:w="1873"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Developed technology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87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Amortized Intangible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4,994</w:t>
            </w:r>
          </w:p>
        </w:tc>
        <w:tc>
          <w:tcPr>
            <w:tcW w:w="393" w:type="dxa"/>
            <w:tcBorders/>
            <w:vAlign w:val="center"/>
          </w:tcPr>
          <w:p>
            <w:pPr>
              <w:pStyle w:val="TableContents"/>
              <w:bidi w:val="0"/>
              <w:spacing w:before="0" w:after="0"/>
              <w:ind w:left="0" w:right="0" w:firstLine="100"/>
              <w:jc w:val="left"/>
              <w:rPr/>
            </w:pPr>
            <w:r>
              <w:rPr/>
              <w:t> </w:t>
            </w:r>
          </w:p>
        </w:tc>
      </w:tr>
      <w:tr>
        <w:trPr/>
        <w:tc>
          <w:tcPr>
            <w:tcW w:w="1873"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1873"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Indefinite-lived Intangible Assets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7"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100"/>
              <w:jc w:val="right"/>
              <w:rPr/>
            </w:pPr>
            <w:r>
              <w:rPr/>
              <w:t> </w:t>
            </w:r>
          </w:p>
        </w:tc>
      </w:tr>
      <w:tr>
        <w:trPr/>
        <w:tc>
          <w:tcPr>
            <w:tcW w:w="1873" w:type="dxa"/>
            <w:tcBorders/>
            <w:vAlign w:val="center"/>
          </w:tcPr>
          <w:p>
            <w:pPr>
              <w:pStyle w:val="TableContents"/>
              <w:bidi w:val="0"/>
              <w:spacing w:before="0" w:after="0"/>
              <w:ind w:left="100" w:right="0" w:hanging="0"/>
              <w:jc w:val="left"/>
              <w:rPr>
                <w:rFonts w:ascii="Times New Roman;serif" w:hAnsi="Times New Roman;serif"/>
                <w:b w:val="false"/>
                <w:sz w:val="16"/>
              </w:rPr>
            </w:pPr>
            <w:r>
              <w:rPr>
                <w:rFonts w:ascii="Times New Roman;serif" w:hAnsi="Times New Roman;serif"/>
                <w:b w:val="false"/>
                <w:sz w:val="16"/>
              </w:rPr>
              <w:t>Trade name and trademarks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1,010</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87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Non-Amortized Intangible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1,010</w:t>
            </w:r>
          </w:p>
        </w:tc>
        <w:tc>
          <w:tcPr>
            <w:tcW w:w="393"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 w:hAnsi="Times New Roman"/>
          <w:sz w:val="20"/>
        </w:rPr>
      </w:pPr>
      <w:r>
        <w:rPr>
          <w:rFonts w:ascii="Times New Roman;serif" w:hAnsi="Times New Roman;serif"/>
          <w:b w:val="false"/>
          <w:sz w:val="20"/>
        </w:rPr>
        <w:t>Amortization expense on intangible assets was $0.3</w:t>
      </w:r>
      <w:r>
        <w:rPr>
          <w:rFonts w:ascii="Times New Roman" w:hAnsi="Times New Roman"/>
          <w:sz w:val="20"/>
        </w:rPr>
        <w:t xml:space="preserve"> </w:t>
      </w:r>
      <w:r>
        <w:rPr>
          <w:rFonts w:ascii="Times New Roman;serif" w:hAnsi="Times New Roman;serif"/>
          <w:b w:val="false"/>
          <w:sz w:val="20"/>
        </w:rPr>
        <w:t>million for the three months ended June 30, 2023, respectively.</w:t>
      </w:r>
    </w:p>
    <w:p>
      <w:pPr>
        <w:pStyle w:val="TextBody"/>
        <w:bidi w:val="0"/>
        <w:spacing w:before="180" w:after="0"/>
        <w:jc w:val="both"/>
        <w:rPr>
          <w:rFonts w:ascii="Times New Roman" w:hAnsi="Times New Roman"/>
          <w:sz w:val="20"/>
        </w:rPr>
      </w:pPr>
      <w:r>
        <w:rPr>
          <w:rFonts w:ascii="Times New Roman;serif" w:hAnsi="Times New Roman;serif"/>
          <w:b w:val="false"/>
          <w:sz w:val="20"/>
        </w:rPr>
        <w:t>Amortization expense on intangible assets was $0.1</w:t>
      </w:r>
      <w:r>
        <w:rPr>
          <w:rFonts w:ascii="Times New Roman" w:hAnsi="Times New Roman"/>
          <w:sz w:val="20"/>
        </w:rPr>
        <w:t xml:space="preserve"> </w:t>
      </w:r>
      <w:r>
        <w:rPr>
          <w:rFonts w:ascii="Times New Roman;serif" w:hAnsi="Times New Roman;serif"/>
          <w:b w:val="false"/>
          <w:sz w:val="20"/>
        </w:rPr>
        <w:t>million for the three months ended June 30, 2022, respectively.</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estimated amortization expense for the remainder of fiscal 2024, the next five fiscal years and beyond is shown below (dollars in thousands):</w:t>
      </w:r>
    </w:p>
    <w:p>
      <w:pPr>
        <w:pStyle w:val="TextBody"/>
        <w:bidi w:val="0"/>
        <w:spacing w:before="0" w:after="0"/>
        <w:jc w:val="left"/>
        <w:rPr/>
      </w:pPr>
      <w:r>
        <w:rPr/>
        <w:t> </w:t>
      </w:r>
    </w:p>
    <w:tbl>
      <w:tblPr>
        <w:tblW w:w="3745" w:type="dxa"/>
        <w:jc w:val="left"/>
        <w:tblInd w:w="0" w:type="dxa"/>
        <w:tblLayout w:type="fixed"/>
        <w:tblCellMar>
          <w:top w:w="28" w:type="dxa"/>
          <w:left w:w="28" w:type="dxa"/>
          <w:bottom w:w="28" w:type="dxa"/>
          <w:right w:w="28" w:type="dxa"/>
        </w:tblCellMar>
      </w:tblPr>
      <w:tblGrid>
        <w:gridCol w:w="2626"/>
        <w:gridCol w:w="146"/>
        <w:gridCol w:w="211"/>
        <w:gridCol w:w="57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Fiscal 2024 (period remaining)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820</w:t>
            </w:r>
          </w:p>
        </w:tc>
        <w:tc>
          <w:tcPr>
            <w:tcW w:w="19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Fiscal 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1,086</w:t>
            </w:r>
          </w:p>
        </w:tc>
        <w:tc>
          <w:tcPr>
            <w:tcW w:w="19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Fiscal 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w:t>
            </w:r>
          </w:p>
        </w:tc>
        <w:tc>
          <w:tcPr>
            <w:tcW w:w="19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Fiscal 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w:t>
            </w:r>
          </w:p>
        </w:tc>
        <w:tc>
          <w:tcPr>
            <w:tcW w:w="19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Fiscal 2028</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w:t>
            </w:r>
          </w:p>
        </w:tc>
        <w:tc>
          <w:tcPr>
            <w:tcW w:w="19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Fiscal 2029</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w:t>
            </w:r>
          </w:p>
        </w:tc>
        <w:tc>
          <w:tcPr>
            <w:tcW w:w="19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80" w:after="0"/>
        <w:jc w:val="left"/>
        <w:rPr>
          <w:rFonts w:ascii="Times New Roman;serif" w:hAnsi="Times New Roman;serif"/>
          <w:b/>
          <w:sz w:val="20"/>
        </w:rPr>
      </w:pPr>
      <w:bookmarkStart w:id="21" w:name="note_9___accrued_expenses_and_other"/>
      <w:bookmarkEnd w:id="21"/>
      <w:r>
        <w:rPr>
          <w:rFonts w:ascii="Times New Roman;serif" w:hAnsi="Times New Roman;serif"/>
          <w:b/>
          <w:sz w:val="20"/>
        </w:rPr>
        <w:t>NOTE 10 — ACCRUED EXPENSES AND OTHER</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and March 31, 2023, accrued expenses and other included the following (dollars in thousands):</w:t>
      </w:r>
    </w:p>
    <w:p>
      <w:pPr>
        <w:pStyle w:val="TextBody"/>
        <w:bidi w:val="0"/>
        <w:spacing w:before="0" w:after="0"/>
        <w:jc w:val="both"/>
        <w:rPr/>
      </w:pPr>
      <w:r>
        <w:rPr/>
        <w:t> </w:t>
      </w:r>
    </w:p>
    <w:tbl>
      <w:tblPr>
        <w:tblW w:w="5079" w:type="dxa"/>
        <w:jc w:val="left"/>
        <w:tblInd w:w="0" w:type="dxa"/>
        <w:tblLayout w:type="fixed"/>
        <w:tblCellMar>
          <w:top w:w="28" w:type="dxa"/>
          <w:left w:w="28" w:type="dxa"/>
          <w:bottom w:w="28" w:type="dxa"/>
          <w:right w:w="28" w:type="dxa"/>
        </w:tblCellMar>
      </w:tblPr>
      <w:tblGrid>
        <w:gridCol w:w="2476"/>
        <w:gridCol w:w="146"/>
        <w:gridCol w:w="211"/>
        <w:gridCol w:w="676"/>
        <w:gridCol w:w="146"/>
        <w:gridCol w:w="146"/>
        <w:gridCol w:w="211"/>
        <w:gridCol w:w="676"/>
        <w:gridCol w:w="3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acquisition earn-out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3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2,598</w:t>
            </w:r>
          </w:p>
        </w:tc>
        <w:tc>
          <w:tcPr>
            <w:tcW w:w="3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and benefits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1,412</w:t>
            </w:r>
          </w:p>
        </w:tc>
        <w:tc>
          <w:tcPr>
            <w:tcW w:w="3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Credits due to customers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3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project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1,218</w:t>
            </w:r>
          </w:p>
        </w:tc>
        <w:tc>
          <w:tcPr>
            <w:tcW w:w="3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w:t>
            </w:r>
          </w:p>
        </w:tc>
        <w:tc>
          <w:tcPr>
            <w:tcW w:w="3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returns reserve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tax</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3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Legal and professional fees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sz w:val="20"/>
        </w:rPr>
      </w:pPr>
      <w:r>
        <w:rPr>
          <w:rFonts w:ascii="Times New Roman;serif" w:hAnsi="Times New Roman;serif"/>
          <w:b w:val="false"/>
          <w:sz w:val="20"/>
        </w:rPr>
        <w:t>Orion generally offers a limited warranty of one</w:t>
      </w:r>
      <w:r>
        <w:rPr>
          <w:rFonts w:ascii="Times New Roman" w:hAnsi="Times New Roman"/>
          <w:sz w:val="20"/>
        </w:rPr>
        <w:t xml:space="preserve"> </w:t>
      </w:r>
      <w:r>
        <w:rPr>
          <w:rFonts w:ascii="Times New Roman;serif" w:hAnsi="Times New Roman;serif"/>
          <w:b w:val="false"/>
          <w:sz w:val="20"/>
        </w:rPr>
        <w:t>to ten years</w:t>
      </w:r>
      <w:r>
        <w:rPr>
          <w:rFonts w:ascii="Times New Roman" w:hAnsi="Times New Roman"/>
          <w:sz w:val="20"/>
        </w:rPr>
        <w:t xml:space="preserve"> </w:t>
      </w:r>
      <w:r>
        <w:rPr>
          <w:rFonts w:ascii="Times New Roman;serif" w:hAnsi="Times New Roman;serif"/>
          <w:b w:val="false"/>
          <w:sz w:val="20"/>
        </w:rPr>
        <w:t>on its lighting products, including the pass 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Changes in Orion’s warranty accrual (both current and long-term) were as follows (dollars in thousands):</w:t>
      </w:r>
    </w:p>
    <w:p>
      <w:pPr>
        <w:pStyle w:val="TextBody"/>
        <w:bidi w:val="0"/>
        <w:spacing w:before="0" w:after="0"/>
        <w:jc w:val="both"/>
        <w:rPr/>
      </w:pPr>
      <w:r>
        <w:rPr/>
        <w:t> </w:t>
      </w:r>
    </w:p>
    <w:tbl>
      <w:tblPr>
        <w:tblW w:w="6551" w:type="dxa"/>
        <w:jc w:val="left"/>
        <w:tblInd w:w="0" w:type="dxa"/>
        <w:tblLayout w:type="fixed"/>
        <w:tblCellMar>
          <w:top w:w="28" w:type="dxa"/>
          <w:left w:w="28" w:type="dxa"/>
          <w:bottom w:w="28" w:type="dxa"/>
          <w:right w:w="28" w:type="dxa"/>
        </w:tblCellMar>
      </w:tblPr>
      <w:tblGrid>
        <w:gridCol w:w="4006"/>
        <w:gridCol w:w="146"/>
        <w:gridCol w:w="282"/>
        <w:gridCol w:w="563"/>
        <w:gridCol w:w="222"/>
        <w:gridCol w:w="195"/>
        <w:gridCol w:w="282"/>
        <w:gridCol w:w="644"/>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5" w:type="dxa"/>
            <w:tcBorders/>
            <w:vAlign w:val="center"/>
          </w:tcPr>
          <w:p>
            <w:pPr>
              <w:pStyle w:val="TableContents"/>
              <w:bidi w:val="0"/>
              <w:spacing w:before="0" w:after="0"/>
              <w:ind w:left="0" w:right="0" w:hanging="0"/>
              <w:jc w:val="center"/>
              <w:rPr/>
            </w:pPr>
            <w:r>
              <w:rPr/>
              <w:t> </w:t>
            </w:r>
          </w:p>
        </w:tc>
        <w:tc>
          <w:tcPr>
            <w:tcW w:w="9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of period</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222"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860</w:t>
            </w:r>
          </w:p>
        </w:tc>
        <w:tc>
          <w:tcPr>
            <w:tcW w:w="211" w:type="dxa"/>
            <w:tcBorders/>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Accruals</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222"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211" w:type="dxa"/>
            <w:tcBorders/>
            <w:vAlign w:val="center"/>
          </w:tcPr>
          <w:p>
            <w:pPr>
              <w:pStyle w:val="TableContents"/>
              <w:bidi w:val="0"/>
              <w:spacing w:before="0" w:after="0"/>
              <w:ind w:left="0" w:right="0" w:hanging="0"/>
              <w:jc w:val="left"/>
              <w:rPr/>
            </w:pPr>
            <w:r>
              <w:rPr/>
              <w:t> </w:t>
            </w:r>
          </w:p>
        </w:tc>
      </w:tr>
      <w:tr>
        <w:trPr/>
        <w:tc>
          <w:tcPr>
            <w:tcW w:w="40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Warranty claims (net of vendor reimbursements)</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5" w:type="dxa"/>
            <w:tcBorders/>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 of period</w:t>
            </w:r>
          </w:p>
        </w:tc>
        <w:tc>
          <w:tcPr>
            <w:tcW w:w="146" w:type="dxa"/>
            <w:tcBorders/>
            <w:vAlign w:val="center"/>
          </w:tcPr>
          <w:p>
            <w:pPr>
              <w:pStyle w:val="TableContents"/>
              <w:bidi w:val="0"/>
              <w:spacing w:before="0" w:after="0"/>
              <w:ind w:left="0" w:right="0" w:hanging="0"/>
              <w:jc w:val="lef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80" w:after="0"/>
        <w:jc w:val="left"/>
        <w:rPr>
          <w:rFonts w:ascii="Times New Roman;serif" w:hAnsi="Times New Roman;serif"/>
          <w:b/>
          <w:sz w:val="20"/>
        </w:rPr>
      </w:pPr>
      <w:r>
        <w:rPr>
          <w:rFonts w:ascii="Times New Roman;serif" w:hAnsi="Times New Roman;serif"/>
          <w:b/>
          <w:sz w:val="20"/>
        </w:rPr>
        <w:t>NOTE 11 — NET LOSS PER COMMON SHARE</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Basic net income per common share is computed by dividing net income attributable to common shareholders by the weighted-average number of common shares outstanding for the period and does not consider common stock equivalents.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Diluted net income per common share reflects the dilution that would occur if stock options were exercised and restricted shares vested. In the computation of diluted net income per common share, Orion uses the treasury stock method for outstanding options and restricted shares. For the three months ended June 30, 2023 and 2022, Orion was in a net loss position; therefore, the Basic and Diluted weighted-average shares outstanding are equal because any increase to the basic shares would be anti-dilutive. Net (loss) income per common share is calculated based upon the following shares:</w:t>
      </w:r>
    </w:p>
    <w:p>
      <w:pPr>
        <w:pStyle w:val="TextBody"/>
        <w:bidi w:val="0"/>
        <w:spacing w:before="0" w:after="0"/>
        <w:jc w:val="left"/>
        <w:rPr/>
      </w:pPr>
      <w:r>
        <w:rPr/>
        <w:t> </w:t>
      </w:r>
    </w:p>
    <w:tbl>
      <w:tblPr>
        <w:tblW w:w="7819" w:type="dxa"/>
        <w:jc w:val="left"/>
        <w:tblInd w:w="0" w:type="dxa"/>
        <w:tblLayout w:type="fixed"/>
        <w:tblCellMar>
          <w:top w:w="28" w:type="dxa"/>
          <w:left w:w="28" w:type="dxa"/>
          <w:bottom w:w="28" w:type="dxa"/>
          <w:right w:w="28" w:type="dxa"/>
        </w:tblCellMar>
      </w:tblPr>
      <w:tblGrid>
        <w:gridCol w:w="4456"/>
        <w:gridCol w:w="146"/>
        <w:gridCol w:w="211"/>
        <w:gridCol w:w="1036"/>
        <w:gridCol w:w="166"/>
        <w:gridCol w:w="146"/>
        <w:gridCol w:w="211"/>
        <w:gridCol w:w="1036"/>
        <w:gridCol w:w="4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br/>
              <w:t>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(in thousands)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(2,835</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32,345,823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31,138,398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and common share</w:t>
              <w:br/>
              <w:t>   equivalents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32,345,823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31,138,398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common share: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4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following table indicates the number of potentially dilutive securities excluded from the calculation of Diluted net income per common share because their inclusion would have been anti-dilutive. The number of shares is as of the end of each period:</w:t>
      </w:r>
    </w:p>
    <w:p>
      <w:pPr>
        <w:pStyle w:val="TextBody"/>
        <w:bidi w:val="0"/>
        <w:spacing w:before="0" w:after="0"/>
        <w:jc w:val="left"/>
        <w:rPr/>
      </w:pPr>
      <w:r>
        <w:rPr/>
        <w:t> </w:t>
      </w:r>
    </w:p>
    <w:tbl>
      <w:tblPr>
        <w:tblW w:w="4644" w:type="dxa"/>
        <w:jc w:val="left"/>
        <w:tblInd w:w="0" w:type="dxa"/>
        <w:tblLayout w:type="fixed"/>
        <w:tblCellMar>
          <w:top w:w="28" w:type="dxa"/>
          <w:left w:w="28" w:type="dxa"/>
          <w:bottom w:w="28" w:type="dxa"/>
          <w:right w:w="28" w:type="dxa"/>
        </w:tblCellMar>
      </w:tblPr>
      <w:tblGrid>
        <w:gridCol w:w="2011"/>
        <w:gridCol w:w="146"/>
        <w:gridCol w:w="146"/>
        <w:gridCol w:w="781"/>
        <w:gridCol w:w="146"/>
        <w:gridCol w:w="146"/>
        <w:gridCol w:w="146"/>
        <w:gridCol w:w="93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115,782</w:t>
            </w:r>
          </w:p>
        </w:tc>
        <w:tc>
          <w:tcPr>
            <w:tcW w:w="191" w:type="dxa"/>
            <w:tcBorders/>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shares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582,506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1,081,452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582,506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1,197,234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80" w:after="0"/>
        <w:jc w:val="both"/>
        <w:rPr>
          <w:rFonts w:ascii="Times New Roman;serif" w:hAnsi="Times New Roman;serif"/>
          <w:b/>
          <w:sz w:val="20"/>
        </w:rPr>
      </w:pPr>
      <w:bookmarkStart w:id="22" w:name="note_11___debt"/>
      <w:bookmarkEnd w:id="22"/>
      <w:r>
        <w:rPr>
          <w:rFonts w:ascii="Times New Roman;serif" w:hAnsi="Times New Roman;serif"/>
          <w:b/>
          <w:sz w:val="20"/>
        </w:rPr>
        <w:t>NOTE 12 — LONG-TERM DEBT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Long-term debt consisted of the following (dollars in thousands):</w:t>
      </w:r>
    </w:p>
    <w:p>
      <w:pPr>
        <w:pStyle w:val="TextBody"/>
        <w:bidi w:val="0"/>
        <w:spacing w:before="0" w:after="0"/>
        <w:jc w:val="left"/>
        <w:rPr/>
      </w:pPr>
      <w:r>
        <w:rPr/>
        <w:t> </w:t>
      </w:r>
    </w:p>
    <w:tbl>
      <w:tblPr>
        <w:tblW w:w="5684" w:type="dxa"/>
        <w:jc w:val="left"/>
        <w:tblInd w:w="0" w:type="dxa"/>
        <w:tblLayout w:type="fixed"/>
        <w:tblCellMar>
          <w:top w:w="28" w:type="dxa"/>
          <w:left w:w="28" w:type="dxa"/>
          <w:bottom w:w="28" w:type="dxa"/>
          <w:right w:w="28" w:type="dxa"/>
        </w:tblCellMar>
      </w:tblPr>
      <w:tblGrid>
        <w:gridCol w:w="3241"/>
        <w:gridCol w:w="146"/>
        <w:gridCol w:w="211"/>
        <w:gridCol w:w="676"/>
        <w:gridCol w:w="166"/>
        <w:gridCol w:w="146"/>
        <w:gridCol w:w="211"/>
        <w:gridCol w:w="67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21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Equipment debt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10,020</w:t>
            </w:r>
          </w:p>
        </w:tc>
        <w:tc>
          <w:tcPr>
            <w:tcW w:w="21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maturities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 less current maturities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80" w:after="0"/>
        <w:jc w:val="both"/>
        <w:rPr>
          <w:rFonts w:ascii="Times New Roman" w:hAnsi="Times New Roman"/>
          <w:sz w:val="20"/>
        </w:rPr>
      </w:pPr>
      <w:r>
        <w:rPr>
          <w:rFonts w:ascii="Times New Roman;serif" w:hAnsi="Times New Roman;serif"/>
          <w:b/>
          <w:i/>
          <w:sz w:val="20"/>
        </w:rPr>
        <w:t>Revolving Credit Agreement</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On December 29, 2020, Orion entered into a new $25</w:t>
      </w:r>
      <w:r>
        <w:rPr>
          <w:rFonts w:ascii="Times New Roman" w:hAnsi="Times New Roman"/>
          <w:sz w:val="20"/>
        </w:rPr>
        <w:t xml:space="preserve"> </w:t>
      </w:r>
      <w:r>
        <w:rPr>
          <w:rFonts w:ascii="Times New Roman;serif" w:hAnsi="Times New Roman;serif"/>
          <w:b w:val="false"/>
          <w:sz w:val="20"/>
        </w:rPr>
        <w:t>million Loan and Security Agreement with Bank of America, N.A., as lender (the “Credit Agreement”). The Credit Agreement replaced Orion’s prior $20.15</w:t>
      </w:r>
      <w:r>
        <w:rPr>
          <w:rFonts w:ascii="Times New Roman" w:hAnsi="Times New Roman"/>
          <w:sz w:val="20"/>
        </w:rPr>
        <w:t xml:space="preserve"> </w:t>
      </w:r>
      <w:r>
        <w:rPr>
          <w:rFonts w:ascii="Times New Roman;serif" w:hAnsi="Times New Roman;serif"/>
          <w:b w:val="false"/>
          <w:sz w:val="20"/>
        </w:rPr>
        <w:t>million secured revolving credit and security agreement (the “Prior Credit Agreement”).</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replacement of the Prior Credit Agreement with the Credit Agreement provides Orion with increased financing capacity and liquidity to fund its operations and implement its strategic plans.</w:t>
      </w:r>
    </w:p>
    <w:p>
      <w:pPr>
        <w:pStyle w:val="TextBody"/>
        <w:bidi w:val="0"/>
        <w:spacing w:before="180" w:after="0"/>
        <w:jc w:val="both"/>
        <w:rPr>
          <w:rFonts w:ascii="Times New Roman" w:hAnsi="Times New Roman"/>
          <w:sz w:val="20"/>
        </w:rPr>
      </w:pPr>
      <w:r>
        <w:rPr>
          <w:rFonts w:ascii="Times New Roman;serif" w:hAnsi="Times New Roman;serif"/>
          <w:b w:val="false"/>
          <w:sz w:val="20"/>
        </w:rPr>
        <w:t>The Credit Agreement provides for a five-year</w:t>
      </w:r>
      <w:r>
        <w:rPr>
          <w:rFonts w:ascii="Times New Roman" w:hAnsi="Times New Roman"/>
          <w:sz w:val="20"/>
        </w:rPr>
        <w:t xml:space="preserve"> </w:t>
      </w:r>
      <w:r>
        <w:rPr>
          <w:rFonts w:ascii="Times New Roman;serif" w:hAnsi="Times New Roman;serif"/>
          <w:b w:val="false"/>
          <w:sz w:val="20"/>
        </w:rPr>
        <w:t>$25.0</w:t>
      </w:r>
      <w:r>
        <w:rPr>
          <w:rFonts w:ascii="Times New Roman" w:hAnsi="Times New Roman"/>
          <w:sz w:val="20"/>
        </w:rPr>
        <w:t xml:space="preserve"> </w:t>
      </w:r>
      <w:r>
        <w:rPr>
          <w:rFonts w:ascii="Times New Roman;serif" w:hAnsi="Times New Roman;serif"/>
          <w:b w:val="false"/>
          <w:sz w:val="20"/>
        </w:rPr>
        <w:t>million revolving credit facility (the “Credit Facility”) that matures on December 29, 2025. Borrowings under the Credit Facility are subject to a borrowing base requirement based on eligible receivables, inventory and cash. As of June 30, 2023, the borrowing base of the Credit Facility supports $18.6</w:t>
      </w:r>
      <w:r>
        <w:rPr>
          <w:rFonts w:ascii="Times New Roman" w:hAnsi="Times New Roman"/>
          <w:sz w:val="20"/>
        </w:rPr>
        <w:t xml:space="preserve"> </w:t>
      </w:r>
      <w:r>
        <w:rPr>
          <w:rFonts w:ascii="Times New Roman;serif" w:hAnsi="Times New Roman;serif"/>
          <w:b w:val="false"/>
          <w:sz w:val="20"/>
        </w:rPr>
        <w:t>million of availability, with $8.6</w:t>
      </w:r>
      <w:r>
        <w:rPr>
          <w:rFonts w:ascii="Times New Roman" w:hAnsi="Times New Roman"/>
          <w:sz w:val="20"/>
        </w:rPr>
        <w:t xml:space="preserve"> </w:t>
      </w:r>
      <w:r>
        <w:rPr>
          <w:rFonts w:ascii="Times New Roman;serif" w:hAnsi="Times New Roman;serif"/>
          <w:b w:val="false"/>
          <w:sz w:val="20"/>
        </w:rPr>
        <w:t>million of remaining availability net of $10.0</w:t>
      </w:r>
      <w:r>
        <w:rPr>
          <w:rFonts w:ascii="Times New Roman" w:hAnsi="Times New Roman"/>
          <w:sz w:val="20"/>
        </w:rPr>
        <w:t xml:space="preserve"> </w:t>
      </w:r>
      <w:r>
        <w:rPr>
          <w:rFonts w:ascii="Times New Roman;serif" w:hAnsi="Times New Roman;serif"/>
          <w:b w:val="false"/>
          <w:sz w:val="20"/>
        </w:rPr>
        <w:t>million borrowed.</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Effective November 4, 2022, Orion, with Bank of America, N.A. as lender, executed Amendment No. 1 to its Credit Agreement. The primary purpose of the amendment was to include the assets of the acquired subsidiaries, Stay-Lite Lighting, Inc. ("Stay-Lite Lighting") and Voltrek, as secured collateral under the Credit Agreement. Accordingly, eligible assets of Stay-Lite and Voltrek will be included in the borrowing base calculation for the purpose of establishing the monthly borrowing availability under the Credit Agreement. The amendment also clarified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Orion was in compliance with all debt covenants.</w:t>
      </w:r>
    </w:p>
    <w:p>
      <w:pPr>
        <w:pStyle w:val="TextBody"/>
        <w:bidi w:val="0"/>
        <w:spacing w:before="280" w:after="0"/>
        <w:jc w:val="both"/>
        <w:rPr>
          <w:rFonts w:ascii="Times New Roman;serif" w:hAnsi="Times New Roman;serif"/>
          <w:b/>
          <w:i/>
          <w:sz w:val="20"/>
        </w:rPr>
      </w:pPr>
      <w:r>
        <w:rPr>
          <w:rFonts w:ascii="Times New Roman;serif" w:hAnsi="Times New Roman;serif"/>
          <w:b/>
          <w:i/>
          <w:sz w:val="20"/>
        </w:rPr>
        <w:t>Equipment Debt Obligations</w:t>
      </w:r>
    </w:p>
    <w:p>
      <w:pPr>
        <w:pStyle w:val="TextBody"/>
        <w:bidi w:val="0"/>
        <w:spacing w:before="180" w:after="0"/>
        <w:jc w:val="both"/>
        <w:rPr>
          <w:rFonts w:ascii="Times New Roman" w:hAnsi="Times New Roman"/>
          <w:sz w:val="20"/>
        </w:rPr>
      </w:pPr>
      <w:r>
        <w:rPr>
          <w:rFonts w:ascii="Times New Roman;serif" w:hAnsi="Times New Roman;serif"/>
          <w:b w:val="false"/>
          <w:sz w:val="20"/>
        </w:rPr>
        <w:t>In February 2019, Orion entered into additional debt agreements with a financing company in the principal amount of $44</w:t>
      </w:r>
      <w:r>
        <w:rPr>
          <w:rFonts w:ascii="Times New Roman" w:hAnsi="Times New Roman"/>
          <w:sz w:val="20"/>
        </w:rPr>
        <w:t xml:space="preserve"> </w:t>
      </w:r>
      <w:r>
        <w:rPr>
          <w:rFonts w:ascii="Times New Roman;serif" w:hAnsi="Times New Roman;serif"/>
          <w:b w:val="false"/>
          <w:sz w:val="20"/>
        </w:rPr>
        <w:t>thousand and $30</w:t>
      </w:r>
      <w:r>
        <w:rPr>
          <w:rFonts w:ascii="Times New Roman" w:hAnsi="Times New Roman"/>
          <w:sz w:val="20"/>
        </w:rPr>
        <w:t xml:space="preserve"> </w:t>
      </w:r>
      <w:r>
        <w:rPr>
          <w:rFonts w:ascii="Times New Roman;serif" w:hAnsi="Times New Roman;serif"/>
          <w:b w:val="false"/>
          <w:sz w:val="20"/>
        </w:rPr>
        <w:t>thousand to fund the purchase of certain equipment. The debts are secured by the related equipment. The debts bear interest at a rate of 6.43% and 8.77% per annum, respectively, and both debts mature in January 2024.</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left"/>
        <w:rPr>
          <w:rFonts w:ascii="Times New Roman;serif" w:hAnsi="Times New Roman;serif"/>
          <w:b/>
          <w:sz w:val="20"/>
        </w:rPr>
      </w:pPr>
      <w:bookmarkStart w:id="23" w:name="note_12___income_taxes"/>
      <w:bookmarkEnd w:id="23"/>
      <w:r>
        <w:rPr>
          <w:rFonts w:ascii="Times New Roman;serif" w:hAnsi="Times New Roman;serif"/>
          <w:b/>
          <w:sz w:val="20"/>
        </w:rPr>
        <w:t>NOTE 13 — INCOME TAXES</w:t>
      </w:r>
    </w:p>
    <w:p>
      <w:pPr>
        <w:pStyle w:val="TextBody"/>
        <w:bidi w:val="0"/>
        <w:spacing w:before="180" w:after="0"/>
        <w:jc w:val="both"/>
        <w:rPr>
          <w:rFonts w:ascii="Times New Roman" w:hAnsi="Times New Roman"/>
          <w:sz w:val="20"/>
        </w:rPr>
      </w:pPr>
      <w:r>
        <w:rPr>
          <w:rFonts w:ascii="Times New Roman;serif" w:hAnsi="Times New Roman;serif"/>
          <w:b w:val="false"/>
          <w:sz w:val="20"/>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months ended June 30, 2023 and 2022, Orion recorded income tax expense (benefit) of $42</w:t>
      </w:r>
      <w:r>
        <w:rPr>
          <w:rFonts w:ascii="Times New Roman" w:hAnsi="Times New Roman"/>
          <w:sz w:val="20"/>
        </w:rPr>
        <w:t xml:space="preserve"> </w:t>
      </w:r>
      <w:r>
        <w:rPr>
          <w:rFonts w:ascii="Times New Roman;serif" w:hAnsi="Times New Roman;serif"/>
          <w:b w:val="false"/>
          <w:sz w:val="20"/>
        </w:rPr>
        <w:t>thousand and $(0.8) million, respectively, using this methodology.</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and March 31, 2023, Orion had a full valuation allowance against its net deferred tax asset balance.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pStyle w:val="TextBody"/>
        <w:bidi w:val="0"/>
        <w:spacing w:before="180" w:after="0"/>
        <w:jc w:val="both"/>
        <w:rPr>
          <w:rFonts w:ascii="Times New Roman" w:hAnsi="Times New Roman"/>
          <w:sz w:val="20"/>
        </w:rPr>
      </w:pPr>
      <w:r>
        <w:rPr>
          <w:rFonts w:ascii="Times New Roman;serif" w:hAnsi="Times New Roman;serif"/>
          <w:b w:val="false"/>
          <w:sz w:val="20"/>
        </w:rPr>
        <w:t>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r>
        <w:rPr>
          <w:rFonts w:ascii="Times New Roman" w:hAnsi="Times New Roman"/>
          <w:sz w:val="20"/>
        </w:rPr>
        <w:t xml:space="preserve"> </w:t>
      </w:r>
    </w:p>
    <w:p>
      <w:pPr>
        <w:pStyle w:val="TextBody"/>
        <w:bidi w:val="0"/>
        <w:spacing w:before="280" w:after="0"/>
        <w:jc w:val="left"/>
        <w:rPr>
          <w:rFonts w:ascii="Times New Roman;serif" w:hAnsi="Times New Roman;serif"/>
          <w:b/>
          <w:i/>
          <w:sz w:val="20"/>
        </w:rPr>
      </w:pPr>
      <w:r>
        <w:rPr>
          <w:rFonts w:ascii="Times New Roman;serif" w:hAnsi="Times New Roman;serif"/>
          <w:b/>
          <w:i/>
          <w:sz w:val="20"/>
        </w:rPr>
        <w:t>Uncertain Tax Positions</w:t>
      </w:r>
    </w:p>
    <w:p>
      <w:pPr>
        <w:pStyle w:val="TextBody"/>
        <w:bidi w:val="0"/>
        <w:spacing w:before="180" w:after="0"/>
        <w:jc w:val="both"/>
        <w:rPr>
          <w:rFonts w:ascii="Times New Roman" w:hAnsi="Times New Roman"/>
          <w:sz w:val="20"/>
        </w:rPr>
      </w:pPr>
      <w:r>
        <w:rPr>
          <w:rFonts w:ascii="Times New Roman;serif" w:hAnsi="Times New Roman;serif"/>
          <w:b w:val="false"/>
          <w:sz w:val="20"/>
        </w:rPr>
        <w:t>As of June 30, 2023, Orion’s balance of gross unrecognized tax benefits was approximately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all of which would reduce Orion’s effective tax rate if recognized.</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(benefit) expense. Penalties and interest are included in the unrecognized tax benefits.</w:t>
      </w:r>
    </w:p>
    <w:p>
      <w:pPr>
        <w:pStyle w:val="TextBody"/>
        <w:bidi w:val="0"/>
        <w:spacing w:before="280" w:after="0"/>
        <w:jc w:val="both"/>
        <w:rPr>
          <w:rFonts w:ascii="Times New Roman" w:hAnsi="Times New Roman"/>
          <w:sz w:val="20"/>
        </w:rPr>
      </w:pPr>
      <w:bookmarkStart w:id="24" w:name="note_13___commitments_and_contingencies"/>
      <w:bookmarkEnd w:id="24"/>
      <w:r>
        <w:rPr>
          <w:rFonts w:ascii="Times New Roman;serif" w:hAnsi="Times New Roman;serif"/>
          <w:b/>
          <w:sz w:val="20"/>
        </w:rPr>
        <w:t>NOTE 14 — COMMITMENTS AND CONTINGENCIES</w:t>
      </w:r>
      <w:r>
        <w:rPr>
          <w:rFonts w:ascii="Times New Roman" w:hAnsi="Times New Roman"/>
          <w:sz w:val="20"/>
        </w:rPr>
        <w:t xml:space="preserve"> </w:t>
      </w:r>
    </w:p>
    <w:p>
      <w:pPr>
        <w:pStyle w:val="TextBody"/>
        <w:bidi w:val="0"/>
        <w:spacing w:before="180" w:after="0"/>
        <w:jc w:val="both"/>
        <w:rPr>
          <w:rFonts w:ascii="Times New Roman;serif" w:hAnsi="Times New Roman;serif"/>
          <w:b/>
          <w:i/>
          <w:sz w:val="20"/>
        </w:rPr>
      </w:pPr>
      <w:r>
        <w:rPr>
          <w:rFonts w:ascii="Times New Roman;serif" w:hAnsi="Times New Roman;serif"/>
          <w:b/>
          <w:i/>
          <w:sz w:val="20"/>
        </w:rPr>
        <w:t>Litigation</w:t>
      </w:r>
    </w:p>
    <w:p>
      <w:pPr>
        <w:pStyle w:val="TextBody"/>
        <w:bidi w:val="0"/>
        <w:spacing w:before="180" w:after="0"/>
        <w:jc w:val="both"/>
        <w:rPr>
          <w:rFonts w:ascii="Times New Roman" w:hAnsi="Times New Roman"/>
          <w:sz w:val="20"/>
        </w:rPr>
      </w:pPr>
      <w:r>
        <w:rPr>
          <w:rFonts w:ascii="Times New Roman;serif" w:hAnsi="Times New Roman;serif"/>
          <w:b w:val="false"/>
          <w:sz w:val="20"/>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r>
        <w:rPr>
          <w:rFonts w:ascii="Times New Roman" w:hAnsi="Times New Roman"/>
          <w:sz w:val="20"/>
        </w:rPr>
        <w:t xml:space="preserve"> </w:t>
      </w:r>
    </w:p>
    <w:p>
      <w:pPr>
        <w:pStyle w:val="TextBody"/>
        <w:bidi w:val="0"/>
        <w:spacing w:before="280" w:after="0"/>
        <w:jc w:val="both"/>
        <w:rPr>
          <w:rFonts w:ascii="Times New Roman;serif" w:hAnsi="Times New Roman;serif"/>
          <w:b/>
          <w:i/>
          <w:sz w:val="20"/>
        </w:rPr>
      </w:pPr>
      <w:r>
        <w:rPr>
          <w:rFonts w:ascii="Times New Roman;serif" w:hAnsi="Times New Roman;serif"/>
          <w:b/>
          <w:i/>
          <w:sz w:val="20"/>
        </w:rPr>
        <w:t>State Tax Assessment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During fiscal year 2018, Orion was notified of a pending sales and use tax audit by the Wisconsin Department of Revenue for the period covering April 1, 2013 through March 31, 2017. This sales and use tax audit was settled during the quarter ended June 30, 2022 with no tax adjustment.</w:t>
      </w:r>
    </w:p>
    <w:p>
      <w:pPr>
        <w:pStyle w:val="TextBody"/>
        <w:bidi w:val="0"/>
        <w:spacing w:before="280" w:after="0"/>
        <w:jc w:val="left"/>
        <w:rPr>
          <w:rFonts w:ascii="Times New Roman;serif" w:hAnsi="Times New Roman;serif"/>
          <w:b/>
          <w:sz w:val="20"/>
        </w:rPr>
      </w:pPr>
      <w:bookmarkStart w:id="25" w:name="note_14___shareholders__equity"/>
      <w:bookmarkEnd w:id="25"/>
      <w:r>
        <w:rPr>
          <w:rFonts w:ascii="Times New Roman;serif" w:hAnsi="Times New Roman;serif"/>
          <w:b/>
          <w:sz w:val="20"/>
        </w:rPr>
        <w:t>NOTE 15 — SHAREHOLDERS’ EQUITY</w:t>
      </w:r>
    </w:p>
    <w:p>
      <w:pPr>
        <w:pStyle w:val="TextBody"/>
        <w:bidi w:val="0"/>
        <w:spacing w:before="280" w:after="0"/>
        <w:jc w:val="left"/>
        <w:rPr>
          <w:rFonts w:ascii="Times New Roman;serif" w:hAnsi="Times New Roman;serif"/>
          <w:b/>
          <w:i/>
          <w:sz w:val="20"/>
        </w:rPr>
      </w:pPr>
      <w:r>
        <w:rPr>
          <w:rFonts w:ascii="Times New Roman;serif" w:hAnsi="Times New Roman;serif"/>
          <w:b/>
          <w:i/>
          <w:sz w:val="20"/>
        </w:rPr>
        <w:t>Employee Stock Purchase Plan</w:t>
      </w:r>
    </w:p>
    <w:p>
      <w:pPr>
        <w:pStyle w:val="TextBody"/>
        <w:bidi w:val="0"/>
        <w:spacing w:before="180" w:after="180"/>
        <w:jc w:val="both"/>
        <w:rPr>
          <w:rFonts w:ascii="Times New Roman" w:hAnsi="Times New Roman"/>
          <w:sz w:val="20"/>
        </w:rPr>
      </w:pPr>
      <w:r>
        <w:rPr>
          <w:rFonts w:ascii="Times New Roman;serif" w:hAnsi="Times New Roman;serif"/>
          <w:b w:val="false"/>
          <w:sz w:val="20"/>
        </w:rPr>
        <w:t>In August 2010, Orion’s Board of Directors approved a non-compensatory employee stock purchase plan, or “ESPP”. In the three months ended June 30, 2023, Orion issued 700</w:t>
      </w:r>
      <w:r>
        <w:rPr>
          <w:rFonts w:ascii="Times New Roman" w:hAnsi="Times New Roman"/>
          <w:sz w:val="20"/>
        </w:rPr>
        <w:t xml:space="preserve"> </w:t>
      </w:r>
      <w:r>
        <w:rPr>
          <w:rFonts w:ascii="Times New Roman;serif" w:hAnsi="Times New Roman;serif"/>
          <w:b w:val="false"/>
          <w:sz w:val="20"/>
        </w:rPr>
        <w:t>shares under the ESPP plan at a closing market price of $1.63.</w:t>
      </w:r>
      <w:r>
        <w:rPr>
          <w:rFonts w:ascii="Times New Roman" w:hAnsi="Times New Roman"/>
          <w:sz w:val="20"/>
        </w:rPr>
        <w:t xml:space="preserve"> </w:t>
      </w:r>
      <w:r>
        <w:rPr>
          <w:rFonts w:ascii="Times New Roman;serif" w:hAnsi="Times New Roman;serif"/>
          <w:b w:val="false"/>
          <w:sz w:val="20"/>
        </w:rPr>
        <w:t>In the three months ended June 30, 2022, Orion issued 443</w:t>
      </w:r>
      <w:r>
        <w:rPr>
          <w:rFonts w:ascii="Times New Roman" w:hAnsi="Times New Roman"/>
          <w:sz w:val="20"/>
        </w:rPr>
        <w:t xml:space="preserve"> </w:t>
      </w:r>
      <w:r>
        <w:rPr>
          <w:rFonts w:ascii="Times New Roman;serif" w:hAnsi="Times New Roman;serif"/>
          <w:b w:val="false"/>
          <w:sz w:val="20"/>
        </w:rPr>
        <w:t>shares under the ESPP plan at a closing market price of $2.01.</w:t>
      </w:r>
    </w:p>
    <w:p>
      <w:pPr>
        <w:pStyle w:val="TextBody"/>
        <w:bidi w:val="0"/>
        <w:spacing w:before="280" w:after="0"/>
        <w:jc w:val="both"/>
        <w:rPr>
          <w:rFonts w:ascii="Times New Roman;serif" w:hAnsi="Times New Roman;serif"/>
          <w:b/>
          <w:i/>
          <w:sz w:val="20"/>
        </w:rPr>
      </w:pPr>
      <w:r>
        <w:rPr>
          <w:rFonts w:ascii="Times New Roman;serif" w:hAnsi="Times New Roman;serif"/>
          <w:b/>
          <w:i/>
          <w:sz w:val="20"/>
        </w:rPr>
        <w:t>Sale of shares</w:t>
      </w:r>
    </w:p>
    <w:p>
      <w:pPr>
        <w:pStyle w:val="TextBody"/>
        <w:bidi w:val="0"/>
        <w:spacing w:before="120" w:after="0"/>
        <w:jc w:val="both"/>
        <w:rPr>
          <w:rFonts w:ascii="Times New Roman" w:hAnsi="Times New Roman"/>
          <w:sz w:val="20"/>
        </w:rPr>
      </w:pPr>
      <w:r>
        <w:rPr>
          <w:rFonts w:ascii="Times New Roman;serif" w:hAnsi="Times New Roman;serif"/>
          <w:b w:val="false"/>
          <w:sz w:val="20"/>
        </w:rPr>
        <w:t>In March 2023, Orion filed a universal shelf registration statement with the Securities and Exchange Commission. Under the shelf registration statement, Orion currently has the flexibility to publicly offer and sell from time to time up to $100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pStyle w:val="TextBody"/>
        <w:bidi w:val="0"/>
        <w:spacing w:before="180" w:after="0"/>
        <w:jc w:val="both"/>
        <w:rPr>
          <w:rFonts w:ascii="Times New Roman" w:hAnsi="Times New Roman"/>
          <w:sz w:val="20"/>
        </w:rPr>
      </w:pPr>
      <w:r>
        <w:rPr>
          <w:rFonts w:ascii="Times New Roman;serif" w:hAnsi="Times New Roman;serif"/>
          <w:b w:val="false"/>
          <w:sz w:val="20"/>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w:t>
      </w:r>
      <w:r>
        <w:rPr>
          <w:rFonts w:ascii="Times New Roman" w:hAnsi="Times New Roman"/>
          <w:sz w:val="20"/>
        </w:rPr>
        <w:t xml:space="preserve"> </w:t>
      </w:r>
      <w:r>
        <w:rPr>
          <w:rFonts w:ascii="Times New Roman;serif" w:hAnsi="Times New Roman;serif"/>
          <w:b w:val="false"/>
          <w:sz w:val="20"/>
        </w:rPr>
        <w:t>million. No</w:t>
      </w:r>
      <w:r>
        <w:rPr>
          <w:rFonts w:ascii="Times New Roman" w:hAnsi="Times New Roman"/>
          <w:sz w:val="20"/>
        </w:rPr>
        <w:t xml:space="preserve"> </w:t>
      </w:r>
      <w:r>
        <w:rPr>
          <w:rFonts w:ascii="Times New Roman;serif" w:hAnsi="Times New Roman;serif"/>
          <w:b w:val="false"/>
          <w:sz w:val="20"/>
        </w:rPr>
        <w:t>share sales have been effected pursuant to the ATM program through June 30, 2023.</w:t>
      </w:r>
    </w:p>
    <w:p>
      <w:pPr>
        <w:pStyle w:val="TextBody"/>
        <w:bidi w:val="0"/>
        <w:spacing w:before="280" w:after="0"/>
        <w:jc w:val="both"/>
        <w:rPr>
          <w:rFonts w:ascii="Times New Roman;serif" w:hAnsi="Times New Roman;serif"/>
          <w:b/>
          <w:sz w:val="20"/>
        </w:rPr>
      </w:pPr>
      <w:r>
        <w:rPr>
          <w:rFonts w:ascii="Times New Roman;serif" w:hAnsi="Times New Roman;serif"/>
          <w:b/>
          <w:sz w:val="20"/>
        </w:rPr>
        <w:t>NOTE 16 — STOCK OPTIONS AND RESTRICTED SHARES</w:t>
      </w:r>
    </w:p>
    <w:p>
      <w:pPr>
        <w:pStyle w:val="TextBody"/>
        <w:bidi w:val="0"/>
        <w:spacing w:before="180" w:after="0"/>
        <w:jc w:val="both"/>
        <w:rPr>
          <w:rFonts w:ascii="Times New Roman" w:hAnsi="Times New Roman"/>
          <w:sz w:val="20"/>
        </w:rPr>
      </w:pPr>
      <w:r>
        <w:rPr>
          <w:rFonts w:ascii="Times New Roman;serif" w:hAnsi="Times New Roman;serif"/>
          <w:b w:val="false"/>
          <w:sz w:val="20"/>
        </w:rPr>
        <w:t>At Orion’s 2019 annual meeting of shareholders held on August 7, 2019, Orion’s shareholders approved the Orion Energy Systems, Inc. 2016 Omnibus Incentive Plan, as amended and restated (the “Amended 2016 Plan”). The Amended 2016 Plan increased the number of shares of Orion’s common stock available for issuance under the Amended 2016 Plan from 1,750,000</w:t>
      </w:r>
      <w:r>
        <w:rPr>
          <w:rFonts w:ascii="Times New Roman" w:hAnsi="Times New Roman"/>
          <w:sz w:val="20"/>
        </w:rPr>
        <w:t xml:space="preserve"> </w:t>
      </w:r>
      <w:r>
        <w:rPr>
          <w:rFonts w:ascii="Times New Roman;serif" w:hAnsi="Times New Roman;serif"/>
          <w:b w:val="false"/>
          <w:sz w:val="20"/>
        </w:rPr>
        <w:t>shares to 3,500,000</w:t>
      </w:r>
      <w:r>
        <w:rPr>
          <w:rFonts w:ascii="Times New Roman" w:hAnsi="Times New Roman"/>
          <w:sz w:val="20"/>
        </w:rPr>
        <w:t xml:space="preserve"> </w:t>
      </w:r>
      <w:r>
        <w:rPr>
          <w:rFonts w:ascii="Times New Roman;serif" w:hAnsi="Times New Roman;serif"/>
          <w:b w:val="false"/>
          <w:sz w:val="20"/>
        </w:rPr>
        <w:t>shares (an increase of 1,750,000</w:t>
      </w:r>
      <w:r>
        <w:rPr>
          <w:rFonts w:ascii="Times New Roman" w:hAnsi="Times New Roman"/>
          <w:sz w:val="20"/>
        </w:rPr>
        <w:t xml:space="preserve"> </w:t>
      </w:r>
      <w:r>
        <w:rPr>
          <w:rFonts w:ascii="Times New Roman;serif" w:hAnsi="Times New Roman;serif"/>
          <w:b w:val="false"/>
          <w:sz w:val="20"/>
        </w:rPr>
        <w:t>shares); added a minimum vesting period for all awards granted under the Amended 2016 Plan (with limited exceptions); and added a specific prohibition on the payment of dividends and dividend equivalents on unvested awards.</w:t>
      </w:r>
    </w:p>
    <w:p>
      <w:pPr>
        <w:pStyle w:val="TextBody"/>
        <w:bidi w:val="0"/>
        <w:spacing w:before="180" w:after="0"/>
        <w:jc w:val="both"/>
        <w:rPr>
          <w:rFonts w:ascii="Times New Roman" w:hAnsi="Times New Roman"/>
          <w:sz w:val="20"/>
        </w:rPr>
      </w:pPr>
      <w:r>
        <w:rPr>
          <w:rFonts w:ascii="Times New Roman;serif" w:hAnsi="Times New Roman;serif"/>
          <w:b w:val="false"/>
          <w:sz w:val="20"/>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Certain non-employee directors have from time to time elected to receive stock awards in lieu of cash compensation pursuant to elections made under Orion’s non-employee director compensation program.</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following amounts of stock-based compensation were recorded (dollars in thousands):</w:t>
      </w:r>
    </w:p>
    <w:p>
      <w:pPr>
        <w:pStyle w:val="TextBody"/>
        <w:bidi w:val="0"/>
        <w:spacing w:before="0" w:after="0"/>
        <w:jc w:val="both"/>
        <w:rPr/>
      </w:pPr>
      <w:r>
        <w:rPr/>
        <w:t> </w:t>
      </w:r>
    </w:p>
    <w:tbl>
      <w:tblPr>
        <w:tblW w:w="4836" w:type="dxa"/>
        <w:jc w:val="left"/>
        <w:tblInd w:w="0" w:type="dxa"/>
        <w:tblLayout w:type="fixed"/>
        <w:tblCellMar>
          <w:top w:w="28" w:type="dxa"/>
          <w:left w:w="28" w:type="dxa"/>
          <w:bottom w:w="28" w:type="dxa"/>
          <w:right w:w="28" w:type="dxa"/>
        </w:tblCellMar>
      </w:tblPr>
      <w:tblGrid>
        <w:gridCol w:w="2311"/>
        <w:gridCol w:w="146"/>
        <w:gridCol w:w="297"/>
        <w:gridCol w:w="592"/>
        <w:gridCol w:w="205"/>
        <w:gridCol w:w="205"/>
        <w:gridCol w:w="297"/>
        <w:gridCol w:w="592"/>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5" w:type="dxa"/>
            <w:tcBorders/>
            <w:vAlign w:val="center"/>
          </w:tcPr>
          <w:p>
            <w:pPr>
              <w:pStyle w:val="TableContents"/>
              <w:bidi w:val="0"/>
              <w:spacing w:before="0" w:after="0"/>
              <w:ind w:left="0" w:right="0" w:hanging="0"/>
              <w:jc w:val="center"/>
              <w:rPr/>
            </w:pPr>
            <w:r>
              <w:rPr/>
              <w:t> </w:t>
            </w:r>
          </w:p>
        </w:tc>
        <w:tc>
          <w:tcPr>
            <w:tcW w:w="8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product revenue</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0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20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05"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2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During the three months ended June 30, 2023, Orion had the following activity related to its stock-based compensation. Restricted shares includes both performance-vesting restricted stock and time vesting-restricted stock.</w:t>
      </w:r>
      <w:r>
        <w:rPr>
          <w:rFonts w:ascii="Times New Roman" w:hAnsi="Times New Roman"/>
          <w:sz w:val="20"/>
        </w:rPr>
        <w:t xml:space="preserve"> </w:t>
      </w:r>
    </w:p>
    <w:p>
      <w:pPr>
        <w:pStyle w:val="TextBody"/>
        <w:bidi w:val="0"/>
        <w:spacing w:before="0" w:after="0"/>
        <w:jc w:val="both"/>
        <w:rPr/>
      </w:pPr>
      <w:r>
        <w:rPr/>
        <w:t> </w:t>
      </w:r>
    </w:p>
    <w:tbl>
      <w:tblPr>
        <w:tblW w:w="7030" w:type="dxa"/>
        <w:jc w:val="left"/>
        <w:tblInd w:w="0" w:type="dxa"/>
        <w:tblLayout w:type="fixed"/>
        <w:tblCellMar>
          <w:top w:w="28" w:type="dxa"/>
          <w:left w:w="28" w:type="dxa"/>
          <w:bottom w:w="28" w:type="dxa"/>
          <w:right w:w="28" w:type="dxa"/>
        </w:tblCellMar>
      </w:tblPr>
      <w:tblGrid>
        <w:gridCol w:w="3871"/>
        <w:gridCol w:w="146"/>
        <w:gridCol w:w="273"/>
        <w:gridCol w:w="1092"/>
        <w:gridCol w:w="166"/>
        <w:gridCol w:w="146"/>
        <w:gridCol w:w="186"/>
        <w:gridCol w:w="939"/>
        <w:gridCol w:w="2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Restricted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 Options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Awards outstanding at March 31, 2023</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743,454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73,136</w:t>
            </w:r>
          </w:p>
        </w:tc>
        <w:tc>
          <w:tcPr>
            <w:tcW w:w="21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Awards granted</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Awards vested or exercised</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(206,451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Awards forfeited</w:t>
            </w:r>
          </w:p>
        </w:tc>
        <w:tc>
          <w:tcPr>
            <w:tcW w:w="146" w:type="dxa"/>
            <w:tcBorders/>
            <w:vAlign w:val="center"/>
          </w:tcPr>
          <w:p>
            <w:pPr>
              <w:pStyle w:val="TableContents"/>
              <w:bidi w:val="0"/>
              <w:spacing w:before="0" w:after="0"/>
              <w:ind w:left="0" w:right="0" w:hanging="0"/>
              <w:jc w:val="left"/>
              <w:rPr/>
            </w:pPr>
            <w:r>
              <w:rPr/>
              <w:t> </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(73,136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Awards outstanding at June 30, 2023</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10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582,506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 share weighted average price on grant date</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of June 30, 2023, the amount of deferred stock-based compensation expense to be recognized, over a remaining period of</w:t>
      </w:r>
      <w:r>
        <w:rPr>
          <w:rFonts w:ascii="Times New Roman" w:hAnsi="Times New Roman"/>
          <w:sz w:val="20"/>
        </w:rPr>
        <w:t xml:space="preserve"> </w:t>
      </w:r>
      <w:r>
        <w:rPr>
          <w:rFonts w:ascii="Times New Roman;serif" w:hAnsi="Times New Roman;serif"/>
          <w:b w:val="false"/>
          <w:sz w:val="20"/>
        </w:rPr>
        <w:t>2.0</w:t>
      </w:r>
      <w:r>
        <w:rPr>
          <w:rFonts w:ascii="Times New Roman" w:hAnsi="Times New Roman"/>
          <w:sz w:val="20"/>
        </w:rPr>
        <w:t xml:space="preserve"> </w:t>
      </w:r>
      <w:r>
        <w:rPr>
          <w:rFonts w:ascii="Times New Roman;serif" w:hAnsi="Times New Roman;serif"/>
          <w:b w:val="false"/>
          <w:sz w:val="20"/>
        </w:rPr>
        <w:t>years, was approximately $1.1</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80" w:after="0"/>
        <w:jc w:val="both"/>
        <w:rPr>
          <w:rFonts w:ascii="Times New Roman;serif" w:hAnsi="Times New Roman;serif"/>
          <w:b/>
          <w:sz w:val="20"/>
        </w:rPr>
      </w:pPr>
      <w:r>
        <w:rPr>
          <w:rFonts w:ascii="Times New Roman;serif" w:hAnsi="Times New Roman;serif"/>
          <w:b/>
          <w:sz w:val="20"/>
        </w:rPr>
        <w:t>NOTE 17 — SEGMENTS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Reportable segments are components of an entity that have separate financial data that the entity's chief operating decision maker ("CODM") regularly reviews when allocating resources and assessing performance. Orion's CODM is the chief executive officer. Previously, Orion had four reportable segments: Orion Services Group Division ("OSG"), Orion Distribution Services Division ("ODS"), Orion U.S. Markets Division (“USM”) and Orion Electric Vehicle Charging Division (“EV Division”). Effective during the first quarter of fiscal 2024, Orion began to evaluate and report the business using three segments: Orion Lighting Division, Orion Maintenance Division and Orion Electric Vehicle Charging Division (“EV Division”). Orion configured its fiscal 2024 plan in order to compare actual performance to plan performance for these segments. Due to the change in composition of reportable segments in the first quarter of fiscal 2024, the corresponding segment information for fiscal year 2023 has been restated for presentation on a comparable basis.</w:t>
      </w:r>
    </w:p>
    <w:p>
      <w:pPr>
        <w:pStyle w:val="TextBody"/>
        <w:bidi w:val="0"/>
        <w:spacing w:before="280" w:after="0"/>
        <w:jc w:val="both"/>
        <w:rPr>
          <w:rFonts w:ascii="Times New Roman;serif" w:hAnsi="Times New Roman;serif"/>
          <w:b/>
          <w:i/>
          <w:sz w:val="20"/>
        </w:rPr>
      </w:pPr>
      <w:r>
        <w:rPr>
          <w:rFonts w:ascii="Times New Roman;serif" w:hAnsi="Times New Roman;serif"/>
          <w:b/>
          <w:i/>
          <w:sz w:val="20"/>
        </w:rPr>
        <w:t>Lighting Segment</w:t>
      </w:r>
    </w:p>
    <w:p>
      <w:pPr>
        <w:pStyle w:val="TextBody"/>
        <w:bidi w:val="0"/>
        <w:spacing w:before="180" w:after="0"/>
        <w:jc w:val="both"/>
        <w:rPr>
          <w:rFonts w:ascii="Times New Roman" w:hAnsi="Times New Roman"/>
          <w:sz w:val="20"/>
        </w:rPr>
      </w:pPr>
      <w:r>
        <w:rPr>
          <w:rFonts w:ascii="Times New Roman;serif" w:hAnsi="Times New Roman;serif"/>
          <w:b w:val="false"/>
          <w:sz w:val="20"/>
        </w:rPr>
        <w:t>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energy service companies and contractors.</w:t>
      </w:r>
      <w:r>
        <w:rPr>
          <w:rFonts w:ascii="Times New Roman" w:hAnsi="Times New Roman"/>
          <w:sz w:val="20"/>
        </w:rPr>
        <w:t xml:space="preserve"> </w:t>
      </w:r>
    </w:p>
    <w:p>
      <w:pPr>
        <w:pStyle w:val="TextBody"/>
        <w:bidi w:val="0"/>
        <w:spacing w:before="280" w:after="0"/>
        <w:jc w:val="both"/>
        <w:rPr>
          <w:rFonts w:ascii="Times New Roman;serif" w:hAnsi="Times New Roman;serif"/>
          <w:b/>
          <w:i/>
          <w:sz w:val="20"/>
        </w:rPr>
      </w:pPr>
      <w:r>
        <w:rPr>
          <w:rFonts w:ascii="Times New Roman;serif" w:hAnsi="Times New Roman;serif"/>
          <w:b/>
          <w:i/>
          <w:sz w:val="20"/>
        </w:rPr>
        <w:t>Maintenance Segment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Maintenance Segment provides retailers, distributors and other businesses with maintenance, repair and replacement services for the lighting and related electrical components deployed in their facilities.</w:t>
      </w:r>
    </w:p>
    <w:p>
      <w:pPr>
        <w:pStyle w:val="TextBody"/>
        <w:bidi w:val="0"/>
        <w:spacing w:before="280" w:after="0"/>
        <w:jc w:val="both"/>
        <w:rPr>
          <w:rFonts w:ascii="Times New Roman;serif" w:hAnsi="Times New Roman;serif"/>
          <w:b/>
          <w:i/>
          <w:sz w:val="20"/>
        </w:rPr>
      </w:pPr>
      <w:r>
        <w:rPr>
          <w:rFonts w:ascii="Times New Roman;serif" w:hAnsi="Times New Roman;serif"/>
          <w:b/>
          <w:i/>
          <w:sz w:val="20"/>
        </w:rPr>
        <w:t>Electric Vehicle Charging Segment</w:t>
      </w:r>
    </w:p>
    <w:p>
      <w:pPr>
        <w:pStyle w:val="TextBody"/>
        <w:bidi w:val="0"/>
        <w:spacing w:before="180" w:after="0"/>
        <w:jc w:val="both"/>
        <w:rPr>
          <w:rFonts w:ascii="Times New Roman" w:hAnsi="Times New Roman"/>
          <w:sz w:val="20"/>
        </w:rPr>
      </w:pPr>
      <w:r>
        <w:rPr>
          <w:rFonts w:ascii="Times New Roman;serif" w:hAnsi="Times New Roman;serif"/>
          <w:b w:val="false"/>
          <w:sz w:val="20"/>
        </w:rPr>
        <w:t>The Electric Vehicle Charging Segment offers leading electric vehicle charging expertise, sells and installs sourced electric vehicle charging stations with related software subscriptions and renewals and provides EV turnkey installation solutions with ongoing support to all commercial verticals.</w:t>
      </w:r>
      <w:r>
        <w:rPr>
          <w:rFonts w:ascii="Times New Roman" w:hAnsi="Times New Roman"/>
          <w:sz w:val="20"/>
        </w:rPr>
        <w:t xml:space="preserve"> </w:t>
      </w:r>
    </w:p>
    <w:p>
      <w:pPr>
        <w:pStyle w:val="TextBody"/>
        <w:bidi w:val="0"/>
        <w:spacing w:before="280" w:after="0"/>
        <w:jc w:val="both"/>
        <w:rPr>
          <w:rFonts w:ascii="Times New Roman;serif" w:hAnsi="Times New Roman;serif"/>
          <w:b/>
          <w:i/>
          <w:sz w:val="20"/>
        </w:rPr>
      </w:pPr>
      <w:r>
        <w:rPr>
          <w:rFonts w:ascii="Times New Roman;serif" w:hAnsi="Times New Roman;serif"/>
          <w:b/>
          <w:i/>
          <w:sz w:val="20"/>
        </w:rPr>
        <w:t>Corporate and Other</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Corporate and Other is comprised of operating expenses not allocated to Orion’s segments and adjustments to reconcile to consolidated results (dollars in thousands).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475"/>
        <w:gridCol w:w="146"/>
        <w:gridCol w:w="219"/>
        <w:gridCol w:w="704"/>
        <w:gridCol w:w="151"/>
        <w:gridCol w:w="151"/>
        <w:gridCol w:w="219"/>
        <w:gridCol w:w="704"/>
        <w:gridCol w:w="146"/>
        <w:gridCol w:w="146"/>
        <w:gridCol w:w="225"/>
        <w:gridCol w:w="674"/>
        <w:gridCol w:w="177"/>
        <w:gridCol w:w="156"/>
        <w:gridCol w:w="225"/>
        <w:gridCol w:w="674"/>
        <w:gridCol w:w="166"/>
        <w:gridCol w:w="146"/>
        <w:gridCol w:w="251"/>
        <w:gridCol w:w="806"/>
        <w:gridCol w:w="146"/>
        <w:gridCol w:w="146"/>
        <w:gridCol w:w="274"/>
        <w:gridCol w:w="880"/>
        <w:gridCol w:w="198"/>
      </w:tblGrid>
      <w:tr>
        <w:trPr/>
        <w:tc>
          <w:tcPr>
            <w:tcW w:w="2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4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Revenues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0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Assets</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0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9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center"/>
              <w:rPr/>
            </w:pPr>
            <w:r>
              <w:rPr/>
              <w:t> </w:t>
            </w:r>
          </w:p>
        </w:tc>
        <w:tc>
          <w:tcPr>
            <w:tcW w:w="8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Segments:</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99" w:type="dxa"/>
            <w:gridSpan w:val="2"/>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89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4"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r>
      <w:tr>
        <w:trPr/>
        <w:tc>
          <w:tcPr>
            <w:tcW w:w="24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Lighting Segment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12,621</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(766</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25,009</w:t>
            </w:r>
          </w:p>
        </w:tc>
        <w:tc>
          <w:tcPr>
            <w:tcW w:w="198" w:type="dxa"/>
            <w:tcBorders/>
            <w:vAlign w:val="center"/>
          </w:tcPr>
          <w:p>
            <w:pPr>
              <w:pStyle w:val="TableContents"/>
              <w:bidi w:val="0"/>
              <w:spacing w:before="0" w:after="0"/>
              <w:ind w:left="0" w:right="0" w:hanging="0"/>
              <w:jc w:val="left"/>
              <w:rPr/>
            </w:pPr>
            <w:r>
              <w:rPr/>
              <w:t> </w:t>
            </w:r>
          </w:p>
        </w:tc>
      </w:tr>
      <w:tr>
        <w:trPr/>
        <w:tc>
          <w:tcPr>
            <w:tcW w:w="24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Maintenance Segment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3,754</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(1,840</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10,372</w:t>
            </w:r>
          </w:p>
        </w:tc>
        <w:tc>
          <w:tcPr>
            <w:tcW w:w="198" w:type="dxa"/>
            <w:tcBorders/>
            <w:vAlign w:val="center"/>
          </w:tcPr>
          <w:p>
            <w:pPr>
              <w:pStyle w:val="TableContents"/>
              <w:bidi w:val="0"/>
              <w:spacing w:before="0" w:after="0"/>
              <w:ind w:left="0" w:right="0" w:hanging="0"/>
              <w:jc w:val="left"/>
              <w:rPr/>
            </w:pPr>
            <w:r>
              <w:rPr/>
              <w:t> </w:t>
            </w:r>
          </w:p>
        </w:tc>
      </w:tr>
      <w:tr>
        <w:trPr/>
        <w:tc>
          <w:tcPr>
            <w:tcW w:w="24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Electric Vehicle Charging Segment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1,238</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(1,934</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11,501</w:t>
            </w:r>
          </w:p>
        </w:tc>
        <w:tc>
          <w:tcPr>
            <w:tcW w:w="198" w:type="dxa"/>
            <w:tcBorders/>
            <w:vAlign w:val="center"/>
          </w:tcPr>
          <w:p>
            <w:pPr>
              <w:pStyle w:val="TableContents"/>
              <w:bidi w:val="0"/>
              <w:spacing w:before="0" w:after="0"/>
              <w:ind w:left="0" w:right="0" w:hanging="0"/>
              <w:jc w:val="left"/>
              <w:rPr/>
            </w:pPr>
            <w:r>
              <w:rPr/>
              <w:t> </w:t>
            </w:r>
          </w:p>
        </w:tc>
      </w:tr>
      <w:tr>
        <w:trPr/>
        <w:tc>
          <w:tcPr>
            <w:tcW w:w="24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and Other</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(1,857</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24,697</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(6,397</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71,579</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sz w:val="20"/>
        </w:rPr>
      </w:pPr>
      <w:r>
        <w:rPr>
          <w:rFonts w:ascii="Times New Roman;serif" w:hAnsi="Times New Roman;serif"/>
          <w:b/>
          <w:sz w:val="20"/>
        </w:rPr>
        <w:t>NOTE 18 — ACQUISITION</w:t>
      </w:r>
    </w:p>
    <w:p>
      <w:pPr>
        <w:pStyle w:val="TextBody"/>
        <w:bidi w:val="0"/>
        <w:spacing w:before="280" w:after="0"/>
        <w:jc w:val="both"/>
        <w:rPr>
          <w:rFonts w:ascii="Times New Roman;serif" w:hAnsi="Times New Roman;serif"/>
          <w:b w:val="false"/>
          <w:i/>
          <w:sz w:val="20"/>
        </w:rPr>
      </w:pPr>
      <w:r>
        <w:rPr>
          <w:rFonts w:ascii="Times New Roman;serif" w:hAnsi="Times New Roman;serif"/>
          <w:b w:val="false"/>
          <w:i/>
          <w:sz w:val="20"/>
        </w:rPr>
        <w:t>Acquisition of Voltrek</w:t>
      </w:r>
    </w:p>
    <w:p>
      <w:pPr>
        <w:pStyle w:val="TextBody"/>
        <w:bidi w:val="0"/>
        <w:spacing w:before="180" w:after="180"/>
        <w:jc w:val="both"/>
        <w:rPr>
          <w:rFonts w:ascii="Times New Roman" w:hAnsi="Times New Roman"/>
          <w:sz w:val="20"/>
        </w:rPr>
      </w:pPr>
      <w:r>
        <w:rPr>
          <w:rFonts w:ascii="Times New Roman;serif" w:hAnsi="Times New Roman;serif"/>
          <w:b w:val="false"/>
          <w:sz w:val="20"/>
        </w:rPr>
        <w:t>Effective on October 5, 2022, Orion acquired all the membership interests of Voltrek, an electric vehicle charging station solutions provider for a purchase price of $5.0</w:t>
      </w:r>
      <w:r>
        <w:rPr>
          <w:rFonts w:ascii="Times New Roman" w:hAnsi="Times New Roman"/>
          <w:sz w:val="20"/>
        </w:rPr>
        <w:t xml:space="preserve"> </w:t>
      </w:r>
      <w:r>
        <w:rPr>
          <w:rFonts w:ascii="Times New Roman;serif" w:hAnsi="Times New Roman;serif"/>
          <w:b w:val="false"/>
          <w:sz w:val="20"/>
        </w:rPr>
        <w:t>million in cash and $1.0</w:t>
      </w:r>
      <w:r>
        <w:rPr>
          <w:rFonts w:ascii="Times New Roman" w:hAnsi="Times New Roman"/>
          <w:sz w:val="20"/>
        </w:rPr>
        <w:t xml:space="preserve"> </w:t>
      </w:r>
      <w:r>
        <w:rPr>
          <w:rFonts w:ascii="Times New Roman;serif" w:hAnsi="Times New Roman;serif"/>
          <w:b w:val="false"/>
          <w:sz w:val="20"/>
        </w:rPr>
        <w:t>million of shares of common stock of Orion, subject to normal and customary closing adjustments of $0.9</w:t>
      </w:r>
      <w:r>
        <w:rPr>
          <w:rFonts w:ascii="Times New Roman" w:hAnsi="Times New Roman"/>
          <w:sz w:val="20"/>
        </w:rPr>
        <w:t xml:space="preserve"> </w:t>
      </w:r>
      <w:r>
        <w:rPr>
          <w:rFonts w:ascii="Times New Roman;serif" w:hAnsi="Times New Roman;serif"/>
          <w:b w:val="false"/>
          <w:sz w:val="20"/>
        </w:rPr>
        <w:t>million (the “Voltrek Acquisition”). In addition, depending upon the relative EBITDA growth of Voltrek’s business in fiscal 2023, 2024 and 2025, Orion could pay up to an additional $3.0</w:t>
      </w:r>
      <w:r>
        <w:rPr>
          <w:rFonts w:ascii="Times New Roman" w:hAnsi="Times New Roman"/>
          <w:sz w:val="20"/>
        </w:rPr>
        <w:t xml:space="preserve"> </w:t>
      </w:r>
      <w:r>
        <w:rPr>
          <w:rFonts w:ascii="Times New Roman;serif" w:hAnsi="Times New Roman;serif"/>
          <w:b w:val="false"/>
          <w:sz w:val="20"/>
        </w:rPr>
        <w:t>million, $3.5</w:t>
      </w:r>
      <w:r>
        <w:rPr>
          <w:rFonts w:ascii="Times New Roman" w:hAnsi="Times New Roman"/>
          <w:sz w:val="20"/>
        </w:rPr>
        <w:t xml:space="preserve"> </w:t>
      </w:r>
      <w:r>
        <w:rPr>
          <w:rFonts w:ascii="Times New Roman;serif" w:hAnsi="Times New Roman;serif"/>
          <w:b w:val="false"/>
          <w:sz w:val="20"/>
        </w:rPr>
        <w:t>million and $7.15</w:t>
      </w:r>
      <w:r>
        <w:rPr>
          <w:rFonts w:ascii="Times New Roman" w:hAnsi="Times New Roman"/>
          <w:sz w:val="20"/>
        </w:rPr>
        <w:t xml:space="preserve"> </w:t>
      </w:r>
      <w:r>
        <w:rPr>
          <w:rFonts w:ascii="Times New Roman;serif" w:hAnsi="Times New Roman;serif"/>
          <w:b w:val="false"/>
          <w:sz w:val="20"/>
        </w:rPr>
        <w:t>million, respectively, in earn-out payments. These compensatory payments do not fall within the scope of ASC 805, Business Combinations, and will be expensed over the course of the earn-out periods to the extent they are earned. As of June 30, 2023, Orion recorded $3.0</w:t>
      </w:r>
      <w:r>
        <w:rPr>
          <w:rFonts w:ascii="Times New Roman" w:hAnsi="Times New Roman"/>
          <w:sz w:val="20"/>
        </w:rPr>
        <w:t xml:space="preserve"> </w:t>
      </w:r>
      <w:r>
        <w:rPr>
          <w:rFonts w:ascii="Times New Roman;serif" w:hAnsi="Times New Roman;serif"/>
          <w:b w:val="false"/>
          <w:sz w:val="20"/>
        </w:rPr>
        <w:t>million to accrued expenses for the fiscal 2023 earn-out opportunity and an additional $2.1</w:t>
      </w:r>
      <w:r>
        <w:rPr>
          <w:rFonts w:ascii="Times New Roman" w:hAnsi="Times New Roman"/>
          <w:sz w:val="20"/>
        </w:rPr>
        <w:t xml:space="preserve"> </w:t>
      </w:r>
      <w:r>
        <w:rPr>
          <w:rFonts w:ascii="Times New Roman;serif" w:hAnsi="Times New Roman;serif"/>
          <w:b w:val="false"/>
          <w:sz w:val="20"/>
        </w:rPr>
        <w:t>million to other long-term liabilities for the cumulative potential earn-out opportunity which would be paid in fiscal 2026. The Voltrek Acquisition was funded with cash and Orion shares. Voltrek operates as Voltrek, an Orion Energy Systems business. The Voltrek Acquisition leverages Orion’s project management and maintenance expertise into a rapidly growing sector.</w:t>
        <w:br/>
      </w:r>
      <w:r>
        <w:rPr>
          <w:rFonts w:ascii="Times New Roman" w:hAnsi="Times New Roman"/>
          <w:sz w:val="20"/>
        </w:rPr>
        <w:t> </w:t>
      </w:r>
    </w:p>
    <w:p>
      <w:pPr>
        <w:pStyle w:val="TextBody"/>
        <w:bidi w:val="0"/>
        <w:spacing w:before="180" w:after="180"/>
        <w:jc w:val="both"/>
        <w:rPr>
          <w:rFonts w:ascii="Times New Roman" w:hAnsi="Times New Roman"/>
          <w:sz w:val="20"/>
        </w:rPr>
      </w:pPr>
      <w:r>
        <w:rPr>
          <w:rFonts w:ascii="Times New Roman;serif" w:hAnsi="Times New Roman;serif"/>
          <w:b w:val="false"/>
          <w:sz w:val="20"/>
        </w:rPr>
        <w:t>Orion has accounted for the Voltrek Acquisition as a business combination. Orion has allocated the purchase price of approximately $6.9</w:t>
      </w:r>
      <w:r>
        <w:rPr>
          <w:rFonts w:ascii="Times New Roman" w:hAnsi="Times New Roman"/>
          <w:sz w:val="20"/>
        </w:rPr>
        <w:t xml:space="preserve"> </w:t>
      </w:r>
      <w:r>
        <w:rPr>
          <w:rFonts w:ascii="Times New Roman;serif" w:hAnsi="Times New Roman;serif"/>
          <w:b w:val="false"/>
          <w:sz w:val="20"/>
        </w:rPr>
        <w:t>million to the assets acquired and liabilities assumed at estimated fair values, and the excess of the purchase price over the aggregate fair values is recorded as goodwill. The purchase price and closing adjustments were paid in cash and 620,067</w:t>
      </w:r>
      <w:r>
        <w:rPr>
          <w:rFonts w:ascii="Times New Roman" w:hAnsi="Times New Roman"/>
          <w:sz w:val="20"/>
        </w:rPr>
        <w:t xml:space="preserve"> </w:t>
      </w:r>
      <w:r>
        <w:rPr>
          <w:rFonts w:ascii="Times New Roman;serif" w:hAnsi="Times New Roman;serif"/>
          <w:b w:val="false"/>
          <w:sz w:val="20"/>
        </w:rPr>
        <w:t>shares of common stock with a total fair market value of $1.0</w:t>
      </w:r>
      <w:r>
        <w:rPr>
          <w:rFonts w:ascii="Times New Roman" w:hAnsi="Times New Roman"/>
          <w:sz w:val="20"/>
        </w:rPr>
        <w:t xml:space="preserve"> </w:t>
      </w:r>
      <w:r>
        <w:rPr>
          <w:rFonts w:ascii="Times New Roman;serif" w:hAnsi="Times New Roman;serif"/>
          <w:b w:val="false"/>
          <w:sz w:val="20"/>
        </w:rPr>
        <w:t>million, which is recorded in the opening balance sheet at fair value of $0.8</w:t>
      </w:r>
      <w:r>
        <w:rPr>
          <w:rFonts w:ascii="Times New Roman" w:hAnsi="Times New Roman"/>
          <w:sz w:val="20"/>
        </w:rPr>
        <w:t xml:space="preserve"> </w:t>
      </w:r>
      <w:r>
        <w:rPr>
          <w:rFonts w:ascii="Times New Roman;serif" w:hAnsi="Times New Roman;serif"/>
          <w:b w:val="false"/>
          <w:sz w:val="20"/>
        </w:rPr>
        <w:t>million, the discount on which is due to lock-up requirements on the shares.</w:t>
      </w:r>
      <w:r>
        <w:rPr>
          <w:rFonts w:ascii="Times New Roman" w:hAnsi="Times New Roman"/>
          <w:sz w:val="20"/>
        </w:rPr>
        <w:t xml:space="preserve"> </w:t>
      </w:r>
    </w:p>
    <w:p>
      <w:pPr>
        <w:pStyle w:val="TextBody"/>
        <w:bidi w:val="0"/>
        <w:spacing w:before="180" w:after="180"/>
        <w:jc w:val="both"/>
        <w:rPr>
          <w:rFonts w:ascii="Times New Roman" w:hAnsi="Times New Roman"/>
          <w:sz w:val="20"/>
        </w:rPr>
      </w:pPr>
      <w:r>
        <w:rPr>
          <w:rFonts w:ascii="Times New Roman;serif" w:hAnsi="Times New Roman;serif"/>
          <w:b w:val="false"/>
          <w:sz w:val="20"/>
        </w:rPr>
        <w:t>The following table summarizes the purchase price allocation for Voltrek:</w:t>
        <w:br/>
      </w:r>
      <w:r>
        <w:rPr>
          <w:rFonts w:ascii="Times New Roman" w:hAnsi="Times New Roman"/>
          <w:sz w:val="20"/>
        </w:rPr>
        <w:t> </w:t>
      </w:r>
    </w:p>
    <w:tbl>
      <w:tblPr>
        <w:tblW w:w="5578" w:type="dxa"/>
        <w:jc w:val="left"/>
        <w:tblInd w:w="0" w:type="dxa"/>
        <w:tblLayout w:type="fixed"/>
        <w:tblCellMar>
          <w:top w:w="28" w:type="dxa"/>
          <w:left w:w="28" w:type="dxa"/>
          <w:bottom w:w="28" w:type="dxa"/>
          <w:right w:w="28" w:type="dxa"/>
        </w:tblCellMar>
      </w:tblPr>
      <w:tblGrid>
        <w:gridCol w:w="3451"/>
        <w:gridCol w:w="146"/>
        <w:gridCol w:w="443"/>
        <w:gridCol w:w="1327"/>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17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Opening Balance Sheet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w:t>
            </w:r>
          </w:p>
        </w:tc>
        <w:tc>
          <w:tcPr>
            <w:tcW w:w="21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1,363</w:t>
            </w:r>
          </w:p>
        </w:tc>
        <w:tc>
          <w:tcPr>
            <w:tcW w:w="21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earned but not billed</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21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w:t>
            </w:r>
          </w:p>
        </w:tc>
        <w:tc>
          <w:tcPr>
            <w:tcW w:w="21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1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1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w:t>
            </w:r>
          </w:p>
        </w:tc>
        <w:tc>
          <w:tcPr>
            <w:tcW w:w="21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intangible assets</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4,300</w:t>
            </w:r>
          </w:p>
        </w:tc>
        <w:tc>
          <w:tcPr>
            <w:tcW w:w="21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w:t>
            </w:r>
          </w:p>
        </w:tc>
        <w:tc>
          <w:tcPr>
            <w:tcW w:w="21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w:t>
            </w:r>
          </w:p>
        </w:tc>
        <w:tc>
          <w:tcPr>
            <w:tcW w:w="146"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left"/>
              <w:rPr/>
            </w:pPr>
            <w:r>
              <w:rPr/>
              <w:t> </w:t>
            </w:r>
          </w:p>
        </w:tc>
        <w:tc>
          <w:tcPr>
            <w:tcW w:w="13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purchase consideration</w:t>
            </w:r>
          </w:p>
        </w:tc>
        <w:tc>
          <w:tcPr>
            <w:tcW w:w="146" w:type="dxa"/>
            <w:tcBorders/>
            <w:vAlign w:val="center"/>
          </w:tcPr>
          <w:p>
            <w:pPr>
              <w:pStyle w:val="TableContents"/>
              <w:bidi w:val="0"/>
              <w:spacing w:before="0" w:after="0"/>
              <w:ind w:left="0" w:right="0" w:hanging="0"/>
              <w:jc w:val="left"/>
              <w:rPr/>
            </w:pPr>
            <w:r>
              <w:rPr/>
              <w:t> </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Goodwill recorded from the Voltrek Acquisition is attributable to the skillset of the acquired workforce. The goodwill resulting from the Voltrek Acquisition is expected to be deductible for tax purposes. The intangible assets include amounts recognized for the fair value of the trade name, vendor relationship and customer relationships.</w:t>
      </w:r>
    </w:p>
    <w:p>
      <w:pPr>
        <w:pStyle w:val="TextBody"/>
        <w:bidi w:val="0"/>
        <w:spacing w:before="180" w:after="0"/>
        <w:jc w:val="both"/>
        <w:rPr>
          <w:rFonts w:ascii="Times New Roman" w:hAnsi="Times New Roman"/>
          <w:sz w:val="20"/>
        </w:rPr>
      </w:pPr>
      <w:r>
        <w:rPr>
          <w:rFonts w:ascii="Times New Roman;serif" w:hAnsi="Times New Roman;serif"/>
          <w:b w:val="false"/>
          <w:sz w:val="20"/>
        </w:rPr>
        <w:t>The tradename intangible asset was valued using a relief from royalty method. The significant assumptions used include the estimated revenue and royalty rate, among other factors.</w:t>
        <w:br/>
        <w:t>The vendor relationship intangible asset was valued using the income approach – excess earnings method. The significant assumptions include estimated revenue, cost of goods sold, and probability of renewal, among other factors.</w:t>
        <w:br/>
      </w:r>
      <w:r>
        <w:rPr>
          <w:rFonts w:ascii="Times New Roman" w:hAnsi="Times New Roman"/>
          <w:sz w:val="20"/>
        </w:rPr>
        <w:t>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customer relationship intangible asset was valued using the income approach – with-and-without method. The significant assumptions include estimated cash flows (including appropriate revenue, cost of revenue and operating expenses attributable to the asset, retention rate, among other factors), and discount rate, reflecting the risks inherent in the future cash flow stream, among other factors.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categorization of the framework used to measure fair value of the intangible assets is considered to be within the Level 3 valuation hierarchy due to the subjective nature of the unobservable inputs used.</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The following table presents the details of the intangible assets acquired at the date of Voltrek Acquisition (dollars in thousands):</w:t>
      </w:r>
    </w:p>
    <w:tbl>
      <w:tblPr>
        <w:tblW w:w="5599" w:type="dxa"/>
        <w:jc w:val="left"/>
        <w:tblInd w:w="0" w:type="dxa"/>
        <w:tblLayout w:type="fixed"/>
        <w:tblCellMar>
          <w:top w:w="28" w:type="dxa"/>
          <w:left w:w="28" w:type="dxa"/>
          <w:bottom w:w="28" w:type="dxa"/>
          <w:right w:w="28" w:type="dxa"/>
        </w:tblCellMar>
      </w:tblPr>
      <w:tblGrid>
        <w:gridCol w:w="1996"/>
        <w:gridCol w:w="146"/>
        <w:gridCol w:w="238"/>
        <w:gridCol w:w="647"/>
        <w:gridCol w:w="146"/>
        <w:gridCol w:w="912"/>
        <w:gridCol w:w="1323"/>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 Useful Life (Years)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Tradename</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46"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left"/>
              <w:rPr/>
            </w:pPr>
            <w:r>
              <w:rPr/>
              <w:t> </w:t>
            </w:r>
          </w:p>
        </w:tc>
        <w:tc>
          <w:tcPr>
            <w:tcW w:w="13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91"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Vendor relationship</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2,600</w:t>
            </w:r>
          </w:p>
        </w:tc>
        <w:tc>
          <w:tcPr>
            <w:tcW w:w="146"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left"/>
              <w:rPr/>
            </w:pPr>
            <w:r>
              <w:rPr/>
              <w:t> </w:t>
            </w:r>
          </w:p>
        </w:tc>
        <w:tc>
          <w:tcPr>
            <w:tcW w:w="13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91"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1,400</w:t>
            </w:r>
          </w:p>
        </w:tc>
        <w:tc>
          <w:tcPr>
            <w:tcW w:w="146"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left"/>
              <w:rPr/>
            </w:pPr>
            <w:r>
              <w:rPr/>
              <w:t> </w:t>
            </w:r>
          </w:p>
        </w:tc>
        <w:tc>
          <w:tcPr>
            <w:tcW w:w="13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Voltrek's post-acquisition results of operations since October 5, 2022 are included in Orion’s Condensed Consolidated Statements of Operations. The operating results of Voltrek are included in the EV segment. See note 17 – Segments, for results.</w:t>
      </w:r>
    </w:p>
    <w:p>
      <w:pPr>
        <w:pStyle w:val="TextBody"/>
        <w:bidi w:val="0"/>
        <w:spacing w:before="180" w:after="0"/>
        <w:jc w:val="both"/>
        <w:rPr>
          <w:rFonts w:ascii="Times New Roman" w:hAnsi="Times New Roman"/>
          <w:sz w:val="20"/>
        </w:rPr>
      </w:pPr>
      <w:r>
        <w:rPr>
          <w:rFonts w:ascii="Times New Roman;serif" w:hAnsi="Times New Roman;serif"/>
          <w:b w:val="false"/>
          <w:sz w:val="20"/>
        </w:rPr>
        <w:t>Transaction costs related to the Voltrek Acquisition are recorded in acquisition costs in the Condensed Consolidated Statements of Operations. Transaction costs totaled $0.1</w:t>
      </w:r>
      <w:r>
        <w:rPr>
          <w:rFonts w:ascii="Times New Roman" w:hAnsi="Times New Roman"/>
          <w:sz w:val="20"/>
        </w:rPr>
        <w:t xml:space="preserve"> </w:t>
      </w:r>
      <w:r>
        <w:rPr>
          <w:rFonts w:ascii="Times New Roman;serif" w:hAnsi="Times New Roman;serif"/>
          <w:b w:val="false"/>
          <w:sz w:val="20"/>
        </w:rPr>
        <w:t>million in the three months ended June 30, 2023</w:t>
      </w:r>
      <w:r>
        <w:rPr>
          <w:rFonts w:ascii="Times New Roman" w:hAnsi="Times New Roman"/>
          <w:sz w:val="20"/>
        </w:rPr>
        <w:t xml:space="preserve"> </w:t>
      </w:r>
      <w:r>
        <w:rPr>
          <w:rFonts w:ascii="Times New Roman;serif" w:hAnsi="Times New Roman;serif"/>
          <w:b w:val="false"/>
          <w:sz w:val="20"/>
        </w:rPr>
        <w:t>and $14</w:t>
      </w:r>
      <w:r>
        <w:rPr>
          <w:rFonts w:ascii="Times New Roman" w:hAnsi="Times New Roman"/>
          <w:sz w:val="20"/>
        </w:rPr>
        <w:t xml:space="preserve"> </w:t>
      </w:r>
      <w:r>
        <w:rPr>
          <w:rFonts w:ascii="Times New Roman;serif" w:hAnsi="Times New Roman;serif"/>
          <w:b w:val="false"/>
          <w:sz w:val="20"/>
        </w:rPr>
        <w:t>thousand in the three months ended June 30, 2022, respectively.</w:t>
      </w:r>
    </w:p>
    <w:p>
      <w:pPr>
        <w:pStyle w:val="TextBody"/>
        <w:bidi w:val="0"/>
        <w:spacing w:before="180" w:after="0"/>
        <w:jc w:val="both"/>
        <w:rPr>
          <w:rFonts w:ascii="Times New Roman" w:hAnsi="Times New Roman"/>
          <w:sz w:val="20"/>
        </w:rPr>
      </w:pPr>
      <w:r>
        <w:rPr>
          <w:rFonts w:ascii="Times New Roman;serif" w:hAnsi="Times New Roman;serif"/>
          <w:b w:val="false"/>
          <w:sz w:val="20"/>
        </w:rPr>
        <w:t>If Voltrek was acquired on April 1, 2022, the pro forma Orion revenue for the three months ended June 30, 2022 would have been $19.1</w:t>
      </w:r>
      <w:r>
        <w:rPr>
          <w:rFonts w:ascii="Times New Roman" w:hAnsi="Times New Roman"/>
          <w:sz w:val="20"/>
        </w:rPr>
        <w:t xml:space="preserve"> </w:t>
      </w:r>
      <w:r>
        <w:rPr>
          <w:rFonts w:ascii="Times New Roman;serif" w:hAnsi="Times New Roman;serif"/>
          <w:b w:val="false"/>
          <w:sz w:val="20"/>
        </w:rPr>
        <w:t>million and proforma net loss would have been $(3.2) million.</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pro forma information was determined based on the historical results of Orion and unaudited financial results from Voltrek. These proforma results reflect additional depreciation and amortization that would have been charged assuming the fair value adjustments to property, plant, and equipment and intangible asset occurred at the beginning of the period, along with consequential tax effects. The unaudited pro forma results have been prepared for comparative purposes only and are not necessarily indicative of what would have occurred had the business combinations been completed at the beginning of the period or the results that may occur in the future. Furthermore, the unaudited pro forma financial information does not reflect the impact of any synergies resulting from the acquisitions.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26" w:name="item_2__management_s_discussion_and_anal"/>
      <w:bookmarkEnd w:id="26"/>
      <w:r>
        <w:rPr>
          <w:rFonts w:ascii="Times New Roman;serif" w:hAnsi="Times New Roman;serif"/>
          <w:b/>
          <w:sz w:val="20"/>
        </w:rPr>
        <w:t>ITEM 2. MANAGEMENT’S DISCUSSION AND ANALYSIS OF FINANCIAL CONDITION AND RESULTS OF OPERATIONS</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2023.</w:t>
      </w:r>
    </w:p>
    <w:p>
      <w:pPr>
        <w:pStyle w:val="TextBody"/>
        <w:bidi w:val="0"/>
        <w:spacing w:before="280" w:after="0"/>
        <w:jc w:val="both"/>
        <w:rPr>
          <w:rFonts w:ascii="Times New Roman;serif" w:hAnsi="Times New Roman;serif"/>
          <w:b/>
          <w:sz w:val="20"/>
        </w:rPr>
      </w:pPr>
      <w:bookmarkStart w:id="27" w:name="cautionary_note_regarding_forward_lookin"/>
      <w:bookmarkEnd w:id="27"/>
      <w:r>
        <w:rPr>
          <w:rFonts w:ascii="Times New Roman;serif" w:hAnsi="Times New Roman;serif"/>
          <w:b/>
          <w:sz w:val="20"/>
        </w:rPr>
        <w:t>Cautionary Note Regarding Forward-Looking Statements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several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2023.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pStyle w:val="TextBody"/>
        <w:bidi w:val="0"/>
        <w:spacing w:before="280" w:after="0"/>
        <w:jc w:val="both"/>
        <w:rPr>
          <w:rFonts w:ascii="Times New Roman;serif" w:hAnsi="Times New Roman;serif"/>
          <w:b/>
          <w:sz w:val="20"/>
        </w:rPr>
      </w:pPr>
      <w:bookmarkStart w:id="28" w:name="overview"/>
      <w:bookmarkEnd w:id="28"/>
      <w:r>
        <w:rPr>
          <w:rFonts w:ascii="Times New Roman;serif" w:hAnsi="Times New Roman;serif"/>
          <w:b/>
          <w:sz w:val="20"/>
        </w:rPr>
        <w:t>Overview</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provide state-of-the-art light emitting diode (“LED”) lighting systems, wireless Internet of Things (“IoT”) enabled control solutions, commercial and industrial electric vehicle (“EV”) charging infrastructure solutions and maintenance services. We help our customers achieve their sustainability, energy savings and carbon footprint reduction goals through innovative technology and exceptional service. We sell our products and services into many vertical markets within the broader commercial and industrial market segment. Primary verticals include: big box retail, manufacturing, warehousing/logistics, commercial office, federal and municipal government, healthcare and schools. Our services consist of turnkey installation and system maintenance. Virtually all of our sales occur within North America.</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Our lighting products consist primarily of LED lighting fixtures, many of which include IoT enabled control systems. Our principal lighting customers include large national account end-users, federal and state government facilities, large regional account end-users, electrical distributors, electrical contractors and energy service companies (“ESCOs”). Currently, most of our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w:t>
      </w:r>
    </w:p>
    <w:p>
      <w:pPr>
        <w:pStyle w:val="TextBody"/>
        <w:bidi w:val="0"/>
        <w:spacing w:before="180" w:after="0"/>
        <w:jc w:val="both"/>
        <w:rPr>
          <w:rFonts w:ascii="Times New Roman" w:hAnsi="Times New Roman"/>
          <w:sz w:val="20"/>
        </w:rPr>
      </w:pPr>
      <w:r>
        <w:rPr>
          <w:rFonts w:ascii="Times New Roman;serif" w:hAnsi="Times New Roman;serif"/>
          <w:b w:val="false"/>
          <w:sz w:val="20"/>
        </w:rPr>
        <w:t>We differentiate ourselves from our competitors through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began to offer lighting and electrical maintenance services in fiscal 2021 which enables us to support a lifetime business relationship with our customer (which we call “Customers for Life”). We completed the Stay-Lite Lighting acquisition on January 1, 2022, which has allowed us to further expand our maintenance services capabilities. We completed the acquisition of Voltrek on October 5, 2022, which has allowed us to further expand our turnkey services capabilities as well as capitalize on the rapidly growing market for EV charging solutions.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We believe the market for LED lighting products and related controls continues to grow. Due to their size and flexibility in application, we also believe that LED lighting systems can address opportunities for retrofit applications that cannot be satisfied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by other lighting technologies. Our LED lighting technologies have been the primary component of our revenue as we continue to strive to be a leader in the LED market.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 fiscal 2022, we continued to successfully capitalize on our capability of being a full service, turn-key provider of LED lighting and controls systems with design, build, installation and project management services, as we continued a very large project for a major national account. As a result of this success, we have evolved our business strategy to focus on further expanding the nature and scope of our products and services offered to our customers. This further expansion of our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are pursuing the expansion of our IoT, “smart-building” and “connected ceiling” and other related technology, software and controls products and services that we offer to our customers. While we currently intend to primarily pursue these expansion strategies organically, we also may explore potential additional business acquisitions, like our acquisition of Stay-Lite Lighting and Voltrek, which have more quickly added these types of expanded and different capabilities to our product and services offerings.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generally do not have long-term contracts with our customers for product or turnkey services that provide us with recurring annual revenue. However, our maintenance services contracts usually consist of multi-year arrangements.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Our fiscal year ends on March 31. Our current fiscal year ends on March 31, 2024 and is referred to as “fiscal 2024”. We refer to our just completed fiscal year, which ended on March 31, 2023, as "fiscal 2023", and our prior fiscal year which ended on March 31, 2022 as "fiscal 2022". Our fiscal first quarter of each fiscal year ends on June 30, our fiscal second quarter ends on September 30, our fiscal third quarter ends on December 31 and our fiscal fourth quarter ends on March 31.</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Reportable segments are components of an entity that have separate financial data that the entity's chief operating decision maker ("CODM") regularly reviews when allocating resources and assessing performance. Our CODM is our chief executive officer. Previously, we had four reportable segments: Orion Services Group Division ("OSG"), Orion Distribution Services Division ("ODS"), Orion U.S. Markets Division (“USM”) and Orion Electric Vehicle Charging Division (“EV Division”). Effective during the first quarter of fiscal 2024, we began to evaluate and report the business using three segments: Orion Lighting Division, Orion Maintenance Division and Orion Electric Vehicle Charging Division (“EV Division”).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sz w:val="20"/>
        </w:rPr>
      </w:pPr>
      <w:r>
        <w:rPr>
          <w:rFonts w:ascii="Times New Roman;serif" w:hAnsi="Times New Roman;serif"/>
          <w:b/>
          <w:sz w:val="20"/>
        </w:rPr>
        <w:t>Acquisition</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Acquisition of Voltrek</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Effective on October 5, 2022, we acquired all of the outstanding membership interests of Voltrek LLC, a leading electric vehicle charging company that provides turnkey installation solutions with ongoing support to all commercial verticals. The initial purchase price consisted of $5.0 million cash and $1.0 million of stock. We also paid an additional $3.0 million based on Voltrek's performance in fiscal 2023 and could pay up to an additional $3.5 million and $7.15 million in compensatory consideration if Voltrek exceeds certain earnings targets in fiscal 2024 and 2025, respectively. The acquisition was funded from existing cash and credit resources and has been operating as Voltrek, a division of Orion Energy Systems.</w:t>
      </w:r>
    </w:p>
    <w:p>
      <w:pPr>
        <w:pStyle w:val="TextBody"/>
        <w:bidi w:val="0"/>
        <w:spacing w:before="280" w:after="0"/>
        <w:jc w:val="left"/>
        <w:rPr>
          <w:rFonts w:ascii="Times New Roman;serif" w:hAnsi="Times New Roman;serif"/>
          <w:b/>
          <w:sz w:val="20"/>
        </w:rPr>
      </w:pPr>
      <w:r>
        <w:rPr>
          <w:rFonts w:ascii="Times New Roman;serif" w:hAnsi="Times New Roman;serif"/>
          <w:b/>
          <w:sz w:val="20"/>
        </w:rPr>
        <w:t>Results of Operations - Three Months Ended June 30, 2023 versus Three Months Ended June 30, 2022</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pStyle w:val="TextBody"/>
        <w:bidi w:val="0"/>
        <w:spacing w:before="0" w:after="0"/>
        <w:jc w:val="left"/>
        <w:rPr/>
      </w:pPr>
      <w:r>
        <w:rPr/>
        <w:t> </w:t>
      </w:r>
    </w:p>
    <w:tbl>
      <w:tblPr>
        <w:tblW w:w="9184" w:type="dxa"/>
        <w:jc w:val="left"/>
        <w:tblInd w:w="0" w:type="dxa"/>
        <w:tblLayout w:type="fixed"/>
        <w:tblCellMar>
          <w:top w:w="28" w:type="dxa"/>
          <w:left w:w="28" w:type="dxa"/>
          <w:bottom w:w="28" w:type="dxa"/>
          <w:right w:w="28" w:type="dxa"/>
        </w:tblCellMar>
      </w:tblPr>
      <w:tblGrid>
        <w:gridCol w:w="3091"/>
        <w:gridCol w:w="146"/>
        <w:gridCol w:w="211"/>
        <w:gridCol w:w="676"/>
        <w:gridCol w:w="166"/>
        <w:gridCol w:w="146"/>
        <w:gridCol w:w="211"/>
        <w:gridCol w:w="676"/>
        <w:gridCol w:w="166"/>
        <w:gridCol w:w="146"/>
        <w:gridCol w:w="146"/>
        <w:gridCol w:w="631"/>
        <w:gridCol w:w="331"/>
        <w:gridCol w:w="146"/>
        <w:gridCol w:w="146"/>
        <w:gridCol w:w="575"/>
        <w:gridCol w:w="331"/>
        <w:gridCol w:w="146"/>
        <w:gridCol w:w="146"/>
        <w:gridCol w:w="575"/>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71"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vAlign w:val="center"/>
          </w:tcPr>
          <w:p>
            <w:pPr>
              <w:pStyle w:val="TableContents"/>
              <w:bidi w:val="0"/>
              <w:spacing w:before="0" w:after="0"/>
              <w:ind w:left="0" w:right="0" w:hanging="0"/>
              <w:jc w:val="center"/>
              <w:rPr/>
            </w:pPr>
            <w:r>
              <w:rPr/>
              <w:t> </w:t>
            </w:r>
          </w:p>
        </w:tc>
        <w:tc>
          <w:tcPr>
            <w:tcW w:w="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br/>
              <w:t>Change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 of </w:t>
              <w:br/>
              <w:t>Revenue</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 of </w:t>
              <w:br/>
              <w:t>Revenue</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product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80.2</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related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278.6</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935.3</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debt issue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134.1</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rFonts w:ascii="Times New Roman" w:hAnsi="Times New Roman"/>
          <w:sz w:val="20"/>
        </w:rPr>
      </w:pPr>
      <w:r>
        <w:rPr>
          <w:rFonts w:ascii="Times New Roman;serif" w:hAnsi="Times New Roman;serif"/>
          <w:b w:val="false"/>
          <w:sz w:val="18"/>
        </w:rPr>
        <w:t>* NM - Not Meaningful</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i/>
          <w:sz w:val="20"/>
        </w:rPr>
        <w:t xml:space="preserve">Revenue, Cost of Revenue and Gross Margin. </w:t>
      </w:r>
      <w:r>
        <w:rPr>
          <w:rFonts w:ascii="Times New Roman;serif" w:hAnsi="Times New Roman;serif"/>
          <w:b w:val="false"/>
          <w:sz w:val="20"/>
        </w:rPr>
        <w:t>Product revenue increased 1.4%, or $0.2 million, for the first quarter of fiscal 2024 versus the first quarter of fiscal 2023. Service revenue decreased 10.9%, or $0.5 million, for the first quarter of fiscal 2024 versus the first quarter of fiscal 2023. The resulting decrease in total revenue was due to variability in the timing of larger lighting projects offset by the addition of EV revenue. The decrease in the first quarter revenue was partially offset by revenues due to the acquisition Voltrek. Cost of product revenue decreased by 3.1%, or $0.3 million, in the first quarter of fiscal 2024 versus the comparable period in fiscal 2023. Cost of service revenue increased by 10.5%, or $0.4 million, in the first quarter of fiscal 2024 versus the comparable period in fiscal 2023. Gross margin decreased from 19.8% of revenue in the first quarter of fiscal 2023 to 18.0% in the first quarter of fiscal 2024, due primarily to reduced sales decreasing the absorption of fixed costs.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i/>
          <w:sz w:val="20"/>
        </w:rPr>
      </w:pPr>
      <w:r>
        <w:rPr>
          <w:rFonts w:ascii="Times New Roman;serif" w:hAnsi="Times New Roman;serif"/>
          <w:b w:val="false"/>
          <w:i/>
          <w:sz w:val="20"/>
        </w:rPr>
        <w:t>Operating Expenses</w:t>
      </w:r>
    </w:p>
    <w:p>
      <w:pPr>
        <w:pStyle w:val="TextBody"/>
        <w:bidi w:val="0"/>
        <w:spacing w:before="180" w:after="0"/>
        <w:jc w:val="both"/>
        <w:rPr>
          <w:rFonts w:ascii="Times New Roman" w:hAnsi="Times New Roman"/>
          <w:sz w:val="20"/>
        </w:rPr>
      </w:pPr>
      <w:r>
        <w:rPr>
          <w:rFonts w:ascii="Times New Roman;serif" w:hAnsi="Times New Roman;serif"/>
          <w:b w:val="false"/>
          <w:i/>
          <w:sz w:val="20"/>
        </w:rPr>
        <w:t xml:space="preserve">General and Administrative. </w:t>
      </w:r>
      <w:r>
        <w:rPr>
          <w:rFonts w:ascii="Times New Roman;serif" w:hAnsi="Times New Roman;serif"/>
          <w:b w:val="false"/>
          <w:sz w:val="20"/>
        </w:rPr>
        <w:t>General and administrative expenses increased 52.9%, or $2.0 million, in the first quarter of fiscal 2024 compared to the first quarter of fiscal 2023. This comparative increase was primarily due to the acquisition of Voltrek and a $1.1 million accrual of the expected Voltrek earn-out payment.</w:t>
      </w:r>
    </w:p>
    <w:p>
      <w:pPr>
        <w:pStyle w:val="TextBody"/>
        <w:bidi w:val="0"/>
        <w:spacing w:before="180" w:after="0"/>
        <w:jc w:val="both"/>
        <w:rPr>
          <w:rFonts w:ascii="Times New Roman" w:hAnsi="Times New Roman"/>
          <w:sz w:val="20"/>
        </w:rPr>
      </w:pPr>
      <w:r>
        <w:rPr>
          <w:rFonts w:ascii="Times New Roman;serif" w:hAnsi="Times New Roman;serif"/>
          <w:b w:val="false"/>
          <w:i/>
          <w:sz w:val="20"/>
        </w:rPr>
        <w:t>Acquisition Related Costs.</w:t>
      </w:r>
      <w:r>
        <w:rPr>
          <w:rFonts w:ascii="Times New Roman" w:hAnsi="Times New Roman"/>
          <w:sz w:val="20"/>
        </w:rPr>
        <w:t xml:space="preserve"> </w:t>
      </w:r>
      <w:r>
        <w:rPr>
          <w:rFonts w:ascii="Times New Roman;serif" w:hAnsi="Times New Roman;serif"/>
          <w:b w:val="false"/>
          <w:sz w:val="20"/>
        </w:rPr>
        <w:t>Acquisition related costs were relatively flat, in the first quarter of fiscal 2024 compared to the first quarter of fiscal 2023.</w:t>
      </w:r>
    </w:p>
    <w:p>
      <w:pPr>
        <w:pStyle w:val="TextBody"/>
        <w:bidi w:val="0"/>
        <w:spacing w:before="180" w:after="0"/>
        <w:jc w:val="both"/>
        <w:rPr>
          <w:rFonts w:ascii="Times New Roman" w:hAnsi="Times New Roman"/>
          <w:sz w:val="20"/>
        </w:rPr>
      </w:pPr>
      <w:r>
        <w:rPr>
          <w:rFonts w:ascii="Times New Roman;serif" w:hAnsi="Times New Roman;serif"/>
          <w:b w:val="false"/>
          <w:i/>
          <w:sz w:val="20"/>
        </w:rPr>
        <w:t>Sales and Marketing.</w:t>
      </w:r>
      <w:r>
        <w:rPr>
          <w:rFonts w:ascii="Times New Roman" w:hAnsi="Times New Roman"/>
          <w:sz w:val="20"/>
        </w:rPr>
        <w:t xml:space="preserve"> </w:t>
      </w:r>
      <w:r>
        <w:rPr>
          <w:rFonts w:ascii="Times New Roman;serif" w:hAnsi="Times New Roman;serif"/>
          <w:b w:val="false"/>
          <w:sz w:val="20"/>
        </w:rPr>
        <w:t>Sales and marketing expenses increased 14.1%, or $0.4 million, in the first quarter of fiscal 2024 compared to the first quarter of fiscal 2023. This comparative increase was primarily due to the acquisition of Voltrek.</w:t>
      </w:r>
    </w:p>
    <w:p>
      <w:pPr>
        <w:pStyle w:val="TextBody"/>
        <w:bidi w:val="0"/>
        <w:spacing w:before="180" w:after="0"/>
        <w:jc w:val="both"/>
        <w:rPr>
          <w:rFonts w:ascii="Times New Roman" w:hAnsi="Times New Roman"/>
          <w:sz w:val="20"/>
        </w:rPr>
      </w:pPr>
      <w:r>
        <w:rPr>
          <w:rFonts w:ascii="Times New Roman;serif" w:hAnsi="Times New Roman;serif"/>
          <w:b w:val="false"/>
          <w:i/>
          <w:sz w:val="20"/>
        </w:rPr>
        <w:t>Research and Development.</w:t>
      </w:r>
      <w:r>
        <w:rPr>
          <w:rFonts w:ascii="Times New Roman" w:hAnsi="Times New Roman"/>
          <w:sz w:val="20"/>
        </w:rPr>
        <w:t xml:space="preserve"> </w:t>
      </w:r>
      <w:r>
        <w:rPr>
          <w:rFonts w:ascii="Times New Roman;serif" w:hAnsi="Times New Roman;serif"/>
          <w:b w:val="false"/>
          <w:sz w:val="20"/>
        </w:rPr>
        <w:t>Research and development expenses were relatively flat, in the first quarter of fiscal 2024 compared to the first quarter of fiscal 2023.</w:t>
      </w:r>
    </w:p>
    <w:p>
      <w:pPr>
        <w:pStyle w:val="TextBody"/>
        <w:bidi w:val="0"/>
        <w:spacing w:before="280" w:after="0"/>
        <w:jc w:val="left"/>
        <w:rPr>
          <w:rFonts w:ascii="Times New Roman;serif" w:hAnsi="Times New Roman;serif"/>
          <w:b/>
          <w:sz w:val="20"/>
        </w:rPr>
      </w:pPr>
      <w:bookmarkStart w:id="29" w:name="engineered_systems_segment"/>
      <w:bookmarkEnd w:id="29"/>
      <w:r>
        <w:rPr>
          <w:rFonts w:ascii="Times New Roman;serif" w:hAnsi="Times New Roman;serif"/>
          <w:b/>
          <w:sz w:val="20"/>
        </w:rPr>
        <w:t>Lighting Division</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Our lighting division develops and sells lighting products and provides construction and engineering services for our commercial lighting and energy management systems. Our lighting division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ESCOs and contractors.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following table summarizes our lighting division operating results (dollars in thousands):</w:t>
      </w:r>
    </w:p>
    <w:p>
      <w:pPr>
        <w:pStyle w:val="TextBody"/>
        <w:bidi w:val="0"/>
        <w:spacing w:before="0" w:after="0"/>
        <w:jc w:val="left"/>
        <w:rPr/>
      </w:pPr>
      <w:r>
        <w:rPr/>
        <w:t> </w:t>
      </w:r>
    </w:p>
    <w:tbl>
      <w:tblPr>
        <w:tblW w:w="5457" w:type="dxa"/>
        <w:jc w:val="left"/>
        <w:tblInd w:w="0" w:type="dxa"/>
        <w:tblLayout w:type="fixed"/>
        <w:tblCellMar>
          <w:top w:w="28" w:type="dxa"/>
          <w:left w:w="28" w:type="dxa"/>
          <w:bottom w:w="28" w:type="dxa"/>
          <w:right w:w="28" w:type="dxa"/>
        </w:tblCellMar>
      </w:tblPr>
      <w:tblGrid>
        <w:gridCol w:w="1546"/>
        <w:gridCol w:w="146"/>
        <w:gridCol w:w="211"/>
        <w:gridCol w:w="676"/>
        <w:gridCol w:w="331"/>
        <w:gridCol w:w="146"/>
        <w:gridCol w:w="211"/>
        <w:gridCol w:w="676"/>
        <w:gridCol w:w="331"/>
        <w:gridCol w:w="146"/>
        <w:gridCol w:w="157"/>
        <w:gridCol w:w="504"/>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38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br/>
              <w:t>Change</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12,621</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13,852</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(766</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61" w:type="dxa"/>
            <w:gridSpan w:val="2"/>
            <w:tcBorders/>
            <w:vAlign w:val="center"/>
          </w:tcPr>
          <w:p>
            <w:pPr>
              <w:pStyle w:val="TableContents"/>
              <w:bidi w:val="0"/>
              <w:spacing w:before="0" w:after="0"/>
              <w:ind w:left="0" w:right="0" w:hanging="0"/>
              <w:jc w:val="right"/>
              <w:rPr/>
            </w:pPr>
            <w:r>
              <w:rPr/>
              <w:t> </w:t>
            </w:r>
          </w:p>
        </w:tc>
        <w:tc>
          <w:tcPr>
            <w:tcW w:w="376" w:type="dxa"/>
            <w:tcBorders/>
            <w:vAlign w:val="center"/>
          </w:tcPr>
          <w:p>
            <w:pPr>
              <w:pStyle w:val="TableContents"/>
              <w:bidi w:val="0"/>
              <w:spacing w:before="0" w:after="0"/>
              <w:ind w:left="0" w:right="0" w:hanging="0"/>
              <w:jc w:val="right"/>
              <w:rPr/>
            </w:pPr>
            <w:r>
              <w:rPr/>
              <w:t> </w:t>
            </w:r>
          </w:p>
        </w:tc>
      </w:tr>
    </w:tbl>
    <w:p>
      <w:pPr>
        <w:pStyle w:val="TextBody"/>
        <w:bidi w:val="0"/>
        <w:spacing w:before="180" w:after="0"/>
        <w:jc w:val="both"/>
        <w:rPr>
          <w:rFonts w:ascii="Times New Roman" w:hAnsi="Times New Roman"/>
          <w:sz w:val="20"/>
        </w:rPr>
      </w:pPr>
      <w:r>
        <w:rPr>
          <w:rFonts w:ascii="Times New Roman;serif" w:hAnsi="Times New Roman;serif"/>
          <w:b w:val="false"/>
          <w:sz w:val="20"/>
        </w:rPr>
        <w:t>Lighting division revenue in the first quarter of fiscal 2024 decreased by 8.9%, or $1.2 million compared to the first quarter of fiscal 2023. The decrease in lighting division revenue was due to variability in the timing of larger lighting projects. The decrease in corresponding operating loss in this segment is a result of improved gross margin.</w:t>
      </w:r>
      <w:r>
        <w:rPr>
          <w:rFonts w:ascii="Times New Roman" w:hAnsi="Times New Roman"/>
          <w:sz w:val="20"/>
        </w:rPr>
        <w:t xml:space="preserve"> </w:t>
      </w:r>
    </w:p>
    <w:p>
      <w:pPr>
        <w:pStyle w:val="TextBody"/>
        <w:bidi w:val="0"/>
        <w:spacing w:before="280" w:after="0"/>
        <w:jc w:val="both"/>
        <w:rPr>
          <w:rFonts w:ascii="Times New Roman;serif" w:hAnsi="Times New Roman;serif"/>
          <w:b/>
          <w:sz w:val="20"/>
        </w:rPr>
      </w:pPr>
      <w:bookmarkStart w:id="30" w:name="distribution_services_segment"/>
      <w:bookmarkEnd w:id="30"/>
      <w:r>
        <w:rPr>
          <w:rFonts w:ascii="Times New Roman;serif" w:hAnsi="Times New Roman;serif"/>
          <w:b/>
          <w:sz w:val="20"/>
        </w:rPr>
        <w:t>Maintenance Division</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Our maintenance division provides retailers, distributors and other businesses with maintenance, repair and replacement services for the lighting and related electrical components deployed in their facilities.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following table summarizes our maintenance division operating results (dollars in thousands):</w:t>
      </w:r>
    </w:p>
    <w:p>
      <w:pPr>
        <w:pStyle w:val="TextBody"/>
        <w:bidi w:val="0"/>
        <w:spacing w:before="0" w:after="0"/>
        <w:jc w:val="left"/>
        <w:rPr/>
      </w:pPr>
      <w:r>
        <w:rPr/>
        <w:t> </w:t>
      </w:r>
    </w:p>
    <w:tbl>
      <w:tblPr>
        <w:tblW w:w="5423" w:type="dxa"/>
        <w:jc w:val="left"/>
        <w:tblInd w:w="0" w:type="dxa"/>
        <w:tblLayout w:type="fixed"/>
        <w:tblCellMar>
          <w:top w:w="28" w:type="dxa"/>
          <w:left w:w="28" w:type="dxa"/>
          <w:bottom w:w="28" w:type="dxa"/>
          <w:right w:w="28" w:type="dxa"/>
        </w:tblCellMar>
      </w:tblPr>
      <w:tblGrid>
        <w:gridCol w:w="1546"/>
        <w:gridCol w:w="146"/>
        <w:gridCol w:w="211"/>
        <w:gridCol w:w="631"/>
        <w:gridCol w:w="331"/>
        <w:gridCol w:w="146"/>
        <w:gridCol w:w="211"/>
        <w:gridCol w:w="571"/>
        <w:gridCol w:w="331"/>
        <w:gridCol w:w="146"/>
        <w:gridCol w:w="146"/>
        <w:gridCol w:w="631"/>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35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br/>
              <w:t>Change</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3,754</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4,054</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(534.5</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777" w:type="dxa"/>
            <w:gridSpan w:val="2"/>
            <w:tcBorders/>
            <w:vAlign w:val="center"/>
          </w:tcPr>
          <w:p>
            <w:pPr>
              <w:pStyle w:val="TableContents"/>
              <w:bidi w:val="0"/>
              <w:spacing w:before="0" w:after="0"/>
              <w:ind w:left="0" w:right="0" w:hanging="0"/>
              <w:jc w:val="right"/>
              <w:rPr/>
            </w:pPr>
            <w:r>
              <w:rPr/>
              <w:t> </w:t>
            </w:r>
          </w:p>
        </w:tc>
        <w:tc>
          <w:tcPr>
            <w:tcW w:w="376" w:type="dxa"/>
            <w:tcBorders/>
            <w:vAlign w:val="center"/>
          </w:tcPr>
          <w:p>
            <w:pPr>
              <w:pStyle w:val="TableContents"/>
              <w:bidi w:val="0"/>
              <w:spacing w:before="0" w:after="0"/>
              <w:ind w:left="0" w:right="0" w:hanging="0"/>
              <w:jc w:val="right"/>
              <w:rPr/>
            </w:pPr>
            <w:r>
              <w:rPr/>
              <w:t> </w:t>
            </w:r>
          </w:p>
        </w:tc>
      </w:tr>
    </w:tbl>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Maintenance division revenue in the first quarter of fiscal 2024 decreased by 7.4%, or $0.3 million, compared to the first quarter of fiscal 2023, primarily due to a decrease in sales to one customer. Operating loss in this segment increased as a result of a decrease in gross margins driven by higher subcontractor costs.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i/>
          <w:sz w:val="20"/>
        </w:rPr>
      </w:pPr>
      <w:r>
        <w:rPr>
          <w:rFonts w:ascii="Times New Roman;serif" w:hAnsi="Times New Roman;serif"/>
          <w:b/>
          <w:i/>
          <w:sz w:val="20"/>
        </w:rPr>
        <w:t>Electric Vehicle Charging Division</w:t>
      </w:r>
    </w:p>
    <w:p>
      <w:pPr>
        <w:pStyle w:val="TextBody"/>
        <w:bidi w:val="0"/>
        <w:spacing w:before="180" w:after="180"/>
        <w:jc w:val="both"/>
        <w:rPr>
          <w:rFonts w:ascii="Times New Roman" w:hAnsi="Times New Roman"/>
          <w:sz w:val="20"/>
        </w:rPr>
      </w:pPr>
      <w:r>
        <w:rPr>
          <w:rFonts w:ascii="Times New Roman;serif" w:hAnsi="Times New Roman;serif"/>
          <w:b w:val="false"/>
          <w:sz w:val="20"/>
        </w:rPr>
        <w:t>Our EV division offers leading electric vehicle charging expertise and provides EV turnkey installation solutions with ongoing support to all commercial verticals.</w:t>
      </w:r>
      <w:r>
        <w:rPr>
          <w:rFonts w:ascii="Times New Roman" w:hAnsi="Times New Roman"/>
          <w:sz w:val="20"/>
        </w:rPr>
        <w:t xml:space="preserve"> </w:t>
      </w:r>
    </w:p>
    <w:p>
      <w:pPr>
        <w:pStyle w:val="TextBody"/>
        <w:bidi w:val="0"/>
        <w:spacing w:before="180" w:after="180"/>
        <w:jc w:val="both"/>
        <w:rPr>
          <w:rFonts w:ascii="Times New Roman;serif" w:hAnsi="Times New Roman;serif"/>
          <w:b w:val="false"/>
          <w:sz w:val="20"/>
        </w:rPr>
      </w:pPr>
      <w:r>
        <w:rPr>
          <w:rFonts w:ascii="Times New Roman;serif" w:hAnsi="Times New Roman;serif"/>
          <w:b w:val="false"/>
          <w:sz w:val="20"/>
        </w:rPr>
        <w:t>The following table summarizes our EV segment operations results (dollars in thousands):</w:t>
      </w:r>
    </w:p>
    <w:tbl>
      <w:tblPr>
        <w:tblW w:w="4691" w:type="dxa"/>
        <w:jc w:val="left"/>
        <w:tblInd w:w="0" w:type="dxa"/>
        <w:tblLayout w:type="fixed"/>
        <w:tblCellMar>
          <w:top w:w="28" w:type="dxa"/>
          <w:left w:w="28" w:type="dxa"/>
          <w:bottom w:w="28" w:type="dxa"/>
          <w:right w:w="28" w:type="dxa"/>
        </w:tblCellMar>
      </w:tblPr>
      <w:tblGrid>
        <w:gridCol w:w="1546"/>
        <w:gridCol w:w="146"/>
        <w:gridCol w:w="211"/>
        <w:gridCol w:w="631"/>
        <w:gridCol w:w="331"/>
        <w:gridCol w:w="146"/>
        <w:gridCol w:w="211"/>
        <w:gridCol w:w="346"/>
        <w:gridCol w:w="271"/>
        <w:gridCol w:w="146"/>
        <w:gridCol w:w="70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999" w:type="dxa"/>
            <w:gridSpan w:val="9"/>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br/>
              <w:t>Change</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1,238</w:t>
            </w:r>
          </w:p>
        </w:tc>
        <w:tc>
          <w:tcPr>
            <w:tcW w:w="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(1,934</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(156.2</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706"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both"/>
        <w:rPr>
          <w:rFonts w:ascii="Times New Roman" w:hAnsi="Times New Roman"/>
          <w:sz w:val="20"/>
        </w:rPr>
      </w:pPr>
      <w:r>
        <w:rPr>
          <w:rFonts w:ascii="Times New Roman;serif" w:hAnsi="Times New Roman;serif"/>
          <w:b w:val="false"/>
          <w:sz w:val="18"/>
        </w:rPr>
        <w:t>* NM - Not Meaningful</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EV segment revenue generated by Voltrek in the first quarter of fiscal 2024 was $1.2 million. Operating loss in this segment was primarily a result of $1.1 million of earn-out expense included in general and administrative costs.</w:t>
      </w:r>
    </w:p>
    <w:p>
      <w:pPr>
        <w:pStyle w:val="TextBody"/>
        <w:bidi w:val="0"/>
        <w:spacing w:before="280" w:after="0"/>
        <w:jc w:val="left"/>
        <w:rPr>
          <w:rFonts w:ascii="Times New Roman;serif" w:hAnsi="Times New Roman;serif"/>
          <w:b/>
          <w:sz w:val="20"/>
        </w:rPr>
      </w:pPr>
      <w:bookmarkStart w:id="31" w:name="liquidity_and_capital_resources"/>
      <w:bookmarkEnd w:id="31"/>
      <w:r>
        <w:rPr>
          <w:rFonts w:ascii="Times New Roman;serif" w:hAnsi="Times New Roman;serif"/>
          <w:b/>
          <w:sz w:val="20"/>
        </w:rPr>
        <w:t>Liquidity and Capital Resources</w:t>
      </w:r>
    </w:p>
    <w:p>
      <w:pPr>
        <w:pStyle w:val="TextBody"/>
        <w:bidi w:val="0"/>
        <w:spacing w:before="180" w:after="0"/>
        <w:jc w:val="left"/>
        <w:rPr>
          <w:rFonts w:ascii="Times New Roman;serif" w:hAnsi="Times New Roman;serif"/>
          <w:b/>
          <w:i/>
          <w:sz w:val="20"/>
        </w:rPr>
      </w:pPr>
      <w:r>
        <w:rPr>
          <w:rFonts w:ascii="Times New Roman;serif" w:hAnsi="Times New Roman;serif"/>
          <w:b/>
          <w:i/>
          <w:sz w:val="20"/>
        </w:rPr>
        <w:t>Overview</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believe our existing cash and operating cash flow provide us with the financial flexibility needed to meet our capital requirements, including to fund targeted our budgeted capital expenditures and working capital needs for at least one year from the date of this report, as well as our longer-term capital requirements for periods beyond at least one year from the date of this report.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had approximately $8.2 million in cash and cash equivalents as of June 30, 2023, compared to $16.0 million at March 31, 2023. Our cash position decreased as a result of an operating loss and an overall use of working capital during the first quarter of fiscal 2024.</w:t>
      </w:r>
    </w:p>
    <w:p>
      <w:pPr>
        <w:pStyle w:val="TextBody"/>
        <w:bidi w:val="0"/>
        <w:spacing w:before="180" w:after="0"/>
        <w:jc w:val="both"/>
        <w:rPr>
          <w:rFonts w:ascii="Times New Roman" w:hAnsi="Times New Roman"/>
          <w:sz w:val="20"/>
        </w:rPr>
      </w:pPr>
      <w:r>
        <w:rPr>
          <w:rFonts w:ascii="Times New Roman;serif" w:hAnsi="Times New Roman;serif"/>
          <w:b w:val="false"/>
          <w:sz w:val="20"/>
        </w:rPr>
        <w:t>Our future liquidity needs and forecasted cash flows are dependent upon many factors, including our relative revenue, gross margins, cash management practices, cost containment, working capital management and capital expenditures. While we believe that we will likely have adequate available cash and equivalents and credit availability under our Credit Agreement to satisfy our currently anticipated working capital and liquidity requirements for at least the next 12 months based on our current cash flow forecast, if we experience significant liquidity constraints, we may be required to issue equity or debt securities, reduce our sales efforts, implement additional cost savings initiatives or undertake other efforts to conserve our cash.</w:t>
      </w:r>
      <w:r>
        <w:rPr>
          <w:rFonts w:ascii="Times New Roman" w:hAnsi="Times New Roman"/>
          <w:sz w:val="20"/>
        </w:rPr>
        <w:t xml:space="preserve"> </w:t>
      </w:r>
    </w:p>
    <w:p>
      <w:pPr>
        <w:pStyle w:val="TextBody"/>
        <w:bidi w:val="0"/>
        <w:spacing w:before="280" w:after="0"/>
        <w:jc w:val="left"/>
        <w:rPr>
          <w:rFonts w:ascii="Times New Roman;serif" w:hAnsi="Times New Roman;serif"/>
          <w:b/>
          <w:i/>
          <w:sz w:val="20"/>
        </w:rPr>
      </w:pPr>
      <w:r>
        <w:rPr>
          <w:rFonts w:ascii="Times New Roman;serif" w:hAnsi="Times New Roman;serif"/>
          <w:b/>
          <w:i/>
          <w:sz w:val="20"/>
        </w:rPr>
        <w:t>Cash Flows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following table summarizes our cash flows for the three months ended June 30, 2023 and 2022 (in thousands):</w:t>
      </w:r>
    </w:p>
    <w:p>
      <w:pPr>
        <w:pStyle w:val="TextBody"/>
        <w:bidi w:val="0"/>
        <w:spacing w:before="0" w:after="0"/>
        <w:jc w:val="left"/>
        <w:rPr/>
      </w:pPr>
      <w:r>
        <w:rPr/>
        <w:t> </w:t>
      </w:r>
    </w:p>
    <w:tbl>
      <w:tblPr>
        <w:tblW w:w="5816" w:type="dxa"/>
        <w:jc w:val="left"/>
        <w:tblInd w:w="0" w:type="dxa"/>
        <w:tblLayout w:type="fixed"/>
        <w:tblCellMar>
          <w:top w:w="28" w:type="dxa"/>
          <w:left w:w="28" w:type="dxa"/>
          <w:bottom w:w="28" w:type="dxa"/>
          <w:right w:w="28" w:type="dxa"/>
        </w:tblCellMar>
      </w:tblPr>
      <w:tblGrid>
        <w:gridCol w:w="3196"/>
        <w:gridCol w:w="146"/>
        <w:gridCol w:w="239"/>
        <w:gridCol w:w="716"/>
        <w:gridCol w:w="188"/>
        <w:gridCol w:w="165"/>
        <w:gridCol w:w="239"/>
        <w:gridCol w:w="71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5" w:type="dxa"/>
            <w:tcBorders/>
            <w:vAlign w:val="center"/>
          </w:tcPr>
          <w:p>
            <w:pPr>
              <w:pStyle w:val="TableContents"/>
              <w:bidi w:val="0"/>
              <w:spacing w:before="0" w:after="0"/>
              <w:ind w:left="0" w:right="0" w:hanging="0"/>
              <w:jc w:val="center"/>
              <w:rPr/>
            </w:pPr>
            <w:r>
              <w:rPr/>
              <w:t> </w:t>
            </w:r>
          </w:p>
        </w:tc>
        <w:tc>
          <w:tcPr>
            <w:tcW w:w="9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(7,327</w:t>
            </w:r>
          </w:p>
        </w:tc>
        <w:tc>
          <w:tcPr>
            <w:tcW w:w="1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1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(7,743</w:t>
            </w:r>
          </w:p>
        </w:tc>
        <w:tc>
          <w:tcPr>
            <w:tcW w:w="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i/>
          <w:sz w:val="20"/>
        </w:rPr>
        <w:t>Cash Flows Related to Operating Activities.</w:t>
      </w:r>
      <w:r>
        <w:rPr>
          <w:rFonts w:ascii="Times New Roman" w:hAnsi="Times New Roman"/>
          <w:sz w:val="20"/>
        </w:rPr>
        <w:t xml:space="preserve"> </w:t>
      </w:r>
      <w:r>
        <w:rPr>
          <w:rFonts w:ascii="Times New Roman;serif" w:hAnsi="Times New Roman;serif"/>
          <w:b w:val="false"/>
          <w:sz w:val="20"/>
        </w:rPr>
        <w:t>Cash used in operating activities primarily consists of net loss adjusted for certain non-cash items, including depreciation, amortization of intangible assets, stock-based compensation, amortization of debt issue costs, provisions for reserves, and the effect of changes in working capital and other activities.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Cash used in operating activities for the first quarter of fiscal 2024 was $7.3 million and consisted of our net loss of $6.6 million adjusted for non-cash expense items and net cash used in changes in operating assets of $0.8 million, the largest of which was a $1.9 million decrease in accounts payable.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Cash used in operating activities for the first quarter of fiscal 2023 was $5.0 million and consisted of our net loss of $2.8 million adjusted for non-cash expense items and net cash used in changes in working capital of $2.0 million, the largest of which was a $2.5 million decrease in accounts payable.</w:t>
      </w:r>
    </w:p>
    <w:p>
      <w:pPr>
        <w:pStyle w:val="TextBody"/>
        <w:bidi w:val="0"/>
        <w:spacing w:before="180" w:after="0"/>
        <w:jc w:val="both"/>
        <w:rPr>
          <w:rFonts w:ascii="Times New Roman" w:hAnsi="Times New Roman"/>
          <w:sz w:val="20"/>
        </w:rPr>
      </w:pPr>
      <w:r>
        <w:rPr>
          <w:rFonts w:ascii="Times New Roman;serif" w:hAnsi="Times New Roman;serif"/>
          <w:b w:val="false"/>
          <w:i/>
          <w:sz w:val="20"/>
        </w:rPr>
        <w:t>Cash Flows Related to Investing Activities</w:t>
      </w:r>
      <w:r>
        <w:rPr>
          <w:rFonts w:ascii="Times New Roman;serif" w:hAnsi="Times New Roman;serif"/>
          <w:b w:val="false"/>
          <w:sz w:val="20"/>
        </w:rPr>
        <w:t>. Cash used in investing activities of $0.4 million in the first quarter of fiscal 2024 consisted primarily of purchases of property and equipment.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Cash used in investing activities of $0.1 million in the first quarter of fiscal 2023 consisted primarily of purchases of property and equipment.</w:t>
      </w:r>
    </w:p>
    <w:p>
      <w:pPr>
        <w:pStyle w:val="TextBody"/>
        <w:bidi w:val="0"/>
        <w:spacing w:before="180" w:after="0"/>
        <w:jc w:val="both"/>
        <w:rPr>
          <w:rFonts w:ascii="Times New Roman" w:hAnsi="Times New Roman"/>
          <w:sz w:val="20"/>
        </w:rPr>
      </w:pPr>
      <w:r>
        <w:rPr>
          <w:rFonts w:ascii="Times New Roman;serif" w:hAnsi="Times New Roman;serif"/>
          <w:b w:val="false"/>
          <w:i/>
          <w:sz w:val="20"/>
        </w:rPr>
        <w:t>Cash Flows Related to Financing Activities.</w:t>
      </w:r>
      <w:r>
        <w:rPr>
          <w:rFonts w:ascii="Times New Roman" w:hAnsi="Times New Roman"/>
          <w:sz w:val="20"/>
        </w:rPr>
        <w:t xml:space="preserve"> </w:t>
      </w:r>
      <w:r>
        <w:rPr>
          <w:rFonts w:ascii="Times New Roman;serif" w:hAnsi="Times New Roman;serif"/>
          <w:b w:val="false"/>
          <w:sz w:val="20"/>
        </w:rPr>
        <w:t>Cash used by financing activities of $3 thousand in the first quarter of fiscal 2024 consisted primarily of payment of long-term debt.</w:t>
      </w:r>
    </w:p>
    <w:p>
      <w:pPr>
        <w:pStyle w:val="TextBody"/>
        <w:bidi w:val="0"/>
        <w:spacing w:before="180" w:after="0"/>
        <w:jc w:val="both"/>
        <w:rPr>
          <w:rFonts w:ascii="Times New Roman" w:hAnsi="Times New Roman"/>
          <w:sz w:val="20"/>
        </w:rPr>
      </w:pPr>
      <w:r>
        <w:rPr>
          <w:rFonts w:ascii="Times New Roman;serif" w:hAnsi="Times New Roman;serif"/>
          <w:b w:val="false"/>
          <w:sz w:val="20"/>
        </w:rPr>
        <w:t>Cash provided by financing activities of $48 thousand in the first quarter of fiscal 2023 consisted primarily of proceeds from employee equity exercises.</w:t>
      </w:r>
      <w:r>
        <w:rPr>
          <w:rFonts w:ascii="Times New Roman" w:hAnsi="Times New Roman"/>
          <w:sz w:val="20"/>
        </w:rPr>
        <w:t xml:space="preserve"> </w:t>
      </w:r>
    </w:p>
    <w:p>
      <w:pPr>
        <w:pStyle w:val="TextBody"/>
        <w:bidi w:val="0"/>
        <w:spacing w:before="280" w:after="0"/>
        <w:jc w:val="left"/>
        <w:rPr>
          <w:rFonts w:ascii="Times New Roman;serif" w:hAnsi="Times New Roman;serif"/>
          <w:b/>
          <w:i/>
          <w:sz w:val="20"/>
        </w:rPr>
      </w:pPr>
      <w:r>
        <w:rPr>
          <w:rFonts w:ascii="Times New Roman;serif" w:hAnsi="Times New Roman;serif"/>
          <w:b/>
          <w:i/>
          <w:sz w:val="20"/>
        </w:rPr>
        <w:t>Working Capital</w:t>
      </w:r>
    </w:p>
    <w:p>
      <w:pPr>
        <w:pStyle w:val="TextBody"/>
        <w:bidi w:val="0"/>
        <w:spacing w:before="180" w:after="0"/>
        <w:jc w:val="both"/>
        <w:rPr>
          <w:rFonts w:ascii="Times New Roman" w:hAnsi="Times New Roman"/>
          <w:sz w:val="20"/>
        </w:rPr>
      </w:pPr>
      <w:r>
        <w:rPr>
          <w:rFonts w:ascii="Times New Roman;serif" w:hAnsi="Times New Roman;serif"/>
          <w:b w:val="false"/>
          <w:sz w:val="20"/>
        </w:rPr>
        <w:t>Our net working capital as of June 30, 2023 was $20.6 million, consisting of $43.0 million in current assets and $22.3 million in current liabilities. Our net working capital as of March 31, 2023 was $25.9 million, consisting of $50.4 million in current assets and $24.5 million in current liabilities.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 xml:space="preserve">We generally attempt to maintain at least a three-month supply of on-hand inventory of purchased components and raw materials to meet anticipated demand, as well as to reduce our risk of unexpected raw material or component shortages or supply interruptions. Because of recent supply chain challenges, we have been making additional incremental inventory purchases. Our accounts receivables, inventory and payables may increase to the extent our revenue and order levels increase. </w:t>
      </w:r>
    </w:p>
    <w:p>
      <w:pPr>
        <w:pStyle w:val="TextBody"/>
        <w:bidi w:val="0"/>
        <w:spacing w:before="280" w:after="0"/>
        <w:jc w:val="left"/>
        <w:rPr>
          <w:rFonts w:ascii="Times New Roman;serif" w:hAnsi="Times New Roman;serif"/>
          <w:b/>
          <w:i/>
          <w:sz w:val="20"/>
        </w:rPr>
      </w:pPr>
      <w:r>
        <w:rPr>
          <w:rFonts w:ascii="Times New Roman;serif" w:hAnsi="Times New Roman;serif"/>
          <w:b/>
          <w:i/>
          <w:sz w:val="20"/>
        </w:rPr>
        <w:t>Indebtedness</w:t>
      </w:r>
    </w:p>
    <w:p>
      <w:pPr>
        <w:pStyle w:val="TextBody"/>
        <w:bidi w:val="0"/>
        <w:spacing w:before="180" w:after="0"/>
        <w:jc w:val="left"/>
        <w:rPr>
          <w:rFonts w:ascii="Times New Roman;serif" w:hAnsi="Times New Roman;serif"/>
          <w:b/>
          <w:i/>
          <w:sz w:val="20"/>
        </w:rPr>
      </w:pPr>
      <w:r>
        <w:rPr>
          <w:rFonts w:ascii="Times New Roman;serif" w:hAnsi="Times New Roman;serif"/>
          <w:b/>
          <w:i/>
          <w:sz w:val="20"/>
        </w:rPr>
        <w:t>Revolving Credit Agreement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On December 29, 2020, we entered into a new $25 million Loan and Security Agreement (the “Credit Agreement”) with Bank of America, N.A., as lender (the “Lender”). The Credit Agreement replaced our prior $20.15 million secured revolving credit and security agreement (the “Prior Credit Agreement”).</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replacement of the Prior Credit Agreement with the Credit Agreement provides us with increased financing capacity and liquidity to fund our operations and implement our strategic plans.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June 30, 2023, the borrowing base of the Credit Facility supports $18.6 million of availability, with $8.6 million of remaining availability net of $10.0 million borrowed.</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Credit Agreement is secured by a first lien security interest in substantially all of our assets.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Effective November 4, 2022, we, along with the Lender, executed Amendment No. 1 to the Credit Agreement. The primary purpose of the amendment was to include the assets of our acquired subsidiaries, Stay-Lite Lighting and Voltrek as secured collateral under the Credit Agreement. Accordingly, eligible assets of Stay-Lite and Voltrek are now included in our borrowing base calculation for the purpose of establishing our monthly borrowing availability under the Credit Agreement. The amendment also clarified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left"/>
        <w:rPr>
          <w:rFonts w:ascii="Times New Roman;serif" w:hAnsi="Times New Roman;serif"/>
          <w:b/>
          <w:sz w:val="20"/>
        </w:rPr>
      </w:pPr>
      <w:r>
        <w:rPr>
          <w:rFonts w:ascii="Times New Roman;serif" w:hAnsi="Times New Roman;serif"/>
          <w:b/>
          <w:sz w:val="20"/>
        </w:rPr>
        <w:t>Backlog</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Backlog represents the amount of revenue that we expect to realize in the future as a result of firm, committed purchase orders. Backlog totaled $19.0 million and $17.2 million as of June 30, 2023 and March 31, 2023, respectively. We generally expect our backlog to be recognized as revenue within one year. Backlog does not include any amounts for contracted maintenance services.</w:t>
      </w:r>
    </w:p>
    <w:p>
      <w:pPr>
        <w:pStyle w:val="TextBody"/>
        <w:bidi w:val="0"/>
        <w:spacing w:before="280" w:after="0"/>
        <w:jc w:val="left"/>
        <w:rPr>
          <w:rFonts w:ascii="Times New Roman;serif" w:hAnsi="Times New Roman;serif"/>
          <w:b/>
          <w:sz w:val="20"/>
        </w:rPr>
      </w:pPr>
      <w:bookmarkStart w:id="32" w:name="off_balance_sheet_arrangements"/>
      <w:bookmarkEnd w:id="32"/>
      <w:r>
        <w:rPr>
          <w:rFonts w:ascii="Times New Roman;serif" w:hAnsi="Times New Roman;serif"/>
          <w:b/>
          <w:sz w:val="20"/>
        </w:rPr>
        <w:t>Off-Balance Sheet Arrangements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have no off-balance sheet arrangements.</w:t>
      </w:r>
    </w:p>
    <w:p>
      <w:pPr>
        <w:pStyle w:val="TextBody"/>
        <w:bidi w:val="0"/>
        <w:spacing w:before="280" w:after="0"/>
        <w:jc w:val="left"/>
        <w:rPr>
          <w:rFonts w:ascii="Times New Roman;serif" w:hAnsi="Times New Roman;serif"/>
          <w:b/>
          <w:sz w:val="20"/>
        </w:rPr>
      </w:pPr>
      <w:bookmarkStart w:id="33" w:name="inflation"/>
      <w:bookmarkEnd w:id="33"/>
      <w:r>
        <w:rPr>
          <w:rFonts w:ascii="Times New Roman;serif" w:hAnsi="Times New Roman;serif"/>
          <w:b/>
          <w:sz w:val="20"/>
        </w:rPr>
        <w:t>Inflation</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have experienced increases in various input costs including labor, components and transportation in the past year. In response, we have implemented multiple price increases, and we have substantially mitigated the inflationary pressures, such that our results from operations have not been materially affected to date by inflation. We are monitoring input costs and cannot currently predict the future impact on our operations by increasing or ongoing inflationary pressures.</w:t>
      </w:r>
    </w:p>
    <w:p>
      <w:pPr>
        <w:pStyle w:val="TextBody"/>
        <w:bidi w:val="0"/>
        <w:spacing w:before="280" w:after="0"/>
        <w:jc w:val="left"/>
        <w:rPr>
          <w:rFonts w:ascii="Times New Roman;serif" w:hAnsi="Times New Roman;serif"/>
          <w:b/>
          <w:sz w:val="20"/>
        </w:rPr>
      </w:pPr>
      <w:bookmarkStart w:id="34" w:name="critical_accounting_policies_and_estimat"/>
      <w:bookmarkEnd w:id="34"/>
      <w:r>
        <w:rPr>
          <w:rFonts w:ascii="Times New Roman;serif" w:hAnsi="Times New Roman;serif"/>
          <w:b/>
          <w:sz w:val="20"/>
        </w:rPr>
        <w:t>Critical Accounting Policies and Estimates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stock-based compensation and income taxes. The estimates of forecasted cash flows are used in the assessment for impairment of long-lived assets and the realizability of deferred tax assets.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2023. For the quarter ended June 30, 2023, there were no material changes in our accounting policies.</w:t>
      </w:r>
    </w:p>
    <w:p>
      <w:pPr>
        <w:pStyle w:val="TextBody"/>
        <w:bidi w:val="0"/>
        <w:spacing w:before="280" w:after="0"/>
        <w:jc w:val="left"/>
        <w:rPr>
          <w:rFonts w:ascii="Times New Roman;serif" w:hAnsi="Times New Roman;serif"/>
          <w:b/>
          <w:sz w:val="20"/>
        </w:rPr>
      </w:pPr>
      <w:bookmarkStart w:id="35" w:name="recent_accounting_pronouncements"/>
      <w:bookmarkEnd w:id="35"/>
      <w:r>
        <w:rPr>
          <w:rFonts w:ascii="Times New Roman;serif" w:hAnsi="Times New Roman;serif"/>
          <w:b/>
          <w:sz w:val="20"/>
        </w:rPr>
        <w:t>Recent Accounting Pronouncements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For a complete discussion of recent accounting pronouncements, refer to Note 3 in the Condensed Consolidated Financial Statements included elsewhere in this report.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left"/>
        <w:rPr>
          <w:rFonts w:ascii="Times New Roman;serif" w:hAnsi="Times New Roman;serif"/>
          <w:b/>
          <w:sz w:val="20"/>
        </w:rPr>
      </w:pPr>
      <w:bookmarkStart w:id="36" w:name="item_3__quantitative_and_qualitative_dis"/>
      <w:bookmarkEnd w:id="36"/>
      <w:r>
        <w:rPr>
          <w:rFonts w:ascii="Times New Roman;serif" w:hAnsi="Times New Roman;serif"/>
          <w:b/>
          <w:sz w:val="20"/>
        </w:rPr>
        <w:t>ITEM 3. QUANTITATIVE AND QUALITATIVE DISCLOSURES ABOUT MARKET RISK</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Our exposure to market risk was discussed in the “Quantitative and Qualitative Disclosures About Market Risk” section contained in our Annual Report on Form 10-K for the year ended March 31, 2023. There have been no material changes to such exposures since March 31, 2023.</w:t>
      </w:r>
    </w:p>
    <w:p>
      <w:pPr>
        <w:pStyle w:val="TextBody"/>
        <w:bidi w:val="0"/>
        <w:spacing w:before="280" w:after="0"/>
        <w:jc w:val="left"/>
        <w:rPr>
          <w:rFonts w:ascii="Times New Roman;serif" w:hAnsi="Times New Roman;serif"/>
          <w:b/>
          <w:sz w:val="20"/>
        </w:rPr>
      </w:pPr>
      <w:bookmarkStart w:id="37" w:name="item_4__controls_and_procedures"/>
      <w:bookmarkEnd w:id="37"/>
      <w:r>
        <w:rPr>
          <w:rFonts w:ascii="Times New Roman;serif" w:hAnsi="Times New Roman;serif"/>
          <w:b/>
          <w:sz w:val="20"/>
        </w:rPr>
        <w:t>ITEM 4. CONTROLS AND PROCEDURES</w:t>
      </w:r>
    </w:p>
    <w:p>
      <w:pPr>
        <w:pStyle w:val="TextBody"/>
        <w:bidi w:val="0"/>
        <w:spacing w:before="18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Our disclosure controls and procedures are designed to ensure that information required to be disclosed by us in the reports that we file or submit under the Exchange Act is accumulated and communicated to our management, including the Chief Executive Officer and Chief Financial Officer, as appropriate, to allow timely decisions regarding required disclosure.</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June 30, 2023.</w:t>
      </w:r>
    </w:p>
    <w:p>
      <w:pPr>
        <w:pStyle w:val="TextBody"/>
        <w:bidi w:val="0"/>
        <w:spacing w:before="28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Rule 13a-15(e) and Rule 15d-15(e) of the Exchange Act) for the quarter ended June 30, 2023, that materially affected, or are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38" w:name="part_ii_other_information"/>
      <w:bookmarkEnd w:id="38"/>
      <w:r>
        <w:rPr>
          <w:rFonts w:ascii="Times New Roman;serif" w:hAnsi="Times New Roman;serif"/>
          <w:b/>
          <w:sz w:val="20"/>
        </w:rPr>
        <w:t>PART II – OTHER INFORMATION</w:t>
      </w:r>
    </w:p>
    <w:p>
      <w:pPr>
        <w:pStyle w:val="TextBody"/>
        <w:bidi w:val="0"/>
        <w:spacing w:before="180" w:after="0"/>
        <w:jc w:val="both"/>
        <w:rPr>
          <w:rFonts w:ascii="Times New Roman;serif" w:hAnsi="Times New Roman;serif"/>
          <w:b/>
          <w:sz w:val="20"/>
        </w:rPr>
      </w:pPr>
      <w:bookmarkStart w:id="39" w:name="item_1__legal_proceedings"/>
      <w:bookmarkEnd w:id="39"/>
      <w:r>
        <w:rPr>
          <w:rFonts w:ascii="Times New Roman;serif" w:hAnsi="Times New Roman;serif"/>
          <w:b/>
          <w:sz w:val="20"/>
        </w:rPr>
        <w:t>ITEM 1. LEGAL PROCEEDINGS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See Note 15 – Commitments and Contingencies, to the Condensed Consolidated Financial Statements in Item 1 of this Quarterly Report on Form 10-Q.</w:t>
      </w:r>
    </w:p>
    <w:p>
      <w:pPr>
        <w:pStyle w:val="TextBody"/>
        <w:bidi w:val="0"/>
        <w:spacing w:before="280" w:after="0"/>
        <w:jc w:val="both"/>
        <w:rPr>
          <w:rFonts w:ascii="Times New Roman;serif" w:hAnsi="Times New Roman;serif"/>
          <w:b/>
          <w:sz w:val="20"/>
        </w:rPr>
      </w:pPr>
      <w:bookmarkStart w:id="40" w:name="item_1a__risk_factors"/>
      <w:bookmarkEnd w:id="40"/>
      <w:r>
        <w:rPr>
          <w:rFonts w:ascii="Times New Roman;serif" w:hAnsi="Times New Roman;serif"/>
          <w:b/>
          <w:sz w:val="20"/>
        </w:rPr>
        <w:t>ITEM 1A. RISK FACTORS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2023, which we filed with the SEC on June 12, 2023 and in Part 1 - Item 2 under the heading "Management's Discussion and Analysis of Financial Condition and Results of Operations" in this Form 10-Q.</w:t>
      </w:r>
    </w:p>
    <w:p>
      <w:pPr>
        <w:pStyle w:val="TextBody"/>
        <w:bidi w:val="0"/>
        <w:spacing w:before="280" w:after="0"/>
        <w:jc w:val="both"/>
        <w:rPr>
          <w:rFonts w:ascii="Times New Roman;serif" w:hAnsi="Times New Roman;serif"/>
          <w:b/>
          <w:sz w:val="20"/>
        </w:rPr>
      </w:pPr>
      <w:bookmarkStart w:id="41" w:name="item_2__unregistered_sale_of_equity_secu"/>
      <w:bookmarkEnd w:id="41"/>
      <w:r>
        <w:rPr>
          <w:rFonts w:ascii="Times New Roman;serif" w:hAnsi="Times New Roman;serif"/>
          <w:b/>
          <w:sz w:val="20"/>
        </w:rPr>
        <w:t>ITEM 2. UNREGISTERED SALES OF EQUITY SECURITIES AND USE OF PROCEEDS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280" w:after="0"/>
        <w:jc w:val="both"/>
        <w:rPr>
          <w:rFonts w:ascii="Times New Roman;serif" w:hAnsi="Times New Roman;serif"/>
          <w:b/>
          <w:sz w:val="20"/>
        </w:rPr>
      </w:pPr>
      <w:bookmarkStart w:id="42" w:name="item_5__other_information"/>
      <w:bookmarkEnd w:id="42"/>
      <w:r>
        <w:rPr>
          <w:rFonts w:ascii="Times New Roman;serif" w:hAnsi="Times New Roman;serif"/>
          <w:b/>
          <w:sz w:val="20"/>
        </w:rPr>
        <w:t>ITEM 5. OTHER INFORMATION</w:t>
      </w:r>
    </w:p>
    <w:p>
      <w:pPr>
        <w:pStyle w:val="TextBody"/>
        <w:bidi w:val="0"/>
        <w:spacing w:before="180" w:after="0"/>
        <w:jc w:val="both"/>
        <w:rPr>
          <w:rFonts w:ascii="Times New Roman" w:hAnsi="Times New Roman"/>
          <w:sz w:val="20"/>
        </w:rPr>
      </w:pPr>
      <w:r>
        <w:rPr>
          <w:rFonts w:ascii="Times New Roman;serif" w:hAnsi="Times New Roman;serif"/>
          <w:b w:val="false"/>
          <w:sz w:val="20"/>
        </w:rPr>
        <w:t>None</w:t>
        <w:br/>
        <w:br/>
      </w:r>
      <w:r>
        <w:rPr>
          <w:rFonts w:ascii="Times New Roman" w:hAnsi="Times New Roman"/>
          <w:sz w:val="20"/>
        </w:rPr>
        <w:t> </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43" w:name="item_6__exhibits"/>
      <w:bookmarkEnd w:id="43"/>
      <w:r>
        <w:rPr>
          <w:rFonts w:ascii="Times New Roman;serif" w:hAnsi="Times New Roman;serif"/>
          <w:b/>
          <w:sz w:val="20"/>
        </w:rPr>
        <w:t>ITEM 6. EXHIBITS</w:t>
      </w:r>
    </w:p>
    <w:p>
      <w:pPr>
        <w:pStyle w:val="TextBody"/>
        <w:bidi w:val="0"/>
        <w:spacing w:before="180" w:after="0"/>
        <w:jc w:val="left"/>
        <w:rPr>
          <w:rFonts w:ascii="Times New Roman" w:hAnsi="Times New Roman"/>
          <w:b/>
          <w:sz w:val="20"/>
        </w:rPr>
      </w:pPr>
      <w:r>
        <w:rPr>
          <w:rFonts w:ascii="Times New Roman" w:hAnsi="Times New Roman"/>
          <w:b/>
          <w:sz w:val="20"/>
        </w:rPr>
        <w:t>(a)</w:t>
      </w:r>
    </w:p>
    <w:p>
      <w:pPr>
        <w:pStyle w:val="TextBody"/>
        <w:bidi w:val="0"/>
        <w:spacing w:before="180" w:after="283"/>
        <w:jc w:val="left"/>
        <w:rPr>
          <w:rFonts w:ascii="Times New Roman;serif" w:hAnsi="Times New Roman;serif"/>
          <w:b/>
          <w:sz w:val="20"/>
        </w:rPr>
      </w:pPr>
      <w:r>
        <w:rPr>
          <w:rFonts w:ascii="Times New Roman;serif" w:hAnsi="Times New Roman;serif"/>
          <w:b/>
          <w:sz w:val="20"/>
        </w:rPr>
        <w:t>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7"/>
        <w:gridCol w:w="9498"/>
      </w:tblGrid>
      <w:tr>
        <w:trPr/>
        <w:tc>
          <w:tcPr>
            <w:tcW w:w="707" w:type="dxa"/>
            <w:tcBorders/>
            <w:vAlign w:val="center"/>
          </w:tcPr>
          <w:p>
            <w:pPr>
              <w:pStyle w:val="TableContents"/>
              <w:bidi w:val="0"/>
              <w:spacing w:before="0" w:after="283"/>
              <w:jc w:val="left"/>
              <w:rPr>
                <w:sz w:val="4"/>
                <w:szCs w:val="4"/>
              </w:rPr>
            </w:pPr>
            <w:r>
              <w:rPr>
                <w:sz w:val="4"/>
                <w:szCs w:val="4"/>
              </w:rPr>
            </w:r>
          </w:p>
        </w:tc>
        <w:tc>
          <w:tcPr>
            <w:tcW w:w="9498" w:type="dxa"/>
            <w:tcBorders/>
            <w:vAlign w:val="center"/>
          </w:tcPr>
          <w:p>
            <w:pPr>
              <w:pStyle w:val="TableContents"/>
              <w:bidi w:val="0"/>
              <w:spacing w:before="0" w:after="283"/>
              <w:jc w:val="left"/>
              <w:rPr>
                <w:sz w:val="4"/>
                <w:szCs w:val="4"/>
              </w:rPr>
            </w:pPr>
            <w:r>
              <w:rPr>
                <w:sz w:val="4"/>
                <w:szCs w:val="4"/>
              </w:rPr>
            </w:r>
          </w:p>
        </w:tc>
      </w:tr>
      <w:tr>
        <w:trPr/>
        <w:tc>
          <w:tcPr>
            <w:tcW w:w="70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31.1</w:t>
            </w:r>
          </w:p>
        </w:tc>
        <w:tc>
          <w:tcPr>
            <w:tcW w:w="949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oesx-ex31_1.htm">
              <w:r>
                <w:rPr>
                  <w:rStyle w:val="InternetLink"/>
                  <w:rFonts w:ascii="Times New Roman;serif" w:hAnsi="Times New Roman;serif"/>
                  <w:b w:val="false"/>
                  <w:sz w:val="20"/>
                  <w:u w:val="single"/>
                </w:rPr>
                <w:t>Certification of Chief Executive Officer of Orion Energy Systems, Inc. pursuant to Rule 13a-14(a) or Rule 15d-14(a) promulgated under the Securities Exchange Act of 1934, as amended.+</w:t>
              </w:r>
            </w:hyperlink>
          </w:p>
        </w:tc>
      </w:tr>
      <w:tr>
        <w:trPr/>
        <w:tc>
          <w:tcPr>
            <w:tcW w:w="707" w:type="dxa"/>
            <w:tcBorders/>
            <w:vAlign w:val="center"/>
          </w:tcPr>
          <w:p>
            <w:pPr>
              <w:pStyle w:val="TableContents"/>
              <w:bidi w:val="0"/>
              <w:spacing w:before="0" w:after="0"/>
              <w:ind w:left="0" w:right="0" w:hanging="0"/>
              <w:jc w:val="left"/>
              <w:rPr/>
            </w:pPr>
            <w:r>
              <w:rPr/>
              <w:t> </w:t>
            </w:r>
          </w:p>
        </w:tc>
        <w:tc>
          <w:tcPr>
            <w:tcW w:w="9498" w:type="dxa"/>
            <w:tcBorders/>
            <w:vAlign w:val="center"/>
          </w:tcPr>
          <w:p>
            <w:pPr>
              <w:pStyle w:val="TableContents"/>
              <w:bidi w:val="0"/>
              <w:spacing w:before="0" w:after="0"/>
              <w:ind w:left="0" w:right="0" w:hanging="0"/>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31.2</w:t>
            </w:r>
          </w:p>
        </w:tc>
        <w:tc>
          <w:tcPr>
            <w:tcW w:w="949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oesx-ex31_2.htm">
              <w:r>
                <w:rPr>
                  <w:rStyle w:val="InternetLink"/>
                  <w:rFonts w:ascii="Times New Roman;serif" w:hAnsi="Times New Roman;serif"/>
                  <w:b w:val="false"/>
                  <w:sz w:val="20"/>
                  <w:u w:val="single"/>
                </w:rPr>
                <w:t>Certification of Chief Financial Officer of Orion Energy Systems, Inc. pursuant to Rule 13a-14(a) or Rule 15d-14(a) promulgated under the Securities Exchange Act of 1934, as amended.+</w:t>
              </w:r>
            </w:hyperlink>
          </w:p>
        </w:tc>
      </w:tr>
      <w:tr>
        <w:trPr/>
        <w:tc>
          <w:tcPr>
            <w:tcW w:w="707" w:type="dxa"/>
            <w:tcBorders/>
            <w:vAlign w:val="center"/>
          </w:tcPr>
          <w:p>
            <w:pPr>
              <w:pStyle w:val="TableContents"/>
              <w:bidi w:val="0"/>
              <w:spacing w:before="0" w:after="0"/>
              <w:ind w:left="0" w:right="0" w:hanging="0"/>
              <w:jc w:val="left"/>
              <w:rPr/>
            </w:pPr>
            <w:r>
              <w:rPr/>
              <w:t> </w:t>
            </w:r>
          </w:p>
        </w:tc>
        <w:tc>
          <w:tcPr>
            <w:tcW w:w="9498" w:type="dxa"/>
            <w:tcBorders/>
            <w:vAlign w:val="center"/>
          </w:tcPr>
          <w:p>
            <w:pPr>
              <w:pStyle w:val="TableContents"/>
              <w:bidi w:val="0"/>
              <w:spacing w:before="0" w:after="0"/>
              <w:ind w:left="0" w:right="0" w:hanging="0"/>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32.1</w:t>
            </w:r>
          </w:p>
        </w:tc>
        <w:tc>
          <w:tcPr>
            <w:tcW w:w="949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oesx-ex32_1.htm">
              <w:r>
                <w:rPr>
                  <w:rStyle w:val="InternetLink"/>
                  <w:rFonts w:ascii="Times New Roman;serif" w:hAnsi="Times New Roman;serif"/>
                  <w:b w:val="false"/>
                  <w:sz w:val="20"/>
                  <w:u w:val="single"/>
                </w:rPr>
                <w:t>Certification of Chief Executive Officer of Orion Energy Systems, Inc. pursuant to Rule 13a-14(b) promulgated under the Securities Exchange Act of 1934, as amended, and 18 U.S.C. Section 1350, as adopted pursuant to Section 906 of the Sarbanes-Oxley Act of 2002.+</w:t>
              </w:r>
            </w:hyperlink>
          </w:p>
        </w:tc>
      </w:tr>
      <w:tr>
        <w:trPr/>
        <w:tc>
          <w:tcPr>
            <w:tcW w:w="707" w:type="dxa"/>
            <w:tcBorders/>
            <w:vAlign w:val="center"/>
          </w:tcPr>
          <w:p>
            <w:pPr>
              <w:pStyle w:val="TableContents"/>
              <w:bidi w:val="0"/>
              <w:spacing w:before="0" w:after="0"/>
              <w:ind w:left="0" w:right="0" w:hanging="0"/>
              <w:jc w:val="left"/>
              <w:rPr/>
            </w:pPr>
            <w:r>
              <w:rPr/>
              <w:t> </w:t>
            </w:r>
          </w:p>
        </w:tc>
        <w:tc>
          <w:tcPr>
            <w:tcW w:w="9498" w:type="dxa"/>
            <w:tcBorders/>
            <w:vAlign w:val="center"/>
          </w:tcPr>
          <w:p>
            <w:pPr>
              <w:pStyle w:val="TableContents"/>
              <w:bidi w:val="0"/>
              <w:spacing w:before="0" w:after="0"/>
              <w:ind w:left="0" w:right="0" w:hanging="0"/>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32.2</w:t>
            </w:r>
          </w:p>
        </w:tc>
        <w:tc>
          <w:tcPr>
            <w:tcW w:w="949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oesx-ex32_2.htm">
              <w:r>
                <w:rPr>
                  <w:rStyle w:val="InternetLink"/>
                  <w:rFonts w:ascii="Times New Roman;serif" w:hAnsi="Times New Roman;serif"/>
                  <w:b w:val="false"/>
                  <w:sz w:val="20"/>
                  <w:u w:val="single"/>
                </w:rPr>
                <w:t>Certification of Chief Financial Officer of Orion Energy Systems, Inc. pursuant to Rule 13a-14(b) promulgated under the Securities Exchange Act of 1934, as amended, and 18 U.S.C. Section 1350, as adopted pursuant to Section 906 of the Sarbanes-Oxley Act of 2002.+</w:t>
              </w:r>
            </w:hyperlink>
          </w:p>
        </w:tc>
      </w:tr>
      <w:tr>
        <w:trPr/>
        <w:tc>
          <w:tcPr>
            <w:tcW w:w="707" w:type="dxa"/>
            <w:tcBorders/>
            <w:vAlign w:val="center"/>
          </w:tcPr>
          <w:p>
            <w:pPr>
              <w:pStyle w:val="TableContents"/>
              <w:bidi w:val="0"/>
              <w:spacing w:before="0" w:after="0"/>
              <w:ind w:left="0" w:right="0" w:hanging="0"/>
              <w:jc w:val="left"/>
              <w:rPr/>
            </w:pPr>
            <w:r>
              <w:rPr/>
              <w:t> </w:t>
            </w:r>
          </w:p>
        </w:tc>
        <w:tc>
          <w:tcPr>
            <w:tcW w:w="9498" w:type="dxa"/>
            <w:tcBorders/>
            <w:vAlign w:val="center"/>
          </w:tcPr>
          <w:p>
            <w:pPr>
              <w:pStyle w:val="TableContents"/>
              <w:bidi w:val="0"/>
              <w:spacing w:before="0" w:after="0"/>
              <w:ind w:left="0" w:right="0" w:hanging="0"/>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949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r>
      <w:tr>
        <w:trPr/>
        <w:tc>
          <w:tcPr>
            <w:tcW w:w="707" w:type="dxa"/>
            <w:tcBorders/>
            <w:vAlign w:val="center"/>
          </w:tcPr>
          <w:p>
            <w:pPr>
              <w:pStyle w:val="TableContents"/>
              <w:bidi w:val="0"/>
              <w:spacing w:before="0" w:after="0"/>
              <w:ind w:left="0" w:right="0" w:hanging="0"/>
              <w:jc w:val="left"/>
              <w:rPr/>
            </w:pPr>
            <w:r>
              <w:rPr/>
              <w:t> </w:t>
            </w:r>
          </w:p>
        </w:tc>
        <w:tc>
          <w:tcPr>
            <w:tcW w:w="9498" w:type="dxa"/>
            <w:tcBorders/>
            <w:vAlign w:val="center"/>
          </w:tcPr>
          <w:p>
            <w:pPr>
              <w:pStyle w:val="TableContents"/>
              <w:bidi w:val="0"/>
              <w:spacing w:before="0" w:after="0"/>
              <w:ind w:left="0" w:right="0" w:hanging="0"/>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949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07" w:type="dxa"/>
            <w:tcBorders/>
            <w:vAlign w:val="center"/>
          </w:tcPr>
          <w:p>
            <w:pPr>
              <w:pStyle w:val="TableContents"/>
              <w:bidi w:val="0"/>
              <w:spacing w:before="0" w:after="0"/>
              <w:ind w:left="0" w:right="0" w:hanging="0"/>
              <w:jc w:val="left"/>
              <w:rPr/>
            </w:pPr>
            <w:r>
              <w:rPr/>
              <w:t> </w:t>
            </w:r>
          </w:p>
        </w:tc>
        <w:tc>
          <w:tcPr>
            <w:tcW w:w="9498" w:type="dxa"/>
            <w:tcBorders/>
            <w:vAlign w:val="center"/>
          </w:tcPr>
          <w:p>
            <w:pPr>
              <w:pStyle w:val="TableContents"/>
              <w:bidi w:val="0"/>
              <w:spacing w:before="0" w:after="0"/>
              <w:ind w:left="0" w:right="0" w:hanging="0"/>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949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07" w:type="dxa"/>
            <w:tcBorders/>
            <w:vAlign w:val="center"/>
          </w:tcPr>
          <w:p>
            <w:pPr>
              <w:pStyle w:val="TableContents"/>
              <w:bidi w:val="0"/>
              <w:spacing w:before="0" w:after="0"/>
              <w:ind w:left="0" w:right="0" w:hanging="0"/>
              <w:jc w:val="left"/>
              <w:rPr/>
            </w:pPr>
            <w:r>
              <w:rPr/>
              <w:t> </w:t>
            </w:r>
          </w:p>
        </w:tc>
        <w:tc>
          <w:tcPr>
            <w:tcW w:w="9498" w:type="dxa"/>
            <w:tcBorders/>
            <w:vAlign w:val="center"/>
          </w:tcPr>
          <w:p>
            <w:pPr>
              <w:pStyle w:val="TableContents"/>
              <w:bidi w:val="0"/>
              <w:spacing w:before="0" w:after="0"/>
              <w:ind w:left="0" w:right="0" w:hanging="0"/>
              <w:jc w:val="left"/>
              <w:rPr/>
            </w:pPr>
            <w:r>
              <w:rPr/>
              <w:t> </w:t>
            </w:r>
          </w:p>
        </w:tc>
      </w:tr>
      <w:tr>
        <w:trPr/>
        <w:tc>
          <w:tcPr>
            <w:tcW w:w="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94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07" w:type="dxa"/>
            <w:tcBorders/>
            <w:vAlign w:val="center"/>
          </w:tcPr>
          <w:p>
            <w:pPr>
              <w:pStyle w:val="TableContents"/>
              <w:bidi w:val="0"/>
              <w:spacing w:before="0" w:after="0"/>
              <w:ind w:left="0" w:right="0" w:hanging="0"/>
              <w:jc w:val="left"/>
              <w:rPr/>
            </w:pPr>
            <w:r>
              <w:rPr/>
              <w:t> </w:t>
            </w:r>
          </w:p>
        </w:tc>
        <w:tc>
          <w:tcPr>
            <w:tcW w:w="9498" w:type="dxa"/>
            <w:tcBorders/>
            <w:vAlign w:val="center"/>
          </w:tcPr>
          <w:p>
            <w:pPr>
              <w:pStyle w:val="TableContents"/>
              <w:bidi w:val="0"/>
              <w:spacing w:before="0" w:after="0"/>
              <w:ind w:left="0" w:right="0" w:hanging="0"/>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949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07" w:type="dxa"/>
            <w:tcBorders/>
            <w:vAlign w:val="center"/>
          </w:tcPr>
          <w:p>
            <w:pPr>
              <w:pStyle w:val="TableContents"/>
              <w:bidi w:val="0"/>
              <w:spacing w:before="0" w:after="0"/>
              <w:ind w:left="0" w:right="0" w:hanging="0"/>
              <w:jc w:val="left"/>
              <w:rPr/>
            </w:pPr>
            <w:r>
              <w:rPr/>
              <w:t> </w:t>
            </w:r>
          </w:p>
        </w:tc>
        <w:tc>
          <w:tcPr>
            <w:tcW w:w="9498" w:type="dxa"/>
            <w:tcBorders/>
            <w:vAlign w:val="center"/>
          </w:tcPr>
          <w:p>
            <w:pPr>
              <w:pStyle w:val="TableContents"/>
              <w:bidi w:val="0"/>
              <w:spacing w:before="0" w:after="0"/>
              <w:ind w:left="0" w:right="0" w:hanging="0"/>
              <w:jc w:val="left"/>
              <w:rPr/>
            </w:pPr>
            <w:r>
              <w:rPr/>
              <w:t> </w:t>
            </w:r>
          </w:p>
        </w:tc>
      </w:tr>
      <w:tr>
        <w:trPr/>
        <w:tc>
          <w:tcPr>
            <w:tcW w:w="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94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07" w:type="dxa"/>
            <w:tcBorders/>
            <w:vAlign w:val="center"/>
          </w:tcPr>
          <w:p>
            <w:pPr>
              <w:pStyle w:val="TableContents"/>
              <w:bidi w:val="0"/>
              <w:spacing w:before="0" w:after="0"/>
              <w:ind w:left="0" w:right="0" w:hanging="0"/>
              <w:jc w:val="left"/>
              <w:rPr/>
            </w:pPr>
            <w:r>
              <w:rPr/>
              <w:t> </w:t>
            </w:r>
          </w:p>
        </w:tc>
        <w:tc>
          <w:tcPr>
            <w:tcW w:w="9498" w:type="dxa"/>
            <w:tcBorders/>
            <w:vAlign w:val="center"/>
          </w:tcPr>
          <w:p>
            <w:pPr>
              <w:pStyle w:val="TableContents"/>
              <w:bidi w:val="0"/>
              <w:spacing w:before="0" w:after="0"/>
              <w:ind w:left="0" w:right="0" w:hanging="0"/>
              <w:jc w:val="left"/>
              <w:rPr/>
            </w:pPr>
            <w:r>
              <w:rPr/>
              <w:t> </w:t>
            </w:r>
          </w:p>
        </w:tc>
      </w:tr>
      <w:tr>
        <w:trPr/>
        <w:tc>
          <w:tcPr>
            <w:tcW w:w="70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949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cover page from the Company’s Quarterly Report on Form 10-Q for the quarter ended June 30, 2023, has been formatted in Inline XBRL.</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44" w:name="signature"/>
      <w:bookmarkEnd w:id="44"/>
      <w:r>
        <w:rPr>
          <w:rFonts w:ascii="Times New Roman;serif" w:hAnsi="Times New Roman;serif"/>
          <w:b/>
          <w:sz w:val="20"/>
        </w:rPr>
        <w:t>SIGNATURE</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 on August 9, 2023.</w:t>
      </w:r>
    </w:p>
    <w:p>
      <w:pPr>
        <w:pStyle w:val="TextBody"/>
        <w:bidi w:val="0"/>
        <w:spacing w:before="0" w:after="0"/>
        <w:jc w:val="left"/>
        <w:rPr/>
      </w:pPr>
      <w:r>
        <w:rPr/>
        <w:t> </w:t>
      </w:r>
    </w:p>
    <w:tbl>
      <w:tblPr>
        <w:tblW w:w="5068" w:type="dxa"/>
        <w:jc w:val="left"/>
        <w:tblInd w:w="0" w:type="dxa"/>
        <w:tblLayout w:type="fixed"/>
        <w:tblCellMar>
          <w:top w:w="28" w:type="dxa"/>
          <w:left w:w="28" w:type="dxa"/>
          <w:bottom w:w="28" w:type="dxa"/>
          <w:right w:w="28" w:type="dxa"/>
        </w:tblCellMar>
      </w:tblPr>
      <w:tblGrid>
        <w:gridCol w:w="361"/>
        <w:gridCol w:w="146"/>
        <w:gridCol w:w="456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5068"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ORION ENERGY SYSTEMS, INC.</w:t>
            </w:r>
          </w:p>
        </w:tc>
      </w:tr>
      <w:tr>
        <w:trPr/>
        <w:tc>
          <w:tcPr>
            <w:tcW w:w="361" w:type="dxa"/>
            <w:tcBorders/>
            <w:vAlign w:val="center"/>
          </w:tcPr>
          <w:p>
            <w:pPr>
              <w:pStyle w:val="TableContents"/>
              <w:bidi w:val="0"/>
              <w:spacing w:before="0" w:after="0"/>
              <w:ind w:left="0" w:right="0" w:hanging="0"/>
              <w:jc w:val="left"/>
              <w:rPr/>
            </w:pPr>
            <w:r>
              <w:rPr/>
              <w:t> </w:t>
            </w:r>
          </w:p>
        </w:tc>
        <w:tc>
          <w:tcPr>
            <w:tcW w:w="4707" w:type="dxa"/>
            <w:gridSpan w:val="2"/>
            <w:tcBorders/>
            <w:vAlign w:val="center"/>
          </w:tcPr>
          <w:p>
            <w:pPr>
              <w:pStyle w:val="TableContents"/>
              <w:bidi w:val="0"/>
              <w:spacing w:before="0" w:after="0"/>
              <w:ind w:left="0" w:right="0" w:hanging="0"/>
              <w:jc w:val="left"/>
              <w:rPr/>
            </w:pPr>
            <w:r>
              <w:rPr/>
              <w:t> </w:t>
            </w:r>
          </w:p>
        </w:tc>
      </w:tr>
      <w:tr>
        <w:trPr/>
        <w:tc>
          <w:tcPr>
            <w:tcW w:w="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456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 Per Brodin</w:t>
            </w:r>
          </w:p>
        </w:tc>
      </w:tr>
      <w:tr>
        <w:trPr/>
        <w:tc>
          <w:tcPr>
            <w:tcW w:w="3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 Per Brodin</w:t>
            </w:r>
          </w:p>
        </w:tc>
      </w:tr>
      <w:tr>
        <w:trPr/>
        <w:tc>
          <w:tcPr>
            <w:tcW w:w="3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3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 and Authorized Signatory)</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45" w:name="oesx-ex31_1.htm"/>
      <w:bookmarkStart w:id="46" w:name="ksoesxex31_1"/>
      <w:bookmarkEnd w:id="45"/>
      <w:bookmarkEnd w:id="46"/>
      <w:r>
        <w:rPr>
          <w:rFonts w:ascii="Times New Roman;serif" w:hAnsi="Times New Roman;serif"/>
          <w:b/>
          <w:sz w:val="20"/>
        </w:rPr>
        <w:t>Exhibit 31.1</w:t>
      </w:r>
      <w:r>
        <w:br w:type="page"/>
      </w:r>
    </w:p>
    <w:p>
      <w:pPr>
        <w:pStyle w:val="TextBody"/>
        <w:bidi w:val="0"/>
        <w:spacing w:before="90" w:after="0"/>
        <w:jc w:val="center"/>
        <w:rPr>
          <w:rFonts w:ascii="Times New Roman;serif" w:hAnsi="Times New Roman;serif"/>
          <w:b/>
          <w:i/>
          <w:sz w:val="20"/>
        </w:rPr>
      </w:pPr>
      <w:r>
        <w:rPr>
          <w:rFonts w:ascii="Times New Roman;serif" w:hAnsi="Times New Roman;serif"/>
          <w:b/>
          <w:i/>
          <w:sz w:val="20"/>
        </w:rPr>
        <w:t>Certification</w:t>
      </w:r>
    </w:p>
    <w:p>
      <w:pPr>
        <w:pStyle w:val="TextBody"/>
        <w:bidi w:val="0"/>
        <w:spacing w:before="90" w:after="0"/>
        <w:jc w:val="both"/>
        <w:rPr>
          <w:rFonts w:ascii="Times New Roman;serif" w:hAnsi="Times New Roman;serif"/>
          <w:b w:val="false"/>
          <w:sz w:val="20"/>
        </w:rPr>
      </w:pPr>
      <w:r>
        <w:rPr>
          <w:rFonts w:ascii="Times New Roman;serif" w:hAnsi="Times New Roman;serif"/>
          <w:b w:val="false"/>
          <w:sz w:val="20"/>
        </w:rPr>
        <w:t>I, Michael H. Jenkins,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Orion Energy Systems,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Date: August 9, 2023</w:t>
      </w:r>
    </w:p>
    <w:p>
      <w:pPr>
        <w:pStyle w:val="TextBody"/>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0"/>
              <w:ind w:left="0" w:right="0" w:firstLine="30"/>
              <w:jc w:val="left"/>
              <w:rPr>
                <w:rFonts w:ascii="Times New Roman;serif" w:hAnsi="Times New Roman;serif"/>
                <w:b w:val="false"/>
                <w:sz w:val="20"/>
              </w:rPr>
            </w:pPr>
            <w:r>
              <w:rPr>
                <w:rFonts w:ascii="Times New Roman;serif" w:hAnsi="Times New Roman;serif"/>
                <w:b w:val="false"/>
                <w:sz w:val="20"/>
              </w:rPr>
              <w:t>/s/ Michael H. Jenkins</w:t>
            </w:r>
          </w:p>
        </w:tc>
      </w:tr>
      <w:tr>
        <w:trPr/>
        <w:tc>
          <w:tcPr>
            <w:tcW w:w="2086" w:type="dxa"/>
            <w:tcBorders/>
            <w:vAlign w:val="center"/>
          </w:tcPr>
          <w:p>
            <w:pPr>
              <w:pStyle w:val="TableContents"/>
              <w:bidi w:val="0"/>
              <w:spacing w:before="0" w:after="0"/>
              <w:ind w:left="0" w:right="0" w:firstLine="30"/>
              <w:jc w:val="both"/>
              <w:rPr>
                <w:rFonts w:ascii="Times New Roman;serif" w:hAnsi="Times New Roman;serif"/>
                <w:b w:val="false"/>
                <w:sz w:val="20"/>
              </w:rPr>
            </w:pPr>
            <w:r>
              <w:rPr>
                <w:rFonts w:ascii="Times New Roman;serif" w:hAnsi="Times New Roman;serif"/>
                <w:b w:val="false"/>
                <w:sz w:val="20"/>
              </w:rPr>
              <w:t>Michael H. Jenkins</w:t>
            </w:r>
          </w:p>
        </w:tc>
      </w:tr>
      <w:tr>
        <w:trPr/>
        <w:tc>
          <w:tcPr>
            <w:tcW w:w="2086" w:type="dxa"/>
            <w:tcBorders/>
            <w:vAlign w:val="center"/>
          </w:tcPr>
          <w:p>
            <w:pPr>
              <w:pStyle w:val="TableContents"/>
              <w:bidi w:val="0"/>
              <w:spacing w:before="0" w:after="0"/>
              <w:ind w:left="30" w:right="0" w:hanging="0"/>
              <w:jc w:val="both"/>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90" w:after="0"/>
        <w:jc w:val="right"/>
        <w:rPr/>
      </w:pPr>
      <w:r>
        <w:rPr/>
        <w:t> </w:t>
      </w:r>
    </w:p>
    <w:p>
      <w:pPr>
        <w:pStyle w:val="TextBody"/>
        <w:bidi w:val="0"/>
        <w:spacing w:before="9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47" w:name="oesx-ex31_2.htm"/>
      <w:bookmarkStart w:id="48" w:name="ksoesxex31_2"/>
      <w:bookmarkEnd w:id="47"/>
      <w:bookmarkEnd w:id="48"/>
      <w:r>
        <w:rPr>
          <w:rFonts w:ascii="Times New Roman;serif" w:hAnsi="Times New Roman;serif"/>
          <w:b/>
          <w:sz w:val="20"/>
        </w:rPr>
        <w:t>Exhibit 31.2</w:t>
      </w:r>
      <w:r>
        <w:br w:type="page"/>
      </w:r>
    </w:p>
    <w:p>
      <w:pPr>
        <w:pStyle w:val="TextBody"/>
        <w:bidi w:val="0"/>
        <w:spacing w:before="90" w:after="0"/>
        <w:jc w:val="center"/>
        <w:rPr>
          <w:rFonts w:ascii="Times New Roman;serif" w:hAnsi="Times New Roman;serif"/>
          <w:b/>
          <w:i/>
          <w:sz w:val="20"/>
        </w:rPr>
      </w:pPr>
      <w:r>
        <w:rPr>
          <w:rFonts w:ascii="Times New Roman;serif" w:hAnsi="Times New Roman;serif"/>
          <w:b/>
          <w:i/>
          <w:sz w:val="20"/>
        </w:rPr>
        <w:t>Certification</w:t>
      </w:r>
    </w:p>
    <w:p>
      <w:pPr>
        <w:pStyle w:val="TextBody"/>
        <w:bidi w:val="0"/>
        <w:spacing w:before="90" w:after="0"/>
        <w:jc w:val="both"/>
        <w:rPr>
          <w:rFonts w:ascii="Times New Roman;serif" w:hAnsi="Times New Roman;serif"/>
          <w:b w:val="false"/>
          <w:sz w:val="20"/>
        </w:rPr>
      </w:pPr>
      <w:r>
        <w:rPr>
          <w:rFonts w:ascii="Times New Roman;serif" w:hAnsi="Times New Roman;serif"/>
          <w:b w:val="false"/>
          <w:sz w:val="20"/>
        </w:rPr>
        <w:t>I, J. Per Brodin,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Orion Energy Systems,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Date: August 9, 2023</w:t>
      </w:r>
    </w:p>
    <w:p>
      <w:pPr>
        <w:pStyle w:val="TextBody"/>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026" w:type="dxa"/>
            <w:tcBorders>
              <w:bottom w:val="single" w:sz="6" w:space="0" w:color="000000"/>
            </w:tcBorders>
            <w:tcMar>
              <w:top w:w="0" w:type="dxa"/>
              <w:left w:w="0" w:type="dxa"/>
              <w:right w:w="0" w:type="dxa"/>
            </w:tcMar>
            <w:vAlign w:val="center"/>
          </w:tcPr>
          <w:p>
            <w:pPr>
              <w:pStyle w:val="TableContents"/>
              <w:bidi w:val="0"/>
              <w:spacing w:before="0" w:after="0"/>
              <w:ind w:left="0" w:right="0" w:firstLine="30"/>
              <w:jc w:val="left"/>
              <w:rPr>
                <w:rFonts w:ascii="Times New Roman;serif" w:hAnsi="Times New Roman;serif"/>
                <w:b w:val="false"/>
                <w:sz w:val="20"/>
              </w:rPr>
            </w:pPr>
            <w:r>
              <w:rPr>
                <w:rFonts w:ascii="Times New Roman;serif" w:hAnsi="Times New Roman;serif"/>
                <w:b w:val="false"/>
                <w:sz w:val="20"/>
              </w:rPr>
              <w:t>/s/ J. Per Brodin</w:t>
            </w:r>
          </w:p>
        </w:tc>
      </w:tr>
      <w:tr>
        <w:trPr/>
        <w:tc>
          <w:tcPr>
            <w:tcW w:w="2026" w:type="dxa"/>
            <w:tcBorders/>
            <w:vAlign w:val="center"/>
          </w:tcPr>
          <w:p>
            <w:pPr>
              <w:pStyle w:val="TableContents"/>
              <w:bidi w:val="0"/>
              <w:spacing w:before="0" w:after="0"/>
              <w:ind w:left="0" w:right="0" w:firstLine="30"/>
              <w:jc w:val="both"/>
              <w:rPr>
                <w:rFonts w:ascii="Times New Roman;serif" w:hAnsi="Times New Roman;serif"/>
                <w:b w:val="false"/>
                <w:sz w:val="20"/>
              </w:rPr>
            </w:pPr>
            <w:r>
              <w:rPr>
                <w:rFonts w:ascii="Times New Roman;serif" w:hAnsi="Times New Roman;serif"/>
                <w:b w:val="false"/>
                <w:sz w:val="20"/>
              </w:rPr>
              <w:t>J. Per Brodin</w:t>
            </w:r>
          </w:p>
        </w:tc>
      </w:tr>
      <w:tr>
        <w:trPr/>
        <w:tc>
          <w:tcPr>
            <w:tcW w:w="2026" w:type="dxa"/>
            <w:tcBorders/>
            <w:vAlign w:val="center"/>
          </w:tcPr>
          <w:p>
            <w:pPr>
              <w:pStyle w:val="TableContents"/>
              <w:bidi w:val="0"/>
              <w:spacing w:before="0" w:after="0"/>
              <w:ind w:left="30" w:right="0" w:hanging="0"/>
              <w:jc w:val="both"/>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49" w:name="oesx-ex32_1.htm"/>
      <w:bookmarkStart w:id="50" w:name="ksoesxex32_1"/>
      <w:bookmarkEnd w:id="49"/>
      <w:bookmarkEnd w:id="50"/>
      <w:r>
        <w:rPr>
          <w:rFonts w:ascii="Times New Roman;serif" w:hAnsi="Times New Roman;serif"/>
          <w:b/>
          <w:sz w:val="20"/>
        </w:rPr>
        <w:t>Exhibit 32.1</w:t>
      </w:r>
      <w:r>
        <w:br w:type="page"/>
      </w:r>
    </w:p>
    <w:p>
      <w:pPr>
        <w:pStyle w:val="TextBody"/>
        <w:bidi w:val="0"/>
        <w:spacing w:before="90" w:after="0"/>
        <w:jc w:val="center"/>
        <w:rPr>
          <w:rFonts w:ascii="Times New Roman;serif" w:hAnsi="Times New Roman;serif"/>
          <w:b/>
          <w:sz w:val="20"/>
        </w:rPr>
      </w:pPr>
      <w:r>
        <w:rPr>
          <w:rFonts w:ascii="Times New Roman;serif" w:hAnsi="Times New Roman;serif"/>
          <w:b/>
          <w:sz w:val="20"/>
        </w:rPr>
        <w:t>Certification of CEO Pursuant To</w:t>
      </w:r>
    </w:p>
    <w:p>
      <w:pPr>
        <w:pStyle w:val="TextBody"/>
        <w:bidi w:val="0"/>
        <w:spacing w:before="120" w:after="0"/>
        <w:jc w:val="center"/>
        <w:rPr>
          <w:rFonts w:ascii="Times New Roman;serif" w:hAnsi="Times New Roman;serif"/>
          <w:b/>
          <w:sz w:val="20"/>
        </w:rPr>
      </w:pPr>
      <w:r>
        <w:rPr>
          <w:rFonts w:ascii="Times New Roman;serif" w:hAnsi="Times New Roman;serif"/>
          <w:b/>
          <w:sz w:val="20"/>
        </w:rPr>
        <w:t>18 U.S.C. Section 1350,</w:t>
      </w:r>
    </w:p>
    <w:p>
      <w:pPr>
        <w:pStyle w:val="TextBody"/>
        <w:bidi w:val="0"/>
        <w:spacing w:before="12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12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connection with the Quarterly Report of Orion Energy Systems, Inc., a Wisconsin corporation (the “Company”), on Form 10-Q for the period ended June 30, 2023, as filed with the Securities and Exchange Commission on the date hereof (the “Report”), I, Michael H. Jenkins, Chief Executive Officer of the Company, certify, pursuant to 18 U.S.C. 1350, as adopted pursuant to Section 906 of the Sarbanes-Oxley Act of 2002, that, based on my knowledge:</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2085" w:type="dxa"/>
        <w:jc w:val="left"/>
        <w:tblInd w:w="0" w:type="dxa"/>
        <w:tblLayout w:type="fixed"/>
        <w:tblCellMar>
          <w:top w:w="28" w:type="dxa"/>
          <w:left w:w="28" w:type="dxa"/>
          <w:bottom w:w="28" w:type="dxa"/>
          <w:right w:w="28" w:type="dxa"/>
        </w:tblCellMar>
      </w:tblPr>
      <w:tblGrid>
        <w:gridCol w:w="593"/>
        <w:gridCol w:w="1492"/>
      </w:tblGrid>
      <w:tr>
        <w:trPr/>
        <w:tc>
          <w:tcPr>
            <w:tcW w:w="59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5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9, 2023</w:t>
            </w:r>
          </w:p>
        </w:tc>
      </w:tr>
      <w:tr>
        <w:trPr/>
        <w:tc>
          <w:tcPr>
            <w:tcW w:w="593" w:type="dxa"/>
            <w:tcBorders/>
            <w:vAlign w:val="center"/>
          </w:tcPr>
          <w:p>
            <w:pPr>
              <w:pStyle w:val="TableContents"/>
              <w:bidi w:val="0"/>
              <w:spacing w:before="0" w:after="0"/>
              <w:ind w:left="0" w:right="0" w:hanging="0"/>
              <w:jc w:val="left"/>
              <w:rPr/>
            </w:pPr>
            <w:r>
              <w:rPr/>
              <w:t> </w:t>
            </w:r>
          </w:p>
        </w:tc>
        <w:tc>
          <w:tcPr>
            <w:tcW w:w="1492" w:type="dxa"/>
            <w:tcBorders/>
            <w:vAlign w:val="center"/>
          </w:tcPr>
          <w:p>
            <w:pPr>
              <w:pStyle w:val="TableContents"/>
              <w:bidi w:val="0"/>
              <w:spacing w:before="0" w:after="0"/>
              <w:ind w:left="0" w:right="0" w:hanging="0"/>
              <w:jc w:val="left"/>
              <w:rPr/>
            </w:pPr>
            <w:r>
              <w:rPr/>
              <w:t> </w:t>
            </w:r>
          </w:p>
        </w:tc>
      </w:tr>
      <w:tr>
        <w:trPr/>
        <w:tc>
          <w:tcPr>
            <w:tcW w:w="2085" w:type="dxa"/>
            <w:gridSpan w:val="2"/>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Michael H. Jenkins</w:t>
            </w:r>
          </w:p>
        </w:tc>
      </w:tr>
      <w:tr>
        <w:trPr/>
        <w:tc>
          <w:tcPr>
            <w:tcW w:w="208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H. Jenkins</w:t>
            </w:r>
          </w:p>
        </w:tc>
      </w:tr>
      <w:tr>
        <w:trPr/>
        <w:tc>
          <w:tcPr>
            <w:tcW w:w="208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51" w:name="oesx-ex32_2.htm"/>
      <w:bookmarkStart w:id="52" w:name="ksoesxex32_2"/>
      <w:bookmarkEnd w:id="51"/>
      <w:bookmarkEnd w:id="52"/>
      <w:r>
        <w:rPr>
          <w:rFonts w:ascii="Times New Roman;serif" w:hAnsi="Times New Roman;serif"/>
          <w:b/>
          <w:sz w:val="20"/>
        </w:rPr>
        <w:t>Exhibit 32.2</w:t>
      </w:r>
      <w:r>
        <w:br w:type="page"/>
      </w:r>
    </w:p>
    <w:p>
      <w:pPr>
        <w:pStyle w:val="TextBody"/>
        <w:bidi w:val="0"/>
        <w:spacing w:before="90" w:after="0"/>
        <w:jc w:val="center"/>
        <w:rPr>
          <w:rFonts w:ascii="Times New Roman;serif" w:hAnsi="Times New Roman;serif"/>
          <w:b/>
          <w:sz w:val="20"/>
        </w:rPr>
      </w:pPr>
      <w:r>
        <w:rPr>
          <w:rFonts w:ascii="Times New Roman;serif" w:hAnsi="Times New Roman;serif"/>
          <w:b/>
          <w:sz w:val="20"/>
        </w:rPr>
        <w:t>Certification of CFO Pursuant To</w:t>
      </w:r>
    </w:p>
    <w:p>
      <w:pPr>
        <w:pStyle w:val="TextBody"/>
        <w:bidi w:val="0"/>
        <w:spacing w:before="120" w:after="0"/>
        <w:jc w:val="center"/>
        <w:rPr>
          <w:rFonts w:ascii="Times New Roman;serif" w:hAnsi="Times New Roman;serif"/>
          <w:b/>
          <w:sz w:val="20"/>
        </w:rPr>
      </w:pPr>
      <w:r>
        <w:rPr>
          <w:rFonts w:ascii="Times New Roman;serif" w:hAnsi="Times New Roman;serif"/>
          <w:b/>
          <w:sz w:val="20"/>
        </w:rPr>
        <w:t>18 U.S.C. Section 1350,</w:t>
      </w:r>
    </w:p>
    <w:p>
      <w:pPr>
        <w:pStyle w:val="TextBody"/>
        <w:bidi w:val="0"/>
        <w:spacing w:before="12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12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connection with the Quarterly Report of Orion Energy Systems, Inc., a Wisconsin corporation (the “Company”), on Form 10-Q for the period ended June 30, 2023,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2025" w:type="dxa"/>
        <w:jc w:val="left"/>
        <w:tblInd w:w="0" w:type="dxa"/>
        <w:tblLayout w:type="fixed"/>
        <w:tblCellMar>
          <w:top w:w="28" w:type="dxa"/>
          <w:left w:w="28" w:type="dxa"/>
          <w:bottom w:w="28" w:type="dxa"/>
          <w:right w:w="28" w:type="dxa"/>
        </w:tblCellMar>
      </w:tblPr>
      <w:tblGrid>
        <w:gridCol w:w="577"/>
        <w:gridCol w:w="1448"/>
      </w:tblGrid>
      <w:tr>
        <w:trPr/>
        <w:tc>
          <w:tcPr>
            <w:tcW w:w="57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r>
      <w:tr>
        <w:trPr/>
        <w:tc>
          <w:tcPr>
            <w:tcW w:w="577"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Date:</w:t>
            </w:r>
          </w:p>
        </w:tc>
        <w:tc>
          <w:tcPr>
            <w:tcW w:w="1448"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August 9, 2023</w:t>
            </w:r>
          </w:p>
        </w:tc>
      </w:tr>
      <w:tr>
        <w:trPr/>
        <w:tc>
          <w:tcPr>
            <w:tcW w:w="577" w:type="dxa"/>
            <w:tcBorders/>
            <w:vAlign w:val="center"/>
          </w:tcPr>
          <w:p>
            <w:pPr>
              <w:pStyle w:val="TableContents"/>
              <w:bidi w:val="0"/>
              <w:spacing w:before="0" w:after="0"/>
              <w:ind w:left="0" w:right="0" w:hanging="0"/>
              <w:jc w:val="left"/>
              <w:rPr/>
            </w:pPr>
            <w:r>
              <w:rPr/>
              <w:t> </w:t>
            </w:r>
          </w:p>
        </w:tc>
        <w:tc>
          <w:tcPr>
            <w:tcW w:w="1448" w:type="dxa"/>
            <w:tcBorders/>
            <w:vAlign w:val="center"/>
          </w:tcPr>
          <w:p>
            <w:pPr>
              <w:pStyle w:val="TableContents"/>
              <w:bidi w:val="0"/>
              <w:spacing w:before="0" w:after="0"/>
              <w:ind w:left="0" w:right="0" w:hanging="0"/>
              <w:jc w:val="left"/>
              <w:rPr/>
            </w:pPr>
            <w:r>
              <w:rPr/>
              <w:t> </w:t>
            </w:r>
          </w:p>
        </w:tc>
      </w:tr>
      <w:tr>
        <w:trPr/>
        <w:tc>
          <w:tcPr>
            <w:tcW w:w="2025" w:type="dxa"/>
            <w:gridSpan w:val="2"/>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 Per Brodin</w:t>
            </w:r>
          </w:p>
        </w:tc>
      </w:tr>
      <w:tr>
        <w:trPr/>
        <w:tc>
          <w:tcPr>
            <w:tcW w:w="2025" w:type="dxa"/>
            <w:gridSpan w:val="2"/>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J. Per Brodin</w:t>
            </w:r>
          </w:p>
        </w:tc>
      </w:tr>
      <w:tr>
        <w:trPr/>
        <w:tc>
          <w:tcPr>
            <w:tcW w:w="202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13250</Words>
  <Characters>72741</Characters>
  <CharactersWithSpaces>86642</CharactersWithSpaces>
  <Paragraphs>4345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