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480" w:right="880" w:hanging="445"/>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81" w:lineRule="exact"/>
        <w:rPr>
          <w:rFonts w:ascii="MS PGothic" w:cs="MS PGothic" w:eastAsia="MS PGothic" w:hAnsi="MS PGothic"/>
          <w:sz w:val="22"/>
          <w:szCs w:val="22"/>
          <w:color w:val="auto"/>
        </w:rPr>
      </w:pPr>
    </w:p>
    <w:p>
      <w:pPr>
        <w:ind w:left="48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March 31, 2016</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460" w:right="130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 w:lineRule="exact"/>
        <w:rPr>
          <w:sz w:val="24"/>
          <w:szCs w:val="24"/>
          <w:color w:val="auto"/>
        </w:rPr>
      </w:pPr>
    </w:p>
    <w:p>
      <w:pPr>
        <w:ind w:left="46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to</w:t>
      </w:r>
    </w:p>
    <w:p>
      <w:pPr>
        <w:spacing w:after="0" w:line="200" w:lineRule="exact"/>
        <w:rPr>
          <w:sz w:val="24"/>
          <w:szCs w:val="24"/>
          <w:color w:val="auto"/>
        </w:rPr>
      </w:pPr>
    </w:p>
    <w:p>
      <w:pPr>
        <w:sectPr>
          <w:pgSz w:w="11900" w:h="16838" w:orient="portrait"/>
          <w:cols w:equalWidth="0" w:num="2">
            <w:col w:w="3720" w:space="720"/>
            <w:col w:w="6980"/>
          </w:cols>
          <w:pgMar w:left="240" w:top="233" w:right="239" w:bottom="0" w:gutter="0" w:footer="0" w:header="0"/>
          <w:type w:val="continuous"/>
        </w:sect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Commission File Number: 001-33887</w:t>
      </w:r>
    </w:p>
    <w:p>
      <w:pPr>
        <w:spacing w:after="0" w:line="10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ectPr>
          <w:pgSz w:w="11900" w:h="16838" w:orient="portrait"/>
          <w:cols w:equalWidth="0" w:num="1">
            <w:col w:w="11420"/>
          </w:cols>
          <w:pgMar w:left="240" w:top="233" w:right="239" w:bottom="0" w:gutter="0" w:footer="0" w:header="0"/>
          <w:type w:val="continuous"/>
        </w:sectPr>
      </w:pP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Orion Energy Systems, Inc.</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6360" w:type="dxa"/>
            <w:vAlign w:val="bottom"/>
          </w:tcPr>
          <w:p>
            <w:pPr>
              <w:jc w:val="center"/>
              <w:ind w:right="3320"/>
              <w:spacing w:after="0"/>
              <w:rPr>
                <w:sz w:val="20"/>
                <w:szCs w:val="20"/>
                <w:color w:val="auto"/>
              </w:rPr>
            </w:pPr>
            <w:r>
              <w:rPr>
                <w:rFonts w:ascii="Arial" w:cs="Arial" w:eastAsia="Arial" w:hAnsi="Arial"/>
                <w:sz w:val="18"/>
                <w:szCs w:val="18"/>
                <w:b w:val="1"/>
                <w:bCs w:val="1"/>
                <w:color w:val="auto"/>
                <w:w w:val="88"/>
              </w:rPr>
              <w:t>Wisconsin</w:t>
            </w:r>
          </w:p>
        </w:tc>
        <w:tc>
          <w:tcPr>
            <w:tcW w:w="1320" w:type="dxa"/>
            <w:vAlign w:val="bottom"/>
          </w:tcPr>
          <w:p>
            <w:pPr>
              <w:jc w:val="right"/>
              <w:ind w:right="6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6360" w:type="dxa"/>
            <w:vAlign w:val="bottom"/>
          </w:tcPr>
          <w:p>
            <w:pPr>
              <w:jc w:val="center"/>
              <w:ind w:right="3320"/>
              <w:spacing w:after="0"/>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60" w:type="dxa"/>
            <w:vAlign w:val="bottom"/>
          </w:tcPr>
          <w:p>
            <w:pPr>
              <w:jc w:val="center"/>
              <w:ind w:right="3320"/>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6360" w:type="dxa"/>
            <w:vAlign w:val="bottom"/>
          </w:tcPr>
          <w:p>
            <w:pPr>
              <w:jc w:val="center"/>
              <w:ind w:right="3320"/>
              <w:spacing w:after="0"/>
              <w:rPr>
                <w:sz w:val="20"/>
                <w:szCs w:val="20"/>
                <w:color w:val="auto"/>
              </w:rPr>
            </w:pPr>
            <w:r>
              <w:rPr>
                <w:rFonts w:ascii="Arial" w:cs="Arial" w:eastAsia="Arial" w:hAnsi="Arial"/>
                <w:sz w:val="18"/>
                <w:szCs w:val="18"/>
                <w:b w:val="1"/>
                <w:bCs w:val="1"/>
                <w:color w:val="auto"/>
                <w:w w:val="93"/>
              </w:rPr>
              <w:t>2210 Woodland Drive, Manitowoc, WI</w:t>
            </w:r>
          </w:p>
        </w:tc>
        <w:tc>
          <w:tcPr>
            <w:tcW w:w="1320" w:type="dxa"/>
            <w:vAlign w:val="bottom"/>
          </w:tcPr>
          <w:p>
            <w:pPr>
              <w:jc w:val="right"/>
              <w:ind w:right="261"/>
              <w:spacing w:after="0"/>
              <w:rPr>
                <w:sz w:val="20"/>
                <w:szCs w:val="20"/>
                <w:color w:val="auto"/>
              </w:rPr>
            </w:pPr>
            <w:r>
              <w:rPr>
                <w:rFonts w:ascii="Arial" w:cs="Arial" w:eastAsia="Arial" w:hAnsi="Arial"/>
                <w:sz w:val="18"/>
                <w:szCs w:val="18"/>
                <w:b w:val="1"/>
                <w:bCs w:val="1"/>
                <w:color w:val="auto"/>
              </w:rPr>
              <w:t>54220</w:t>
            </w:r>
          </w:p>
        </w:tc>
      </w:tr>
      <w:tr>
        <w:trPr>
          <w:trHeight w:val="218"/>
        </w:trPr>
        <w:tc>
          <w:tcPr>
            <w:tcW w:w="6360" w:type="dxa"/>
            <w:vAlign w:val="bottom"/>
          </w:tcPr>
          <w:p>
            <w:pPr>
              <w:jc w:val="center"/>
              <w:ind w:right="3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360" w:type="dxa"/>
            <w:vAlign w:val="bottom"/>
          </w:tcPr>
          <w:p>
            <w:pPr>
              <w:jc w:val="right"/>
              <w:ind w:right="1180"/>
              <w:spacing w:after="0"/>
              <w:rPr>
                <w:sz w:val="20"/>
                <w:szCs w:val="20"/>
                <w:color w:val="auto"/>
              </w:rPr>
            </w:pPr>
            <w:r>
              <w:rPr>
                <w:rFonts w:ascii="Arial" w:cs="Arial" w:eastAsia="Arial" w:hAnsi="Arial"/>
                <w:sz w:val="18"/>
                <w:szCs w:val="18"/>
                <w:b w:val="1"/>
                <w:bCs w:val="1"/>
                <w:color w:val="auto"/>
              </w:rPr>
              <w:t>(920) 892-9340</w:t>
            </w:r>
          </w:p>
        </w:tc>
        <w:tc>
          <w:tcPr>
            <w:tcW w:w="1320" w:type="dxa"/>
            <w:vAlign w:val="bottom"/>
          </w:tcPr>
          <w:p>
            <w:pPr>
              <w:spacing w:after="0"/>
              <w:rPr>
                <w:sz w:val="24"/>
                <w:szCs w:val="24"/>
                <w:color w:val="auto"/>
              </w:rPr>
            </w:pPr>
          </w:p>
        </w:tc>
      </w:tr>
      <w:tr>
        <w:trPr>
          <w:trHeight w:val="186"/>
        </w:trPr>
        <w:tc>
          <w:tcPr>
            <w:tcW w:w="6360" w:type="dxa"/>
            <w:vAlign w:val="bottom"/>
          </w:tcPr>
          <w:p>
            <w:pPr>
              <w:jc w:val="center"/>
              <w:ind w:left="26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20" w:type="dxa"/>
            <w:vAlign w:val="bottom"/>
          </w:tcPr>
          <w:p>
            <w:pPr>
              <w:spacing w:after="0"/>
              <w:rPr>
                <w:sz w:val="16"/>
                <w:szCs w:val="16"/>
                <w:color w:val="auto"/>
              </w:rPr>
            </w:pP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53"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780" w:type="dxa"/>
            <w:vAlign w:val="bottom"/>
          </w:tcPr>
          <w:p>
            <w:pPr>
              <w:spacing w:after="0"/>
              <w:rPr>
                <w:sz w:val="14"/>
                <w:szCs w:val="14"/>
                <w:color w:val="auto"/>
              </w:rPr>
            </w:pPr>
          </w:p>
        </w:tc>
        <w:tc>
          <w:tcPr>
            <w:tcW w:w="5560" w:type="dxa"/>
            <w:vAlign w:val="bottom"/>
            <w:gridSpan w:val="5"/>
          </w:tcPr>
          <w:p>
            <w:pPr>
              <w:jc w:val="center"/>
              <w:ind w:left="2456"/>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580" w:type="dxa"/>
            <w:vAlign w:val="bottom"/>
          </w:tcPr>
          <w:p>
            <w:pPr>
              <w:spacing w:after="0"/>
              <w:rPr>
                <w:sz w:val="14"/>
                <w:szCs w:val="14"/>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49"/>
        </w:trPr>
        <w:tc>
          <w:tcPr>
            <w:tcW w:w="366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no par value</w:t>
            </w:r>
          </w:p>
        </w:tc>
        <w:tc>
          <w:tcPr>
            <w:tcW w:w="2640" w:type="dxa"/>
            <w:vAlign w:val="bottom"/>
          </w:tcPr>
          <w:p>
            <w:pPr>
              <w:spacing w:after="0"/>
              <w:rPr>
                <w:sz w:val="21"/>
                <w:szCs w:val="21"/>
                <w:color w:val="auto"/>
              </w:rPr>
            </w:pPr>
          </w:p>
        </w:tc>
        <w:tc>
          <w:tcPr>
            <w:tcW w:w="26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The Nasdaq Stock Market LLC</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(NASDAQ Captial Market)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6"/>
        </w:trPr>
        <w:tc>
          <w:tcPr>
            <w:tcW w:w="366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purchase rights</w:t>
            </w:r>
          </w:p>
        </w:tc>
        <w:tc>
          <w:tcPr>
            <w:tcW w:w="2640" w:type="dxa"/>
            <w:vAlign w:val="bottom"/>
          </w:tcPr>
          <w:p>
            <w:pPr>
              <w:spacing w:after="0"/>
              <w:rPr>
                <w:sz w:val="22"/>
                <w:szCs w:val="22"/>
                <w:color w:val="auto"/>
              </w:rPr>
            </w:pPr>
          </w:p>
        </w:tc>
        <w:tc>
          <w:tcPr>
            <w:tcW w:w="262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The Nasdaq Stock Market LLC</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20" w:type="dxa"/>
            <w:vAlign w:val="bottom"/>
            <w:gridSpan w:val="2"/>
          </w:tcPr>
          <w:p>
            <w:pPr>
              <w:jc w:val="center"/>
              <w:ind w:left="90"/>
              <w:spacing w:after="0"/>
              <w:rPr>
                <w:sz w:val="20"/>
                <w:szCs w:val="20"/>
                <w:color w:val="auto"/>
              </w:rPr>
            </w:pPr>
            <w:r>
              <w:rPr>
                <w:rFonts w:ascii="Arial" w:cs="Arial" w:eastAsia="Arial" w:hAnsi="Arial"/>
                <w:sz w:val="18"/>
                <w:szCs w:val="18"/>
                <w:color w:val="auto"/>
                <w:w w:val="95"/>
              </w:rPr>
              <w:t>(NASDAQ Captial Market)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06"/>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8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0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88"/>
              </w:rPr>
              <w:t>None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84"/>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2"/>
          </w:tcPr>
          <w:p>
            <w:pPr>
              <w:jc w:val="center"/>
              <w:ind w:right="1590"/>
              <w:spacing w:after="0"/>
              <w:rPr>
                <w:sz w:val="20"/>
                <w:szCs w:val="20"/>
                <w:color w:val="auto"/>
              </w:rPr>
            </w:pPr>
            <w:r>
              <w:rPr>
                <w:rFonts w:ascii="Arial" w:cs="Arial" w:eastAsia="Arial" w:hAnsi="Arial"/>
                <w:sz w:val="18"/>
                <w:szCs w:val="18"/>
                <w:color w:val="auto"/>
                <w:w w:val="89"/>
              </w:rPr>
              <w:t>______________________________</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4"/>
        </w:trPr>
        <w:tc>
          <w:tcPr>
            <w:tcW w:w="856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60" w:type="dxa"/>
            <w:vAlign w:val="bottom"/>
          </w:tcPr>
          <w:p>
            <w:pPr>
              <w:ind w:left="80"/>
              <w:spacing w:after="0"/>
              <w:rPr>
                <w:sz w:val="20"/>
                <w:szCs w:val="20"/>
                <w:color w:val="auto"/>
              </w:rPr>
            </w:pPr>
            <w:r>
              <w:rPr>
                <w:rFonts w:ascii="Arial" w:cs="Arial" w:eastAsia="Arial" w:hAnsi="Arial"/>
                <w:sz w:val="18"/>
                <w:szCs w:val="18"/>
                <w:color w:val="auto"/>
                <w:w w:val="83"/>
              </w:rPr>
              <w:t>Yes</w:t>
            </w:r>
          </w:p>
        </w:tc>
        <w:tc>
          <w:tcPr>
            <w:tcW w:w="30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1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378"/>
        </w:trPr>
        <w:tc>
          <w:tcPr>
            <w:tcW w:w="856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28"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6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3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64" w:lineRule="exact"/>
        <w:rPr>
          <w:sz w:val="24"/>
          <w:szCs w:val="24"/>
          <w:color w:val="auto"/>
        </w:rPr>
      </w:pPr>
    </w:p>
    <w:p>
      <w:pPr>
        <w:sectPr>
          <w:pgSz w:w="11900" w:h="16838" w:orient="portrait"/>
          <w:cols w:equalWidth="0" w:num="4">
            <w:col w:w="1660" w:space="440"/>
            <w:col w:w="3600" w:space="720"/>
            <w:col w:w="3380" w:space="720"/>
            <w:col w:w="900"/>
          </w:cols>
          <w:pgMar w:left="240" w:top="233" w:right="239" w:bottom="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4">
            <w:col w:w="1560" w:space="540"/>
            <w:col w:w="3600" w:space="720"/>
            <w:col w:w="3380" w:space="720"/>
            <w:col w:w="900"/>
          </w:cols>
          <w:pgMar w:left="240" w:top="233" w:right="239" w:bottom="0" w:gutter="0" w:footer="0" w:header="0"/>
          <w:type w:val="continuous"/>
        </w:sectPr>
      </w:pPr>
    </w:p>
    <w:p>
      <w:pPr>
        <w:ind w:left="440"/>
        <w:spacing w:after="0" w:line="207" w:lineRule="exact"/>
        <w:tabs>
          <w:tab w:leader="none" w:pos="884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0" w:gutter="0" w:footer="0" w:header="0"/>
          <w:type w:val="continuous"/>
        </w:sectPr>
      </w:pPr>
    </w:p>
    <w:p>
      <w:pPr>
        <w:spacing w:after="0" w:line="76" w:lineRule="exact"/>
        <w:rPr>
          <w:sz w:val="24"/>
          <w:szCs w:val="24"/>
          <w:color w:val="auto"/>
        </w:rPr>
      </w:pPr>
    </w:p>
    <w:p>
      <w:pPr>
        <w:ind w:right="360" w:firstLine="405"/>
        <w:spacing w:after="0" w:line="238" w:lineRule="auto"/>
        <w:rPr>
          <w:sz w:val="20"/>
          <w:szCs w:val="20"/>
          <w:color w:val="auto"/>
        </w:rPr>
      </w:pPr>
      <w:r>
        <w:rPr>
          <w:rFonts w:ascii="Arial" w:cs="Arial" w:eastAsia="Arial" w:hAnsi="Arial"/>
          <w:sz w:val="18"/>
          <w:szCs w:val="18"/>
          <w:color w:val="auto"/>
        </w:rPr>
        <w:t>The aggregate market value of shares of the Registrant’s common stock held by non-affiliates as of September 30, 2015, the last business day of the Registrant’s most recently completed second fiscal quarter, was approximately $40,265,665.</w:t>
      </w:r>
    </w:p>
    <w:p>
      <w:pPr>
        <w:sectPr>
          <w:pgSz w:w="11900" w:h="16838" w:orient="portrait"/>
          <w:cols w:equalWidth="0" w:num="1">
            <w:col w:w="11420"/>
          </w:cols>
          <w:pgMar w:left="240" w:top="233" w:right="239" w:bottom="0" w:gutter="0" w:footer="0" w:header="0"/>
          <w:type w:val="continuous"/>
        </w:sectPr>
      </w:pPr>
    </w:p>
    <w:bookmarkStart w:id="1" w:name="page2"/>
    <w:bookmarkEnd w:id="1"/>
    <w:p>
      <w:pPr>
        <w:ind w:left="440"/>
        <w:spacing w:after="0"/>
        <w:rPr>
          <w:sz w:val="20"/>
          <w:szCs w:val="20"/>
          <w:color w:val="auto"/>
        </w:rPr>
      </w:pPr>
      <w:r>
        <w:rPr>
          <w:rFonts w:ascii="Arial" w:cs="Arial" w:eastAsia="Arial" w:hAnsi="Arial"/>
          <w:sz w:val="18"/>
          <w:szCs w:val="18"/>
          <w:color w:val="auto"/>
        </w:rPr>
        <w:t>As of June 9, 2016, there were 28,059,351 shares of the Registrant’s common stock outstanding.</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7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Proxy Statement for the 2016 Annual Meeting of Shareholders to be held on August 3, 2016 are incorporated herein by reference in Part III of this Annual Report on Form 10-K.</w:t>
      </w:r>
    </w:p>
    <w:p>
      <w:pPr>
        <w:sectPr>
          <w:pgSz w:w="11900" w:h="16838" w:orient="portrait"/>
          <w:cols w:equalWidth="0" w:num="1">
            <w:col w:w="10920"/>
          </w:cols>
          <w:pgMar w:left="240" w:top="287" w:right="7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rPr>
              <w:t>ORION ENERGY SYSTEMS,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4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auto"/>
                <w:w w:val="99"/>
              </w:rPr>
              <w:t>FOR THE YEAR ENDED MARCH 31, 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0" w:type="dxa"/>
            <w:vAlign w:val="bottom"/>
            <w:gridSpan w:val="12"/>
          </w:tcPr>
          <w:p>
            <w:pPr>
              <w:jc w:val="center"/>
              <w:ind w:right="4440"/>
              <w:spacing w:after="0"/>
              <w:rPr>
                <w:sz w:val="20"/>
                <w:szCs w:val="20"/>
                <w:color w:val="auto"/>
              </w:rPr>
            </w:pPr>
            <w:r>
              <w:rPr>
                <w:rFonts w:ascii="Arial" w:cs="Arial" w:eastAsia="Arial" w:hAnsi="Arial"/>
                <w:sz w:val="18"/>
                <w:szCs w:val="18"/>
                <w:b w:val="1"/>
                <w:bCs w:val="1"/>
                <w:color w:val="auto"/>
                <w:w w:val="89"/>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9"/>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79"/>
              </w:rPr>
              <w:t>Page</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8"/>
          </w:tcPr>
          <w:p>
            <w:pPr>
              <w:jc w:val="center"/>
              <w:ind w:right="5140"/>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4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540" w:type="dxa"/>
            <w:vAlign w:val="bottom"/>
            <w:tcBorders>
              <w:top w:val="single" w:sz="8" w:color="0000EE"/>
            </w:tcBorders>
          </w:tcPr>
          <w:p>
            <w:pPr>
              <w:spacing w:after="0"/>
              <w:rPr>
                <w:sz w:val="21"/>
                <w:szCs w:val="21"/>
                <w:color w:val="auto"/>
              </w:rPr>
            </w:pPr>
          </w:p>
        </w:tc>
        <w:tc>
          <w:tcPr>
            <w:tcW w:w="5140" w:type="dxa"/>
            <w:vAlign w:val="bottom"/>
            <w:gridSpan w:val="7"/>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540" w:type="dxa"/>
            <w:vAlign w:val="bottom"/>
            <w:gridSpan w:val="4"/>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Item 1A Risk Factors</w:t>
              </w:r>
            </w:hyperlink>
          </w:p>
        </w:tc>
        <w:tc>
          <w:tcPr>
            <w:tcW w:w="9540" w:type="dxa"/>
            <w:vAlign w:val="bottom"/>
            <w:gridSpan w:val="2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80" w:type="dxa"/>
            <w:vAlign w:val="bottom"/>
            <w:gridSpan w:val="10"/>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1B Unresolved Staff Comments</w:t>
              </w:r>
            </w:hyperlink>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Item 2 Properties</w:t>
              </w:r>
            </w:hyperlink>
          </w:p>
        </w:tc>
        <w:tc>
          <w:tcPr>
            <w:tcW w:w="1440" w:type="dxa"/>
            <w:vAlign w:val="bottom"/>
            <w:gridSpan w:val="7"/>
          </w:tcPr>
          <w:p>
            <w:pPr>
              <w:spacing w:after="0"/>
              <w:rPr>
                <w:sz w:val="21"/>
                <w:szCs w:val="21"/>
                <w:color w:val="auto"/>
              </w:rPr>
            </w:pPr>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40" w:type="dxa"/>
            <w:vAlign w:val="bottom"/>
            <w:gridSpan w:val="5"/>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3 Legal Proceedings</w:t>
              </w:r>
            </w:hyperlink>
          </w:p>
        </w:tc>
        <w:tc>
          <w:tcPr>
            <w:tcW w:w="9240" w:type="dxa"/>
            <w:vAlign w:val="bottom"/>
            <w:gridSpan w:val="21"/>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 Mine Safety Disclosures</w:t>
              </w:r>
            </w:hyperlink>
          </w:p>
        </w:tc>
        <w:tc>
          <w:tcPr>
            <w:tcW w:w="28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50"/>
        </w:trPr>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PART II</w:t>
              </w:r>
            </w:hyperlink>
          </w:p>
        </w:tc>
        <w:tc>
          <w:tcPr>
            <w:tcW w:w="5100" w:type="dxa"/>
            <w:vAlign w:val="bottom"/>
            <w:gridSpan w:val="6"/>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 Market for Registrant’s Common Equity, Related Shareholder Matters and Issuer Purchases of Equity Securities</w:t>
              </w:r>
            </w:hyperlink>
          </w:p>
        </w:tc>
        <w:tc>
          <w:tcPr>
            <w:tcW w:w="28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20" w:type="dxa"/>
            <w:vAlign w:val="bottom"/>
            <w:gridSpan w:val="7"/>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6 Selected Financial Data</w:t>
              </w:r>
            </w:hyperlink>
          </w:p>
        </w:tc>
        <w:tc>
          <w:tcPr>
            <w:tcW w:w="6360" w:type="dxa"/>
            <w:vAlign w:val="bottom"/>
            <w:gridSpan w:val="18"/>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7 Management’s Discussion and Analysis of Financial Condition and Results of Operations</w:t>
              </w:r>
            </w:hyperlink>
          </w:p>
        </w:tc>
        <w:tc>
          <w:tcPr>
            <w:tcW w:w="28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0" w:type="dxa"/>
            <w:vAlign w:val="bottom"/>
            <w:gridSpan w:val="15"/>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7A Quantitative and Qualitative Disclosures About Market Risk</w:t>
              </w:r>
            </w:hyperlink>
          </w:p>
        </w:tc>
        <w:tc>
          <w:tcPr>
            <w:tcW w:w="1960" w:type="dxa"/>
            <w:vAlign w:val="bottom"/>
            <w:gridSpan w:val="7"/>
          </w:tcPr>
          <w:p>
            <w:pPr>
              <w:spacing w:after="0"/>
              <w:rPr>
                <w:sz w:val="21"/>
                <w:szCs w:val="21"/>
                <w:color w:val="auto"/>
              </w:rPr>
            </w:pPr>
          </w:p>
        </w:tc>
        <w:tc>
          <w:tcPr>
            <w:tcW w:w="4120" w:type="dxa"/>
            <w:vAlign w:val="bottom"/>
            <w:gridSpan w:val="4"/>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40" w:type="dxa"/>
            <w:vAlign w:val="bottom"/>
            <w:gridSpan w:val="1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6080" w:type="dxa"/>
            <w:vAlign w:val="bottom"/>
            <w:gridSpan w:val="11"/>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9 Changes in and Disagreements with Accountants on Accounting and Financial Disclosure</w:t>
              </w:r>
            </w:hyperlink>
          </w:p>
        </w:tc>
        <w:tc>
          <w:tcPr>
            <w:tcW w:w="280" w:type="dxa"/>
            <w:vAlign w:val="bottom"/>
            <w:gridSpan w:val="3"/>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Item 9A Controls and Procedures</w:t>
              </w:r>
            </w:hyperlink>
          </w:p>
        </w:tc>
        <w:tc>
          <w:tcPr>
            <w:tcW w:w="4580" w:type="dxa"/>
            <w:vAlign w:val="bottom"/>
            <w:gridSpan w:val="14"/>
          </w:tcPr>
          <w:p>
            <w:pPr>
              <w:spacing w:after="0"/>
              <w:rPr>
                <w:sz w:val="21"/>
                <w:szCs w:val="21"/>
                <w:color w:val="auto"/>
              </w:rPr>
            </w:pPr>
          </w:p>
        </w:tc>
        <w:tc>
          <w:tcPr>
            <w:tcW w:w="4100" w:type="dxa"/>
            <w:vAlign w:val="bottom"/>
            <w:gridSpan w:val="3"/>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9B Other Information</w:t>
              </w:r>
            </w:hyperlink>
          </w:p>
        </w:tc>
        <w:tc>
          <w:tcPr>
            <w:tcW w:w="8680" w:type="dxa"/>
            <w:vAlign w:val="bottom"/>
            <w:gridSpan w:val="17"/>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50"/>
        </w:trPr>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Arial" w:cs="Arial" w:eastAsia="Arial" w:hAnsi="Arial"/>
                <w:sz w:val="18"/>
                <w:szCs w:val="18"/>
                <w:color w:val="0000EE"/>
                <w:w w:val="96"/>
              </w:rPr>
            </w:pPr>
            <w:hyperlink w:anchor="page72">
              <w:r>
                <w:rPr>
                  <w:rFonts w:ascii="Arial" w:cs="Arial" w:eastAsia="Arial" w:hAnsi="Arial"/>
                  <w:sz w:val="18"/>
                  <w:szCs w:val="18"/>
                  <w:color w:val="0000EE"/>
                  <w:w w:val="96"/>
                </w:rPr>
                <w:t>PART III</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34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10 Directors, Executive Officers and Corporate Governance</w:t>
              </w:r>
            </w:hyperlink>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11 Executive Compensation</w:t>
              </w:r>
            </w:hyperlink>
          </w:p>
        </w:tc>
        <w:tc>
          <w:tcPr>
            <w:tcW w:w="2280" w:type="dxa"/>
            <w:vAlign w:val="bottom"/>
            <w:gridSpan w:val="5"/>
          </w:tcPr>
          <w:p>
            <w:pPr>
              <w:spacing w:after="0"/>
              <w:rPr>
                <w:sz w:val="21"/>
                <w:szCs w:val="21"/>
                <w:color w:val="auto"/>
              </w:rPr>
            </w:pPr>
          </w:p>
        </w:tc>
        <w:tc>
          <w:tcPr>
            <w:tcW w:w="6400" w:type="dxa"/>
            <w:vAlign w:val="bottom"/>
            <w:gridSpan w:val="1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12 Security Ownership of Certain Beneficial Owners and Management and Related Shareholder Matters</w:t>
              </w:r>
            </w:hyperlink>
          </w:p>
        </w:tc>
        <w:tc>
          <w:tcPr>
            <w:tcW w:w="2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80" w:type="dxa"/>
            <w:vAlign w:val="bottom"/>
            <w:gridSpan w:val="2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13 Certain Relationships and Related Transactions, and Director Independence</w:t>
              </w:r>
            </w:hyperlink>
          </w:p>
        </w:tc>
        <w:tc>
          <w:tcPr>
            <w:tcW w:w="3200" w:type="dxa"/>
            <w:vAlign w:val="bottom"/>
            <w:gridSpan w:val="2"/>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4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14 Principal Accountant Fees and Services</w:t>
              </w:r>
            </w:hyperlink>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50"/>
        </w:trPr>
        <w:tc>
          <w:tcPr>
            <w:tcW w:w="7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Arial" w:cs="Arial" w:eastAsia="Arial" w:hAnsi="Arial"/>
                <w:sz w:val="18"/>
                <w:szCs w:val="18"/>
                <w:color w:val="0000EE"/>
                <w:w w:val="94"/>
              </w:rPr>
            </w:pPr>
            <w:hyperlink w:anchor="page72">
              <w:r>
                <w:rPr>
                  <w:rFonts w:ascii="Arial" w:cs="Arial" w:eastAsia="Arial" w:hAnsi="Arial"/>
                  <w:sz w:val="18"/>
                  <w:szCs w:val="18"/>
                  <w:color w:val="0000EE"/>
                  <w:w w:val="94"/>
                </w:rPr>
                <w:t>PART IV</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760" w:type="dxa"/>
            <w:vAlign w:val="bottom"/>
            <w:gridSpan w:val="1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15 Exhibits and Financial Statement Schedules</w:t>
              </w:r>
            </w:hyperlink>
          </w:p>
        </w:tc>
        <w:tc>
          <w:tcPr>
            <w:tcW w:w="1580" w:type="dxa"/>
            <w:vAlign w:val="bottom"/>
            <w:gridSpan w:val="4"/>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76">
              <w:r>
                <w:rPr>
                  <w:rFonts w:ascii="Arial" w:cs="Arial" w:eastAsia="Arial" w:hAnsi="Arial"/>
                  <w:sz w:val="18"/>
                  <w:szCs w:val="18"/>
                  <w:color w:val="0000EE"/>
                  <w:w w:val="85"/>
                </w:rPr>
                <w:t>Signatures</w:t>
              </w:r>
            </w:hyperlink>
          </w:p>
        </w:tc>
        <w:tc>
          <w:tcPr>
            <w:tcW w:w="3000" w:type="dxa"/>
            <w:vAlign w:val="bottom"/>
            <w:gridSpan w:val="11"/>
          </w:tcPr>
          <w:p>
            <w:pPr>
              <w:spacing w:after="0"/>
              <w:rPr>
                <w:sz w:val="21"/>
                <w:szCs w:val="21"/>
                <w:color w:val="auto"/>
              </w:rPr>
            </w:pPr>
          </w:p>
        </w:tc>
        <w:tc>
          <w:tcPr>
            <w:tcW w:w="7320" w:type="dxa"/>
            <w:vAlign w:val="bottom"/>
            <w:gridSpan w:val="14"/>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939"/>
        </w:trPr>
        <w:tc>
          <w:tcPr>
            <w:tcW w:w="760" w:type="dxa"/>
            <w:vAlign w:val="bottom"/>
            <w:tcBorders>
              <w:top w:val="single" w:sz="8" w:color="0000EE"/>
            </w:tcBorders>
          </w:tcPr>
          <w:p>
            <w:pPr>
              <w:spacing w:after="0"/>
              <w:rPr>
                <w:sz w:val="24"/>
                <w:szCs w:val="24"/>
                <w:color w:val="auto"/>
              </w:rPr>
            </w:pPr>
          </w:p>
        </w:tc>
        <w:tc>
          <w:tcPr>
            <w:tcW w:w="5180" w:type="dxa"/>
            <w:vAlign w:val="bottom"/>
            <w:gridSpan w:val="18"/>
          </w:tcPr>
          <w:p>
            <w:pPr>
              <w:jc w:val="center"/>
              <w:ind w:left="455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This Annual Report on Form 10-K includes forward-looking statements that are based on Orion Energy System's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77"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sustain profitability and positive cash flows;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levels of cash and our limited borrowing capacity under our bank line of credit;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additional debt financing and/or equity capital;</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reliance on third parties for the manufacture and development of products and product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increasing emphasis on selling more of our products through third party distributors and sales agents;</w:t>
      </w:r>
    </w:p>
    <w:p>
      <w:pPr>
        <w:spacing w:after="0" w:line="9"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major sources of recurring revenue and the potential consequences of the loss of one or more key customers or suppliers, including key contacts at such customers;</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deterioration of market conditions, including our dependence on customers' capital budgets for sales of products and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complete and execute our strategy in a highly competitive market and our ability to respond successfully to market competition;</w:t>
      </w:r>
    </w:p>
    <w:p>
      <w:pPr>
        <w:spacing w:after="0" w:line="20" w:lineRule="exact"/>
        <w:rPr>
          <w:rFonts w:ascii="Arial" w:cs="Arial" w:eastAsia="Arial" w:hAnsi="Arial"/>
          <w:sz w:val="17"/>
          <w:szCs w:val="17"/>
          <w:color w:val="auto"/>
        </w:rPr>
      </w:pPr>
    </w:p>
    <w:p>
      <w:pPr>
        <w:ind w:left="5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 of focusing on lighting solutions using Light Emitting Diode (“LED”) technologies in lieu of traditional High Intensity Fluorescent (“HIF”) lighting upon which our business has historically relied;</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acceptance of our products and services;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cost savings from cost reduction initiatives;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of, and participation in, new product and technology offerings or applications;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 including expansion of our Orion Distribution Services division;</w:t>
      </w:r>
    </w:p>
    <w:p>
      <w:pPr>
        <w:spacing w:after="0" w:line="9" w:lineRule="exact"/>
        <w:rPr>
          <w:rFonts w:ascii="Arial" w:cs="Arial" w:eastAsia="Arial" w:hAnsi="Arial"/>
          <w:sz w:val="18"/>
          <w:szCs w:val="18"/>
          <w:color w:val="auto"/>
        </w:rPr>
      </w:pPr>
    </w:p>
    <w:p>
      <w:pPr>
        <w:ind w:left="540" w:right="38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developments with respect to litigation and other legal matters pursuant to which we are subject, including the ongoing litigation initiated against us by our former chief executive officer;</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covenants in our revolving credit agreement;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 duration of customer sales cycles;</w:t>
      </w:r>
    </w:p>
    <w:p>
      <w:pPr>
        <w:spacing w:after="0" w:line="9" w:lineRule="exact"/>
        <w:rPr>
          <w:rFonts w:ascii="Arial" w:cs="Arial" w:eastAsia="Arial" w:hAnsi="Arial"/>
          <w:sz w:val="18"/>
          <w:szCs w:val="18"/>
          <w:color w:val="auto"/>
        </w:rPr>
      </w:pPr>
    </w:p>
    <w:p>
      <w:pPr>
        <w:ind w:left="540" w:right="36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fluctuating quarterly results of operations as we focus on new LED technologies and continue to focus investing in our third party distribution sales channel;</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hire and retain talented individuals in all disciplines of our company;</w:t>
      </w:r>
    </w:p>
    <w:p>
      <w:pPr>
        <w:spacing w:after="0" w:line="9" w:lineRule="exact"/>
        <w:rPr>
          <w:rFonts w:ascii="Arial" w:cs="Arial" w:eastAsia="Arial" w:hAnsi="Arial"/>
          <w:sz w:val="18"/>
          <w:szCs w:val="18"/>
          <w:color w:val="auto"/>
        </w:rPr>
      </w:pPr>
    </w:p>
    <w:p>
      <w:pPr>
        <w:ind w:left="540" w:right="540" w:hanging="316"/>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hire sales talent to increase our in-market sales and our ability to pursue an expanded third-party sales channel through distribution and sales agents;</w:t>
      </w: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fluctuations, shortages or interruptions of component supplies and raw materials used to manufacture our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product inventory to provide our products to customers on a timely basis;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defend our patent portfolio;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in the price of electricity;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comply with, and the effects of, any current and future government regulations, laws and policies;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warranty claims in excess of our reserve estimates.</w:t>
      </w:r>
    </w:p>
    <w:p>
      <w:pPr>
        <w:spacing w:after="0" w:line="157" w:lineRule="exact"/>
        <w:rPr>
          <w:sz w:val="20"/>
          <w:szCs w:val="20"/>
          <w:color w:val="auto"/>
        </w:rPr>
      </w:pPr>
    </w:p>
    <w:p>
      <w:pPr>
        <w:ind w:firstLine="405"/>
        <w:spacing w:after="0" w:line="235" w:lineRule="auto"/>
        <w:rPr>
          <w:sz w:val="20"/>
          <w:szCs w:val="20"/>
          <w:color w:val="auto"/>
        </w:rPr>
      </w:pPr>
      <w:r>
        <w:rPr>
          <w:rFonts w:ascii="Arial" w:cs="Arial" w:eastAsia="Arial" w:hAnsi="Arial"/>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21" w:lineRule="exact"/>
        <w:rPr>
          <w:sz w:val="20"/>
          <w:szCs w:val="20"/>
          <w:color w:val="auto"/>
        </w:rPr>
      </w:pPr>
    </w:p>
    <w:p>
      <w:pPr>
        <w:ind w:right="20" w:firstLine="405"/>
        <w:spacing w:after="0" w:line="258" w:lineRule="auto"/>
        <w:rPr>
          <w:sz w:val="20"/>
          <w:szCs w:val="20"/>
          <w:color w:val="auto"/>
        </w:rPr>
      </w:pPr>
      <w:r>
        <w:rPr>
          <w:rFonts w:ascii="Arial" w:cs="Arial" w:eastAsia="Arial" w:hAnsi="Arial"/>
          <w:sz w:val="17"/>
          <w:szCs w:val="17"/>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 leading designer and manufacturer of high-performance, energy-efficient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(i.) commercial office and retail; (ii.) area lighting and (iii.) industrial applications, although we do sell and install products into other markets. Virtually all of our sales occur within North America.</w:t>
      </w:r>
    </w:p>
    <w:p>
      <w:pPr>
        <w:spacing w:after="0" w:line="18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are primarily focused on providing commercial and industrial facilities lighting retrofit solutions in North America using solid state Light Emitting Diode (“LED”) technology. Our principal customers include national accounts, energy service companies, electrical contractors and electrical distributors. Currently, substantially all of our products are manufactured at our production facility location in Manitowoc, Wisconsin, although we are increasingly sourcing products and components from third parties as the LED market continues to evolve in order to have versatility in our product development.</w:t>
      </w:r>
    </w:p>
    <w:p>
      <w:pPr>
        <w:spacing w:after="0" w:line="15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While we continue to provide solutions using our legacy High Intensity Fluorescent (“HIF”) technology, we believe the market for lighting products has shifted to LED lighting systems. Compared to legacy lighting systems, LED lighting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other legacy technologies. LED lighting technologies are now the primary component of our revenue as we strive to be the leader in the industry transition to LED lighting technology. According to a July 2015 United States Department of Energy report ("DOE report"), we estimate the potential North American LED retrofit market within our key product categories to be approximately 1.1 billion lighting fixtures. In fiscal 2016, our LED lighting sales totaled $45,679,000, or 71%, of our total lighting product revenue, compared to $30,800,000, or 48%, of our total lighting product revenue for fiscal 2015. We plan to continue to primarily focus on developing and selling innovative LED products, although we will continue to market and sell legacy HIF solutions in circumstances in which LED solutions may not be our customers' best alternative.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3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U.S. Markets Division ("USM"), Orion Engineered Systems Division ("OES"), and Orion Distribution Services Division ("ODS").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 ("USM")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USM division develops and sells our commercial lighting systems and energy management systems to the wholesale contractor markets.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Markets customers include domestic energy service companies ("ESCOs") and electrical contractors.</w:t>
      </w:r>
    </w:p>
    <w:p>
      <w:pPr>
        <w:spacing w:after="0" w:line="2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in-market sales force is focused on developing indirect customers which have represented a larger portion of our lighting revenue in recent years. We believe the effective expansion of our indirect customer base will help to increase our total revenue and operating profit to the extent we are successful in increasing our overall market coverage and awareness in regional and local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 ("OES")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OES division develops and sells lighting products and provides construction and engineering services for our commercial LED and High Intensity Fluorescent ("HIF") lighting and energy management systems. OES provides turnkey solutions for large national accounts, governments, municipalities and schools.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 ("ODS")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ODS division focuses on selling our lighting products through manufacturer representative agencies and a network of broadline North American distributors. ODS had growth in fiscal 2016 to revenues of $2,476,000 from revenues of $978,000 in fiscal 2015, with a majority of that business transacting through broadline distributors.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results by reportable segment, please refer to Note 10, "Segment Data" in our consolidated financial statements included in Item 8 of this Annual Report.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are primarily focused on providing commercial and industrial facilities lighting retrofit solutions in North America using solid state LED technology. While we continue to provide solutions using our legacy HIF technology, we believe the market for lighting products has shifted to LED lighting systems. Compared to legacy lighting systems,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w:t>
      </w:r>
    </w:p>
    <w:p>
      <w:pPr>
        <w:spacing w:after="0" w:line="1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products deliver energy savings and efficiency gains to our commercial and industrial customers without compromising their quantity or quality of light. We estimate that our energy management systems reduce our customers’ lighting-related electricity costs by approximately 50% to 80%, while increasing their quantity of light by approximately 50% and improving lighting quality when replacing traditional fixtures. Our customers typically realize a one to three year payback period from electricity cost savings generated by our lighting systems without considering utility incentives or government subsidies. We have sold and installed our lighting products in over 13,550 facilities across North America, representing approximately 2 billion square feet of commercial and industrial building space, including sales to 178 of the Fortune 500 companies.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Energy-efficient lighting systems are cost-effective and environmentally responsible solutions allowing end users to reduce operating expenses. Based on a July 2015 report published by the United States Department of Energy, or DOE, we estimate the potential North American HIF and LED retrofit market within our primary markets to be approximately 7 billion lighting fixtures. Our primary markets are: (i) commercial office and retail, (ii) area lighting and (iii) industrial high bay applications.</w:t>
      </w:r>
    </w:p>
    <w:p>
      <w:pPr>
        <w:spacing w:after="0" w:line="1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Commercial office and retail. </w:t>
      </w:r>
      <w:r>
        <w:rPr>
          <w:rFonts w:ascii="Arial" w:cs="Arial" w:eastAsia="Arial" w:hAnsi="Arial"/>
          <w:sz w:val="18"/>
          <w:szCs w:val="18"/>
          <w:color w:val="auto"/>
        </w:rPr>
        <w:t>Our commercial office and retail market includes commercial office buildings, retail store fronts, government offices,</w:t>
      </w:r>
      <w:r>
        <w:rPr>
          <w:rFonts w:ascii="Arial" w:cs="Arial" w:eastAsia="Arial" w:hAnsi="Arial"/>
          <w:sz w:val="18"/>
          <w:szCs w:val="18"/>
          <w:i w:val="1"/>
          <w:iCs w:val="1"/>
          <w:color w:val="auto"/>
        </w:rPr>
        <w:t xml:space="preserve"> </w:t>
      </w:r>
      <w:r>
        <w:rPr>
          <w:rFonts w:ascii="Arial" w:cs="Arial" w:eastAsia="Arial" w:hAnsi="Arial"/>
          <w:sz w:val="18"/>
          <w:szCs w:val="18"/>
          <w:color w:val="auto"/>
        </w:rPr>
        <w:t>schools and other buildings with traditional ten to twelve foot ceiling heights. The DOE estimates that there are approximately 980 million office troffer fixtures within the United States, which is a rectangular light fixture that fits into a modular dropped ceiling grid. We believe we have the opportunity to increase our revenue by serving this market with our LED Door Retrofit, or LDR</w:t>
      </w:r>
      <w:r>
        <w:rPr>
          <w:rFonts w:ascii="Arial" w:cs="Arial" w:eastAsia="Arial" w:hAnsi="Arial"/>
          <w:sz w:val="18"/>
          <w:szCs w:val="18"/>
          <w:color w:val="auto"/>
          <w:vertAlign w:val="superscript"/>
        </w:rPr>
        <w:t>TM</w:t>
      </w:r>
      <w:r>
        <w:rPr>
          <w:rFonts w:ascii="Arial" w:cs="Arial" w:eastAsia="Arial" w:hAnsi="Arial"/>
          <w:sz w:val="18"/>
          <w:szCs w:val="18"/>
          <w:color w:val="auto"/>
        </w:rPr>
        <w:t>, lighting solutions.</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Area lighting. </w:t>
      </w:r>
      <w:r>
        <w:rPr>
          <w:rFonts w:ascii="Arial" w:cs="Arial" w:eastAsia="Arial" w:hAnsi="Arial"/>
          <w:sz w:val="18"/>
          <w:szCs w:val="18"/>
          <w:color w:val="auto"/>
        </w:rPr>
        <w:t>Our market for area lighting includes parking garages, surface lots, automobile dealerships and gas service stations. The DOE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there are approximately 65 million area lighting fixtures within the United States and an additional 44 million roadway lighting fixtures in the United States.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Industrial applications. </w:t>
      </w:r>
      <w:r>
        <w:rPr>
          <w:rFonts w:ascii="Arial" w:cs="Arial" w:eastAsia="Arial" w:hAnsi="Arial"/>
          <w:sz w:val="18"/>
          <w:szCs w:val="18"/>
          <w:color w:val="auto"/>
        </w:rPr>
        <w:t>Our market for industrial facilities includes manufacturing facilities, distribution and warehouse facilities, government buildings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agricultural buildings. These facilities typically contain high bay lighting fixtures. The DOE estimates that there are approximately 139 million low/high bay fixtures within the United States. We estimate that approximately 50% of this market still utilizes inefficient High Intensity Discharge ("HID") lighting technologies.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Commercial and industrial facilities in the United States employ a variety of lighting technologies, including HID, traditional fluorescents, LED and incandescent lighting fixtures. Our lighting systems typically replace less efficient HID and HIF fixtures. According to the Electric Power Research Institute, or EPRI, HID fixtures only convert approximately 36% of the energy they consume into visible light. We estimate our lighting systems generally reduce lighting-related electricity costs by approximately 50% to 80% compared to HID fixtures, while increasing the quantity of light by approximately 50% and improving lighting quality.</w:t>
      </w:r>
    </w:p>
    <w:p>
      <w:pPr>
        <w:spacing w:after="0" w:line="18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49 states, through legislation, regulation or voluntary action, have seen their utilities design and fund programs that promote or deliver energy efficiency. In fact, as of May 31, 2016, only Alaska, Delaware, and Maine do not currently have some form of utility or state energy efficiency programs for any of their commercial or industrial customers. Our products are not solely dependent upon these incentive programs, but we do believe that these incentive programs provide an important benefit as our customers evaluate their out-of-pocket cash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50/50 Value Proposition. </w:t>
      </w:r>
      <w:r>
        <w:rPr>
          <w:rFonts w:ascii="Arial" w:cs="Arial" w:eastAsia="Arial" w:hAnsi="Arial"/>
          <w:sz w:val="16"/>
          <w:szCs w:val="16"/>
          <w:color w:val="auto"/>
        </w:rPr>
        <w:t>We estimate our lighting systems generally reduce lighting-related electricity costs by approximately 50% to 80%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legacy fixtures, while increasing the quantity of light by approximately 50% and improving lighting quality. In the commercial office and retail markets, we estimate our lighting systems generally reduce electricity costs by 50%. From December 1, 2001 through March 31, 2016, we believe that the use of our HIF and LED fixtures has saved our customers $3.7 billion in electricity costs and reduced their energy consumption by 48.2 billion kWh.</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Multi-Facility Roll-Out Capability. </w:t>
      </w:r>
      <w:r>
        <w:rPr>
          <w:rFonts w:ascii="Arial" w:cs="Arial" w:eastAsia="Arial" w:hAnsi="Arial"/>
          <w:sz w:val="17"/>
          <w:szCs w:val="17"/>
          <w:color w:val="auto"/>
        </w:rPr>
        <w:t>We offer our customers a single source, turnkey solution for project implementation in which we manage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responsibility 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Rapid Payback Period. </w:t>
      </w:r>
      <w:r>
        <w:rPr>
          <w:rFonts w:ascii="Arial" w:cs="Arial" w:eastAsia="Arial" w:hAnsi="Arial"/>
          <w:sz w:val="16"/>
          <w:szCs w:val="16"/>
          <w:color w:val="auto"/>
        </w:rPr>
        <w:t>In most retrofit projects where we replace HID and HIF fixtures, our customers typically realize a one to three year payback</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on our lighting systems. These returns are achieved without considering utility incentives or government subsidies (although subsidies and incentives are continually being made available to our customers and us in connection with the installation of our systems that further shorten payback periods).</w:t>
      </w:r>
    </w:p>
    <w:p>
      <w:pPr>
        <w:spacing w:after="0" w:line="14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Easy Installation, Implementation and Maintenance. </w:t>
      </w:r>
      <w:r>
        <w:rPr>
          <w:rFonts w:ascii="Arial" w:cs="Arial" w:eastAsia="Arial" w:hAnsi="Arial"/>
          <w:sz w:val="16"/>
          <w:szCs w:val="16"/>
          <w:color w:val="auto"/>
        </w:rPr>
        <w:t>Most of our HIF and LED fixtures are designed with a lightweight construction and modular plug-and-play architecture that allows for fast and easy installation, facilitates maintenance and allows for easy integration of other components of our energy management system. Our office LED LDR</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products are designed to allow for a fast and easy installation without disrupting the ceiling space or the office work 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Expanded Product Offerings. </w:t>
      </w:r>
      <w:r>
        <w:rPr>
          <w:rFonts w:ascii="Arial" w:cs="Arial" w:eastAsia="Arial" w:hAnsi="Arial"/>
          <w:sz w:val="18"/>
          <w:szCs w:val="18"/>
          <w:color w:val="auto"/>
        </w:rPr>
        <w:t>We are committed to continue developing LED product offerings in all of the markets we serve.</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Environmental Benefits. </w:t>
      </w:r>
      <w:r>
        <w:rPr>
          <w:rFonts w:ascii="Arial" w:cs="Arial" w:eastAsia="Arial" w:hAnsi="Arial"/>
          <w:sz w:val="18"/>
          <w:szCs w:val="18"/>
          <w:color w:val="auto"/>
        </w:rPr>
        <w:t>By allowing for the permanent reduction of electricity consumption, our energy management systems reduce indirect CO2</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are a negative by-product of energy generation. We estimate that one of our LED or HIF lighting systems, when replacing a standard HID fixture, displaces 0.245 kW of electricity, which, based on information provided by the EPA, reduces a customer’s indirect CO2 emissions by approximately 1.2 tons per year. Based on these figures, we estimate that the use of our HIF and LED fixtures has reduced indirect CO2 emissions by approximately 29.3 million tons through March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Compelling Value Proposition. </w:t>
      </w:r>
      <w:r>
        <w:rPr>
          <w:rFonts w:ascii="Arial" w:cs="Arial" w:eastAsia="Arial" w:hAnsi="Arial"/>
          <w:sz w:val="17"/>
          <w:szCs w:val="17"/>
          <w:color w:val="auto"/>
        </w:rPr>
        <w:t>By permanently reducing lighting-related electricity usage, our systems enable our customers to achieve significant cost</w:t>
      </w:r>
      <w:r>
        <w:rPr>
          <w:rFonts w:ascii="Arial" w:cs="Arial" w:eastAsia="Arial" w:hAnsi="Arial"/>
          <w:sz w:val="17"/>
          <w:szCs w:val="17"/>
          <w:i w:val="1"/>
          <w:iCs w:val="1"/>
          <w:color w:val="auto"/>
        </w:rPr>
        <w:t xml:space="preserve"> </w:t>
      </w:r>
      <w:r>
        <w:rPr>
          <w:rFonts w:ascii="Arial" w:cs="Arial" w:eastAsia="Arial" w:hAnsi="Arial"/>
          <w:sz w:val="17"/>
          <w:szCs w:val="17"/>
          <w:color w:val="auto"/>
        </w:rPr>
        <w:t>savings, without compromising the quantity or quality of light in their facilities. As a result, our products offer our customers a rapid return on their investment, without relying on government subsidies or utility incentives. We also offer our customers a single source solution whereby we manage and are responsible for the entire project, including installation, across the entire North American real estate portfolio. Our ability to offer such a turnkey, national solution allows us to deliver energy reductions and cost savings to our customers in timely, orderly and planned multi-facility roll-outs.</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Large and Growing Customer Base. </w:t>
      </w:r>
      <w:r>
        <w:rPr>
          <w:rFonts w:ascii="Arial" w:cs="Arial" w:eastAsia="Arial" w:hAnsi="Arial"/>
          <w:sz w:val="17"/>
          <w:szCs w:val="17"/>
          <w:color w:val="auto"/>
        </w:rPr>
        <w:t>We have developed a large and growing national customer base, and have installed our products in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13,550 commercial and 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Innovative Technology. </w:t>
      </w:r>
      <w:r>
        <w:rPr>
          <w:rFonts w:ascii="Arial" w:cs="Arial" w:eastAsia="Arial" w:hAnsi="Arial"/>
          <w:sz w:val="18"/>
          <w:szCs w:val="18"/>
          <w:color w:val="auto"/>
        </w:rPr>
        <w:t>We have developed a portfolio of 67 United States patents primarily covering various elements of our products. We believe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innovations allow our products to produce more light output per unit of input energy compared to competition. We also have 29 patents pending that primarily cover various elements of our newly developed LED products and certain business methods. To complement our innovative energy management products, we have introduced integrated energy management services to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Expanded Sales Network. </w:t>
      </w:r>
      <w:r>
        <w:rPr>
          <w:rFonts w:ascii="Arial" w:cs="Arial" w:eastAsia="Arial" w:hAnsi="Arial"/>
          <w:sz w:val="18"/>
          <w:szCs w:val="18"/>
          <w:color w:val="auto"/>
        </w:rPr>
        <w:t>In addition to selling directly to electrical distribution customers, we sell our lighting products and services to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We now have relationships with more than 100 resellers and distributors that are represented by a North American network of independent lighting agencies. We intend to continue to selectively build our sales network in the future with a focus on geographic regions where we do not currently have a strong sales presence.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Emphasize LED Product and Market. </w:t>
      </w:r>
      <w:r>
        <w:rPr>
          <w:rFonts w:ascii="Arial" w:cs="Arial" w:eastAsia="Arial" w:hAnsi="Arial"/>
          <w:sz w:val="18"/>
          <w:szCs w:val="18"/>
          <w:color w:val="auto"/>
        </w:rPr>
        <w:t>We believe the market for lighting products has experienced a significant technology shift to LED lighting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Accordingly, our primary focus is on our lighting and retrofit solutions using LED technologies.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Expanded Sales Network and Salesforce. </w:t>
      </w:r>
      <w:r>
        <w:rPr>
          <w:rFonts w:ascii="Arial" w:cs="Arial" w:eastAsia="Arial" w:hAnsi="Arial"/>
          <w:sz w:val="18"/>
          <w:szCs w:val="18"/>
          <w:color w:val="auto"/>
        </w:rPr>
        <w:t>In addition to selling directly to national account customers, we sell our lighting products and services to end</w:t>
      </w:r>
      <w:r>
        <w:rPr>
          <w:rFonts w:ascii="Arial" w:cs="Arial" w:eastAsia="Arial" w:hAnsi="Arial"/>
          <w:sz w:val="18"/>
          <w:szCs w:val="18"/>
          <w:i w:val="1"/>
          <w:iCs w:val="1"/>
          <w:color w:val="auto"/>
        </w:rPr>
        <w:t xml:space="preserve"> </w:t>
      </w:r>
      <w:r>
        <w:rPr>
          <w:rFonts w:ascii="Arial" w:cs="Arial" w:eastAsia="Arial" w:hAnsi="Arial"/>
          <w:sz w:val="18"/>
          <w:szCs w:val="18"/>
          <w:color w:val="auto"/>
        </w:rPr>
        <w:t>users through electrical distributors. During fiscal 2016, we engaged more than 18 manufacturer representative agencies to expand our reach with the broadline distributors and further enhance our ability to grow revenue. We now have relationships with more than 100 resellers and distributors that are represented by a North American network of independent lighting agencies. We continue to expand our sales network and we are also maintaining our in-market sales force which generates revenue through our independent channels.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Develop New Sources of Revenue Through Expanded Product Offerings. </w:t>
      </w:r>
      <w:r>
        <w:rPr>
          <w:rFonts w:ascii="Arial" w:cs="Arial" w:eastAsia="Arial" w:hAnsi="Arial"/>
          <w:sz w:val="18"/>
          <w:szCs w:val="18"/>
          <w:color w:val="auto"/>
        </w:rPr>
        <w:t>We have expanded our role and product offerings in the LED marketplace, and</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increase sales of LED fixtures for commercial office and retail applications, schools and government buildings, freezer and cold storage applications, exterior area applications, as well as high bay interior applications.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Leverage Existing Customer Base. </w:t>
      </w:r>
      <w:r>
        <w:rPr>
          <w:rFonts w:ascii="Arial" w:cs="Arial" w:eastAsia="Arial" w:hAnsi="Arial"/>
          <w:sz w:val="18"/>
          <w:szCs w:val="18"/>
          <w:color w:val="auto"/>
        </w:rPr>
        <w:t>Over the last several years, we have focused on expanding our relationships with our existing customers by</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from single-site facility implementations to comprehensive enterprise-wide roll-outs of our lighting products. We also intend to leverage our large installed base of HIF lighting systems to implement all aspects of our energy management system, particularly LED lighting products, wireless controls, cloud-based power data analysis and storage capabilities for our existing customers.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Continue to Improve Operational Efficiencies. </w:t>
      </w:r>
      <w:r>
        <w:rPr>
          <w:rFonts w:ascii="Arial" w:cs="Arial" w:eastAsia="Arial" w:hAnsi="Arial"/>
          <w:sz w:val="18"/>
          <w:szCs w:val="18"/>
          <w:color w:val="auto"/>
        </w:rPr>
        <w:t>We are focused on continually improving the efficiency of our operations to increase the profitability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business and allow us to continue to deliver our compelling value proposition.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Create a Culture to Support Growth. </w:t>
      </w:r>
      <w:r>
        <w:rPr>
          <w:rFonts w:ascii="Arial" w:cs="Arial" w:eastAsia="Arial" w:hAnsi="Arial"/>
          <w:sz w:val="18"/>
          <w:szCs w:val="18"/>
          <w:color w:val="auto"/>
        </w:rPr>
        <w:t>We are focused on establishing a corporate culture that embraces high expectations and performance to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drive innovation, efficiency and deliver superior results to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primary focus has been, and will continue to be, emphasizing our LED lighting fixtures. Currently, substantially all of our products are manufactured at our production facility location in Manitowoc, Wisconsin, although we are increasingly sourcing products and components from third parties as the LED market continues to evolve in order to have versatility in our product development. However, we do not anticipate significant changes in product sourcing in the near term. We are focused on researching, developing and/or acquiring new LED products and technologies that are innovative in the retrofit markets, such as the LED door retrofit and exterior LED lighting products. We plan to focus our efforts on creating innovative LED retrofit products while continuing to sell legacy HIF solutions to customers in markets where LED technology adoption is in its infancy. Together with these products, we offer our customers a variety of integrated energy management services, such as system design, project management and installation.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description of our primary products: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LED Troffer Door Retrofit (LDR</w:t>
      </w:r>
      <w:r>
        <w:rPr>
          <w:rFonts w:ascii="Arial" w:cs="Arial" w:eastAsia="Arial" w:hAnsi="Arial"/>
          <w:sz w:val="18"/>
          <w:szCs w:val="18"/>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The LDR</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to replace existing 4 foot by 2 foot and 2 foot by 2 foot fluorescent troffers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frequently found in office or retail grid ceilings. Our LDR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product is unique in that the LED optics and electronics are housed within the door frame which allows for installation of the product in approximately one to two minutes. The product provides reduced maintenance expenses based upon improved LED chips.</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Interior LED High Bay Fixtures: </w:t>
      </w:r>
      <w:r>
        <w:rPr>
          <w:rFonts w:ascii="Arial" w:cs="Arial" w:eastAsia="Arial" w:hAnsi="Arial"/>
          <w:sz w:val="18"/>
          <w:szCs w:val="18"/>
          <w:color w:val="auto"/>
        </w:rPr>
        <w:t>Our LED interior high bay lighting products consist of our Harris high bay, Apollo</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high bay and ISON® high bay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Our ISON® class of LED interior fixture offers a full package of premium features, including low total cost of ownership, optics that currently exceed competitors in terms of lumen package, delivered light, modularity and advanced thermal management. Our Apollo</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class of LED interior fixtures is designed for new construction and retrofit projects where initial cost is the largest factor in the purchase decision. In addition, our LED interior lighting products are lightweight and, we believe, easy to handle, which further reduces installation and maintenance costs and helps to build brand loyalty with electrical contractors and installers.</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Exterior LED Fixtures: </w:t>
      </w:r>
      <w:r>
        <w:rPr>
          <w:rFonts w:ascii="Arial" w:cs="Arial" w:eastAsia="Arial" w:hAnsi="Arial"/>
          <w:sz w:val="18"/>
          <w:szCs w:val="18"/>
          <w:color w:val="auto"/>
        </w:rPr>
        <w:t>In October 2014, we launched a suite of new exterior LED lighting products including our Orion ISON® Class LED Exterior</w:t>
      </w:r>
      <w:r>
        <w:rPr>
          <w:rFonts w:ascii="Arial" w:cs="Arial" w:eastAsia="Arial" w:hAnsi="Arial"/>
          <w:sz w:val="18"/>
          <w:szCs w:val="18"/>
          <w:i w:val="1"/>
          <w:iCs w:val="1"/>
          <w:color w:val="auto"/>
        </w:rPr>
        <w:t xml:space="preserve"> </w:t>
      </w:r>
      <w:r>
        <w:rPr>
          <w:rFonts w:ascii="Arial" w:cs="Arial" w:eastAsia="Arial" w:hAnsi="Arial"/>
          <w:sz w:val="18"/>
          <w:szCs w:val="18"/>
          <w:color w:val="auto"/>
        </w:rPr>
        <w:t>Area Fixture and our Apollo</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LED Exterior Area Light and Apollo</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LED Wall Pack. Our patent pending ISON® class LED exterior area fixture offers a full package of premium features, including low total cost of ownership, optics that exceed competitors in terms of lumen package, delivered light, modularity, advanced thermal management, and numerous accessory options (such as ambient sensors and fixture color). Our ISON® class LED Wall Pack is a wall mounted fixture to complement our ISON® class LED Area Light. Our Apollo</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LED Exterior Area Light and Apollo</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LED Wall Pack are designed to meet the market demand for long life exterior applications. Our exterior Apollo</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line products are ideal for new construction and retrofit projects where initial cost is the largest factor in the purchase decision.</w:t>
      </w:r>
    </w:p>
    <w:p>
      <w:pPr>
        <w:spacing w:after="0" w:line="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Smart Lighting Controls. </w:t>
      </w:r>
      <w:r>
        <w:rPr>
          <w:rFonts w:ascii="Arial" w:cs="Arial" w:eastAsia="Arial" w:hAnsi="Arial"/>
          <w:sz w:val="17"/>
          <w:szCs w:val="17"/>
          <w:color w:val="auto"/>
        </w:rPr>
        <w:t>We offer a broad array of smart building control systems that have either been developed by us under the InteLite brand, or</w:t>
      </w:r>
      <w:r>
        <w:rPr>
          <w:rFonts w:ascii="Arial" w:cs="Arial" w:eastAsia="Arial" w:hAnsi="Arial"/>
          <w:sz w:val="17"/>
          <w:szCs w:val="17"/>
          <w:i w:val="1"/>
          <w:iCs w:val="1"/>
          <w:color w:val="auto"/>
        </w:rPr>
        <w:t xml:space="preserve"> </w:t>
      </w:r>
      <w:r>
        <w:rPr>
          <w:rFonts w:ascii="Arial" w:cs="Arial" w:eastAsia="Arial" w:hAnsi="Arial"/>
          <w:sz w:val="17"/>
          <w:szCs w:val="17"/>
          <w:color w:val="auto"/>
        </w:rPr>
        <w:t>procured from third parties. These control systems provide both lighting control options (such as occupancy, daylight, or schedule control) and data intelligence capabilities for building managers to log, monitor, and analyze use of space, energy savings, and provide physical security of the space.</w:t>
      </w:r>
    </w:p>
    <w:p>
      <w:pPr>
        <w:spacing w:after="0" w:line="16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Other Products. </w:t>
      </w:r>
      <w:r>
        <w:rPr>
          <w:rFonts w:ascii="Arial" w:cs="Arial" w:eastAsia="Arial" w:hAnsi="Arial"/>
          <w:sz w:val="17"/>
          <w:szCs w:val="17"/>
          <w:color w:val="auto"/>
        </w:rPr>
        <w:t>We also offer our customers a variety of other LED, HIF, and induction fixtures to address their lighting and energy management needs,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fixtures designed for agribusinesses, parking lots, roadways, retail, mezzanine, outdoor applications and private label resale.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warranty policy generally provides for a limited one-year warranty on our HIF products and a limited five-year warranty on our LED products, although we do offer warranties ranging up to 10 years for certain LED products. Ballasts, lamps, drivers, LED chips and other electrical components are excluded from our standard warranty as they are covered by separate warranties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offered by the original equipment manufacturers. We coordinate and process customer warranty inquiries and claims, including inquiries and claims relating to ballast and lamp components, through our customer service department.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provide a range of fee-based lighting-related energy management services to our customers, including:</w:t>
      </w:r>
    </w:p>
    <w:p>
      <w:pPr>
        <w:spacing w:after="0" w:line="225"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comprehensive site assessment, which includes a review of the current lighting requirements and energy usage at the customer’s facility;</w:t>
      </w:r>
    </w:p>
    <w:p>
      <w:pPr>
        <w:spacing w:after="0" w:line="236" w:lineRule="exact"/>
        <w:rPr>
          <w:rFonts w:ascii="Arial" w:cs="Arial" w:eastAsia="Arial" w:hAnsi="Arial"/>
          <w:sz w:val="17"/>
          <w:szCs w:val="17"/>
          <w:color w:val="auto"/>
        </w:rPr>
      </w:pPr>
    </w:p>
    <w:p>
      <w:pPr>
        <w:ind w:left="740" w:hanging="327"/>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site field verification, or SFV, during which we perform a test implementation of our energy management system at a customer’s facility;</w:t>
      </w:r>
    </w:p>
    <w:p>
      <w:pPr>
        <w:spacing w:after="0" w:line="236" w:lineRule="exact"/>
        <w:rPr>
          <w:rFonts w:ascii="Arial" w:cs="Arial" w:eastAsia="Arial" w:hAnsi="Arial"/>
          <w:sz w:val="17"/>
          <w:szCs w:val="17"/>
          <w:color w:val="auto"/>
        </w:rPr>
      </w:pPr>
    </w:p>
    <w:p>
      <w:pPr>
        <w:ind w:left="74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utility incentive and government subsidy management, where we assist our customers in identifying, applying for and obtaining available utility incentives or government subsidies;</w:t>
      </w:r>
    </w:p>
    <w:p>
      <w:pPr>
        <w:spacing w:after="0" w:line="170"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181"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installation services, for our products, which we provide through our national network of qualified third-party installers;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recycling in connection with our retrofit installations, where we remove, dispose of and recycle our customer’s legacy lighting fixtures.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provide other services which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primarily target commercial, institutional and industrial customers who have warehousing, manufacturing, and office facilities. As of March 31, 2016, we have installed our products in 13,550 commercial and industrial facilities across North America. In fiscal 2016, there was no single customer that accounted for more than 10% of our total revenue. In fiscal 2015 we had one customer, Ford Motor Company, that accounted for 12% of our total revenue. In fiscal 2014, we had one customer, Standard Alternative LLC, that accounted for 23% of our total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sell our products in one of two ways: (i) directly to commercial and industrial customers using a systematic multi-step process that focuses on our value proposition and provides our sales force with a specific protocol for working with our customers from the point of lead generation through delivery of our products and services; and (ii) indirectly through independent sales agencies and electrical distributors. We believe that partnering with an agency sales force focused on providing technical product and sales support to our customers provides us with a greater potential for revenue growth. Our Distribution Services division focuses on developing and expanding customer relationships with broadline distributors. During fiscal 2016, we engaged more than 18 manufacturer representative agencies to expand our reach with broadline distributors and further enhance our ability to grow revenue. We attempt to leverage the customer relationships of these customers to further extend the geographic scope of our selling efforts. We work cooperatively with our indirect channels through participation in national trade organizations and by providing training on our sales methodologies. We intend to continue to selectively expand our independent sales network, focusing on those geographic regions where we lack sufficient sales coverage.</w:t>
      </w:r>
    </w:p>
    <w:p>
      <w:pPr>
        <w:spacing w:after="0" w:line="1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market for energy-efficient lighting products and services is fragmented. We face strong competition primarily from manufacturers and distributors of lighting products and services as well as electrical contractors. We compete primarily on the basis of technology, performance, quality, customer experience, energy efficiency, customer service and marketing support.</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are a number of lighting fixture manufacturers that sell LED and HIF products that compete with our lighting product lines. Lighting companies such as Acuity Brands, Inc., Carmanah Technology Corporation, Energy Focus, Inc., Eaton Corporation plc, Cree, Inc., LSI Industries, Inc., Revolution Lighting Technologies Inc., TCP International Holdings, Inc., and Hubbell Incorporated are some of our main competitors within the commercial and industrial markets.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face competition from companies who provide energy management services. Some of these competitors, such as Ameresco, Inc., Johnson Controls, Inc. and Honeywell International, provide basic systems and controls designed to further energy efficiency.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2016, we had been issued 67 United States patents and have applied for 29 additional United States patents. The patented and patent pending technologies cover various innovative elements of our products, including our HIF and LED fixtures. Our patented LDR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believe that our patent portfolio as a whole is material to our business. We also believe that our patents covering our ability to manage the thermal and optical performance of our LED and HIF lighting products are material to our business, and that the loss of these patents could significantly and adversely affect our business, operating results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Backlog represents the amount of revenue that we expect to realize in the future as a result of firm, committed orders. Backlog as of March 31, 2016 and 2015 totaled $5,600,000 and $7,100,000, respectively. We generally expect our backlog to become revenue within one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22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own an approximately 266,000 square foot manufacturing and distribution facility located in Manitowoc, Wisconsin, where substantially all of our products are manufactured. As part of our business initiatives to adapt to the rapidly evolving LED market and to continue to enhance our competitiveness, we are considering implementing significant changes to our manufacturing production and assembly facility and processes.</w:t>
      </w:r>
    </w:p>
    <w:p>
      <w:pPr>
        <w:spacing w:after="0" w:line="16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March 31, 2016, we entered into a purchase and sale agreement ("Agreement") with Tramontina U.S. Cookware, Inc. ("Tramontina") to sell and leaseback our manufacturing and distribution facility for a cash purchase price of approximately $2,600,000. Pursuant to the Agreement, we are negotiating a lease with Tramontina in which we will lease approximately 200,000 square feet of the building for not less than three years, with rent at $2.00 per square foot per annum. The lease will contain options by both parties to reduce the amount of leased space after March 1, 2017. The transaction is expected to close on or before June 30, 2016, subject to various closing conditions. We recorded an impairment charge of $1,614,000 in fiscal 2016 based on the related assets' carrying values exceeding the expected proceeds from this sale transaction.</w:t>
      </w:r>
    </w:p>
    <w:p>
      <w:pPr>
        <w:spacing w:after="0" w:line="17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During fiscal 2014, we developed and commercialized the LDR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product obtained through our acquisition of Harris Manufacturing. During fiscal 2015 and fiscal 2016, we focused our development on additional LED products, resulting in our development and commercialization of several suites of LED interior high bay products and LED exterior products.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research and development expenditures were $1,668,000, $2,554,000 and $2,026,000 for fiscal years 2016, 2015 and 2014, respectively.</w:t>
      </w:r>
    </w:p>
    <w:p>
      <w:pPr>
        <w:spacing w:after="0" w:line="23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fiscal 2016, we opened an innovation hub in Chicago, Illinois to support the development and design of new LED products. We believe that this location is in close proximity to highly regarded engineering and business schools and will offer us a greater supply of technical talent to help us develop new LED products in the future. We also operate research and development lab and test facilities in our Jacksonville, FL and Manitowoc, WI locations.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safety. We believe that our business, operations, and facilities are being operated in compliance in all material respects with applicable environmental and health and safety laws and regulations.</w:t>
      </w:r>
    </w:p>
    <w:p>
      <w:pPr>
        <w:spacing w:after="0" w:line="17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and Other Available Information</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were incorporated as a Wisconsin corporation in April 1996 and our corporate headquarters are located at 2210 Woodland Drive, Manitowoc, Wisconsin 54220. Our Internet website address is www.orionlighting.com. Our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March 31, 2016, we had 165 full-time and 98 temporary employees, of which 87 work in manufacturing. Our employees are not represented by any labor union, and we have never experienced a work stoppage or strike. We consider our relations with our employees to be good.</w:t>
      </w:r>
    </w:p>
    <w:p>
      <w:pPr>
        <w:spacing w:after="0" w:line="30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 and future growth prospects and could cause the trading price of our common stock to decline.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have had a history of losses and we may be unable to achieve or sustain profitability or positive cash flows in the future.</w:t>
      </w:r>
    </w:p>
    <w:p>
      <w:pPr>
        <w:spacing w:after="0" w:line="229"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We have experienced net losses for the past four years. Generating net income and positive cash flows in the future will depend on our ability to successfully complete and execute our strategic plan. There is no guarantee that we will be able to achieve or sustain profitability or positive cash flows in the future. Our inability to successfully achieve and sustain profitability and positive cash flows may result in us experiencing a serious liquidity deficiency and resulting material adverse consequences that could threaten our viability.</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We may not be able to obtain equity capital or debt financing necessary to effectively pursue our strategy and sustain our growth initiatives.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existing liquidity and capital resources may not be sufficient to allow us to effectively pursue our strategy or our growth initiatives. Currently,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have limited borrowing capacity under our revolving credit facility. As of March 31, 2016, we had approximately $3,719,000 of outstanding borrowings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only $229,000 of borrowing capacity available under our revolving credit facility. If we require additional capital resources, we may not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sufficient equity capital and/or debt financing to allow us to continue our normal course of operations or we may not be able to obtain such equity capital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financing on acceptable terms or conditions. Factors affecting the availability to us of equity capital or debt financing on acceptable terms and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03" w:lineRule="exact"/>
        <w:rPr>
          <w:sz w:val="20"/>
          <w:szCs w:val="20"/>
          <w:color w:val="auto"/>
        </w:rPr>
      </w:pPr>
    </w:p>
    <w:p>
      <w:pPr>
        <w:ind w:left="720" w:hanging="32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volatility and trading volume and history of our common stock.</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financial results and position.</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market’s view of our company, industry and products.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perception in the equity and debt markets of our ability to execute our business plan or achieve our operating results expectations.</w:t>
      </w:r>
    </w:p>
    <w:p>
      <w:pPr>
        <w:spacing w:after="0" w:line="114" w:lineRule="exact"/>
        <w:rPr>
          <w:sz w:val="20"/>
          <w:szCs w:val="20"/>
          <w:color w:val="auto"/>
        </w:rPr>
      </w:pPr>
    </w:p>
    <w:p>
      <w:pPr>
        <w:ind w:right="300" w:firstLine="392"/>
        <w:spacing w:after="0" w:line="286" w:lineRule="auto"/>
        <w:rPr>
          <w:sz w:val="20"/>
          <w:szCs w:val="20"/>
          <w:color w:val="auto"/>
        </w:rPr>
      </w:pPr>
      <w:r>
        <w:rPr>
          <w:rFonts w:ascii="Arial" w:cs="Arial" w:eastAsia="Arial" w:hAnsi="Arial"/>
          <w:sz w:val="17"/>
          <w:szCs w:val="17"/>
          <w:color w:val="auto"/>
        </w:rPr>
        <w:t>Our inability to obtain the equity capital or debt financing necessary to pursue our strategy could force us to scale back our operations or our sales initiatives due to the high working capital costs associated with an increase in the sales of our products from existing levels. If we are unable to pursue our strategy and sustain our growth initiatives, our business and operating results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increasingly rely on third-party manufacturers for the manufacture and development of our products and product components</w:t>
      </w:r>
    </w:p>
    <w:p>
      <w:pPr>
        <w:spacing w:after="0" w:line="229"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We have increased our utilization of third-party manufacturers for the manufacture and development of our products and product components. Our business, prospects, results of operations, financial condition or cash flows could be materially adversely affected if our manufacturers were to experience problems with product quality, credit or liquidity issues, or disruptions or delays in the manufacturing process or delivery of the finished products and components or the raw materials used to make such products and components.</w:t>
      </w:r>
    </w:p>
    <w:p>
      <w:pPr>
        <w:spacing w:after="0" w:line="183"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We are increasing our emphasis on indirect distribution channels to sell our products and services. If we are unable to attract, incentivize and retain our third-party distributors and sales agents, our revenues could decline and our costs could increase.</w:t>
      </w:r>
    </w:p>
    <w:p>
      <w:pPr>
        <w:spacing w:after="0" w:line="166"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We have significantly expanded the number of our manufacturer representative agencies that sell our products through broadline distributors, many of which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which were often made in competition with sales agents and distributors. In order to attract and form lasting partnerships with sales agents and distributors in the future, we will be required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178"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Adverse conditions in the global economy have negatively impacted, and could continue to negatively impact, our customers, suppliers and business.</w:t>
      </w:r>
    </w:p>
    <w:p>
      <w:pPr>
        <w:spacing w:after="0" w:line="16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Global economic and political uncertainty has led many customers to adopt strategies for conserving cash, including limits on capital spending. Our lighting systems are often purchased as capital assets and therefore are subject to capital availability. Uncertainty around such availability has led customers to delay purchase decisions, which has elongated the duration of our sales cycles. Continued weak economic conditions have adversely affected our customers’ capital budgets, purchasing decisions and facilities managers and, therefore, have adversely affected our results of operations. The return to a recessionary state of the global economy could potentially have negative effects on our near-term liquidity and capital resources, including slower collections of receivables, delays of existing order deliveries and postponements of incoming orders. Our business and results of operations will continue to be adversely affected to the extent these adverse economic conditions continue to affect our customers’ purchasing decisions.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financial performance is dependent on our ability to execute on our strategy and increase our profitability.</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ability to achieve our desired growth and profitability depends on our ability to expand our reseller network, develop recurring revenue streams, effectively engage distribution and sales agents and improve our marketing, new product development, project management, margin enhancement and operating expense management, as well as other factors. If we are unable to successfully execute in any of these areas or on our growth and profitability strategy, then our business and financial performance will likely be materially adversely affected.</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addition, the gross margins of our products can vary significantly, with margins ranging from 15% to 50%. While we continue to implement our strategy of transitioning to higher-margin products, a change in the total mix of our sales toward lower margin products could reduce our profitability and result in a material adverse effect on our business and financial performance.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We operate in a highly competitive industry and, if we are unable to compete successfully, our revenue and profitability will be adversely affected.</w:t>
      </w:r>
    </w:p>
    <w:p>
      <w:pPr>
        <w:spacing w:after="0" w:line="25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with HID technology, as well as other HIF and LED products and older fluorescent technology in the lighting systems retrofit market.</w:t>
      </w:r>
    </w:p>
    <w:p>
      <w:pPr>
        <w:spacing w:after="0" w:line="187"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Many of our competitors are better capitalized than we are, have strong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retain customers, require us to lower our prices in order to remain competitive, and reduce our revenue and profitability, any of which could have a material adverse effect on our results of operations and financial condition.</w:t>
      </w:r>
    </w:p>
    <w:p>
      <w:pPr>
        <w:spacing w:after="0" w:line="166"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The success of our business depends upon our adaptation to the changing market conditions in the lighting industry and on market acceptance of our lighting retrofit solutions using new LED technologies.</w:t>
      </w:r>
    </w:p>
    <w:p>
      <w:pPr>
        <w:spacing w:after="0" w:line="1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market for lighting products has experienced a significant technology shift to LED lighting systems. As a result, we are focusing our business primarily on providing lighting retrofit solutions using new LED technologies in lieu of traditional HIF lighting upon which our business has historically relied.</w:t>
      </w:r>
    </w:p>
    <w:p>
      <w:pPr>
        <w:spacing w:after="0" w:line="18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7"/>
          <w:szCs w:val="17"/>
          <w:color w:val="auto"/>
        </w:rPr>
        <w:t>As a result, our future success depends significantly upon the adoption rate of LED products within our primary markets and our ability to participate in this ongoing market trend. To be an effective participant in this growing LED market opportunity, we must keep up with the evolution of LED technology, which has been moving at a fast pace. We may be unable to successfully develop and market new LED products or services that keep pace with technological or industry changes, satisfy changes in customer demands or comply with present or emerging government and industry regulations and technology standards. The development and introduction of new LED products may result in increased warranty expenses and other new product introduction expenses. In addition, we will likely continue to incur substantial costs to research and develop new LED products, which will increase our expenses, without guarantee that our new products and services will be commercially viable. We may also spend time and resources to develop and release new LED products only to discover that a competitor has also introduced similar new products with superior performance. Moreover, if new sources of lighting are developed, our current products and technologies could become less competitive or obsolete, which could result in reduced revenue, reduced earnings or increased losses and/or inventory and other impairment charges. Additionally, as the lighting retrofit market continues to shift to LED lighting products from HIF and other traditional lighting products, customer purchasing decisions have been delayed as they evaluate the relative advantages and disadvantages of the lighting retrofit product alternatives and wait for further decreases in the price of LED lighting products. These circumstances have led, and may continue to lead, to reduced revenue for us in the periods affected.</w:t>
      </w:r>
    </w:p>
    <w:p>
      <w:pPr>
        <w:spacing w:after="0" w:line="18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As we attempt to adapt our business organization to this quickly evolving market, we have been managing through significant change in our vendor supply chain as LED product portfolio and our product revenue continue to increase and we place most of our focus on this product line. We currently believe that our continuing efforts to negotiate further lower material input costs will improve our LED product gross margins. However, we may not be able to realize the gross margin benefits in the amounts or on the timetable anticipated and we may experience higher warranty expenses in the future as we implement our manufacturing and assembly process changes. It is also possible that, as we continue to focus our sales efforts on our LED product lines, we may increase our risk of inventory obsolescence for our legacy lighting product lines or even for outmoded LED products.</w:t>
      </w:r>
    </w:p>
    <w:p>
      <w:pPr>
        <w:spacing w:after="0" w:line="178"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Finally, in connection with our primary focus on selling our LED products, we expect our results of operations to continue to fluctuate from quarter to quarter as customers may continue to delay purchasing decisions as they evaluate their return on investment from purchasing new LED products compared to alternative lighting solutions, the pricing of LED products continues to fall and LED products continue to gain more widespread customer acceptance. Similarly, these circumstances have impacted, and may continue to adversely impact, our product gross margins and our profitability from quarter to quarter.</w:t>
      </w:r>
    </w:p>
    <w:p>
      <w:pPr>
        <w:spacing w:after="0" w:line="154"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If we are unable to achieve market acceptance of our lighting retrofit solutions using new LED technologies or realize the expected benefits from our emphasis on promoting our LED technologies, our results of operations and financial condition will likely be materially adversely affected.</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success of our LED lighting retrofit solutions depend, in part, on our ability to claim market share ahead of our competitors.</w:t>
      </w:r>
    </w:p>
    <w:p>
      <w:pPr>
        <w:spacing w:after="0" w:line="229"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establish customer relationships and achieve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disadvantages could reduce our revenue and profitability, which could have a material adverse effect on our results of operations and financial condition.</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success of our business depends upon market acceptance of our energy management products and services.</w:t>
      </w:r>
    </w:p>
    <w:p>
      <w:pPr>
        <w:spacing w:after="0" w:line="229"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Our future success depends on continued commercial acceptance of our energy management products and services. If we are unable to convince current and potential customers of the advantages of our lighting systems and energy management products and services, then our ability to sell our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lighting systems and energy management products and services does not continue to develop, or if the market does not accept our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products, then our ability to grow our business could be limited and we may not be able to increase our revenue or achieve profitability.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depend on our ability to develop new products and services.</w:t>
      </w:r>
    </w:p>
    <w:p>
      <w:pPr>
        <w:spacing w:after="0" w:line="2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be unable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184" w:lineRule="exact"/>
        <w:rPr>
          <w:sz w:val="20"/>
          <w:szCs w:val="20"/>
          <w:color w:val="auto"/>
        </w:rPr>
      </w:pPr>
    </w:p>
    <w:p>
      <w:pPr>
        <w:ind w:left="180"/>
        <w:spacing w:after="0" w:line="347" w:lineRule="auto"/>
        <w:rPr>
          <w:sz w:val="20"/>
          <w:szCs w:val="20"/>
          <w:color w:val="auto"/>
        </w:rPr>
      </w:pPr>
      <w:r>
        <w:rPr>
          <w:rFonts w:ascii="Arial" w:cs="Arial" w:eastAsia="Arial" w:hAnsi="Arial"/>
          <w:sz w:val="16"/>
          <w:szCs w:val="16"/>
          <w:b w:val="1"/>
          <w:bCs w:val="1"/>
          <w:color w:val="auto"/>
        </w:rPr>
        <w:t>We are subject to litigation and other legal matters that could result in charges against our income or strain our resources and distract our management, which could have a material adverse effect on our business, financial condition, results of operations, cash flows or reputation.</w:t>
      </w:r>
    </w:p>
    <w:p>
      <w:pPr>
        <w:spacing w:after="0" w:line="12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involved in a variety of claims, lawsuits and other disputes. These suits concern a variety of issues, including employee-related matters and contract disputes. In March 2014, we were named as a defendant in a civil lawsuit filed by Neal R. Verfuerth, our former chief executive officer who was terminated for cause in November 2012. The plaintiff alleges, among other things, that we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It is not feasible to predict the outcome of these pending suits and other matters, and the ultimate resolution of these matters, as well as future potential lawsuits, could result in liabilities, fines, significant expenses, distraction of management and other issues that could have a material adverse effect on our business, financial condition, results of operations, cash flows or reputation.</w:t>
      </w:r>
    </w:p>
    <w:p>
      <w:pPr>
        <w:spacing w:after="0" w:line="163"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Our inability to attract and retain key employees, our reseller network or manufacturer representative agencies could adversely affect our operations and our ability to execute on our operating plan and growth strategy.</w:t>
      </w:r>
    </w:p>
    <w:p>
      <w:pPr>
        <w:spacing w:after="0" w:line="166"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rely upon the knowledge, experience and skills of key employees throughout our organization, particularly our senior management team and our sales group that require technical knowledge or contacts in, and knowledge of, the industry. In addition, our ability to attract talented new employees, particularly in our sales group, is also critical to our success. We also depend on our distribution channels and network of manufacturer representative agencies. If we are unable to attract and retain key employees, resellers, and manufacturer representative agencies because of competition or, in the case of employees, inadequate compensation or other factors, our operations and our ability to execute our operating plan could be adversely affected.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Increased employee turnover could negatively impact our business.</w:t>
      </w:r>
    </w:p>
    <w:p>
      <w:pPr>
        <w:spacing w:after="0" w:line="22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have recently experienced increased employee turnover. The increased turnover has resulted in the loss of numerous long-term employees, along with their institutional knowledge and expertise, and the reallocation of certain employment responsibilities, all of which could adversely affect operational efficiencies, employee performance and retention. Such turnover has also placed a significant burden on our current employees, has resulted in higher recruiting expenses as we seek to recruit and train employees, and introduced increased instability in our operations as responsibilities are reallocated to new or different employees. To the extent that we are unable to effectively reallocate employee responsibilities, retain key employees and reduce employee turnover, our operations and our ability to execute our operating plan could be adversely affected.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products use components and raw materials that may be subject to price fluctuations, shortages or interruptions of supply.</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may be vulnerable to price increases for components or raw materials that we require for our products, including aluminum, copper, certain rare earth minerals, electronic drivers, chips, ballasts, power supplies and lamps. In particular, our cost of aluminum can be subject to commodity price fluctuation. Further, suppliers' inventories of certain components that our products require may be limited and are subject to acquisition by others. In the past,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 our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180"/>
        <w:spacing w:after="0" w:line="313" w:lineRule="auto"/>
        <w:rPr>
          <w:sz w:val="20"/>
          <w:szCs w:val="20"/>
          <w:color w:val="auto"/>
        </w:rPr>
      </w:pPr>
      <w:r>
        <w:rPr>
          <w:rFonts w:ascii="Arial" w:cs="Arial" w:eastAsia="Arial" w:hAnsi="Arial"/>
          <w:sz w:val="17"/>
          <w:szCs w:val="17"/>
          <w:b w:val="1"/>
          <w:bCs w:val="1"/>
          <w:color w:val="auto"/>
        </w:rPr>
        <w:t>We do not have major sources of recurring revenue and depend upon a limited number of customers in any given period to generate a substantial portion of our revenue. The loss of significant customers or a major customer could have an adverse effect on our operations.</w:t>
      </w:r>
    </w:p>
    <w:p>
      <w:pPr>
        <w:spacing w:after="0" w:line="14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do not have long-term contracts with our customers that provide us with recurring revenue from period to period. As a result, we generate a substantial portion of our revenue by securing large retrofit and multi-facility roll-out projects from new and existing customers and our dependence on individual key customers can vary from period to period as a result of the significant size of some of our retrofit and multi-facility roll-out projects. Our top 10 customers accounted for approximately 37%, 36%, and 45% respectively, of our total revenue for fiscal 2016, 2015 and 2014. In fiscal 2014 and fiscal 2015, our top customer accounted for 23% and 12% of our total revenues, respectively. In fiscal 2016, there was no single customer that accounted for more than 10% of our revenue. While we are making efforts to increase our sources of recurring revenue, we expect large retrofit and roll-out projects to continue to remain a significant component of our total revenue. Additionally, commercial office lighting retrofits provide for single large project opportunities. As a result, we may continue to experience customer concentration in future periods. The loss of, or substantial reduction in sales to, any of our significant customers, or a major customer, could have a material adverse effect on our results of operations in any given future period.</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Product liability claims could adversely affect our business, results of operations and financial condition.</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85" w:lineRule="exact"/>
        <w:rPr>
          <w:sz w:val="20"/>
          <w:szCs w:val="20"/>
          <w:color w:val="auto"/>
        </w:rPr>
      </w:pPr>
    </w:p>
    <w:p>
      <w:pPr>
        <w:ind w:left="180"/>
        <w:spacing w:after="0" w:line="313" w:lineRule="auto"/>
        <w:rPr>
          <w:sz w:val="20"/>
          <w:szCs w:val="20"/>
          <w:color w:val="auto"/>
        </w:rPr>
      </w:pPr>
      <w:r>
        <w:rPr>
          <w:rFonts w:ascii="Arial" w:cs="Arial" w:eastAsia="Arial" w:hAnsi="Arial"/>
          <w:sz w:val="17"/>
          <w:szCs w:val="17"/>
          <w:b w:val="1"/>
          <w:b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14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181"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67"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58" w:lineRule="exact"/>
        <w:rPr>
          <w:sz w:val="20"/>
          <w:szCs w:val="20"/>
          <w:color w:val="auto"/>
        </w:rPr>
      </w:pPr>
    </w:p>
    <w:p>
      <w:pPr>
        <w:jc w:val="both"/>
        <w:ind w:right="20" w:firstLine="392"/>
        <w:spacing w:after="0" w:line="259" w:lineRule="auto"/>
        <w:rPr>
          <w:sz w:val="20"/>
          <w:szCs w:val="20"/>
          <w:color w:val="auto"/>
        </w:rPr>
      </w:pPr>
      <w:r>
        <w:rPr>
          <w:rFonts w:ascii="Arial" w:cs="Arial" w:eastAsia="Arial" w:hAnsi="Arial"/>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8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upon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143" w:lineRule="exact"/>
        <w:rPr>
          <w:sz w:val="20"/>
          <w:szCs w:val="20"/>
          <w:color w:val="auto"/>
        </w:rPr>
      </w:pPr>
    </w:p>
    <w:p>
      <w:pPr>
        <w:jc w:val="both"/>
        <w:ind w:left="180"/>
        <w:spacing w:after="0" w:line="266" w:lineRule="auto"/>
        <w:rPr>
          <w:sz w:val="20"/>
          <w:szCs w:val="20"/>
          <w:color w:val="auto"/>
        </w:rPr>
      </w:pPr>
      <w:r>
        <w:rPr>
          <w:rFonts w:ascii="Arial" w:cs="Arial" w:eastAsia="Arial" w:hAnsi="Arial"/>
          <w:sz w:val="18"/>
          <w:szCs w:val="18"/>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other negative consequences.</w:t>
      </w:r>
    </w:p>
    <w:p>
      <w:pPr>
        <w:spacing w:after="0" w:line="180"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Our credit agreement with Wells Fargo Bank, National Association contains provisions that may limit our future borrowing availability, and may from time to time require us to maintain a minimum fixed charge coverage ratio. The credit agreement also contains other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54"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would be a disclosable event and may be perceived negatively. Such perception could adversely affect the market price for our common stock and our ability to obtain financing in the future.</w:t>
      </w:r>
    </w:p>
    <w:p>
      <w:pPr>
        <w:spacing w:after="0" w:line="161"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If our information technology systems fail, or if we experience an interruption in their operation, then our business, results of operations and financial condition could be materially adversely affected.</w:t>
      </w:r>
    </w:p>
    <w:p>
      <w:pPr>
        <w:spacing w:after="0" w:line="166"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97" w:lineRule="exact"/>
        <w:rPr>
          <w:sz w:val="20"/>
          <w:szCs w:val="20"/>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earthquake, fire, flood and other natural disasters;</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or other theft;</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attacks by computer viruses or hackers;</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outages; and</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computer systems, internet, telecommunications or data network failure.</w:t>
      </w:r>
    </w:p>
    <w:p>
      <w:pPr>
        <w:spacing w:after="0" w:line="131"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Our retrofitting process frequently involves responsibility for the removal and disposal of components containing hazardous materials.</w:t>
      </w:r>
    </w:p>
    <w:p>
      <w:pPr>
        <w:spacing w:after="0" w:line="24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cash flows or reputation.</w:t>
      </w:r>
    </w:p>
    <w:p>
      <w:pPr>
        <w:spacing w:after="0" w:line="185"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The cost of compliance with environmental laws and regulations and any related environmental liabilities could adversely affect our results of operations or financial condition.</w:t>
      </w:r>
    </w:p>
    <w:p>
      <w:pPr>
        <w:spacing w:after="0" w:line="16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166"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166"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The results of one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61"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Our net operating loss carryforwards provide a future benefit only if we are profitable and may be subject to limitation based upon ownership changes.</w:t>
      </w:r>
    </w:p>
    <w:p>
      <w:pPr>
        <w:spacing w:after="0" w:line="166"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We have significant federal net operating loss carryforwards and state net operating loss carryforwards. While our federal and state net operating loss carryforwards are fully reserved for, if we are unable to return to and maintain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failure to establish and maintain internal controls over financial reporting could harm our business and financial results.</w:t>
      </w:r>
    </w:p>
    <w:p>
      <w:pPr>
        <w:spacing w:after="0" w:line="2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In fiscal 2012, our Chief Executive Officer and Chief Financial Officer concluded that our internal controls were not effective due to certain identified material weaknesses, which were remediated during fiscal 2013. Additionally, as of March 31, 2016, we identified a material weakness in our internal control over financial reporting as a result of our insufficient review of non-routine revenue transactions and the related accounting entries.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We are actively engaged in developing a remediation plan designed to address this material weakness. If the remedial measures are insufficient to address this material weakness or if additional material weaknesses or significant deficiencies in the internal control are discovered or occur in the future, our consolidated financial statements may contain material misstatements and Orion could be required to restate its financial results. The failure to maintain an effective system of internal control over financial reporting could limit our ability to report our financial results accurately and in a timely manner or to detect and prevent fraud and could also cause a loss of investor confidence and decline in the market price of our common stock.</w:t>
      </w:r>
    </w:p>
    <w:p>
      <w:pPr>
        <w:spacing w:after="0" w:line="181" w:lineRule="exact"/>
        <w:rPr>
          <w:sz w:val="20"/>
          <w:szCs w:val="20"/>
          <w:color w:val="auto"/>
        </w:rPr>
      </w:pPr>
    </w:p>
    <w:p>
      <w:pPr>
        <w:ind w:left="180" w:right="20"/>
        <w:spacing w:after="0" w:line="282" w:lineRule="auto"/>
        <w:rPr>
          <w:sz w:val="20"/>
          <w:szCs w:val="20"/>
          <w:color w:val="auto"/>
        </w:rPr>
      </w:pPr>
      <w:r>
        <w:rPr>
          <w:rFonts w:ascii="Arial" w:cs="Arial" w:eastAsia="Arial" w:hAnsi="Arial"/>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trading market for our common stock will continue to depend in part on the research and reports that securities or industry analysts publish about us or our business.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ind w:left="180"/>
        <w:spacing w:after="0" w:line="282" w:lineRule="auto"/>
        <w:rPr>
          <w:sz w:val="20"/>
          <w:szCs w:val="20"/>
          <w:color w:val="auto"/>
        </w:rPr>
      </w:pPr>
      <w:r>
        <w:rPr>
          <w:rFonts w:ascii="Arial" w:cs="Arial" w:eastAsia="Arial" w:hAnsi="Arial"/>
          <w:sz w:val="18"/>
          <w:szCs w:val="18"/>
          <w:b w:val="1"/>
          <w:bCs w:val="1"/>
          <w:color w:val="auto"/>
        </w:rPr>
        <w:t>The market price of our common stock could be adversely affected by future sales of our common stock in the public market by us or our executive officers and directors.</w:t>
      </w:r>
    </w:p>
    <w:p>
      <w:pPr>
        <w:spacing w:after="0" w:line="1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and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would have on the market price of our common stock.</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may not be able to maintain compliance with The NASDAQ Capital Market’s continued listing requirements.</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common stock is listed on The NASDAQ Capital Market. In order to maintain the listing of our common stock on The NASDAQ Capital Market, we must meet minimum financial, and other requirements, including requirements that our common stock maintains a minimum price per share of $1.00. As of June 10, 2016 the closing price per share of our common stock was $1.27. If the price of our common stock were to fall below $1.00 for 30 or more consecutive business days, we would no longer be in compliance with the continued listing requirements of The NASDAQ Capital Market and may be required to take steps to satisfy the minimum price per share requirement, including calling a special meeting of our shareholders to approve a reverse stock split. A potential delisting of our common stock could adversely affect the market liquidity of our common stock, our ability to obtain financing and our ability to fund our operations.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 are not currently paying dividends and will likely continue not paying dividends for the foreseeable future.</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 on and decision not to pay dividends may impact our ability to attract investors and raise funds, if necessary, in the capital markets.</w:t>
      </w:r>
    </w:p>
    <w:p>
      <w:pPr>
        <w:spacing w:after="0" w:line="189"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78"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our employment arrangements with senior management provide for severance payments and accelerated vesting of benefits, including accelerated vesting of stock options,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2016, we owned an approximately 266,000 square foot manufacturing and distribution facility in Manitowoc, Wisconsin. On March 31, 2016, we entered into a purchase and sale agreement ("Agreement") with Tramontina U.S. Cookware, Inc. ("Tramontina") to sell our manufacturing and distribution facility for a cash purchase price of approximately $2,600,000. Pursuant to the Agreement, we are negotiating a lease with Tramontina under which we will lease approximately 200,000 square feet of the building for not less than three years, with rent at $2.00 per square foot per annum. The lease will contain options by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parties to reduce the amount of leased space after March 1, 2017. The transaction is expected to close on or before June 30, 2016, subject to various closing conditions. We recorded an impairment charge of $1,614,000 in fiscal 2016 based on the related assets' carrying values exceeding the expected proceeds from this sale transaction.</w:t>
      </w:r>
    </w:p>
    <w:p>
      <w:pPr>
        <w:spacing w:after="0" w:line="18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addition, we own our approximately 70,000 square foot technology center and corporate headquarters adjacent to our Manitowoc manufacturing and distribution facility, of which we lease a portion to a third party. Both facilities are used by all of our segments. We also lease office space in the following locations:</w:t>
      </w:r>
    </w:p>
    <w:p>
      <w:pPr>
        <w:spacing w:after="0" w:line="181" w:lineRule="exact"/>
        <w:rPr>
          <w:sz w:val="20"/>
          <w:szCs w:val="20"/>
          <w:color w:val="auto"/>
        </w:rPr>
      </w:pPr>
    </w:p>
    <w:p>
      <w:pPr>
        <w:ind w:left="1080" w:hanging="316"/>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5,600 square foot office in Houston, Texas.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10,500 square foot office space in Jacksonville, Florida.</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3,100 square foot office space in Chicago, Illinois.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 In addition to ordinary-course litigation, we are a party to the proceedings described below.</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March 27, 2014, we were named as a defendant in a civil lawsuit filed by Neal R. Verfuerth, our former chief executive officer who was terminated for cause in November 2012, in the United States District Court for the Eastern District of Wisconsin (Green Bay Division). The plaintiff alleges, among other things, that we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On November 4, 2014, the court granted our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we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 We believe that we have substantial legal and factual defenses to the plaintiff's claims and allegations remaining in the case and that we will prevail in this proceeding. We intend to continue to defend against the claims vigorously.</w:t>
      </w:r>
    </w:p>
    <w:p>
      <w:pPr>
        <w:spacing w:after="0" w:line="2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1300" w:right="2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SHAREHOLDER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common stock is currently listed on The NASDAQ Capital Market under the symbol “OESX”. Prior to June 15, 2015, our common stock was listed on the NYSE MKT. The following table sets forth the range of high and low sales prices per share as reported on The NASDAQ Capital Market or NYSE MKT, as applicable, for the periods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Fiscal 2015</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9, 2016, there were approximately 229 record holders of the 28,059,351 outstanding shares of our common stock. The number of record holders does not include shareholders for whom shares are held in a “nominee” or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represents shares outstanding under our 2003 Stock Option Plan and our 2004 Equity Incentive Plan as of March 31, 2016.</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220" w:type="dxa"/>
            <w:vAlign w:val="bottom"/>
          </w:tcPr>
          <w:p>
            <w:pPr>
              <w:spacing w:after="0"/>
              <w:rPr>
                <w:sz w:val="14"/>
                <w:szCs w:val="14"/>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Issuances Under the</w:t>
            </w: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Vesting of Restricted</w:t>
            </w: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58"/>
        </w:trPr>
        <w:tc>
          <w:tcPr>
            <w:tcW w:w="5900" w:type="dxa"/>
            <w:vAlign w:val="bottom"/>
            <w:gridSpan w:val="3"/>
            <w:vMerge w:val="continue"/>
          </w:tcPr>
          <w:p>
            <w:pPr>
              <w:spacing w:after="0"/>
              <w:rPr>
                <w:sz w:val="13"/>
                <w:szCs w:val="13"/>
                <w:color w:val="auto"/>
              </w:rPr>
            </w:pPr>
          </w:p>
        </w:tc>
        <w:tc>
          <w:tcPr>
            <w:tcW w:w="1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Restricted Shares</w:t>
            </w: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3,070,435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787,686</w:t>
            </w:r>
          </w:p>
        </w:tc>
        <w:tc>
          <w:tcPr>
            <w:tcW w:w="0" w:type="dxa"/>
            <w:vAlign w:val="bottom"/>
          </w:tcPr>
          <w:p>
            <w:pPr>
              <w:spacing w:after="0"/>
              <w:rPr>
                <w:sz w:val="1"/>
                <w:szCs w:val="1"/>
                <w:color w:val="auto"/>
              </w:rPr>
            </w:pP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3,070,435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787,686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540" w:hanging="53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shares reflected in the column titled “Number of Securities to be Issued Upon Exercise of Outstanding Options and Vesting of Restricted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purchase shares of our common stock during the year ended March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5" w:right="239" w:bottom="798"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798"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following graph shows the total shareholder return of an investment of $100 in cash on March 31, 2011, through March 31, 2016, for (1) our common stock, (2) the Russell 2000 Index and (3) The NASDAQ Clean Edge Green Energy Index. Data for the Russell 2000 Index and the NASDAQ Clean Edge Green Energy Index assume reinvestment of dividends. The stock price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128905</wp:posOffset>
            </wp:positionV>
            <wp:extent cx="526542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You should read the following selected consolidated financial data in conjunction with Item 7. “Management’s Discussion and Analysis of Financial Condition and Results of Operations” and our consolidated financial statements and the related notes included in Item 8. "Financial Statements and Supplementary Data" of this report. The selected historical consolidated financial data are not necessarily indicative of future results.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4"/>
              </w:rPr>
              <w:t>Fiscal Year Ended March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6"/>
        </w:trPr>
        <w:tc>
          <w:tcPr>
            <w:tcW w:w="6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r>
      <w:tr>
        <w:trPr>
          <w:trHeight w:val="196"/>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64,897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65,881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71,954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72,604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90,782</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67,642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88,623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86,086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100,562</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revenue(1)(5)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62,842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7,682</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70,524</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Gross profit (loss)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30,038</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expenses(1)(2)(3)</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 and long lived asset impairment (6)</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related expenses (4)</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Sales and marketing expenses(1)(2)</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13,527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15,599</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expenses(1)</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on sale of OTA contract receivables</w:t>
            </w:r>
          </w:p>
        </w:tc>
        <w:tc>
          <w:tcPr>
            <w:tcW w:w="2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and interest income</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(loss) before income tax</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(benefit)(2)(3)</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 and 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(10,399)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w:t>
            </w:r>
          </w:p>
        </w:tc>
      </w:tr>
      <w:tr>
        <w:trPr>
          <w:trHeight w:val="67"/>
        </w:trPr>
        <w:tc>
          <w:tcPr>
            <w:tcW w:w="64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income (loss) per share attributable to common shareholders: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0.02</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Weighted-average shares outstanding:</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20,997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23,387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ind w:left="540" w:right="2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stock-based compensation expense recognized under Financial Accounting Standards Board Accounting Standards Codification Topic 718, or ASC Topic 718,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left="315"/>
              <w:spacing w:after="0"/>
              <w:rPr>
                <w:sz w:val="20"/>
                <w:szCs w:val="20"/>
                <w:color w:val="auto"/>
              </w:rPr>
            </w:pPr>
            <w:r>
              <w:rPr>
                <w:rFonts w:ascii="Arial" w:cs="Arial" w:eastAsia="Arial" w:hAnsi="Arial"/>
                <w:sz w:val="14"/>
                <w:szCs w:val="14"/>
                <w:b w:val="1"/>
                <w:bCs w:val="1"/>
                <w:color w:val="auto"/>
                <w:w w:val="94"/>
              </w:rPr>
              <w:t>Fiscal Year Ended March 31,</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r>
      <w:tr>
        <w:trPr>
          <w:trHeight w:val="196"/>
        </w:trPr>
        <w:tc>
          <w:tcPr>
            <w:tcW w:w="6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578</w:t>
            </w:r>
          </w:p>
        </w:tc>
        <w:tc>
          <w:tcPr>
            <w:tcW w:w="3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548</w:t>
            </w:r>
          </w:p>
        </w:tc>
      </w:tr>
      <w:tr>
        <w:trPr>
          <w:trHeight w:val="27"/>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485</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1,593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580" w:hanging="558"/>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fiscal 2013 reorganization expenses of $1,900 in general and administrative expenses, $225 in sales and marketing expenses and a $4,074 valuation reserve for deferred tax assets in income tax expense.</w:t>
      </w:r>
    </w:p>
    <w:p>
      <w:pPr>
        <w:spacing w:after="0" w:line="170" w:lineRule="exact"/>
        <w:rPr>
          <w:rFonts w:ascii="Arial" w:cs="Arial" w:eastAsia="Arial" w:hAnsi="Arial"/>
          <w:sz w:val="18"/>
          <w:szCs w:val="18"/>
          <w:color w:val="auto"/>
        </w:rPr>
      </w:pPr>
    </w:p>
    <w:p>
      <w:pPr>
        <w:ind w:left="580" w:hanging="558"/>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fiscal 2014 loss on sale of a leased corporate jet of $1,507 in general and administrative expenses and a $2,315 benefit for deferred tax liabilities created by the acquisition of Harris in income tax benefit. Includes in fiscal 2016 a $1,400 loss contingency.</w:t>
      </w:r>
    </w:p>
    <w:p>
      <w:pPr>
        <w:spacing w:after="0" w:line="170" w:lineRule="exact"/>
        <w:rPr>
          <w:rFonts w:ascii="Arial" w:cs="Arial" w:eastAsia="Arial" w:hAnsi="Arial"/>
          <w:sz w:val="18"/>
          <w:szCs w:val="18"/>
          <w:color w:val="auto"/>
        </w:rPr>
      </w:pPr>
    </w:p>
    <w:p>
      <w:pPr>
        <w:ind w:left="280" w:hanging="258"/>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fiscal 2014 expenses of $515 related to the acquisition and integration of Harris.</w:t>
      </w:r>
    </w:p>
    <w:p>
      <w:pPr>
        <w:spacing w:after="0" w:line="225" w:lineRule="exact"/>
        <w:rPr>
          <w:rFonts w:ascii="Arial" w:cs="Arial" w:eastAsia="Arial" w:hAnsi="Arial"/>
          <w:sz w:val="18"/>
          <w:szCs w:val="18"/>
          <w:color w:val="auto"/>
        </w:rPr>
      </w:pPr>
    </w:p>
    <w:p>
      <w:pPr>
        <w:ind w:left="580" w:hanging="55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fiscal 2015 expenses of $12,130 related to the impairment of wireless control inventory, fixed assets and intangible assets.</w:t>
      </w:r>
    </w:p>
    <w:p>
      <w:pPr>
        <w:spacing w:after="0" w:line="225" w:lineRule="exact"/>
        <w:rPr>
          <w:rFonts w:ascii="Arial" w:cs="Arial" w:eastAsia="Arial" w:hAnsi="Arial"/>
          <w:sz w:val="18"/>
          <w:szCs w:val="18"/>
          <w:color w:val="auto"/>
        </w:rPr>
      </w:pPr>
    </w:p>
    <w:p>
      <w:pPr>
        <w:ind w:left="580" w:right="20" w:hanging="558"/>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fiscal 2016 expenses of $4,409 related to the impairment of goodwill and $1,614 related to the write-down to fair value of the manufacturing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As of March 31,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190"/>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15,542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17,568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14,376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23,011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470</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1,016</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70,875</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87,805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98,940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102,097</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125,650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4,021</w:t>
            </w:r>
          </w:p>
        </w:tc>
        <w:tc>
          <w:tcPr>
            <w:tcW w:w="4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3,222</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3,151</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4,109</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6,704</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45,983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64,511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77,012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77,769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92,769</w:t>
            </w:r>
          </w:p>
        </w:tc>
      </w:tr>
    </w:tbl>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percentages and per share amounts)</w:t>
      </w:r>
    </w:p>
    <w:p>
      <w:pPr>
        <w:spacing w:after="0" w:line="3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2016. See also “Forward-Looking Statements” and Item 1A “Risk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are a leading designer and manufacturer of high-performance, energy-efficient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 We operate in three operating segments, which we refer to as Orion U.S. Markets Division ("USM"), Orion Engineered Systems Division ("OES") and Orion Distribution Services Division ("ODS"). USM focuses on selling our lighting solutions into the wholesale markets with customers including domestic energy service companies, or ESCOs, and electrical contractors. OES focuses on selling lighting products and construction and engineering services direct to end users. OES completes the construction management services related to existing contracted projects. Its customers include national accounts, governments, municipalities and schools. ODS focuses on selling our lighting products to a developing network of broadline distributors.</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lighting products consist primarily of LED and HIF lighting fixtures. Our principal customers include national accounts, ESCOs, electrical contractors and electrical distributors. Currently, substantially all of our products are manufactured at our production facility location in Manitowoc, Wisconsin, although we are increasingly sourcing products and components from third parties as the LED market continues to evolve and in order to provide us with versatility in our product development.</w:t>
      </w:r>
    </w:p>
    <w:p>
      <w:pPr>
        <w:spacing w:after="0" w:line="13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While we continue to provide some solutions using our legacy HIF technology, the market for lighting products is currently in a significant technology shift to LED lighting systems. Compared to legacy lighting systems, we believe that LED lighting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industry transition to LED lighting technology. Based on a July 2015 United States Department of Energy report, we estimate the potential North American LED retrofit market within our key product categories to be approximately 1.1 billion lighting fixtures. We plan to continue to primarily focus on developing and selling innovative LED products, although we will continue to market and sell legacy HIF solutions in circumstances in which LED solutions may not be our customers' best alternative.</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commercial and industrial customers on a project by 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ESCOs, and electrical distributors to sell to their own customer bases.</w:t>
      </w:r>
    </w:p>
    <w:p>
      <w:pPr>
        <w:spacing w:after="0" w:line="28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Our ability to achieve our desired growth and profitability depends on our ability to expand our reseller network, develop recurring revenue streams, effectively engage distribution and sales agents and improve our marketing, new product development, project management, margin enhancement and operating expense management, as well as other factors. In addition, the gross margins of our products can vary significantly, with margins ranging from 15% to 50%. As a result, a change in the total mix of our sales toward higher or lower margin products could cause our profitability to fluctuate from period to period. Despite recent economic challenges, we remain optimistic about our near-term and long-term financial performance. We believe that customer purchases of LED lighting systems will continue to increase in the near-term as expected improvements in LED performance and expected decreases in LED product costs to make our LED products even more economically compelling to our customers. Our near-term optimism is based upon: (i) our efforts to expand our Distribution Services customer base; (ii) our intentions to continue to selectively expand our sales force; (iii) our investments into new high-performance LED industrial lighting fixtures; (iv) our expected fiscal 2017 increase in revenue and gross margin as we increase sales of these product lines;</w:t>
      </w:r>
    </w:p>
    <w:p>
      <w:pPr>
        <w:spacing w:after="0" w:line="7" w:lineRule="exact"/>
        <w:rPr>
          <w:sz w:val="20"/>
          <w:szCs w:val="20"/>
          <w:color w:val="auto"/>
        </w:rPr>
      </w:pPr>
    </w:p>
    <w:p>
      <w:pPr>
        <w:jc w:val="both"/>
        <w:ind w:firstLine="8"/>
        <w:spacing w:after="0" w:line="267" w:lineRule="auto"/>
        <w:tabs>
          <w:tab w:leader="none" w:pos="2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recent improvements in gross margin as a result of our cost containment initiatives and development of higher-performance LED products; and (vi) the increasing volume of unit sales of our new products, specifically our LED high bay lighting fixtures. Our long-term optimism is based upon the considerable size of the existing market opportunity for lighting retrofits, including the market opportunities in commercial office, government and retail markets, the continued development of our new products and product enhancements, including our new LED product offerings, and our efforts to expand our channels of distribution and our cost reduction initiatives. As we attempt to adapt our business organization to the quickly evolving lighting market, we are implementing significant changes to our manufacturing operations to increase our flexibility, remain competitive and lower our cost structure. Implementing these initiatives may result in additional cost and expenses, including asset impairment or write-down charges and other repositioning expenses and charges, which would likely materially adversely affect our reported results of operations. Our anticipated increase in revenues in fiscal 2017 may impact our available cash and borrowing capacity as a result of the high capital costs associated with the increase in the sales of our products from existing levels. As a result, we are pursuing various alternative sources of liquidity, including the sale and leaseback of our manufacturing facility, which is expected to be completed by the end of June 2016, subject to various closing conditions.</w:t>
      </w:r>
    </w:p>
    <w:p>
      <w:pPr>
        <w:spacing w:after="0" w:line="29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ability to achieve our desired growth and profitability depends on our ability to expand our reseller network, develop recurring revenue streams, effectively engage distribution and sales agents and improve our marketing, new product development, project management, margin enhancement and operating expense management, as well as other factors.</w:t>
      </w:r>
    </w:p>
    <w:p>
      <w:pPr>
        <w:spacing w:after="0" w:line="28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fiscal year ends on March 31. We refer to our prior fiscal years which ended on March 31, 2014 as “fiscal 2014”, and the year ended on March 31, 2015, as “fiscal 2015”, and our current fiscal year, which ended on March 31, 2016, as “fiscal 2016.” Our fiscal first quarter of each fiscal year ends on June 30, our fiscal second quarter ends on September 30, our fiscal third quarter ends on December 31 and our fiscal fourth quarter ends on March 31.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256"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6"/>
          <w:szCs w:val="16"/>
          <w:color w:val="auto"/>
        </w:rPr>
        <w:t>The rapid market shift in the lighting industry from legacy lighting products to LED lighting products has caused us to adopt new strategies, approaches and processes in order to respond proactively to this paradigm shift. These changing underlying business fundamentals in this paradigm shift include:</w:t>
      </w:r>
    </w:p>
    <w:p>
      <w:pPr>
        <w:spacing w:after="0" w:line="1" w:lineRule="exact"/>
        <w:rPr>
          <w:sz w:val="20"/>
          <w:szCs w:val="20"/>
          <w:color w:val="auto"/>
        </w:rPr>
      </w:pPr>
    </w:p>
    <w:p>
      <w:pPr>
        <w:jc w:val="both"/>
        <w:ind w:left="540" w:right="20" w:hanging="316"/>
        <w:spacing w:after="0" w:line="29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Rapidly declining LED product end user customer pricing and related component costs, improving LED product performance and customer return on investment payback periods, all of which are driving increasing customer preferences for LED lighting products compared to legacy lighting products.</w:t>
      </w: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Generally lower LED product gross margins than those typically realized on sales of legacy lighting products.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34" w:lineRule="exact"/>
        <w:rPr>
          <w:rFonts w:ascii="Arial" w:cs="Arial" w:eastAsia="Arial" w:hAnsi="Arial"/>
          <w:sz w:val="17"/>
          <w:szCs w:val="17"/>
          <w:color w:val="auto"/>
        </w:rPr>
      </w:pPr>
    </w:p>
    <w:p>
      <w:pPr>
        <w:ind w:left="540" w:hanging="316"/>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importance of highly innovative product designs and features and faster speed to market product research and development capabilities.</w:t>
      </w:r>
    </w:p>
    <w:p>
      <w:pPr>
        <w:spacing w:after="0" w:line="32" w:lineRule="exact"/>
        <w:rPr>
          <w:rFonts w:ascii="Arial" w:cs="Arial" w:eastAsia="Arial" w:hAnsi="Arial"/>
          <w:sz w:val="16"/>
          <w:szCs w:val="16"/>
          <w:color w:val="auto"/>
        </w:rPr>
      </w:pPr>
    </w:p>
    <w:p>
      <w:pPr>
        <w:ind w:left="540" w:right="20" w:hanging="316"/>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2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Developments</w:t>
      </w:r>
    </w:p>
    <w:p>
      <w:pPr>
        <w:spacing w:after="0" w:line="22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Since the fourth quarter of fiscal 2014, we have experienced a reduction in the amount of new customer orders for our energy-efficient HIF lighting systems within our industrial and exterior markets. We attribute this to an increasing awareness within the marketplace of emerging LED product offerings. We believe that customers continue to defer purchase decisions as they evaluate the cost and performance of these LED product offerings. During the fiscal 2015 third quarter, deferrals of purchasing decisions began to abate as customer purchases of LED lighting systems during our fiscal 2015 back half increased compared to our fiscal 2014 back half. This trend continued during fiscal 2016 as our LED lighting revenue increased by 49% compared to fiscal 2015.</w:t>
      </w:r>
    </w:p>
    <w:p>
      <w:pPr>
        <w:spacing w:after="0" w:line="1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second half of fiscal 2016 we experienced a slowing of customer capital spending which we attribute to general macro-economic concerns and conservative cash allocation strategies within our manufacturing and industrial customer base. Additionally, during the fiscal 2016 third quarter, we began to further emphasize sales through our distribution channel by working through manufacturer representative agencies who represent lighting distributors throughout our addressable markets: commercial office and retail, area lighting and industrial applications. While we expect this activity to generate long-term growth, in the near-term it may have a dampening impact on revenues.</w:t>
      </w:r>
    </w:p>
    <w:p>
      <w:pPr>
        <w:spacing w:after="0" w:line="188"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During fiscal 2016, we continued to see improvements in our LED product gross margin related to LED products as a result of our negotiated price decreases for lighting components and the benefits of our fiscal 2015 fourth quarter cost containment initiatives. During the fiscal 2016 second quarter, we experienced an increase in sales of our LED door retrofit, or LDR, product line which has lower gross margins as compared to our other LED product lines. This increase in volume negatively impacted our overall gross margin during the fiscal 2016 second quarter.</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October 2015, we introduced a series of new LED industrial high bay products. These LED products have significant advantages in delivering lumens per watt and, we believe, the lowest total cost of ownership versus other LED lighting products. Additionally, we expect that our gross margins will improve as we increase sales of these new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Outlook</w:t>
      </w:r>
    </w:p>
    <w:p>
      <w:pPr>
        <w:spacing w:after="0" w:line="22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On March 31, 2016, we entered into a purchase and sale agreement with Tramontina U.S. Cookware, Inc. providing for the sale and leaseback of our Manitowoc manufacturing facility for gross cash proceeds of approximately $2,600,000. The agreement includes customary terms related to a real estate sales transaction and requires the parties to negotiate a lease whereby we will lease approximately 200,000 square feet of the building for a term of not less than three years with rent at $2.00 per square foot per annum. The lease will contain options by both parties to reduce amount of leased space after March 1, 2017 given sufficient notice. The closing of the transaction is expected to occur on or before June 30, 2016, subject to various closing conditions.</w:t>
      </w:r>
    </w:p>
    <w:p>
      <w:pPr>
        <w:spacing w:after="0" w:line="15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expect that our revenues and gross margin will increase during fiscal 2017 as we continue to recognize the benefits of higher purchase volumes of LED components at lower costs, increasing sales volumes of our newly introduced and higher-margin LED high bay products and increased utilization of our manufacturing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expect that our marketing expenditures will increase in fiscal 2017 primarily to support more robust customer lead generations and further enhance our brand awareness with our agents in their efforts to sell our products through our distribution channel.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Fiscal 2016 versus Fiscal 2015</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 and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400" w:type="dxa"/>
            <w:vAlign w:val="bottom"/>
            <w:gridSpan w:val="3"/>
          </w:tcPr>
          <w:p>
            <w:pPr>
              <w:jc w:val="right"/>
              <w:ind w:right="474"/>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64,897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65,881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91.2 %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67,642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72,210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68,388</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73,347</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76.4 %</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Gross profit (loss)</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Goodwill and long lived asset impairment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104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related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13,290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(31,936)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(32,012)</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(32,061)</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1.5%, or $984,000. The slight decrease in product revenue was primarily a result of the impact of the softening</w:t>
      </w:r>
      <w:r>
        <w:rPr>
          <w:rFonts w:ascii="Arial" w:cs="Arial" w:eastAsia="Arial" w:hAnsi="Arial"/>
          <w:sz w:val="18"/>
          <w:szCs w:val="18"/>
          <w:i w:val="1"/>
          <w:iCs w:val="1"/>
          <w:color w:val="auto"/>
        </w:rPr>
        <w:t xml:space="preserve"> </w:t>
      </w:r>
      <w:r>
        <w:rPr>
          <w:rFonts w:ascii="Arial" w:cs="Arial" w:eastAsia="Arial" w:hAnsi="Arial"/>
          <w:sz w:val="18"/>
          <w:szCs w:val="18"/>
          <w:color w:val="auto"/>
        </w:rPr>
        <w:t>macro-economic environment in the back half of fiscal 2016. Strong customer response to our next generation high bay product offering drove increased LED sales which were offset by tempered demand in the industrial sector as a result of macro-economic uncertainty. LED lighting revenue increased by 48% from $30,800,000 in fiscal 2015 to $45,679,000 in fiscal 2016. Service revenue decreased 56.6%, or $3,584,000, due to higher service revenue in fiscal 2015 primarily due to more solar revenue and project revenue from a significant customer. Total revenue decreased by 6.3%, or $4,568,000, primarily due to the items discussed above.</w:t>
      </w:r>
    </w:p>
    <w:p>
      <w:pPr>
        <w:spacing w:after="0" w:line="19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Our cost of product revenue decreased 27.4%, or $18,758,000, in fiscal 2016 versus the comparable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2015 due primarily to lower component cost, cost containment initiatives and inventory impairment charges in fiscal 2015. Our cost of service revenue decreased 59.4%, or $2,944,000 in fiscal 2016 versus the comparable period in fiscal 2015 primarily due to more solar projects and significant customer revenue in fiscal 2015 than fiscal 2016. Gross profit improved from a negative 1.6% of revenue in fiscal 2015 to 23.6% in fiscal 2016. The prior year included inventory impairment charges of $12,130,000. Our lighting gross margin was positively impacted by a favorable mix of higher-priced and higher-margin LED high bay fixtures, negotiated price decreases for lighting components and the benefits of our fiscal 2015 fourth quarter cost containment initiatives. We expect our gross margins from sales of lighting products to increase during fiscal 2017 as we continue to recognize the benefits of higher purchase volumes of LED components at lower costs, increasing sales volumes of our newly introduced and higher-margin LED high bay products and increased utilization of our manufacturing facility.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13.3%, or $1,976,000, in fiscal 2016 primarily due to the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 loss contingency of $1,400,000 in the fourth quarter of 2016.</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Goodwill and long lived asset impairment. </w:t>
      </w:r>
      <w:r>
        <w:rPr>
          <w:rFonts w:ascii="Arial" w:cs="Arial" w:eastAsia="Arial" w:hAnsi="Arial"/>
          <w:sz w:val="18"/>
          <w:szCs w:val="18"/>
          <w:color w:val="auto"/>
        </w:rPr>
        <w:t>We performed our annual goodwill impairment test in the fourth quarter of fiscal 2016.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goodwill impairment test, we determined that the entire amount of our recorded goodwill of $4,409,000 was impaired. In addition, long lived assets related to the pending sale and leaseback of our manufacturing facility were impaired by $1,614,000 to properly represent the fair value of the property being sold.</w:t>
      </w:r>
    </w:p>
    <w:p>
      <w:pPr>
        <w:spacing w:after="0" w:line="18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Our sales and marketing expenses decreased 14.7%, or $1,947,000, in fiscal 2016 compared to fiscal 2015. The decrease was due</w:t>
      </w:r>
      <w:r>
        <w:rPr>
          <w:rFonts w:ascii="Arial" w:cs="Arial" w:eastAsia="Arial" w:hAnsi="Arial"/>
          <w:sz w:val="17"/>
          <w:szCs w:val="17"/>
          <w:i w:val="1"/>
          <w:iCs w:val="1"/>
          <w:color w:val="auto"/>
        </w:rPr>
        <w:t xml:space="preserve"> </w:t>
      </w:r>
      <w:r>
        <w:rPr>
          <w:rFonts w:ascii="Arial" w:cs="Arial" w:eastAsia="Arial" w:hAnsi="Arial"/>
          <w:sz w:val="17"/>
          <w:szCs w:val="17"/>
          <w:color w:val="auto"/>
        </w:rPr>
        <w:t>to a decrease in headcount related expenses for compensation and reduced travel costs in conjunction with our cost containment efforts.</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decreased by 34.7% or $886,000, in fiscal 2016 primarily due to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fees and customer field sample testing costs related to our new products as we continue to increase our cost effectiveness related to launching new products and decrease our reliance on higher-cost third parties.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 fiscal 2016 decreased by 21.0% or $79,000 from fiscal 2015. The decrease in interest expense was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borrowings on our revolving credit facility.</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in 2016 decreased by 57.3% or $172,000 from 2015. Our interest income decreased as we continue to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utilization of third party finance providers for a majority of our financed projects.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decreased by 26.5% or $13,000 from a year ago. Our income tax expense is due primarily to the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minimum state tax liabilities.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Fiscal 2015 versus Fiscal 2014</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 and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52"/>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400" w:type="dxa"/>
            <w:vAlign w:val="bottom"/>
            <w:gridSpan w:val="3"/>
          </w:tcPr>
          <w:p>
            <w:pPr>
              <w:jc w:val="right"/>
              <w:ind w:right="474"/>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65,881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71,954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72,210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88,623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11,220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73,347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101.6 %</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Gross profit (loss)</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Acquisition and integration related expenses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2,026</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102.4 %</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8.4%, or $6,073,000, in fiscal 2015 versus fiscal 2014. The decrease in product revenue was primarily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discontinuance of sales of new solar PV systems in fiscal 2015. The revenue decrease was offset by product revenue from energy-efficient lighting systems and the emergence of LED lighting solutions as our customers realize the benefits of decreased LED product costs with improved performance and the related reduction in energy usage. During the back half of fiscal 2015, the return on investment for our customers using LED technology improved and we began to experience an increase in LED product revenue. Service revenue decreased from fiscal 2014 to fiscal 2015 by 62.0% or $10,340,000. The decrease in service revenue for fiscal 2015 was a result of fewer solar projects as mentioned above.</w:t>
      </w:r>
    </w:p>
    <w:p>
      <w:pPr>
        <w:spacing w:after="0" w:line="17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Cost of product revenue increased in fiscal 2015 by 25.7% or $13,965,000. Total gross margin decreased from</w:t>
      </w:r>
      <w:r>
        <w:rPr>
          <w:rFonts w:ascii="Arial" w:cs="Arial" w:eastAsia="Arial" w:hAnsi="Arial"/>
          <w:sz w:val="17"/>
          <w:szCs w:val="17"/>
          <w:i w:val="1"/>
          <w:iCs w:val="1"/>
          <w:color w:val="auto"/>
        </w:rPr>
        <w:t xml:space="preserve"> </w:t>
      </w:r>
      <w:r>
        <w:rPr>
          <w:rFonts w:ascii="Arial" w:cs="Arial" w:eastAsia="Arial" w:hAnsi="Arial"/>
          <w:sz w:val="17"/>
          <w:szCs w:val="17"/>
          <w:color w:val="auto"/>
        </w:rPr>
        <w:t>25.9% for fiscal 2014 to (1.6)% for fiscal 2015. During the fiscal 2015 second quarter, we recorded an impairment charge of $12,130,000 related to our long-term wireless control inventory and the related development and intangible costs. Our wireless controls inventory was considered to be impaired based upon current market conditions, including a significant decline during the fiscal year in wireless controls unit volume sales, an increase in product sales in the commercial office and retail market, where the controls product offering is not saleable, limitations in alternative uses for the inventory and the increasing adoption of, and performance improvements in, LED lighting products. Total gross margin excluding the impairment charge decreased from 25.9% for fiscal 2014 to 15.2% for fiscal 2015. Gross margin from our HIF and LED integrated systems revenue for fiscal 2014 was 26.0% compared to 15.0% in 2015, excluding the aforementioned wireless control impairment, for fiscal 2015. The decrease in our lighting gross margin percentage was impacted by (i) product warranty charges; (ii) the increase in the relative sales volume of our lower margin LED products; (iii) higher than anticipated input material costs; and (iv) the decrease in sales volumes of manufactured lighting products and the related under absorption of the fixed expenses associated with our underutilized manufacturing facility. Cost of service revenue decreased in fiscal 2015 by 55.8% or $6,261,000. Our gross margin on solar PV revenues was 25.6% during fiscal 2014 compared to 25.3% during fiscal 2015.</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 fiscal 2015 decreased slightly from fiscal 2014 by 0.3%, or $43,000.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due to a loss from the sale of our corporate leased aircraft and related aviation employee severance expenses during fiscal 2014 that did not reoccur in fiscal 2015. Expenses in fiscal 2015 actually increased slightly over fiscal 2014 when excluding the loss mentioned above. Increases in fiscal 2015 were slightly higher in almost every category of expense with larger amounts attributable to compensation related expenses and amortization expense.</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Acquisition and Integration Related Expenses. </w:t>
      </w:r>
      <w:r>
        <w:rPr>
          <w:rFonts w:ascii="Arial" w:cs="Arial" w:eastAsia="Arial" w:hAnsi="Arial"/>
          <w:sz w:val="18"/>
          <w:szCs w:val="18"/>
          <w:color w:val="auto"/>
        </w:rPr>
        <w:t>Our acquisition related expenses decreased by $772,000 in fiscal 2015 as the amounts in fiscal 2014</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the Harris acquisition.</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decreased slightly in 2015 by 1.8%, or $237,000. The decrease was due to reduced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certain of our sales information systems reached the end of their depreciable lives and reduced travel expenses as a result of the sale of our corporate jet. These decreases were partially offset by increased spending for advertising, brand development and product promotions to increase LED revenue opportunities.</w:t>
      </w:r>
    </w:p>
    <w:p>
      <w:pPr>
        <w:spacing w:after="0" w:line="18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increased from fiscal 2014 to fiscal 2015 by 26.1%, or $528,000.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due to spending for samples, testing and certification of our new LED products as we expanded our LED product lines during fiscal 2015.</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decreased in fiscal 2015 by 21.8%, or $105,000. The decrease in interest expense was due to the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financed contract debt for our Orion Throughput Agreement (“OTA”) projects in fiscal 2015 compared to the prior year.</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decreased in fiscal 2015 by 47.1%, or $267,000. Our interest income decreased as we increased the utilization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finance providers for a majority of our financed projects. We expect our interest income to continue to decrease as we continue to utilize third party finance providers for our OTA projects.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increased from an income tax benefit for fiscal 2014 to income tax expense for fiscal 2015,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102.4% or $2,107,000. During fiscal 2014, we reversed a portion of our valuation reserve to offset deferred tax liabilities created by the acquisition of Harris. Our effective income tax benefit for fiscal 2014 was 24.9% compared to an effective tax rate of (0.2)% for fiscal 2015. The change in effective rate was due primarily to the changes in the valuation reserve in fiscal 2014 and minimum state tax liabilities.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Orion U.S. Markets Division ("USM") sells lighting solutions into the wholesale markets.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w w:val="95"/>
              </w:rPr>
              <w:t>For the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38,841</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37,778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38,766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(4,958)</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(12,542)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(1,012)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USM segment revenue increased from fiscal 2015 by 2.8%, or $1,063,000. The increase in revenue during fiscal 2016 was primarily due to increased sales of our LED lighting products and our initiative to expand the number of our key resellers.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USM segment operating loss decreased from fiscal 2015 by 60.5%, or $7,584,000. The decrease in operating loss in fiscal 2016 was primarily due to:</w:t>
      </w:r>
    </w:p>
    <w:p>
      <w:pPr>
        <w:spacing w:after="0" w:line="46" w:lineRule="exact"/>
        <w:rPr>
          <w:sz w:val="20"/>
          <w:szCs w:val="20"/>
          <w:color w:val="auto"/>
        </w:rPr>
      </w:pPr>
    </w:p>
    <w:p>
      <w:pPr>
        <w:jc w:val="both"/>
        <w:ind w:firstLine="8"/>
        <w:spacing w:after="0" w:line="254"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 related to the segment's long-term inventory controls impairment charge of $6,586,000 incurred during fiscal 2015; (ii) the increase in revenue in fiscal 2016 and the related increase in contribution margin dollars; (iii) the improvements to our gross margin related to cost decreases on LED components; and (iv) a reduction in our operating expenses related to compensation and discretionary spending, partially offset by the segment's fiscal 2016 goodwill impairment charge of $2,371,000 and fiscal 2016 fixed asset impairment charge of $689,000.</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USM segment revenue in fiscal 2015 compared to fiscal 2014 decreased by 2.5% or $988,000. The decrease was primarily due to the delay in customer purchasing decisions resulting from the continuing emergence of LED lighting solutions. We believe customers delayed decisions throughout the first half of fiscal 2015 as they monitored and evaluated lighting technology alternatives.</w:t>
      </w:r>
    </w:p>
    <w:p>
      <w:pPr>
        <w:spacing w:after="0" w:line="181" w:lineRule="exact"/>
        <w:rPr>
          <w:sz w:val="20"/>
          <w:szCs w:val="20"/>
          <w:color w:val="auto"/>
        </w:rPr>
      </w:pPr>
    </w:p>
    <w:p>
      <w:pPr>
        <w:jc w:val="both"/>
        <w:ind w:right="560" w:firstLine="405"/>
        <w:spacing w:after="0" w:line="342" w:lineRule="auto"/>
        <w:rPr>
          <w:sz w:val="20"/>
          <w:szCs w:val="20"/>
          <w:color w:val="auto"/>
        </w:rPr>
      </w:pPr>
      <w:r>
        <w:rPr>
          <w:rFonts w:ascii="Arial" w:cs="Arial" w:eastAsia="Arial" w:hAnsi="Arial"/>
          <w:sz w:val="16"/>
          <w:szCs w:val="16"/>
          <w:color w:val="auto"/>
        </w:rPr>
        <w:t>USM segment operating loss increased by $11,530,000. The increase in operating loss for fiscal 2015 was primarily due to expense related to the proportional long-term inventory controls impairment charge and to the product mix as a result of an increase in lower margin LED product revenues.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22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Orion Engineered Systems Division ("OES") sells lighting products and provides construction and engineering services for our commercial lighting and energy management systems. OES also provides turnkey solutions for large national accounts, governments, municipalities and schools.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OES segment operating results: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For the year ended March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26,325</w:t>
            </w:r>
          </w:p>
        </w:tc>
        <w:tc>
          <w:tcPr>
            <w:tcW w:w="5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33,454</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49,857</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(6,982)</w:t>
            </w: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(12,431)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1,260</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OES revenue decreased in fiscal 2016 by 21.3%, or $7,129,000, compared to fiscal 2015. This decrease in revenue was primarily due to customer contraction of capital spending within the manufacturing and industrial sector.</w:t>
      </w:r>
    </w:p>
    <w:p>
      <w:pPr>
        <w:spacing w:after="0" w:line="1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OES segment operating loss decreased 43.8%, or $5,449,000, from fiscal 2015 compared to fiscal 2016. The decrease in operating loss was due to: (i) the segment's long-term inventory controls impairment charge of $5,544,000 incurred during fiscal 2015; (ii) improvements to our fiscal 2016 gross margin related to cost decreases on LED components; and (iii) a decrease in operating expenses for compensation and discretionary expenses resulting from our fourth quarter fiscal 2015 cost containment initiative, partially offset by the segment's fiscal 2016 goodwill impairment charge of $2,038,000 and fiscal 2016 fixed asset impairment charge of $804,000.</w:t>
      </w:r>
    </w:p>
    <w:p>
      <w:pPr>
        <w:sectPr>
          <w:pgSz w:w="11900" w:h="16838" w:orient="portrait"/>
          <w:cols w:equalWidth="0" w:num="1">
            <w:col w:w="11420"/>
          </w:cols>
          <w:pgMar w:left="240" w:top="125" w:right="239" w:bottom="10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00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OES segment revenue decreased 32.9%, or $16,403,000. The decrease in revenue for fiscal 2015 was due to a decrease in the number and size of solar projects under construction, which was partially offset by an increase in LED lighting revenue and the acquisition of Harris.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OES segment operating income decreased in fiscal 2015 by $13,691,000. The decrease in operating income for fiscal 2015 was due to the expense related to the segment's long-term inventory controls impairment charge incurred during fiscal 2015 and the decline in revenue and the reduction in contribution margin dollars due to the increase of lower margin LED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Orion Distribution Services Division ("ODS") sells lighting products to a developing network of North American broadline distributors.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For the year ended March 31,</w:t>
            </w:r>
          </w:p>
        </w:tc>
        <w:tc>
          <w:tcPr>
            <w:tcW w:w="1740" w:type="dxa"/>
            <w:vAlign w:val="bottom"/>
          </w:tcPr>
          <w:p>
            <w:pPr>
              <w:spacing w:after="0"/>
              <w:rPr>
                <w:sz w:val="16"/>
                <w:szCs w:val="16"/>
                <w:color w:val="auto"/>
              </w:rPr>
            </w:pPr>
          </w:p>
        </w:tc>
      </w:tr>
      <w:tr>
        <w:trPr>
          <w:trHeight w:val="276"/>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(dollars in thousands)</w:t>
            </w: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680" w:type="dxa"/>
            <w:vAlign w:val="bottom"/>
          </w:tcPr>
          <w:p>
            <w:pPr>
              <w:jc w:val="right"/>
              <w:ind w:right="94"/>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900" w:type="dxa"/>
            <w:vAlign w:val="bottom"/>
          </w:tcPr>
          <w:p>
            <w:pPr>
              <w:jc w:val="right"/>
              <w:ind w:right="97"/>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740" w:type="dxa"/>
            <w:vAlign w:val="bottom"/>
          </w:tcPr>
          <w:p>
            <w:pPr>
              <w:ind w:left="1380"/>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99"/>
              </w:rPr>
              <w:t>—%</w:t>
            </w:r>
          </w:p>
        </w:tc>
      </w:tr>
      <w:tr>
        <w:trPr>
          <w:trHeight w:val="27"/>
        </w:trPr>
        <w:tc>
          <w:tcPr>
            <w:tcW w:w="58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2016 Compared to Fiscal 2015</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ODS segment revenue increased in fiscal 2016 from fiscal 2015 by 153%, or $1,498,000. The increase in revenue in fiscal 2016 was due to the relatively low base line of revenue following the April 2014 start-up of this business unit and to variability in the timing of customer orders as this business unit develops.</w:t>
      </w:r>
    </w:p>
    <w:p>
      <w:pPr>
        <w:spacing w:after="0" w:line="18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ODS segment operating loss increased by 38.9%, or $177,000, in fiscal 2016. The operating loss was due to the increased contribution margin dollars earned from our increasing revenue offset by our continued investment in selling costs to grow this start-up business and a fiscal 2016 fixed asset impairment charge of $121,000.</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ODS segment revenue was $978,000 in fiscal 2015 as compared to zero in the prior year as a result of organizational changes and the creation of the new distribution markets into which our Distribution Services division sells in fiscal 2015.</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ODS segment operating loss for fiscal 2015 was due to the impact of low factory utilization levels on gross margin and our investment in selling costs to start-up this business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We had approximately $15,542,000 in cash and cash equivalents as of March 31, 2016, compared to $20,002,000 at March 31, 2015. In February 2015, we completed an underwritten public offering of 5.46 million shares of our common stock, at an offering price to the public of $3.50 per share. Net proceeds of the offering approximated $17,465,000.</w:t>
      </w:r>
    </w:p>
    <w:p>
      <w:pPr>
        <w:spacing w:after="0" w:line="18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January 2014, we filed a universal shelf registration statement with the Securities and Exchange Commission. Under our shelf registration statement, we currently have the flexibility to publicly offer and sell from time to time up to $55,000,000 of debt and/or equity securities, although, we are currently limited to selling an amount of securities equal to one-third of our public float on such registration statement.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February 2015, Orion entered into a credit and security agreement ("Credit Agreement") with Wells Fargo Bank, National Association. The Credit Agreement provides for a revolving credit facility ("Credit Facility") that matures on February 6, 2018. Borrowings under the Credit Facility are initially limited to $15,000,000 subject to a borrowing base requirement based on eligible receivables and inventory. Such limit may increase to $20,000,000 subject to the borrowing base requirement, after July 31, 2016, if we satisfy certain conditions. The Credit Facility includes a $2,000,000 sublimit for the issuance of letters of credit.</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As of March 31, 2016, Orion had no outstanding letters of credit. Borrowings under the Credit Agreement outstanding as of March 31, 2016, amounted to approximately $3,719,000. Orion estimates that as of March 31, 2016, it was eligible to borrow an additional $229,000 under the Credit Facility based upon current levels of eligible inventory and accounts receivable. Orion was in compliance with its covenants in the Credit Agreement as of March 31, 2016.</w:t>
      </w:r>
    </w:p>
    <w:p>
      <w:pPr>
        <w:spacing w:after="0" w:line="14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future liquidity needs are dependent upon many factors, including our relative revenue, gross margins, cash management practices, capital expenditures, pending or future litigation results, cost containment measures and future potential acquisition transactions. In addition, we tend to experience high working capital costs when we increase sales from existing levels. Based on our current expectations, while we anticipate realizing improved net income performance during fiscal 2017, we also currently believe that we will experience negative working capital cash flows during some quarters of fiscal 2017. While we believe that we will likely have adequate available cash and equivalents and credit availability under our Credit Agreement to satisfy our currently anticipated working capital and liquidity requirements during the near-term, there can be no assurance to that effect. We are pursuing various alternative sources of liquidity, including the pending sale and leaseback of our manufacturing facility, to help ensure that we will have adequate available cash to satisfy our working capital needs. We are also implementing certain inventory management practices which should help to reduce our inventory levels and enhance our cash position. If we experience significant liquidity constraints, we may be required to reduce our sales efforts, implement additional cost savings initiatives or undertake other efforts to conserve our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our fiscal 2016, fiscal 2015 and fiscal 2014: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(3,473)</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(4,460)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3,192</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consisted of a net loss adjusted for certain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depreciation and amortization, stock-based compensation expenses, deferred income taxes, asset impairment charges, and the effect of changes in working capital and other activities.</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Cash used in operating activities for fiscal 2016 was $3,473,000 and consisted of net cash provided by changes in operating assets and liabilities of $3,621,000 and a net loss adjusted for non-cash expense items of $7,094,000. Cash provided by changes in operating assets and liabilities consisted of a decrease of $7,116,000 in accounts receivable due to the increase in lighting revenue and collections from customers, an increase in accounts payable of $713,000 due to the increase in inventory purchases to support our growth in lighting product revenue during fiscal 2016, an increase of $1,803,000 in accrued expenses due to a loss contingency reserve and accrued project installation costs, and a decrease in deferred contract costs of $137,000 due to the completion of solar projects. Cash used by changes in operating assets and liabilities included an increase of $3,249,000 in inventory due to the increase in purchases to support our anticipated growth in lighting product revenue, an increase in prepaid and other assets of $2,645,000 for project billings that increased unbilled revenue, and a decrease in deferred revenue of $254,000 due to project completions.</w:t>
      </w:r>
    </w:p>
    <w:p>
      <w:pPr>
        <w:spacing w:after="0" w:line="17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Cash used in operating activities for fiscal 2015 was $12,812,000 and consisted of net cash provided by changes in operating assets and liabilities of $550,000 and a net loss adjusted for non-cash expense items of $13,362,000. Cash provided by changes in operating assets and liabilities consisted of an increase in accounts payable of $2,475,000 due to the increase in inventory purchases to support our growth in lighting product revenue during the fiscal 2015 back half, an increase of $838,000 in accrued expenses due to increased warranty reserves and accrued project installation costs, a decrease in deferred contract costs of $651,000 due to the completion of solar projects and a decrease in prepaid and other assets of $1,261,000 for project billings that reduced unbilled revenue related to financed projects. Cash used by changes in operating assets and liabilities included an increase of $1,909,000 in accounts receivable due to the increase in lighting revenue during the fiscal 2015 back half, an increase of $2,356,000 in inventory due to the increase in purchases to support our anticipated growth in lighting product revenue for fiscal 2016 and a decrease in deferred revenue of $410,000 due to project completions.</w:t>
      </w:r>
    </w:p>
    <w:p>
      <w:pPr>
        <w:spacing w:after="0" w:line="166"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Cash provided from operating activities for fiscal 2014 was $9,901,000 and consisted of net cash provided by changes in operating assets and liabilities of $8,050,000 and net income adjusted for non-cash expense items of $1,851,000. Cash provided by changes in operating assets and liabilities consisted of a decrease of $3,962,000 in inventory on decreased purchases of lighting components, predominantly fluorescent ballasts, lamps, wireless controls and motion sensors, a decrease in deferred contract costs of $1,376,000 due to the timing of project completions and a decrease in accounts receivable of $8,395,000 related to customer collections. Cash used from changes in operating assets and liabilities included a $1,072,000 increase in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prepaid expenses and other for unbilled revenue related to solar projects, a decrease in accounts payable of $762,000 on reduced inventory purchases, a $2,274,000 decrease in deferred revenue due to the decline in solar project activity and a $1,575,000 decrease in accrued expenses due to a decrease in accrued reorganization expenses.</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in investing activities was $372,000 in fiscal 2016 which consisted of $401,000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related to LED production. Cash provided by investing activities in fiscal 2015 included $35,000 related to the sale of property, plant, and equipment.</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fiscal 2015 was $730,000 which included $2,006,000 invested for capital improvements related to new product tooling, information technology systems and infrastructure investments to improve response time to customers and generate business efficiencies and $234,000 for investment in patents. Cash provided from investing activities in fiscal 2015 included $472,000 from the sale of short-term investments and $1,040,000 of proceeds from the sale of our facility in Plymouth, Wisconsin.</w:t>
      </w:r>
    </w:p>
    <w:p>
      <w:pPr>
        <w:spacing w:after="0" w:line="18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Cash used in investing activities was $4,814,000 in fiscal 2014. Cash used primarily included $4,992,000 for the acquisition of Harris and $410,000 for capital improvements related to product development tooling and information technology systems. Cash provided from investing activities in fiscal 2014 primarily included $555,000 from the sales of short-term investments and $80,000 in proceeds from the sale of assets.</w:t>
      </w:r>
    </w:p>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Cash used in financing activities was $615,000 for fiscal 2016. This included $1,901,000 cash used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of long-term debt, partially offset by $1,218,000 of net proceeds from our Credit Facility and $104,000 received from stock option exercises.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provided by financing activities was $15,976,000 for fiscal 2015. This included $17,465,000 in net proceeds from our February 2015 stock offering, $2,500,000 in borrowings against our revolving credit facility, $446,000 from the refinancing of the JP Morgan OTA credit facility and $441,000 in proceeds from stock option and warrant exercises and stock note repayments. Cash flows used in financing activities included $4,494,000 for repayment of long-term debt and $406,000 for financing costs related to new debt agreements.</w:t>
      </w:r>
    </w:p>
    <w:p>
      <w:pPr>
        <w:spacing w:after="0" w:line="187"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Cash used in financing activities was $1,895,000 for fiscal 2014. This included $3,229,000 for repayment of long-term debt. Cash flows provided by financing activities included $1,125,000 received from stock option exercises and $215,000 from shareholder note repayments.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net working capital as of March 31, 2016 was $29,239,000, consisting of $48,530,000 in current assets and $19,291,000 in current liabilities. Our net working capital as of March 31, 2015 was $36,726,000, consisting of $55,045,000 in current assets and $18,319,000 in current liabilities. Our current accounts receivable balance decreased by $7,374,000 from the fiscal 2015 year-end due to strengthened emphasis on collection efforts in the back half of fiscal 2016. Our current inventory increased from the fiscal 2015 year-end by $2,741,000 due to increases in LED component inventories to support the increase in LED product orders. Our prepaid and other current assets increased by $2,631,000 due to an increase in unbilled revenue for completed projects. Our accounts payable increased by $713,000 on the increase in inventory, increased sourced products and improvements in negotiated vendor payment terms as we transition our supply chain to an increasing number of new LED vendors. Our accrued expenses increased from our fiscal 2015 year-end by $1,389,000 due to a loss contingency reserve recorded in the fourth quarter of fiscal 2016.</w:t>
      </w:r>
    </w:p>
    <w:p>
      <w:pPr>
        <w:spacing w:after="0" w:line="179"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On February 6, 2015, we entered into a Credit Agreement with Wells Fargo Bank, National Association. The Credit Agreement provides for a Credit Facility that matures on February 6, 2018. Borrowings under the Credit Facility are initially limited to $15,000,000 subject to a borrowing base requirement based on eligible receivables and inventory. Such limit may increase to $20,000,000 subject to the borrowing base requirement, after July 31, 2016, if we satisfy certain conditions. The Credit Facility includes a $2,000,000 sublimit for the issuance of letters of credit.</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From and after any increase in the Credit Facility limit from $15,000,000 to $20,000,000 the Credit Agreement will require us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our ability to incur additional indebtedness,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 or merge, enter into acquisitions, guarantee obligations of third parties, make loans or advances, declare or pay any dividend or distribution on our stock, redeem or repurchase shares of our stock, or pledge or dispose of assets.</w:t>
      </w:r>
    </w:p>
    <w:p>
      <w:pPr>
        <w:spacing w:after="0" w:line="170"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Each subsidiary is a joint and several co-borrower or guarantor under the Credit Agreement, and the Credit Agreement is secured by a security interest in substantially all of our and our subsidiaries' personal property (excluding various assets relating to customer OTAs) and a mortgage on certain real property.</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March 31, 2016, the interest rate was 3.63%.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March 31, 2016, we had no outstanding letters of credit. Borrowings under the Credit Agreement outstanding as of March 31, 2016, amounted to approximately $3,719,000. We estimate that, as of March 31, 2016, we were only eligible to borrow an additional $229,000 under the Credit Facility based upon the then current levels of eligible inventory and accounts receivable. We were in compliance with our covenants in the Credit Agreement as of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25" w:lineRule="exact"/>
        <w:rPr>
          <w:sz w:val="20"/>
          <w:szCs w:val="20"/>
          <w:color w:val="auto"/>
        </w:rPr>
      </w:pPr>
    </w:p>
    <w:p>
      <w:pPr>
        <w:ind w:right="340" w:firstLine="405"/>
        <w:spacing w:after="0" w:line="273" w:lineRule="auto"/>
        <w:rPr>
          <w:sz w:val="20"/>
          <w:szCs w:val="20"/>
          <w:color w:val="auto"/>
        </w:rPr>
      </w:pPr>
      <w:r>
        <w:rPr>
          <w:rFonts w:ascii="Arial" w:cs="Arial" w:eastAsia="Arial" w:hAnsi="Arial"/>
          <w:sz w:val="17"/>
          <w:szCs w:val="17"/>
          <w:color w:val="auto"/>
        </w:rPr>
        <w:t>Over the past three fiscal years, we have made capital expenditures primarily for general corporate purposes for our corporate headquarters and technology center, production equipment and tooling and for information technology systems. Our capital expenditures totaled $401,000 in fiscal 2016, $2,006,000 in fiscal 2015, and $410,000 in fiscal 2014. We plan to incur approximately $1,000,000 in capital expenditures in fiscal 2017. Our capital spending plans predominantly consist of investments related to new product development tooling and investments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regarding our known contractual obligations of the types described below as of March 31, 2016 is set forth in the following table: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3"/>
                <w:szCs w:val="13"/>
                <w:color w:val="auto"/>
              </w:rPr>
            </w:pPr>
          </w:p>
        </w:tc>
        <w:tc>
          <w:tcPr>
            <w:tcW w:w="114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debt obligations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interest payments on debt</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order and capital expenditure commitments(1)</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216"/>
        <w:spacing w:after="0" w:line="402" w:lineRule="auto"/>
        <w:rPr>
          <w:sz w:val="20"/>
          <w:szCs w:val="20"/>
          <w:color w:val="auto"/>
        </w:rPr>
      </w:pPr>
      <w:r>
        <w:rPr>
          <w:rFonts w:ascii="Arial" w:cs="Arial" w:eastAsia="Arial" w:hAnsi="Arial"/>
          <w:sz w:val="18"/>
          <w:szCs w:val="18"/>
          <w:color w:val="auto"/>
        </w:rPr>
        <w:t xml:space="preserve">(1) Reflects non-cancellable purchase commitments for certain inventory items entered into in order to secure better pricing and ensure materials on hand. </w:t>
      </w:r>
      <w:r>
        <w:rPr>
          <w:rFonts w:ascii="Arial" w:cs="Arial" w:eastAsia="Arial" w:hAnsi="Arial"/>
          <w:sz w:val="18"/>
          <w:szCs w:val="18"/>
          <w:b w:val="1"/>
          <w:bCs w:val="1"/>
          <w:color w:val="auto"/>
        </w:rPr>
        <w:t>Off-Balance Sheet Arrangements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47"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when the following criteria have been met: there is persuasive evidence of an arrangement; delivery has</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and title has passed to the customer; the sales price is fixed and determinable and no further obligation exists; and collectability is reasonably assured. Virtually all of our revenue is recognized when products are shipped to a customer or when services are completed and acceptance provisions, if any, have been met. In certain of our contracts, we provide multiple deliverables. We record the revenue associated with each element of these arrangements by allocating the total contract revenue to each element based on their relative selling prices. In such circumstances, we use a hierarchy to determine the selling price to be used for allocating revenue to deliverables: (1) vendor-specific objective evidence, or “VSOE” of selling price, if available, (2) third-party evidence, or “TPE” of selling price if VSOE is not available, and (3) best estimate of the selling price if neither VSOE nor TPE is available. We determine the selling price for our lighting and energy management system products, installation and recycling services and for solar renewable product and services using management’s best estimate of selling price as VSOE or TPE evidence does not exist. We consider external and internal factors including, but not limited to, pricing practices, margin objectives, competition, geographies in which we offer our products and services, internal costs, and the scope and size of projects. Our Power Purchase Agreement (“PPA”) contracts are supply side agreements for the generation of electricity for which we recognize revenue on a monthly basis over the life of the PPA contract, typically in excess of 10 years. For sales of our solar PV systems, we recognize revenue using the percentage-of-completion method by measuring project progress by the percentage of costs incurred to date of the total estimated costs for each contract as materials are installed. Revenue from sales of our solar PV systems is generally recognized over a period of three to 15 months. Additionally, we offer our OTA sales-type financing program under which we finance the customer’s purchase of our energy management systems. Our OTA contracts are sales-type capital leases under GAAP and we record revenue at the net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w:t>
      </w:r>
    </w:p>
    <w:p>
      <w:pPr>
        <w:spacing w:after="0" w:line="39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Inventories are stated at the lower of cost or market value and include raw materials, work in process and finished goods. Items are removed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During fiscal 2015, we recorded an impairment charge of $12,130,000 to our wireless controls inventory. Our inventory obsolescence reserves at March 31, 2016 were $2,127,000, or 11.1% of gross inventory, and $1,619,000, or 10.2% of gross inventory, at March 31, 2015.</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ongoing evaluations of our customers and continuously monitor collections and payments and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an 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$505,000, or 4.4% of gross receivables, at March 31, 2016 and $458,000, or 2.4% of gross receivables, at March 31, 2015.</w:t>
      </w:r>
    </w:p>
    <w:p>
      <w:pPr>
        <w:spacing w:after="0" w:line="18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Recoverability of Long-Lived Assets. </w:t>
      </w:r>
      <w:r>
        <w:rPr>
          <w:rFonts w:ascii="Arial" w:cs="Arial" w:eastAsia="Arial" w:hAnsi="Arial"/>
          <w:sz w:val="17"/>
          <w:szCs w:val="17"/>
          <w:color w:val="auto"/>
        </w:rPr>
        <w:t>We evaluate long-lived assets such as property, equipment and definite lived intangible assets, such as patents,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relationships, developed technology, and non-competition agreements,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such as the loss of a customer in the case of customer relationships.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the economic life of the asset. If impairment is indicated, we first determine if the total estimated future cash flows on an undiscounted basis are less than the carrying amounts of the asset or assets. If so, an impairment loss is measured and recognized. During fiscal 2016, we recorded an impairment loss of $1,614,000 related to the write-down of our Manitowoc</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manufacturing facility based upon the net realizable value of the pending sale leaseback transaction to occur by the end of the first fiscal quarter of fiscal 2017. During fiscal 2015, we recorded an impairment loss of $1,030,000 related to development and licensing costs for our wireless controls inventory.</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After an impairment loss is recognized, a new, lower cost basis for that long-lived asset is established. Subsequent changes in facts and circumstances do not result in the reversal of a previously recognized impairment loss.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impairment loss calculations require that we apply judgment in estimating future cash flows and asset fair values, including estimating useful lives of the assets. To make these judgments, we may use internal discounted cash flow estimates, quoted market prices, when available, and independent appraisals, as appropriate, to determine fair value.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actual results are not consistent with our assumptions and judgments used in estimating future cash flows and asset fair values, we may be required to recognize additional impairment losses which could be material to our results of operations.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test goodwill for impairment at least annually as of the first day of the fiscal fourth quarter, or when indications of potential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exist. We monitor for the existence of potential impairment indicators throughout the fiscal year. We conduct impairment testing for goodwill at the reporting unit level. Reporting units, as defined by Accounting Standards Codification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may be operating segments as a whole or an operation one level below an operating segment, referred to as a component. For fiscal 2016 and fiscal 2015, our reporting units consisted of our segments: USM and OES. The ODS segment had no goodwill.</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may initiate goodwill impairment testing by considering qualitative factors to determine whether it is more likely than not that a reporting unit's carrying value is greater than its fair value. Such factors may include the following, among others: a significant adverse change in macroeconomic conditions or legal factors; deterioration in our industry and market environment, including unanticipated or increased competition, a change in the market for our products or services, or a regulatory development; cost factors such as increases in raw materials, labor, or other costs that have a negative effect on earnings and cash flows; overall financial performance such as a significant decline in the reporting unit's expected future cash flows or a decline in actual or planned revenue or earnings compared with actual and projected results of relevant prior periods; a sustained, significant decline in our stock price and market capitalization; and changes in management, key personnel, strategy, or customers. If our qualitative assessment reveals that goodwill impairment is more likely than not, we perform the two-step impairment test. Alternatively, we may bypass the qualitative test and initiate goodwill impairment testing with the first step of the two-step goodwill impairment test.</w:t>
      </w:r>
    </w:p>
    <w:p>
      <w:pPr>
        <w:spacing w:after="0" w:line="18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first step of the goodwill impairment test, we compare the fair value of the reporting unit to its carrying value, including goodwill. We derive a reporting unit's fair value through a combination of the market approach (a guideline transaction method) and the income approach (a discounted cash flow analysis). The income approach utilizes a discount rate from the capital asset pricing model. If all reporting units are analyzed during the first step of the goodwill impairment test, their respective fair values are reconciled back to our consolidated market capitalization.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the fair value of a reporting unit exceeds its carrying value, then we conclude that no goodwill impairment has occurred. If the carrying value of the reporting unit exceeds its fair value, we perform the second step of the goodwill impairment test to measure possible goodwill impairment loss. During the second step, we hypothetically value the reporting unit's tangible and intangible assets and liabilities as if the reporting unit had been acquired in a business combination. Then, the implied fair value of the reporting unit's goodwill is compared to the carrying value of its goodwill. If the carrying value of the reporting unit's goodwill exceeds the implied fair value of the goodwill, we recognize an impairment loss in an amount equal to the excess, not to exceed the carrying value of the reporting unit's goodwill. Once an impairment loss is recognized, the adjusted carrying value of the goodwill becomes the new accounting basis of the goodwill for the reporting unit.</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conjunction with our annual goodwill testing, a quantitative test was performed in fiscal 2016 based upon the decline in our stock price, continued operating losses and a decline in our enterprise market capitalization to below our book value. As a result, during fiscal 2016, we recorded an impairment loss of $4,409,000 related to all of our goodwill which was determined to be in excess of its implied fair value based upon the second step of the goodwill impairment test.</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Indefinite Lived Intangible Assets. </w:t>
      </w:r>
      <w:r>
        <w:rPr>
          <w:rFonts w:ascii="Arial" w:cs="Arial" w:eastAsia="Arial" w:hAnsi="Arial"/>
          <w:sz w:val="18"/>
          <w:szCs w:val="18"/>
          <w:color w:val="auto"/>
        </w:rPr>
        <w:t>We test indefinite lived intangible assets for impairment at least annually on the first day of our fiscal fourth quarter ,</w:t>
      </w:r>
      <w:r>
        <w:rPr>
          <w:rFonts w:ascii="Arial" w:cs="Arial" w:eastAsia="Arial" w:hAnsi="Arial"/>
          <w:sz w:val="18"/>
          <w:szCs w:val="18"/>
          <w:i w:val="1"/>
          <w:iCs w:val="1"/>
          <w:color w:val="auto"/>
        </w:rPr>
        <w:t xml:space="preserve"> </w:t>
      </w:r>
      <w:r>
        <w:rPr>
          <w:rFonts w:ascii="Arial" w:cs="Arial" w:eastAsia="Arial" w:hAnsi="Arial"/>
          <w:sz w:val="18"/>
          <w:szCs w:val="18"/>
          <w:color w:val="auto"/>
        </w:rPr>
        <w:t>or when indications of potential impairment exist. We monitor for the existence of potential impairment indicators throughout the fiscal year. Our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9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Determining the fair value of indefinite-lived intangible assets entails significant estimates and assumptions including, but not limited to, estimating future cash flows from product sales, perpetuation of employment agreements containing non-competition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clauses, continuation of customer relationships and renewal of customer contracts, and approximating the useful lives of the intangible assets acquired.</w:t>
      </w:r>
    </w:p>
    <w:p>
      <w:pPr>
        <w:spacing w:after="0" w:line="2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the fair value of the indefinite lived intangible asset exceeds its carrying value, we conclude that no indefinite lived intangible asset impairment has occurred. If the carrying value of the indefinite lived intangible asset exceeds its fair value, we recognize an impairment loss in an amount equal to the excess, not to exceed the carrying value. Once an impairment loss is recognized, the adjusted carrying value becomes the new accounting basis of the indefinite lived intangible asset.</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2016, we performed a quantitative test on indefinite lived intangible assets related to our Harris tradename and determined that its fair value exceeded its carrying value and was not impaired. This test was performed in conjunction with our annual impairment test of goodwill after determining the goodwill was impaired.</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have historically issued stock options and restricted stock awards to our employees, executive officers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fiscal 2014, we changed our long-term equity incentive grant policy so that only restricted shares are currently issued. We adopted the provisions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which requires us to expense the estimated fair value of stock options and similar awards based on the fair value of the award on the date of grant. Compensation costs for equity incentives are recognized in earnings, net of estimated forfeitures, on a straight-line basis over the requisite service period.</w:t>
      </w:r>
    </w:p>
    <w:p>
      <w:pPr>
        <w:spacing w:after="0" w:line="18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We did not issue any stock options during fiscal 2016 or fiscal 2015. The fair value of each option for financial reporting purposes was estimated on the date of grant using the Black-Scholes option-pricing model with the following assumptions used for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374650</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4.1 years</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0.8%</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73.3%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20.3%</w:t>
            </w: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estimated the expected term of our stock options based on the vesting term of our options and expected exercise behavior.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risk-free interest rate was based on the implied yield available on United States treasury zero-coupon issues as of the option grant date with a remaining term approximately equal to the expected life of the option.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determined volatility based upon the historical market price of our common share price.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Since the closing of our IPO in December 2007, we have solely used the closing sale price of our common shares as reported by the national securities exchange on which we were listed on the date of grant to establish the exercise price of our stock options.</w:t>
      </w:r>
    </w:p>
    <w:p>
      <w:pPr>
        <w:spacing w:after="0" w:line="1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March 31, 2016, $2,242,000 of total stock-based compensation cost was expected to be recognized by us over a weighted average period of 2.6 years. We expect to recognize $1,113,000 of stock-based compensation expense in fiscal 2017 based on restricted stock awards outstanding as of March 31, 2016. This expense will increase further to the extent we have granted, or will grant, additional stock options or restricted stock awards in the future.</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6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2014, we reversed $2,315,000 of our valuation reserve to offset deferred tax liabilities created by the acquisition of Harris. For fiscal 2015 and fiscal 2016, we increased our valuation allowance against our net federal and our net state deferred tax assets due to our cumulative three year taxable losses. In making these determinations, we considered all available positive and negative evidence, including projected future taxable income, tax planning strategies, recent financial performance and ownership changes.</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of March 31, 2016, we had net operating loss carryforwards of approximately $55,807,000 for federal tax purposes and $42,181,000 for state tax purposes. Included in these loss carryforwards were $3,586,000 for federal and $3,941,000 for state tax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paid-in-capital as the deduction reduces our income taxes payable.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w:t>
      </w:r>
    </w:p>
    <w:p>
      <w:pPr>
        <w:spacing w:after="0" w:line="1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had federal tax credit carryforwards of $1,475,000 and state tax credit carryforwards of $769,000, which are fully reserved for as part of our valuation allowance. Both the net operating losses and tax credit carryforwards will begin to expire in varying amounts between 2020 and 2036.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188"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 xml:space="preserve">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2016, the balance of gross unrecognized tax benefits was approximately $227,000, all of which would reduce our effective tax rate if recognized. We believe that our estimates and judgments discussed herein are reasonable, however, actual results could differ, which could result in gains or losses that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2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8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Our results from operations have not historically been, and we do not expect them to be, materially affected by inflation.</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Foreign Exchange Risk. </w:t>
      </w:r>
      <w:r>
        <w:rPr>
          <w:rFonts w:ascii="Arial" w:cs="Arial" w:eastAsia="Arial" w:hAnsi="Arial"/>
          <w:sz w:val="18"/>
          <w:szCs w:val="18"/>
          <w:color w:val="auto"/>
        </w:rPr>
        <w:t>We face minimal exposure to adverse movements in foreign currency exchange rates. Our foreign currency losses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have been nominal.</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investments consist primarily of investments in money market funds. While the instruments we hold are subject to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2016, $3,719,000 of our $4,767,000 of outstanding debt was at floating interest rates. An increase of 1.0% in the prime rate would result in an increase in our interest expense of approximately $37,200 per year.</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We are exposed to certain commodity price risks associated with our purchases of raw materials, most significantly our</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purchases. A hypothetical 10% fluctuation in aluminum prices would have an impact of $450,000 on earnings in fiscal 2017.</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02"/>
        </w:trPr>
        <w:tc>
          <w:tcPr>
            <w:tcW w:w="4360" w:type="dxa"/>
            <w:vAlign w:val="bottom"/>
            <w:gridSpan w:val="6"/>
          </w:tcPr>
          <w:p>
            <w:pPr>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Reports of Independent Registered Public Accounting Firms</w:t>
              </w:r>
            </w:hyperlink>
          </w:p>
        </w:tc>
        <w:tc>
          <w:tcPr>
            <w:tcW w:w="600" w:type="dxa"/>
            <w:vAlign w:val="bottom"/>
          </w:tcPr>
          <w:p>
            <w:pPr>
              <w:spacing w:after="0"/>
              <w:rPr>
                <w:sz w:val="17"/>
                <w:szCs w:val="17"/>
                <w:color w:val="auto"/>
              </w:rPr>
            </w:pPr>
          </w:p>
        </w:tc>
        <w:tc>
          <w:tcPr>
            <w:tcW w:w="6420" w:type="dxa"/>
            <w:vAlign w:val="bottom"/>
            <w:gridSpan w:val="4"/>
          </w:tcPr>
          <w:p>
            <w:pPr>
              <w:jc w:val="right"/>
              <w:ind w:right="2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6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Balance Sheets</w:t>
              </w:r>
            </w:hyperlink>
          </w:p>
        </w:tc>
        <w:tc>
          <w:tcPr>
            <w:tcW w:w="600" w:type="dxa"/>
            <w:vAlign w:val="bottom"/>
          </w:tcPr>
          <w:p>
            <w:pPr>
              <w:spacing w:after="0"/>
              <w:rPr>
                <w:sz w:val="21"/>
                <w:szCs w:val="21"/>
                <w:color w:val="auto"/>
              </w:rPr>
            </w:pPr>
          </w:p>
        </w:tc>
        <w:tc>
          <w:tcPr>
            <w:tcW w:w="642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w:t>
              </w:r>
            </w:hyperlink>
          </w:p>
        </w:tc>
        <w:tc>
          <w:tcPr>
            <w:tcW w:w="642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Shareholders’ Equity</w:t>
              </w:r>
            </w:hyperlink>
          </w:p>
        </w:tc>
        <w:tc>
          <w:tcPr>
            <w:tcW w:w="64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w:t>
              </w:r>
            </w:hyperlink>
          </w:p>
        </w:tc>
        <w:tc>
          <w:tcPr>
            <w:tcW w:w="1420" w:type="dxa"/>
            <w:vAlign w:val="bottom"/>
            <w:gridSpan w:val="2"/>
          </w:tcPr>
          <w:p>
            <w:pPr>
              <w:spacing w:after="0"/>
              <w:rPr>
                <w:sz w:val="21"/>
                <w:szCs w:val="21"/>
                <w:color w:val="auto"/>
              </w:rPr>
            </w:pPr>
          </w:p>
        </w:tc>
        <w:tc>
          <w:tcPr>
            <w:tcW w:w="642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Consolidated Financial Statements</w:t>
              </w:r>
            </w:hyperlink>
          </w:p>
        </w:tc>
        <w:tc>
          <w:tcPr>
            <w:tcW w:w="642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939"/>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jc w:val="right"/>
              <w:ind w:right="4050"/>
              <w:spacing w:after="0"/>
              <w:rPr>
                <w:sz w:val="20"/>
                <w:szCs w:val="20"/>
                <w:color w:val="auto"/>
              </w:rPr>
            </w:pPr>
            <w:r>
              <w:rPr>
                <w:rFonts w:ascii="Arial" w:cs="Arial" w:eastAsia="Arial" w:hAnsi="Arial"/>
                <w:sz w:val="18"/>
                <w:szCs w:val="18"/>
                <w:color w:val="auto"/>
              </w:rPr>
              <w:t>37</w:t>
            </w:r>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Orion Energy Systems, Inc. as of March 31, 2016 and 2015 and the related consolidated statements of operations and comprehensive income, shareholders’ equity, and cash flows for each of the three years in the period ended March 31, 2016. In connection with our audits of the financial statements, we have also audited the financial statement schedule II, Valuation and Qualifying Accounts for each of the three years in the period ended March 31, 2016. These financial statements and schedule are the responsibility of the Company’s management. Our responsibility is to express an opinion on these financial statements and schedule based on our audits.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Orion Energy Systems, Inc. at March 31, 2016 and 2015, and the results of its operations and its cash flows for each of the three years in the period ended March 31, 2016</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in our opinion, the financial statement schedule, when considered in relation to the basic consolidated financial statements taken as a whole, present fairly, in all material respects, the information set forth therein.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Orion Energy Systems, Inc.’s internal control over financial reporting as of March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June 23, 2016 expressed an adverse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23,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have audited Orion Energy Systems, Inc.’s internal control over financial reporting as of March 31, 2016, based on criteria established in </w:t>
      </w:r>
      <w:r>
        <w:rPr>
          <w:rFonts w:ascii="Arial" w:cs="Arial" w:eastAsia="Arial" w:hAnsi="Arial"/>
          <w:sz w:val="16"/>
          <w:szCs w:val="16"/>
          <w:i w:val="1"/>
          <w:iCs w:val="1"/>
          <w:color w:val="auto"/>
        </w:rPr>
        <w:t>Internal Control</w:t>
      </w:r>
    </w:p>
    <w:p>
      <w:pPr>
        <w:spacing w:after="0" w:line="46" w:lineRule="exact"/>
        <w:rPr>
          <w:sz w:val="20"/>
          <w:szCs w:val="20"/>
          <w:color w:val="auto"/>
        </w:rPr>
      </w:pPr>
    </w:p>
    <w:p>
      <w:pPr>
        <w:jc w:val="both"/>
        <w:ind w:firstLine="8"/>
        <w:spacing w:after="0" w:line="273" w:lineRule="auto"/>
        <w:tabs>
          <w:tab w:leader="none" w:pos="12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(the COSO criteria). Orion Energy</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3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regarding management’s risk assessment, monitoring activities and control activities over revenue recognition has been identified and included in management’s assessment in Item 9A. This material weakness was considered in determining the nature, timing, and extent of audit tests applied in our audit of the 2016 financial statements, and this report does not affect our report dated June 23, 2016 on those financial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Orion Energy Systems, Inc. did not maintain, in all material respects, effective internal control over financial reporting as of March 31, 2016, based on the COSO criteria.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corrective actions taken by the company after the date of management's assessment.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Orion Energy Systems, Inc. as of March 31, 2016 and 2015, and the related consolidated statements of operations and comprehensive income, shareholders’ equity, and cash flows for each of the three years in the period ended March 31, 2016 and our report dated June 23, 2016 expressed an unqualified opinion thereon.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23,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6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87,805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Accrued expenses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revenue, long-term</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24,892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Preferred stock, $0.01 par value: Shares authorized: 30,000,000 shares at March 31, 2016 and 2015; no shares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issued and outstanding at March 31, 2016 and 2015</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7"/>
              </w:rPr>
              <w:t>Common stock, no par value: Shares authorized: 200,000,000 at March 31, 2016 and 2015; shares issued: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0"/>
              </w:rPr>
              <w:t>37,192,559 and 36,837,864 at March 31, 2016 and 2015; shares outstanding: 27,767,138 and 27,421,533 at March</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31, 2016 and 2015</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Treasury stock: 9,425,421 and 9,416,331 common shares at March 31, 2016 and 2015</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(36,049)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Retained deficit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(49,952)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64,511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70,875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87,805</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jc w:val="center"/>
              <w:ind w:left="2990"/>
              <w:spacing w:after="0"/>
              <w:rPr>
                <w:sz w:val="20"/>
                <w:szCs w:val="20"/>
                <w:color w:val="auto"/>
              </w:rPr>
            </w:pPr>
            <w:r>
              <w:rPr>
                <w:rFonts w:ascii="Arial" w:cs="Arial" w:eastAsia="Arial" w:hAnsi="Arial"/>
                <w:sz w:val="18"/>
                <w:szCs w:val="18"/>
                <w:color w:val="auto"/>
                <w:w w:val="89"/>
              </w:rPr>
              <w:t>40</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140"/>
        <w:spacing w:after="0" w:line="266" w:lineRule="auto"/>
        <w:rPr>
          <w:sz w:val="20"/>
          <w:szCs w:val="20"/>
          <w:color w:val="auto"/>
        </w:rPr>
      </w:pPr>
      <w:r>
        <w:rPr>
          <w:rFonts w:ascii="Arial" w:cs="Arial" w:eastAsia="Arial" w:hAnsi="Arial"/>
          <w:sz w:val="18"/>
          <w:szCs w:val="18"/>
          <w:b w:val="1"/>
          <w:bCs w:val="1"/>
          <w:color w:val="auto"/>
        </w:rPr>
        <w:t>ORION ENERGY SYSTEMS, INC. AND SUBSIDIARIES CONSOLIDATED STATEMENTS OF OPERATIONS AND COMPREHENSIVE INCOME (in thousands, except share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6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rPr>
              <w:t>Fiscal Year Ended March 31,</w:t>
            </w:r>
          </w:p>
        </w:tc>
        <w:tc>
          <w:tcPr>
            <w:tcW w:w="14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8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71,954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16,669</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88,623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49,630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68,388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54,423</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11,220</w:t>
            </w:r>
          </w:p>
        </w:tc>
      </w:tr>
      <w:tr>
        <w:trPr>
          <w:trHeight w:val="237"/>
        </w:trPr>
        <w:tc>
          <w:tcPr>
            <w:tcW w:w="530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51,645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73,347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65,643</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 (loss)</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22,980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Goodwill and long lived asset impairment</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related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13,290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13,527</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2,026</w:t>
            </w:r>
          </w:p>
        </w:tc>
      </w:tr>
      <w:tr>
        <w:trPr>
          <w:trHeight w:val="237"/>
        </w:trPr>
        <w:tc>
          <w:tcPr>
            <w:tcW w:w="53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30,799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31,323</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567</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(8,257)</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7"/>
        </w:trPr>
        <w:tc>
          <w:tcPr>
            <w:tcW w:w="5300" w:type="dxa"/>
            <w:vAlign w:val="bottom"/>
          </w:tcPr>
          <w:p>
            <w:pPr>
              <w:ind w:left="380"/>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(32,061)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w:t>
            </w:r>
          </w:p>
        </w:tc>
      </w:tr>
      <w:tr>
        <w:trPr>
          <w:trHeight w:val="67"/>
        </w:trPr>
        <w:tc>
          <w:tcPr>
            <w:tcW w:w="530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3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 attributable to common shareholders</w:t>
            </w:r>
          </w:p>
        </w:tc>
        <w:tc>
          <w:tcPr>
            <w:tcW w:w="8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27,627,693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22,353,419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20,987,964</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8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3"/>
              </w:rPr>
              <w:t>Weighted-average common shares and share equivalents outstanding</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27,627,693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22,353,419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20,987,964</w:t>
            </w:r>
          </w:p>
        </w:tc>
      </w:tr>
      <w:tr>
        <w:trPr>
          <w:trHeight w:val="918"/>
        </w:trPr>
        <w:tc>
          <w:tcPr>
            <w:tcW w:w="5300" w:type="dxa"/>
            <w:vAlign w:val="bottom"/>
          </w:tcPr>
          <w:p>
            <w:pPr>
              <w:spacing w:after="0"/>
              <w:rPr>
                <w:sz w:val="24"/>
                <w:szCs w:val="24"/>
                <w:color w:val="auto"/>
              </w:rPr>
            </w:pPr>
          </w:p>
        </w:tc>
        <w:tc>
          <w:tcPr>
            <w:tcW w:w="840" w:type="dxa"/>
            <w:vAlign w:val="bottom"/>
            <w:gridSpan w:val="2"/>
          </w:tcPr>
          <w:p>
            <w:pPr>
              <w:jc w:val="right"/>
              <w:ind w:right="250"/>
              <w:spacing w:after="0"/>
              <w:rPr>
                <w:sz w:val="20"/>
                <w:szCs w:val="20"/>
                <w:color w:val="auto"/>
              </w:rPr>
            </w:pPr>
            <w:r>
              <w:rPr>
                <w:rFonts w:ascii="Arial" w:cs="Arial" w:eastAsia="Arial" w:hAnsi="Arial"/>
                <w:sz w:val="18"/>
                <w:szCs w:val="18"/>
                <w:color w:val="auto"/>
              </w:rPr>
              <w:t>41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Shareholders’ Equity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2560" w:type="dxa"/>
            <w:vAlign w:val="bottom"/>
            <w:gridSpan w:val="5"/>
          </w:tcPr>
          <w:p>
            <w:pPr>
              <w:ind w:left="7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Shareholder</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Paid-in</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Notes</w:t>
            </w: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390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Receivable</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2013</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20,162,397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77,769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stock and warrants for services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33,641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activity for acquisition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940,940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Exercise of stock options and warrants for cash</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446,059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1,152</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Tax benefit from exercise of stock options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Collection of shareholder notes receivable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23,084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1,593</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purchase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(6,199)</w:t>
            </w:r>
          </w:p>
        </w:tc>
      </w:tr>
      <w:tr>
        <w:trPr>
          <w:trHeight w:val="33"/>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2014</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21,588,326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77,012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w w:val="93"/>
              </w:rPr>
              <w:t>Issuance of common stock for cash, net of issuance costs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5,462,500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17,465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17,465</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 and warrants for services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Exercise of stock options and warrants for cash</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178,387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430</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Collection of shareholder notes receivable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w w:val="94"/>
              </w:rPr>
              <w:t>Employee tax withholdings on stock-based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(7,152)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(32,061)</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 March 31, 2015</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27,421,533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150,516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(36,049)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(49,952)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64,511</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 and warrants for services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Exercise of stock options and warrants for cash</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under Employee Stock Purchase Plan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Collection of shareholder notes receivable</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w w:val="94"/>
              </w:rPr>
              <w:t>Employee tax withholdings on stock-based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(10,323)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 March 31, 2016</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27,767,138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152,140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(36,075)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(70,078)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45,983</w:t>
            </w:r>
          </w:p>
        </w:tc>
      </w:tr>
      <w:tr>
        <w:trPr>
          <w:trHeight w:val="33"/>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800" w:type="dxa"/>
            <w:vAlign w:val="bottom"/>
            <w:gridSpan w:val="2"/>
          </w:tcPr>
          <w:p>
            <w:pPr>
              <w:jc w:val="center"/>
              <w:ind w:left="199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00" w:type="dxa"/>
            <w:vAlign w:val="bottom"/>
          </w:tcPr>
          <w:p>
            <w:pPr>
              <w:jc w:val="center"/>
              <w:ind w:left="223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rPr>
              <w:t>Fiscal Year Ended March 31,</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(6,199)</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to net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Accretion of fair value on contingent consideration</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income tax (benefit)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Impairment on assets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Loss (gain) on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Provision for inventory reserves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1,995</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Provision for bad debts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changes from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Accounts receivable, current and long-term</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8,395</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Inventories, current and long-term</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3,962</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Deferred contract costs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1,376</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43"/>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Deferred revenue, current and long-term</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(2,274)</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9,901</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acquisition,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(4,992)</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Sale of short-term investments</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patents and licenses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property, plant and equipment</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Proceeds from long-term debt</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repayment of shareholder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Net proceeds from employee equity exercises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1,125</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08"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99"/>
        </w:trPr>
        <w:tc>
          <w:tcPr>
            <w:tcW w:w="128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5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3,192</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r>
      <w:tr>
        <w:trPr>
          <w:trHeight w:val="237"/>
        </w:trPr>
        <w:tc>
          <w:tcPr>
            <w:tcW w:w="55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15,542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17,568</w:t>
            </w:r>
          </w:p>
        </w:tc>
      </w:tr>
      <w:tr>
        <w:trPr>
          <w:trHeight w:val="67"/>
        </w:trPr>
        <w:tc>
          <w:tcPr>
            <w:tcW w:w="1280" w:type="dxa"/>
            <w:vAlign w:val="bottom"/>
            <w:tcBorders>
              <w:bottom w:val="single" w:sz="8" w:color="CCEEFF"/>
            </w:tcBorders>
          </w:tcPr>
          <w:p>
            <w:pPr>
              <w:spacing w:after="0"/>
              <w:rPr>
                <w:sz w:val="5"/>
                <w:szCs w:val="5"/>
                <w:color w:val="auto"/>
              </w:rPr>
            </w:pPr>
          </w:p>
        </w:tc>
        <w:tc>
          <w:tcPr>
            <w:tcW w:w="426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31"/>
        </w:trPr>
        <w:tc>
          <w:tcPr>
            <w:tcW w:w="5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2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Cash paid for interest</w:t>
            </w:r>
          </w:p>
        </w:tc>
        <w:tc>
          <w:tcPr>
            <w:tcW w:w="2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2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554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Supplemental disclosure of non-cash investing and financing activities:</w:t>
            </w:r>
          </w:p>
        </w:tc>
        <w:tc>
          <w:tcPr>
            <w:tcW w:w="2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Vendor financed capital lease addition</w:t>
            </w:r>
          </w:p>
        </w:tc>
        <w:tc>
          <w:tcPr>
            <w:tcW w:w="2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Shares returned to treasury in satisfaction of receivable</w:t>
            </w:r>
          </w:p>
        </w:tc>
        <w:tc>
          <w:tcPr>
            <w:tcW w:w="2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related contingent consideration liability</w:t>
            </w:r>
          </w:p>
        </w:tc>
        <w:tc>
          <w:tcPr>
            <w:tcW w:w="2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5540" w:type="dxa"/>
            <w:vAlign w:val="bottom"/>
            <w:gridSpan w:val="2"/>
          </w:tcPr>
          <w:p>
            <w:pPr>
              <w:ind w:left="180"/>
              <w:spacing w:after="0"/>
              <w:rPr>
                <w:sz w:val="20"/>
                <w:szCs w:val="20"/>
                <w:color w:val="auto"/>
              </w:rPr>
            </w:pPr>
            <w:r>
              <w:rPr>
                <w:rFonts w:ascii="Arial" w:cs="Arial" w:eastAsia="Arial" w:hAnsi="Arial"/>
                <w:sz w:val="18"/>
                <w:szCs w:val="18"/>
                <w:color w:val="auto"/>
              </w:rPr>
              <w:t>Acquisition financed through debt</w:t>
            </w:r>
          </w:p>
        </w:tc>
        <w:tc>
          <w:tcPr>
            <w:tcW w:w="2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3,123</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issued for acquisition</w:t>
            </w:r>
          </w:p>
        </w:tc>
        <w:tc>
          <w:tcPr>
            <w:tcW w:w="2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r>
      <w:tr>
        <w:trPr>
          <w:trHeight w:val="675"/>
        </w:trPr>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40" w:type="dxa"/>
            <w:vAlign w:val="bottom"/>
          </w:tcPr>
          <w:p>
            <w:pPr>
              <w:jc w:val="right"/>
              <w:ind w:right="189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Orion includes Orion Energy Systems, Inc., a Wisconsin corporation, and all consolidated subsidiaries. Orion is a developer, manufacturer and seller of lighting and energy management systems to commercial and industrial businesses, predominantly in North America.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10 “Segment Data” of these financial statements for further discussion of Orion's reportable segments.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Orion's corporate offices and primary manufacturing operations are located in Manitowoc, Wisconsin. Orion leases office space in Jacksonville, Florida; Chicago, Illinois; and Houston,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 appropriate, certain reclassifications were made to prior years' financial statements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or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and loss contingencies, income taxes and certain equity transactions. Accordingly,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Orion’s financial instruments consist of cash,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Orion’s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w:t>
      </w:r>
    </w:p>
    <w:p>
      <w:pPr>
        <w:sectPr>
          <w:pgSz w:w="11900" w:h="16838" w:orient="portrait"/>
          <w:cols w:equalWidth="0" w:num="1">
            <w:col w:w="11420"/>
          </w:cols>
          <w:pgMar w:left="240" w:top="125" w:right="239" w:bottom="100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00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As of March 31, Orion’s accounts receivable and allowance for doubtful accounts balances were as follows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18,721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18,263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22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Orion considers its lease balances included in consolidated current and long-term accounts receivable from its Orion Throughput Agreement, or OTA, sales-type leases to be financing receivables. Additional disclosures on the credit quality of Orion’s financing receivables are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Analysis as of March 31, 2016 (dollars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1-90 days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Greater than 90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days past due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Analysis as of March 31, 2015 (dollars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Greater than 90</w:t>
            </w: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 past due</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8"/>
              </w:rPr>
              <w:t>Lease balances included in consolidated accounts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Financing Receivables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Orion’s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Orion's customers and an analysis of historical bad debts and other adjustments. If there is a deterioration of a major customer’s credit worthiness or actual defaults are higher than historical experience, the estimate of the recoverability of amounts due could be adversely affected. Orion reviews in detail the allowance for doubtful accounts on a quarterly basis and adjusts the allowance estimate to reflect actual portfolio performance and any changes in future portfolio performance expectations. Orion’s provision for write-offs and credit losses against the OTA sales-type lease receivable balances in fiscal 2016, fiscal 2015 and fiscal 2014, respectively, was as follows (dollars in thousands):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Provisions</w:t>
            </w:r>
          </w:p>
        </w:tc>
        <w:tc>
          <w:tcPr>
            <w:tcW w:w="260" w:type="dxa"/>
            <w:vAlign w:val="bottom"/>
          </w:tcPr>
          <w:p>
            <w:pPr>
              <w:spacing w:after="0"/>
              <w:rPr>
                <w:sz w:val="14"/>
                <w:szCs w:val="14"/>
                <w:color w:val="auto"/>
              </w:rPr>
            </w:pPr>
          </w:p>
        </w:tc>
        <w:tc>
          <w:tcPr>
            <w:tcW w:w="88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9"/>
              </w:rPr>
              <w:t>Write offs</w:t>
            </w:r>
          </w:p>
        </w:tc>
        <w:tc>
          <w:tcPr>
            <w:tcW w:w="24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24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charged to</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expense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6860" w:type="dxa"/>
            <w:vAlign w:val="bottom"/>
          </w:tcPr>
          <w:p>
            <w:pPr>
              <w:ind w:left="40"/>
              <w:spacing w:after="0"/>
              <w:rPr>
                <w:sz w:val="20"/>
                <w:szCs w:val="20"/>
                <w:color w:val="auto"/>
              </w:rPr>
            </w:pPr>
            <w:r>
              <w:rPr>
                <w:rFonts w:ascii="Arial" w:cs="Arial" w:eastAsia="Arial" w:hAnsi="Arial"/>
                <w:sz w:val="14"/>
                <w:szCs w:val="14"/>
                <w:color w:val="auto"/>
              </w:rPr>
              <w:t>March 31,</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 Allowance for Doubtful Accounts on financing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2015 Allowance for Doubtful Accounts on financing receivables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 Allowance for Doubtful Accounts on financing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Orion records a long-term receivable for the non-current portion of its sales-type capital lease OTA contracts. The receivable is recorded at the net present value of the future cash flows from scheduled customer payments. Orion uses the implied cost of capital from each individual contract as the discount rate.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and systems, and accessories. All inventories are stated at the lower of cost or market value with cost determined using the first-in, first-out (FIFO) method. Orion reduces the carrying value of its inventories for differences between the cost and estimated net realizable value, taking into consideration usage in the preceding 9 to 24 months, expected demand, and other information indicating obsolescence. Orion records, as a charge to cost of product revenue, the amount required to reduce the carrying value of inventory to net realizable value. As of March 31, 2016 and 2015, Orion's inventory balances were as follows (dollars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Obsolescence</w:t>
            </w:r>
          </w:p>
        </w:tc>
        <w:tc>
          <w:tcPr>
            <w:tcW w:w="300" w:type="dxa"/>
            <w:vAlign w:val="bottom"/>
          </w:tcPr>
          <w:p>
            <w:pPr>
              <w:spacing w:after="0"/>
              <w:rPr>
                <w:sz w:val="14"/>
                <w:szCs w:val="14"/>
                <w:color w:val="auto"/>
              </w:rPr>
            </w:pPr>
          </w:p>
        </w:tc>
        <w:tc>
          <w:tcPr>
            <w:tcW w:w="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2015</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14,283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Deferred costs amounted to $36,691 as of March 31, 2016 and $90,258 as of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 the following (dollars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6"/>
                <w:szCs w:val="16"/>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March 31, 2015</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697</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2,407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16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Orion periodically reviews the carrying values of property and equipment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14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March 31, 2016, Orion entered into a purchase and sale agreement (“Agreement”) with Tramontina U.S. Cookware, Inc. (“Tramontina”) to sell its Manitowoc manufacturing and distribution facility for a cash purchase price of approximately $2,600,000. Pursuant to the Agreement, Orion is negotiating a lease with Tramontina under which it will leaseback approximately 200,000 square feet of the building for not less than three years.</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 result of this pending transaction, the Company reviewed the carrying value of the manufacturing and distribution facility assets for impairment. Orion performed a probability weighted analysis of expected future cash flows. Based on this analysis, the Company concluded that the assets' carrying values were no longer supported. As such, Orion recorded an impairment charge of $1,614,000 in fiscal 2016 to write the assets down to their fair value, which approximates the expected selling price. The impairment charge was recorded to all three of Orion’s reportable segments as follows: Orion U.S. Markets $689,000, Orion Engineered Systems $804,000, and Orion Distribution Services $121,000.</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fiscal 2015, an impairment charge of $1,029,586 was recorded in connection with the assessment of carrying costs related to the wireless controls product offering.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2016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11,849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10,805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11,084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vMerge w:val="restart"/>
          </w:tcPr>
          <w:p>
            <w:pPr>
              <w:ind w:left="440"/>
              <w:spacing w:after="0"/>
              <w:rPr>
                <w:sz w:val="20"/>
                <w:szCs w:val="20"/>
                <w:color w:val="auto"/>
              </w:rPr>
            </w:pPr>
            <w:r>
              <w:rPr>
                <w:rFonts w:ascii="Arial" w:cs="Arial" w:eastAsia="Arial" w:hAnsi="Arial"/>
                <w:sz w:val="18"/>
                <w:szCs w:val="18"/>
                <w:color w:val="auto"/>
              </w:rPr>
              <w:t>Equipment included above under capital leases was as follows (dollars in thousands):</w:t>
            </w: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2015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Equipment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Orion recorded depreciation expense of $2,950,000, $2,853,000 and $3,798,000 for the years ended March 31, 2016, 2015 and 2014,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588"/>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Depreciable lives by asset category are as follows:</w:t>
            </w:r>
          </w:p>
        </w:tc>
        <w:tc>
          <w:tcPr>
            <w:tcW w:w="3080" w:type="dxa"/>
            <w:vAlign w:val="bottom"/>
          </w:tcPr>
          <w:p>
            <w:pPr>
              <w:spacing w:after="0"/>
              <w:rPr>
                <w:sz w:val="24"/>
                <w:szCs w:val="24"/>
                <w:color w:val="auto"/>
              </w:rPr>
            </w:pPr>
          </w:p>
        </w:tc>
      </w:tr>
      <w:tr>
        <w:trPr>
          <w:trHeight w:val="594"/>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Land improvements</w:t>
            </w:r>
          </w:p>
        </w:tc>
        <w:tc>
          <w:tcPr>
            <w:tcW w:w="3080" w:type="dxa"/>
            <w:vAlign w:val="bottom"/>
          </w:tcPr>
          <w:p>
            <w:pPr>
              <w:ind w:left="600"/>
              <w:spacing w:after="0"/>
              <w:rPr>
                <w:sz w:val="20"/>
                <w:szCs w:val="20"/>
                <w:color w:val="auto"/>
              </w:rPr>
            </w:pPr>
            <w:r>
              <w:rPr>
                <w:rFonts w:ascii="Arial" w:cs="Arial" w:eastAsia="Arial" w:hAnsi="Arial"/>
                <w:sz w:val="18"/>
                <w:szCs w:val="18"/>
                <w:color w:val="auto"/>
              </w:rPr>
              <w:t>10-15 years</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3080" w:type="dxa"/>
            <w:vAlign w:val="bottom"/>
          </w:tcPr>
          <w:p>
            <w:pPr>
              <w:ind w:left="600"/>
              <w:spacing w:after="0"/>
              <w:rPr>
                <w:sz w:val="20"/>
                <w:szCs w:val="20"/>
                <w:color w:val="auto"/>
              </w:rPr>
            </w:pPr>
            <w:r>
              <w:rPr>
                <w:rFonts w:ascii="Arial" w:cs="Arial" w:eastAsia="Arial" w:hAnsi="Arial"/>
                <w:sz w:val="18"/>
                <w:szCs w:val="18"/>
                <w:color w:val="auto"/>
              </w:rPr>
              <w:t>3-39 years</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080" w:type="dxa"/>
            <w:vAlign w:val="bottom"/>
          </w:tcPr>
          <w:p>
            <w:pPr>
              <w:ind w:left="600"/>
              <w:spacing w:after="0"/>
              <w:rPr>
                <w:sz w:val="20"/>
                <w:szCs w:val="20"/>
                <w:color w:val="auto"/>
              </w:rPr>
            </w:pPr>
            <w:r>
              <w:rPr>
                <w:rFonts w:ascii="Arial" w:cs="Arial" w:eastAsia="Arial" w:hAnsi="Arial"/>
                <w:sz w:val="18"/>
                <w:szCs w:val="18"/>
                <w:color w:val="auto"/>
              </w:rPr>
              <w:t>2-10 years</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080" w:type="dxa"/>
            <w:vAlign w:val="bottom"/>
          </w:tcPr>
          <w:p>
            <w:pPr>
              <w:ind w:left="600"/>
              <w:spacing w:after="0"/>
              <w:rPr>
                <w:sz w:val="20"/>
                <w:szCs w:val="20"/>
                <w:color w:val="auto"/>
              </w:rPr>
            </w:pPr>
            <w:r>
              <w:rPr>
                <w:rFonts w:ascii="Arial" w:cs="Arial" w:eastAsia="Arial" w:hAnsi="Arial"/>
                <w:sz w:val="18"/>
                <w:szCs w:val="18"/>
                <w:color w:val="auto"/>
                <w:w w:val="90"/>
              </w:rPr>
              <w:t>Shorter of asset life or life of lease</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Equipment leased to customers under Power Purchase Agreements</w:t>
            </w:r>
          </w:p>
        </w:tc>
        <w:tc>
          <w:tcPr>
            <w:tcW w:w="3080" w:type="dxa"/>
            <w:vAlign w:val="bottom"/>
          </w:tcPr>
          <w:p>
            <w:pPr>
              <w:ind w:left="600"/>
              <w:spacing w:after="0"/>
              <w:rPr>
                <w:sz w:val="20"/>
                <w:szCs w:val="20"/>
                <w:color w:val="auto"/>
              </w:rPr>
            </w:pPr>
            <w:r>
              <w:rPr>
                <w:rFonts w:ascii="Arial" w:cs="Arial" w:eastAsia="Arial" w:hAnsi="Arial"/>
                <w:sz w:val="18"/>
                <w:szCs w:val="18"/>
                <w:color w:val="auto"/>
              </w:rPr>
              <w:t>20 years</w:t>
            </w: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Plant equipment</w:t>
            </w:r>
          </w:p>
        </w:tc>
        <w:tc>
          <w:tcPr>
            <w:tcW w:w="3080" w:type="dxa"/>
            <w:vAlign w:val="bottom"/>
          </w:tcPr>
          <w:p>
            <w:pPr>
              <w:ind w:left="600"/>
              <w:spacing w:after="0"/>
              <w:rPr>
                <w:sz w:val="20"/>
                <w:szCs w:val="20"/>
                <w:color w:val="auto"/>
              </w:rPr>
            </w:pPr>
            <w:r>
              <w:rPr>
                <w:rFonts w:ascii="Arial" w:cs="Arial" w:eastAsia="Arial" w:hAnsi="Arial"/>
                <w:sz w:val="18"/>
                <w:szCs w:val="18"/>
                <w:color w:val="auto"/>
              </w:rPr>
              <w:t>3-10 years</w:t>
            </w:r>
          </w:p>
        </w:tc>
      </w:tr>
      <w:tr>
        <w:trPr>
          <w:trHeight w:val="459"/>
        </w:trPr>
        <w:tc>
          <w:tcPr>
            <w:tcW w:w="7440" w:type="dxa"/>
            <w:vAlign w:val="bottom"/>
            <w:gridSpan w:val="2"/>
          </w:tcPr>
          <w:p>
            <w:pPr>
              <w:ind w:left="440"/>
              <w:spacing w:after="0"/>
              <w:rPr>
                <w:sz w:val="20"/>
                <w:szCs w:val="20"/>
                <w:color w:val="auto"/>
              </w:rPr>
            </w:pPr>
            <w:r>
              <w:rPr>
                <w:rFonts w:ascii="Arial" w:cs="Arial" w:eastAsia="Arial" w:hAnsi="Arial"/>
                <w:sz w:val="18"/>
                <w:szCs w:val="18"/>
                <w:color w:val="auto"/>
                <w:w w:val="99"/>
              </w:rPr>
              <w:t>No interest was capitalized for construction in progress during fiscal 2016 or fiscal 2015.</w:t>
            </w:r>
          </w:p>
        </w:tc>
        <w:tc>
          <w:tcPr>
            <w:tcW w:w="30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9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 xml:space="preserve">The costs of specifically identifiable intangible assets that do not have an indefinite life are amortized over their estimated useful lives. Goodwill and intangible assets with indefinite lives are not amortized. Goodwill and intangible assets with indefinite lives are reviewed for impairment annually, as of January 1, or more frequently if impairment indicators arise. Orion has allocated goodwill to its reporting units which are also two of Orion’s reporting segments: $2,371,000 to the U.S. Markets (USM) and $2,038,000 to Engineered Systems (OES) as of March 31, 2015. Orion's annual goodwill impairment test was performed as of January 1, 2016.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Step 1 of the impairment test compares the fair value of the reporting unit with its carrying value. Orion determined the fair value of each reporting unit using a discounted cash flow method and the guideline public entity method. After completing a Step 1 evaluation, the estimated fair value of both reporting units was determined to be lower than their carrying values. As such, each unit failed Step 1 of the goodwill impairment test.</w:t>
      </w:r>
    </w:p>
    <w:p>
      <w:pPr>
        <w:spacing w:after="0" w:line="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Step 2 of the goodwill impairment test requires Orion to perform a hypothetical purchase price allocation for each reporting unit to determine the implied fair value of goodwill and compare the implied fair value of goodwill to the carrying amount of goodwill. The estimate of fair value is complex and requires significant judgment. A third-party valuation firm was engaged to assist in the Step 2 valuation process. The fair value determination was categorized as Level 3 in the fair value hierarchy (see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the definition of Level 3 inputs). As a result of Step 2 of the goodwill impairment tests as of January 1, 2016, Orion’s USM segment recorded a goodwill impairment charge of $2,371,000 and Orion’s OES segment recorded a goodwill impairment charge of $2,038,000. As of March 31, 2016, the goodwill balance in the Consolidated Balance Sheets is $0.</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value of goodwill during fiscal 2016 and fiscal 2015 was as follows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Impairments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Impairments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(4,409)</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Patents</w:t>
            </w:r>
          </w:p>
        </w:tc>
        <w:tc>
          <w:tcPr>
            <w:tcW w:w="1340" w:type="dxa"/>
            <w:vAlign w:val="bottom"/>
          </w:tcPr>
          <w:p>
            <w:pPr>
              <w:ind w:left="240"/>
              <w:spacing w:after="0"/>
              <w:rPr>
                <w:sz w:val="20"/>
                <w:szCs w:val="20"/>
                <w:color w:val="auto"/>
              </w:rPr>
            </w:pPr>
            <w:r>
              <w:rPr>
                <w:rFonts w:ascii="Arial" w:cs="Arial" w:eastAsia="Arial" w:hAnsi="Arial"/>
                <w:sz w:val="18"/>
                <w:szCs w:val="18"/>
                <w:color w:val="auto"/>
              </w:rPr>
              <w:t>10-17 years</w:t>
            </w:r>
          </w:p>
        </w:tc>
        <w:tc>
          <w:tcPr>
            <w:tcW w:w="5100" w:type="dxa"/>
            <w:vAlign w:val="bottom"/>
          </w:tcPr>
          <w:p>
            <w:pPr>
              <w:ind w:left="260"/>
              <w:spacing w:after="0"/>
              <w:rPr>
                <w:sz w:val="20"/>
                <w:szCs w:val="20"/>
                <w:color w:val="auto"/>
              </w:rPr>
            </w:pPr>
            <w:r>
              <w:rPr>
                <w:rFonts w:ascii="Arial" w:cs="Arial" w:eastAsia="Arial" w:hAnsi="Arial"/>
                <w:sz w:val="18"/>
                <w:szCs w:val="18"/>
                <w:color w:val="auto"/>
              </w:rPr>
              <w:t>Straight-line</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Licenses</w:t>
            </w:r>
          </w:p>
        </w:tc>
        <w:tc>
          <w:tcPr>
            <w:tcW w:w="1340" w:type="dxa"/>
            <w:vAlign w:val="bottom"/>
          </w:tcPr>
          <w:p>
            <w:pPr>
              <w:ind w:left="240"/>
              <w:spacing w:after="0"/>
              <w:rPr>
                <w:sz w:val="20"/>
                <w:szCs w:val="20"/>
                <w:color w:val="auto"/>
              </w:rPr>
            </w:pPr>
            <w:r>
              <w:rPr>
                <w:rFonts w:ascii="Arial" w:cs="Arial" w:eastAsia="Arial" w:hAnsi="Arial"/>
                <w:sz w:val="18"/>
                <w:szCs w:val="18"/>
                <w:color w:val="auto"/>
              </w:rPr>
              <w:t>7-13 years</w:t>
            </w:r>
          </w:p>
        </w:tc>
        <w:tc>
          <w:tcPr>
            <w:tcW w:w="5100" w:type="dxa"/>
            <w:vAlign w:val="bottom"/>
          </w:tcPr>
          <w:p>
            <w:pPr>
              <w:ind w:left="260"/>
              <w:spacing w:after="0"/>
              <w:rPr>
                <w:sz w:val="20"/>
                <w:szCs w:val="20"/>
                <w:color w:val="auto"/>
              </w:rPr>
            </w:pPr>
            <w:r>
              <w:rPr>
                <w:rFonts w:ascii="Arial" w:cs="Arial" w:eastAsia="Arial" w:hAnsi="Arial"/>
                <w:sz w:val="18"/>
                <w:szCs w:val="18"/>
                <w:color w:val="auto"/>
              </w:rPr>
              <w:t>Straight-line</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tcPr>
          <w:p>
            <w:pPr>
              <w:ind w:left="240"/>
              <w:spacing w:after="0"/>
              <w:rPr>
                <w:sz w:val="20"/>
                <w:szCs w:val="20"/>
                <w:color w:val="auto"/>
              </w:rPr>
            </w:pPr>
            <w:r>
              <w:rPr>
                <w:rFonts w:ascii="Arial" w:cs="Arial" w:eastAsia="Arial" w:hAnsi="Arial"/>
                <w:sz w:val="18"/>
                <w:szCs w:val="18"/>
                <w:color w:val="auto"/>
              </w:rPr>
              <w:t>5-8 years</w:t>
            </w:r>
          </w:p>
        </w:tc>
        <w:tc>
          <w:tcPr>
            <w:tcW w:w="5100" w:type="dxa"/>
            <w:vAlign w:val="bottom"/>
          </w:tcPr>
          <w:p>
            <w:pPr>
              <w:ind w:left="260"/>
              <w:spacing w:after="0"/>
              <w:rPr>
                <w:sz w:val="20"/>
                <w:szCs w:val="20"/>
                <w:color w:val="auto"/>
              </w:rPr>
            </w:pPr>
            <w:r>
              <w:rPr>
                <w:rFonts w:ascii="Arial" w:cs="Arial" w:eastAsia="Arial" w:hAnsi="Arial"/>
                <w:sz w:val="18"/>
                <w:szCs w:val="18"/>
                <w:color w:val="auto"/>
                <w:w w:val="88"/>
              </w:rPr>
              <w:t>Accelerated based upon the pattern of economic benefits consumed</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Developed technology</w:t>
            </w:r>
          </w:p>
        </w:tc>
        <w:tc>
          <w:tcPr>
            <w:tcW w:w="1340" w:type="dxa"/>
            <w:vAlign w:val="bottom"/>
          </w:tcPr>
          <w:p>
            <w:pPr>
              <w:ind w:left="240"/>
              <w:spacing w:after="0"/>
              <w:rPr>
                <w:sz w:val="20"/>
                <w:szCs w:val="20"/>
                <w:color w:val="auto"/>
              </w:rPr>
            </w:pPr>
            <w:r>
              <w:rPr>
                <w:rFonts w:ascii="Arial" w:cs="Arial" w:eastAsia="Arial" w:hAnsi="Arial"/>
                <w:sz w:val="18"/>
                <w:szCs w:val="18"/>
                <w:color w:val="auto"/>
              </w:rPr>
              <w:t>8 years</w:t>
            </w:r>
          </w:p>
        </w:tc>
        <w:tc>
          <w:tcPr>
            <w:tcW w:w="5100" w:type="dxa"/>
            <w:vAlign w:val="bottom"/>
          </w:tcPr>
          <w:p>
            <w:pPr>
              <w:ind w:left="260"/>
              <w:spacing w:after="0"/>
              <w:rPr>
                <w:sz w:val="20"/>
                <w:szCs w:val="20"/>
                <w:color w:val="auto"/>
              </w:rPr>
            </w:pPr>
            <w:r>
              <w:rPr>
                <w:rFonts w:ascii="Arial" w:cs="Arial" w:eastAsia="Arial" w:hAnsi="Arial"/>
                <w:sz w:val="18"/>
                <w:szCs w:val="18"/>
                <w:color w:val="auto"/>
                <w:w w:val="88"/>
              </w:rPr>
              <w:t>Accelerated based upon the pattern of economic benefits consumed</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w w:val="99"/>
              </w:rPr>
              <w:t>Non-competition agreements</w:t>
            </w:r>
          </w:p>
        </w:tc>
        <w:tc>
          <w:tcPr>
            <w:tcW w:w="1340" w:type="dxa"/>
            <w:vAlign w:val="bottom"/>
          </w:tcPr>
          <w:p>
            <w:pPr>
              <w:ind w:left="240"/>
              <w:spacing w:after="0"/>
              <w:rPr>
                <w:sz w:val="20"/>
                <w:szCs w:val="20"/>
                <w:color w:val="auto"/>
              </w:rPr>
            </w:pPr>
            <w:r>
              <w:rPr>
                <w:rFonts w:ascii="Arial" w:cs="Arial" w:eastAsia="Arial" w:hAnsi="Arial"/>
                <w:sz w:val="18"/>
                <w:szCs w:val="18"/>
                <w:color w:val="auto"/>
              </w:rPr>
              <w:t>5 years</w:t>
            </w:r>
          </w:p>
        </w:tc>
        <w:tc>
          <w:tcPr>
            <w:tcW w:w="5100" w:type="dxa"/>
            <w:vAlign w:val="bottom"/>
          </w:tcPr>
          <w:p>
            <w:pPr>
              <w:ind w:left="260"/>
              <w:spacing w:after="0"/>
              <w:rPr>
                <w:sz w:val="20"/>
                <w:szCs w:val="20"/>
                <w:color w:val="auto"/>
              </w:rPr>
            </w:pPr>
            <w:r>
              <w:rPr>
                <w:rFonts w:ascii="Arial" w:cs="Arial" w:eastAsia="Arial" w:hAnsi="Arial"/>
                <w:sz w:val="18"/>
                <w:szCs w:val="18"/>
                <w:color w:val="auto"/>
              </w:rPr>
              <w:t>Straight-line</w:t>
            </w:r>
          </w:p>
        </w:tc>
      </w:tr>
    </w:tbl>
    <w:p>
      <w:pPr>
        <w:spacing w:after="0" w:line="12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March 31, 2016</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98"/>
              </w:rPr>
              <w:t>March 31, 2015</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4"/>
                <w:szCs w:val="14"/>
                <w:color w:val="auto"/>
              </w:rPr>
            </w:pPr>
          </w:p>
        </w:tc>
        <w:tc>
          <w:tcPr>
            <w:tcW w:w="10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4"/>
                <w:szCs w:val="14"/>
                <w:color w:val="auto"/>
              </w:rPr>
            </w:pPr>
          </w:p>
        </w:tc>
        <w:tc>
          <w:tcPr>
            <w:tcW w:w="10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4"/>
                <w:szCs w:val="14"/>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4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Amortization</w:t>
            </w:r>
          </w:p>
        </w:tc>
        <w:tc>
          <w:tcPr>
            <w:tcW w:w="3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1,324</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w:t>
            </w:r>
          </w:p>
        </w:tc>
        <w:tc>
          <w:tcPr>
            <w:tcW w:w="38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Licenses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1,088</w:t>
            </w: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(1,620)</w:t>
            </w:r>
          </w:p>
        </w:tc>
        <w:tc>
          <w:tcPr>
            <w:tcW w:w="3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2016, the weighted average useful life of intangible assets was 6.15 years. The estimated amortization expense for each of the next five years is shown below (dollars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1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Arial" w:cs="Arial" w:eastAsia="Arial" w:hAnsi="Arial"/>
                <w:sz w:val="18"/>
                <w:szCs w:val="18"/>
                <w:color w:val="auto"/>
              </w:rPr>
              <w:t>Amortization expense is set forth in the following table (dollars in thousands):</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included in cost of sales: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Patents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18"/>
        </w:trPr>
        <w:tc>
          <w:tcPr>
            <w:tcW w:w="53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included in operating expenses: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amortization</w:t>
            </w:r>
          </w:p>
        </w:tc>
        <w:tc>
          <w:tcPr>
            <w:tcW w:w="1360" w:type="dxa"/>
            <w:vAlign w:val="bottom"/>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Orion’s management periodically reviews the carrying value of patent applications and related costs. When a patent application is probable of being unsuccessful or a patent is no longer in use, Orion write-offs the remaining carrying value as a charge to General and administrative expense within its consolidated Statement of Operations. Such write-offs recorded in fiscal 2016, 2015 and 2014 were $78,000, $120,000 and $45,000,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assets include the following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16"/>
                <w:szCs w:val="16"/>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Security deposits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financing costs related to debt issuances are allocated to interest expense over the life of the debt (1 to 3 years). For the years ended March 31, 2016, 2015 and 2014, the expense was $114,000, $156,000 and $40,000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include the following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Pr>
          <w:p>
            <w:pPr>
              <w:spacing w:after="0"/>
              <w:rPr>
                <w:sz w:val="16"/>
                <w:szCs w:val="16"/>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tax</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1,168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Legal and professional fees (1)</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5,197</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520" w:hanging="459"/>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 $1,400 loss contingency recorded in fiscal 2016.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generally offers a limited warranty of one year on its lighting products in addition to those standard warranties offered by major original equipment component manufacturers. The manufacturers’ warranties cover lamps and ballasts, which are significant components in Orion’s lighting products. Included in other long-term liabilities is $310,000 for warranty reserves related to solar operating systems.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9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776</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1,015</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Compensation</w:t>
      </w:r>
    </w:p>
    <w:p>
      <w:pPr>
        <w:spacing w:after="0" w:line="19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Orion’s compensation committee approved an Executive Fiscal Year 2016 Annual Cash Incentive Program under its 2004 Stock and Incentive Awards Plan. The plan provided for performance cash bonus payments ranging from 35-100% of the fiscal 2016 base salaries of Orion’s named executive officers and other key employees. The plan provided for bonuses to be paid out on the basis of the achievement in fiscal 2016 of at least (i) $110,000 of profit before taxes and (ii) revenue growth of 10% more than fiscal year 2015. Based upon the results for the year ended March 31, 2016, Orion did not accrue any expense related to this plan.</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Orion’s compensation committee approved an Executive Fiscal Year 2015 Annual Cash Incentive Program under its 2004 Stock and Incentive Awards Plan. The plan provided for performance cash bonus payments ranging from 35-100% of the fiscal 2015 base salaries of Orion’s named executive officers and other key employees. The plan provided for bonuses to be paid out on the basis of the achievement in fiscal 2015 of at least (i) $2,300,000 of profit before taxes and (ii) revenue of at least $90,400,000. Based upon the results for the year ended March 31, 2015, Orion did not accrue any expense related to this plan.</w:t>
      </w:r>
    </w:p>
    <w:p>
      <w:pPr>
        <w:sectPr>
          <w:pgSz w:w="11900" w:h="16838" w:orient="portrait"/>
          <w:cols w:equalWidth="0" w:num="1">
            <w:col w:w="11420"/>
          </w:cols>
          <w:pgMar w:left="240" w:top="125"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Orion’s compensation committee approved an Executive Fiscal Year 2014 Annual Cash Incentive Program under its 2004 Stock and Incentive Awards Plan. The plan provided for performance cash bonus payments ranging from 35-100% of the fiscal 2014 base salaries of Orion’s named executive officers and other key employees. The plan provided for bonuses to be paid out on the basis of the achievement in fiscal 2014 of at least (i) $2,000,000 of profit before taxes and (ii) revenue of at least $88,000,000. Based upon the results for the year ended March 31, 2014, Orion did not accrue any expense related to this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energy-efficiency systems and products when the following four criteria are met:</w:t>
      </w:r>
    </w:p>
    <w:p>
      <w:pPr>
        <w:spacing w:after="0" w:line="237"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These four criteria are met for Orion’s product-only revenue upon delivery of the product and title passing to the customer. At that time, Orion provides for estimated costs that may be incurred for product warranties and sales returns. Revenues are presented net of sales tax and other sales related taxes.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sales of Orion’s lighting and energy management technologies, consisting of multiple element arrangements, such as a combination of product sales and services, Orion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Orion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Orion determined estimated selling price is provided below).</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8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To determine the selling price in multiple-element arrangements, Orion establishes the selling price for its HIF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Orion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Orion offers its products and services and internal costs. The determination of estimated selling price is made through consultation with and approval by management, taking into account all of the preceding factors.</w:t>
      </w:r>
    </w:p>
    <w:p>
      <w:pPr>
        <w:spacing w:after="0" w:line="16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For sales of solar photovoltaic systems, which are governed by customer contracts that require Orion to deliver functioning solar power systems and are generally completed within three to 15 months from the start of construction, Orion recognizes revenue from fixed price construction contracts using the percentage-of-completion method in accordance with ASC 605-35, </w:t>
      </w:r>
      <w:r>
        <w:rPr>
          <w:rFonts w:ascii="Arial" w:cs="Arial" w:eastAsia="Arial" w:hAnsi="Arial"/>
          <w:sz w:val="16"/>
          <w:szCs w:val="16"/>
          <w:i w:val="1"/>
          <w:iCs w:val="1"/>
          <w:color w:val="auto"/>
        </w:rPr>
        <w:t>Construction-Type and Production-Type Contracts</w:t>
      </w:r>
      <w:r>
        <w:rPr>
          <w:rFonts w:ascii="Arial" w:cs="Arial" w:eastAsia="Arial" w:hAnsi="Arial"/>
          <w:sz w:val="16"/>
          <w:szCs w:val="16"/>
          <w:color w:val="auto"/>
        </w:rPr>
        <w:t>. Under this method, revenue arising from fixed price construction contracts is recognized as work is performed based upon the percentage of incurred costs to estimated total forecasted costs. Orion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Orion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6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Orion offers a financing program, called a power purchase agreement, or PPA, for Orion’s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costs of $4,000, $149,000 and $28,000 for fiscal 2016, 2015 and 2014, respectively, were charged to operations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 expenses research and development costs as incurred. Amounts are included in the Statement of Operations and Comprehensive Income on the line item Research and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2016, Orion recorded a valuation allowance of $5,740,000 against its deferred tax assets.</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(expense) from the exercise of stock options were $0, $0 and $13,000 for the fiscal years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Orion’s share-based payments to employees are measured at fair value and are recognized in earnings, net of estimated forfeitures, on a straight-line basis over the requisite service period.</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flows from the exercise of stock options resulting from tax benefits in excess of recognized cumulative compensation costs (excess tax benefits) are classified as financing cash flows. For the years ended March 31, 2016, 2015 and 2014, $0, $0 and $13,000, respectively, of such excess tax benefits were classified as financing cash flows.</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Orion uses the Black-Scholes option-pricing model. Orion calculates volatility based upon the historical market price of its common stock. The risk-free interest rate is the rate available as of the option date on zero-coupon U.S. Government issues with a remaining term equal to the expected term of the option. The expected term is based upon the vesting term of Orion’s options and expected exercise behavior. Orion has not paid dividends in the past and does not plan to pay any dividends in the foreseeable future. Orion estimates its forfeiture rate of unvested stock awards based on historical experience.</w:t>
      </w:r>
    </w:p>
    <w:p>
      <w:pPr>
        <w:spacing w:after="0" w:line="15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ASC718, stock-based compensation is measured at the grant date based on the fair value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award and is recognized as expense ratably over the requisite service period, net of estimated forfeitures. As more fully described in Note 9, Orion awards non-vested restricted stock to employees, executive officers and directors. Orion did not issue any stock options during fiscal 2016 or 2015. The fair value of each option grant in fiscal 2014 was determined using the assumptions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381635</wp:posOffset>
            </wp:positionV>
            <wp:extent cx="986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expected term</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 years</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98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156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Diluted net income (loss) per common share reflects the dilution that would occur if warrants and stock options were exercised and restricted shares vested. In the computation of diluted net income (loss) per common share, Orion uses the “treasury stock” method for outstanding options, warrants and restricted shares. Diluted net loss per common share is the same as basic net loss per common share for the years ended March 31, 2016, March 31, 2015 and March 31,2014 because the effects of potentially dilutive securities are anti-dilutive. The effect of net income (loss) per common share is calculated based upon the following shares: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8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3"/>
              </w:rPr>
              <w:t>Fiscal Year Ended March 31,</w:t>
            </w:r>
          </w:p>
        </w:tc>
        <w:tc>
          <w:tcPr>
            <w:tcW w:w="1140" w:type="dxa"/>
            <w:vAlign w:val="bottom"/>
          </w:tcPr>
          <w:p>
            <w:pPr>
              <w:spacing w:after="0"/>
              <w:rPr>
                <w:sz w:val="16"/>
                <w:szCs w:val="16"/>
                <w:color w:val="auto"/>
              </w:rPr>
            </w:pPr>
          </w:p>
        </w:tc>
      </w:tr>
      <w:tr>
        <w:trPr>
          <w:trHeight w:val="276"/>
        </w:trPr>
        <w:tc>
          <w:tcPr>
            <w:tcW w:w="67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(dollars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(20,126)</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(32,061)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27,627,693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22,353,419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20,987,964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Weighted-average effect of assumed conversion of 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27,627,693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22,353,419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20,987,964</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(0.73)</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indicates the number of potentially dilutive securities as of the end of each period: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2,017,046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2,426,836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2,716,317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1,053,389</w:t>
            </w:r>
          </w:p>
        </w:tc>
        <w:tc>
          <w:tcPr>
            <w:tcW w:w="10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704,688</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539,204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3,070,435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3,131,524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3,294,501</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Orion’s cash is deposited with three financial institutions. At times, deposits in these institutions exceed the amount of insurance provided on such deposits. Orion has not experienced any losses in such accounts and believes that it is not exposed to any significant risk on these balances.</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fiscal 2016, 2015 and 2014, no supplier accounted for more than 10% of total cost of revenue.</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fiscal 2016, no customer accounted for more than 10% of revenue. In fiscal 2015, one customer accounted for 12% of revenue. In fiscal 2014, one customer accounted for 23% of revenue.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2016 one customer accounted for more than 10% of accounts receivable and as of March 31, 2015, no customer accounted for more than 10% of accounts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March 2016, the Financial Accounting Standards Board (“FASB”) issued Accounting Standard Update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The ASU is effective for Orion in the first quarter of Orion's fiscal 2018. Management is currently assessing the impact of adoption on its consolidated financial statements.</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February 2016, the FASB issued ASU 2016-02, “Leases (Subtopic 842)." This ASU requires that lessees recognize assets and liabilities on the balance sheet for the rights and obligations created by long-term leases and disclose additional quantitative and qualitative information about leasing arrangements. This ASU also provides clarifications surrounding the presentation of the effects of leases in the income statement and statement of cash flows. This guidance will be effective for the Company on April 1, 2019. Management is currently assessing the impact of adoption on its consolidated financial statements.</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beginning on April 1, 2017 with earlier adoption permitted. The guidance may be adopted either prospectively or retrospectively. Management is currently assessing the impact of this standard on its consolidated financial statements.</w:t>
      </w:r>
    </w:p>
    <w:p>
      <w:pPr>
        <w:spacing w:after="0" w:line="18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Orion is currently assessing the impact of this standard on its consolidated financial statements.</w:t>
      </w:r>
    </w:p>
    <w:p>
      <w:pPr>
        <w:spacing w:after="0" w:line="15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April 2015, the FASB issued ASU 2015-03 “Interest-Imputation of Interest (Subtopic 835-30): Simplifying the Presentation of Debt Issuance Costs.” This guidance requires that debt issuance costs related to a recognized debt liability be presented in the balance sheet as a reduction of the carrying amount of that debt liability, consistent with debt discounts. The recognition and measurement guidance for debt issuance costs are not affected by this ASU. In August 2015, the FASB issued ASU 2015-15 “Interest-Imputation of Interest (Subtopic 835-30): Presentation and Subsequent Measurement of Debt Issuance Costs Associated with Line of Credit Arrangements- Amendments to SEC Paragraphs Pursuant to Staff Announcement at June 18, 2015 EITF Meeting (SEC Update).” This ASU indicates that the guidance in ASU 2015-03, discussed above, does not address presentation or subsequent measurement of debt issuance costs related to line-of-credit arrangements. Given the absence of authoritative guidance within ASU 2015-03, the SEC staff has indicated that they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These ASU’s were effective for Orion on April 1, 2016. As the Company’s only deferred debt issuance costs relate to its revolving line of credit, upon adoption of these standards a reclassification of the deferred financing costs was not required and there was no impact on the Company’s financial statements.</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2014, the FASB issued Accounting Standards Update No. 2014-15, "Presentation of Financial Statements - Going Concern" ("ASU 2014-15"). ASU 2014-15 requires an entity's management to evaluate whether there are conditions or events, considered in the aggregate, that raise substantial doubt about the entity's ability to continue as a going concern and if those conditions exist, the required disclosures. The standard is effective for annual periods ending after December 15, 2016, and interim periods therein. Orion does not expect adoption of this standard will have a significant impact on its consolidated financial statements.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June 2014, the FASB issued Accounting Standards Update No. 2014-12, "Compensation - Stock Compensation" ("ASU 2014-12"). ASU 2014-12 is intended to resolve diverse accounting treatment for share based awards in which the terms of the award provide that a performance target that affects vesting could be achieved after the requisite service period. The standard was effective for Orion on April 1, 2016. There was no impact on Orion's consolidated financial statements upon adoption.</w:t>
      </w:r>
    </w:p>
    <w:p>
      <w:pPr>
        <w:spacing w:after="0" w:line="18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May 2014, FASB issued ASU 2014-09, "Revenue from Contracts with Customers." This ASU is a comprehensive new revenue recognition model that requires a company to recognize revenue to depict the transfer of goods or services to a customer at an amount that reflects the consideration it expects to receive in exchange for those goods or services. In April 2016, FASB issued ASU 2016-10, "Revenue from Contracts with Customers (Topic 606): Identifying Performance Obligations and Licensing." This ASU is a clarification for identifying performance obligations and the licensing implementation guidance, while retaining the related principles for those areas. In March 2016, FASB issued ASU 2016-08, "Revenue from Contracts with Customers (Topic 606) Principle Versus Agent Considerations (Reporting Revenue Gross Versus Net)." This ASU is intended to improve the guidance</w:t>
      </w:r>
    </w:p>
    <w:p>
      <w:pPr>
        <w:sectPr>
          <w:pgSz w:w="11900" w:h="16838" w:orient="portrait"/>
          <w:cols w:equalWidth="0" w:num="1">
            <w:col w:w="11420"/>
          </w:cols>
          <w:pgMar w:left="240" w:top="125"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principle versus agent considerations by amending certain illustrative examples to assist in the application of the guidance. In May 2016, FASB issued ASU 2016-12, "Revenue from Contracts with Customers (Topic 606): Narrow Scope Improvements and Practical Expedients." This ASU is a clarification of the collectability criterion and when to recognize revenue. These ASU’s are effective for Orion beginning on April 1, 2018 (as amended by ASU 2015-14) and early adoption is not permitted. Companies may use either a full retrospective or modified retrospective approach to adopt this ASU and management is currently evaluating which transition approach to use. Orion is currently evaluating the impact of ASU 2014-09 and ASU 2015-14.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 2013, Orion acquired all of the equity interests of Harris Manufacturing, Inc. and Harris LED, LLC (collectively, "Harris"). Harris was a Florida-based lighting company which engineered, designed, sourced and manufactured energy-efficient lighting systems, including fluorescent and LED lighting solutions, and day-lighting products.</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acquisition was consummated pursuant to a Stock and Unit Purchase Agreement, dated as of May 22, 2013 ("Purchase Agreement"), by and among Harris, the shareholders and members of Harris ("Harris Shareholders"), and Orion. The acquisition consideration paid to the Harris Shareholders was valued under the Purchase Agreement at an aggregate of $10,801,000, plus an adjustment of approximately $200,000 to reflect Orion's acquisition of net working capital in excess of a targeted amount, plus an additional $612,000 for the contingent consideration earn-out value assigned to non-employee Harris shareholders. The aggregate acquisition consideration was paid through a combination of $5,000,000 in cash, $3,124,000 in a three years unsecured subordinated promissory note and the issuance of 856,997 shares of unregistered Company common stock valued at $2,065,000.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shares of common stock issued in the acquisition were valued at $2.41 per share, which was the closing sale price of Orion's common stock as reported on the NYSE MKT on the July 1, 2013, date of acquisition.</w:t>
      </w:r>
    </w:p>
    <w:p>
      <w:pPr>
        <w:spacing w:after="0" w:line="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21, 2013, Orion executed a letter agreement amending the Purchase Agreement. The letter agreement established a fixed future consideration of $1,371,000 for the previously existing earn-out component of the Purchase Agreement and eliminated the requirement that certain revenue targets must be achieved. Under the letter agreement, on January 2, 2014, Orion issued $571,000, or 83,943 shares, of Orion's unregistered common stock. The fixed consideration was determined based upon the existing share calculation at a fair value of $3.80 per common share. On January 2, 2015, Orion would pay $800,000 in cash to settle all outstanding obligations related to the earn-out component of the Purchase Agreement. In December 2014, Orion amended the letter agreement to defer the January 2, 2015 payment of $800,000 in cash until February 13, 2015, to settle all outstanding obligations related to the earn-out component of the Purchase Agreement. The final payment was made on February 12, 2015.</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Orion incurred $515,000 in acquisition and integration related costs for Harris during the year ended March 31, 2014, which included contingent consideration, legal, accounting and other integration related expenses.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Agreement contained customary representations and warranties, as well as indemnification obligations, and limitations thereon, by Orion and the Harris Shareholders.</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Prior to the amendment discussed above, the contingent consideration arrangement required Orion to pay the Harris Shareholders up to $1,000,000 in unregistered shares of Orion's common stock upon Harris' achievement of certain revenue milestones in calendar year 2013 and/or 2014, and, in the case of certain Harris Shareholders who became employees of Orion, their continued employment by Orion. The potential undiscounted amount of all future payments that Orion could have been required to make under the contingent consideration arrangement was between $0 and $1,000,000. Orion recorded $612,000 for the non-employee Harris Shareholder portion of the contingent consideration liability on the acquisition date. During the years ended March 31, 2015, and March 31, 2014, Orion expensed $147,000 and $334,000, respectively, in compensation expense as contingent consideration for employee Harris shareholders and during fiscal 2014, recorded $278,000 of additional earn-out expense for non-employee Harris shareholders.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2014, Harris was merged with and into Orion.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fiscal 2016, 2015 and 2014, Orion purchased goods and services from an entity in the amount of $21,000, $38,000, and $20,000, respectively, for which a director of Orion serves as a minority owner and chairman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as of March 31, 2016 and 2015 consisted of the following (dollars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Harris seller's note</w:t>
            </w:r>
          </w:p>
        </w:tc>
        <w:tc>
          <w:tcPr>
            <w:tcW w:w="9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1,607</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9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827</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3"/>
              </w:rPr>
              <w:t>4,767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5,054</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3"/>
              </w:rPr>
              <w:t>4,021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3,222</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6, 2015, Orion entered into a credit and security agreement (Credit Agreement) with Wells Fargo Bank, National Association. The Credit Agreement provides for a revolving credit facility (Credit Facility) that matures on February 6, 2018. Borrowings under the Credit Facility are initially limited to $15,000,000, subject to a borrowing base requirement based on eligible receivables and inventory. The Credit Facility includes a $2,000,000 sublimit for the issuance of letters of credit.</w:t>
      </w:r>
    </w:p>
    <w:p>
      <w:pPr>
        <w:spacing w:after="0" w:line="5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From and after any increase in the Credit Facility limit from $15,000,000 to $20,000,000, the Credit Agreement will require Orion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w:t>
      </w:r>
    </w:p>
    <w:p>
      <w:pPr>
        <w:spacing w:after="0" w:line="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March 31, 2016, the interest rate was 3.63%.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3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March 31, 2016, Orion had no outstanding letters of credit. Borrowings outstanding as of March 31, 2016, amounted to approximately $3,719,000 and are included in non-current liabilities in the accompanying Consolidated Balance Sheet. Orion estimates that as of March 31, 2016, it was eligible to borrow an additional $229,000 under the Credit Facility based upon current levels of eligible inventory and accounts receivable.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 was in compliance with its covenants in the Credit Agreement as of March 31,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1, 2013, Orion issued an unsecured and subordinated promissory note in the principal amount of $3,124,000 to partially fund the acquisition of Harris. The note is included in the table above as Harris seller's note. The note bears interest at the rate of 4% per annum. Principal and interest are payable quarterly and the note matures in July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w:t>
      </w:r>
    </w:p>
    <w:p>
      <w:pPr>
        <w:spacing w:after="0" w:line="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June 2015 and March 2016, Orion entered into two lease agreements with De Lage Landen Financial Services, Inc in the principal amount of $396,000 to fund certain equipment. The leases are secured by the related equipment. The leases bear interest at a rate of 5.94% and 3.6% and mature in June 2020 and February 2018. Both leases contain a one dollar buyout option.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2014, Orion entered into a secured borrowing agreement with De Lage Landen Financial Services, Inc. in the principal amount of $446,000 to fund completed customer contracts under its OTA finance program that were previously funded under the OTA credit agreement with JP Morgan, which was terminated in November 2014. This note is included in the table above as customer equipment finance notes payable. The loan amount is secured by the OTA-related equipment and the expected future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monthly payments under the supporting 25 individual OTA customer contracts. The borrowing agreement bears interest at a rate of 8.36% and matures in December 2016.</w:t>
      </w:r>
    </w:p>
    <w:p>
      <w:pPr>
        <w:spacing w:after="0" w:line="6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June 2011, Orion entered into a note agreement with a financial institution that provided Orion with $2,831,000 to fund completed customer contracts under Orion’s OTA finance program. This note is included in the table above as customer equipment finance notes payable. The note is collateralized by the OTA-related equipment and the expected future monthly payments under the supporting 40 individual OTA contracts. The note bears interest at 7.85% and matures in April 2016. The note agreement includes a debt service covenant with respect to the supporting OTA contracts that the aggregate amount of all remaining scheduled payments due with respect to the individual OTA contracts be not less than 1.25 to 1.0 of the remaining principal and interest payments due under the loan. As of March 31, 2016 Orion was in compliance with the debt service covenant.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September 2010, Orion entered into a note agreement with the Wisconsin Department of Commerce that provided Orion with $260,000 to fund Orion’s rooftop solar project at its Manitowoc manufacturing facility. This note is included in the table above as other long-term debt. The note is collateralized by the related solar equipment. The note allowed for two years without interest accruing or principal payments due. Beginning in July 2012, the note bears interest at 2% and require monthly payments of $4,600. The note matures in June 2017. The note agreement requires Orion to maintain a certain number of jobs at its Manitowoc facilities during the note’s duration. Orion was in compliance with all covenants in the note agreement as of March 31,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Maturities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440"/>
              <w:spacing w:after="0"/>
              <w:rPr>
                <w:sz w:val="20"/>
                <w:szCs w:val="20"/>
                <w:color w:val="auto"/>
              </w:rPr>
            </w:pPr>
            <w:r>
              <w:rPr>
                <w:rFonts w:ascii="Arial" w:cs="Arial" w:eastAsia="Arial" w:hAnsi="Arial"/>
                <w:sz w:val="18"/>
                <w:szCs w:val="18"/>
                <w:color w:val="auto"/>
              </w:rPr>
              <w:t>As of March 31, 2016, aggregate maturities of long-term debt were as follows (dollars 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9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3,826</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9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provision (benefit) for income taxes consists of the following for the fiscal years ending (dollars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674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96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statutory federal income tax rate and effective income tax rate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Fiscal Year Ended March 31,</w:t>
            </w:r>
          </w:p>
        </w:tc>
        <w:tc>
          <w:tcPr>
            <w:tcW w:w="130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tax rate</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34.0 %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State taxes, net</w:t>
            </w: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6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tax credit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State tax credit</w:t>
            </w: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6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reserve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Permanent items</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tax contingency reserve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3"/>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6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net deferred tax assets and liabilities reported in the accompanying consolidated financial statements include the following components (dollars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accruals and reserves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(5,547)</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current deferred tax assets and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Federal and state operating loss carryforwards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13,154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Non-qualified stock options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2,914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(14,165)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long-term deferred tax assets and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net deferred tax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Orion is eligible for tax benefits associated with the excess of the tax deduction available for exercises of non-qualified stock options, or NQSOs, over the amount recorded at grant. The amount of the benefit is based upon the ultimate deduction reflected in the applicable income tax return. Benefits of $0, $0 and $13,000 were recorded in fiscal 2016, fiscal 2015 and fiscal 2014, respectively, as a reduction in taxes payable and a credit to additional paid in capital based on the amount that was utilized in the current year.</w:t>
      </w:r>
    </w:p>
    <w:p>
      <w:pPr>
        <w:spacing w:after="0" w:line="18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As of March 31, 2016, Orion has federal net operating loss carryforwards of approximately $55,807,000, of which $3,586,000 are associated with the exercise of NQSOs that have not yet been recognized by Orion in its financial statements. Orion also has state net operating loss carryforwards of approximately $42,181,000, of which $3,941,000 are associated with the exercise of NQSOs. Orion also has federal tax credit carryforwards of approximately $1,475,000 and state tax credits of $769,000. Orion's net operating loss and tax credit carryforwards will begin to expire in varying amounts between 2020 and 2036. For the fiscal year ended March 31, 2016, Orion has recorded a valuation allowance of $25,452,000, equaling the net deferred tax asset due to the uncertainty of its realization value in the future. For the fiscal years ended March 31, 2016 and March 31, 2015, the valuation allowance against Orion's net federal and net state deferred tax assets increased $5,740,000 and $11,802,000, respectively.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5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Generally, a change of more than 50% in the ownership of Orion's stock, by value, over a three year period constitutes an ownership change for federal income tax purposes as defined under Section 382 of the Internal Revenue Code. As a result, Orion's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ability to use its net operating loss carryforwards, attributable to the period prior to such ownership change, to offset taxable income can be subject to limitations in a particular year, which could potentially result in increased future tax liability for Orion. Orion does not believe an ownership change affects the use of the full amount of the net operating loss carryforwards. There was no limitation that occurred for fiscal 2016, fiscal 2015, or fiscal 2014.</w:t>
      </w:r>
    </w:p>
    <w:p>
      <w:pPr>
        <w:spacing w:after="0" w:line="3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2011, an examination of Orion’s U.S. federal income tax returns for tax years 2009 to 2011 was complete. The resolution of this examination did not have a material effect on its business, financial condition, results of operations or liquidity.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Orion is currently negotiating a settlement with the Wisconsin Department of Revenue with respect to an assessment regarding the proper classification of our products for tax purposes under Wisconsin law. The issue under review is whether the installation of our lighting systems is considered a real property construction activity under Wisconsin law. We currently expect to resolve this matter with the Wisconsin Department of Revenue in fiscal 2017 for the amount that we have accrued.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2016, the balance of gross unrecognized tax benefits was approximately $227,000, all of which would reduce Orion’s effective tax rate if recognized.</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Orion had the following unrecognized tax benefit activity (dollars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beginning of fiscal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as of end of fiscal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$502,000, $398,000 and $1,238,000 for fiscal 2016, 2015 and 2014, respectively. Total annual commitments under non-cancelable operating leases with terms in excess of one year at March 31, 2016 are as follows (dollars in thousand):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94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1,647</w:t>
            </w:r>
          </w:p>
        </w:tc>
      </w:tr>
      <w:tr>
        <w:trPr>
          <w:trHeight w:val="27"/>
        </w:trPr>
        <w:tc>
          <w:tcPr>
            <w:tcW w:w="9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March 1, 2016, Orion entered into a lease agreement as a lessor for excess office space at its corporate headquarters in Manitowoc, WI. The initial term of the lease is 24 months and the tenant has the option to extend the term for up to three additional twelve months periods. The monthly rental payment Orion receives is $21,000 and is included in General and administrative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Orion enters into non-cancellable purchase commitments for certain inventory items in order to secure better pricing and ensure materials on hand and capital expenditures. As of March 31, 2016, Orion had entered into $2,189,000 of purchase commitments related to fiscal 2017 for inventory purchases.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2016, 2015 and 2014, Orion made matching contributions of approximately $10,000, $23,000 and $26,000,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Orion. In addition to ordinary-course litigation, Orion is a party to the proceedings described below.</w:t>
      </w:r>
    </w:p>
    <w:p>
      <w:pPr>
        <w:spacing w:after="0" w:line="15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March 27, 2014, Orion was named as a defendant in a civil lawsuit filed by Neal R. Verfuerth, Orion's former chief executive officer who was terminated for cause in November 2012, in the United States District Court for the Eastern District of Wisconsin (Green Bay Division). The plaintiff alleges, among other things, that Orion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 Orion intends to continue to defend against the claims vigorously. Orion believes that it has substantial legal and factual defenses to the claims and allegations remaining in the case and that Orion will prevail in this proceeding. Based upon the current status of the lawsuit, Orion does not believe that it is reasonably possible that the lawsuit will have a material adverse impact on its future continuing results of operations.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Transactions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February 20, 2015, Orion completed an underwritten public offering of 5,462,500 shares of its common stock, at an offering price to public of $3.50 per share. Net proceeds of the offering approximated $17,465,000.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and Treasury Stock</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October 2011, Orion’s Board of Directors approved a share repurchase program authorizing Orion to repurchase in aggregate up to a maximum of $1,000,000 of Orion’s outstanding common stock. In November 2011, Orion’s Board of Directors approved an increase to the share repurchase program authorizing Orion to repurchase in aggregate up to a maximum of $2,500,000 of Orion’s outstanding common stock. In April 2012, Orion's Board approved another increase to the share repurchase program authorizing Orion to repurchase in aggregate up to a maximum of $7,500,000 of Orion's outstanding common stock. As of March 31, 2016, Orion had repurchased 3,022,349 shares of common stock at a cost of $6,791,000 under the program. Orion did not repurchase any shares in fiscal 2016, fiscal 2015 or fiscal 2014 and does not intend to repurchase any additional common stock under this program in the near-term.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January 7, 2009, Orion’s Board of Directors adopted a shareholder rights plan and declared a dividend distribution of one common share purchase right (Right) for each outstanding share of Orion’s common stock. The issuance date for the distribution of the Rights was February 15, 2009 to shareholders of record on February 1, 2009. Each Right entitles the registered holder to purchase from Orion one share of Orion’s common stock at a price of $30.00 per share, subject to adjustment (Purchase Price).</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8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 The ESPP allows for employee loans from Orion,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Orion’s shares purchased by the participant under the ESPP and Orion has full recourse against the employee, including offset against compensation payable. As of March 31, 2013, Orion had halted the loan program. Orion had the following shares issued from treasury during fiscal 2016 and fiscal 2015:</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As of March 31, 2016</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Dollar Value of</w:t>
            </w:r>
          </w:p>
        </w:tc>
        <w:tc>
          <w:tcPr>
            <w:tcW w:w="220" w:type="dxa"/>
            <w:vAlign w:val="bottom"/>
          </w:tcPr>
          <w:p>
            <w:pPr>
              <w:spacing w:after="0"/>
              <w:rPr>
                <w:sz w:val="13"/>
                <w:szCs w:val="13"/>
                <w:color w:val="auto"/>
              </w:rPr>
            </w:pPr>
          </w:p>
        </w:tc>
        <w:tc>
          <w:tcPr>
            <w:tcW w:w="126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2"/>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2016</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1,435</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December 31, 2015</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1,170</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$2.17</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2015</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779</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2015</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541</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$2.51</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3,925</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$1.39 - 2.51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As of March 31, 2015</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Closing Market</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Shares Issued</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Dollar Value of</w:t>
            </w:r>
          </w:p>
        </w:tc>
        <w:tc>
          <w:tcPr>
            <w:tcW w:w="220" w:type="dxa"/>
            <w:vAlign w:val="bottom"/>
          </w:tcPr>
          <w:p>
            <w:pPr>
              <w:spacing w:after="0"/>
              <w:rPr>
                <w:sz w:val="13"/>
                <w:szCs w:val="13"/>
                <w:color w:val="auto"/>
              </w:rPr>
            </w:pPr>
          </w:p>
        </w:tc>
        <w:tc>
          <w:tcPr>
            <w:tcW w:w="126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2"/>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2015</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492</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35,400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December 31, 2014</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289</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$5.50</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2014</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322</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2014</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383</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$4.07</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1,486</w:t>
            </w:r>
          </w:p>
        </w:tc>
        <w:tc>
          <w:tcPr>
            <w:tcW w:w="16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$3.14 - 5.50</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Loans issued to employees are reflected on Orion’s balance sheet as a contra-equity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OPTIONS, RESTRICTED SHARES AND WARRANTS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Orion has historically granted stock options and restricted stock under its 2003 Stock Option and 2004 Stock and Incentive Awards Plans (Plans). Under the terms of the Plans, Orion has reserved 13,500,000 shares for issuance to key employees, consultants and directors. The options generally vest and become exercisable ratably between one month and five years although longer and shorter vesting periods have been used in certain circumstances. Exercisability of the options granted to employees are generally contingent on the employees’ continued employment and non-vested options are subject to forfeiture if employment terminates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any reason. Options under the Plans are granted as non-qualified stock options (NQSO) and have a maximum life of 10 years. Certain non-employee directors have elected to receive stock awards in lieu of cash compensation pursuant to elections made under Orion’s non-employee director compensation program. The Plans also provide to certain employees accelerated vesting in the event of certain changes of control of Orion as well as under other special circumstances.</w:t>
      </w:r>
    </w:p>
    <w:p>
      <w:pPr>
        <w:spacing w:after="0" w:line="24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May 2013, the Compensation Committee of the Board of Directors changed Orion's long-term equity incentive grant policy so that only restricted shares are issued to all employees under the Plans instead of stock options. The restricted shares are settled in Company stock when the restriction period ends. Compensation cost for restricted shares granted to employees is recognized ratably over the vesting term, which is typically between three to five years, although on occasion, the vesting term may be one year or less. Settlement of the shares is contingent on the employees’ continued employment and non-vested shares are subject to forfeiture if employment terminates for any reason. In fiscal 2016, an aggregate of 795,805 restricted shares were granted valued at a price per share between $1.34 and $2.62, which was the closing market price as of each grant date. In fiscal 2015, an aggregate of 410,496 restricted shares were granted valued at a price per share between $4.16 and $7.23, which was the closing market price as of each grant date. In fiscal 2014, an aggregate of 526,663 restricted shares were granted valued at a price per share between $2.41 and $6.97, which was the closing market price as of each grant date.</w:t>
      </w:r>
    </w:p>
    <w:p>
      <w:pPr>
        <w:spacing w:after="0" w:line="8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fiscal 2016, Orion granted 35,290 shares from the 2004 Stock and Incentive Awards Plan to certain non-employee directors who elected to receive stock awards in lieu of cash compensation. The shares were valued ranging from $1.20 to $2.62 per share, the closing market price as of the issuance dates. Additionally, during fiscal 2016, Orion issued 2,500 shares to a consultant as part of a consulting compensation agreement. The shares were valued at $2.00 per share, the closing market price as of the issuance date. In fiscal 2015, Orion granted 27,931 shares from the 2004 Stock and Incentive Awards Plan to certain non-employee directors who elected to receive stock awards in lieu of cash compensation. The shares were valued ranging from $4.20 to $5.23 per share, the closing market price as of the issuance dates. In fiscal 2014, Orion granted 33,641 shares from the 2004 Stock and Incentive Awards Plan to certain non-employee directors who elected to receive stock awards in lieu of cash compensation. The shares were valued ranging from $2.41 to $5.73 per share, the closing market price as of the issuance dates.</w:t>
      </w:r>
    </w:p>
    <w:p>
      <w:pPr>
        <w:spacing w:after="0" w:line="1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fiscal 2014, Orion recorded $200,000 of stock-based compensation related to the deferred consideration for employee Harris Shareholders resulting from the Harris acquisition.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1,148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1,025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1,462</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744"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number of shares available for grant under the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restricted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2014</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restricted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restricted shares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 at March 31, 2016</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with respect to outstanding stock options: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1,632,778</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(305,544)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(33,641)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(526,663)</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69,375</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455,691</w:t>
      </w:r>
    </w:p>
    <w:p>
      <w:pPr>
        <w:spacing w:after="0" w:line="7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1,291,996</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(27,931)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(410,496)</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74,957</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150,074</w:t>
      </w:r>
    </w:p>
    <w:p>
      <w:pPr>
        <w:spacing w:after="0" w:line="7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1,078,600</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(64,960)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(795,805)</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206,471</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363,380</w:t>
      </w:r>
    </w:p>
    <w:p>
      <w:pPr>
        <w:spacing w:after="0" w:line="77"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787,686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48895</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9860" w:space="720"/>
            <w:col w:w="840"/>
          </w:cols>
          <w:pgMar w:left="240" w:top="125"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176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6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Value of</w:t>
            </w:r>
          </w:p>
        </w:tc>
        <w:tc>
          <w:tcPr>
            <w:tcW w:w="15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76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4"/>
              </w:rPr>
              <w:t>Options</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2013</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3,312,523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305,544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(446,059)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(455,691)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2014</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2,716,317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(139,407)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(150,074)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2015</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2,426,836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(363,380)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2,017,046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Exercisable at March 31, 2016</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1,811,146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Orion’s closing common stock price of $1.39 as of March 31, 2016.</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range of exercise prices on outstanding stock options at March 31,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2016</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$1.62 - 2.20</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684,476</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4.93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558,776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$2.41 - 2.75</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373,144</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360,744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$2.86 - 4.28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719,971</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4.07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652,171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$4.49 - 4.76</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25,400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25,400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$5.35 - 5.44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77,204</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$9.00</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27,000</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$10.14 - 11.61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109,851</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1.66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2,017,046</w:t>
            </w:r>
          </w:p>
        </w:tc>
        <w:tc>
          <w:tcPr>
            <w:tcW w:w="16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1,811,146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fiscal 2016, Orion granted restricted shares as follows (which are included in the above stock plan activity tables):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2015</w:t>
            </w:r>
          </w:p>
        </w:tc>
        <w:tc>
          <w:tcPr>
            <w:tcW w:w="7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704,688</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795,805</w:t>
            </w:r>
          </w:p>
        </w:tc>
      </w:tr>
      <w:tr>
        <w:trPr>
          <w:trHeight w:val="27"/>
        </w:trPr>
        <w:tc>
          <w:tcPr>
            <w:tcW w:w="9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(240,633)</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7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(206,471)</w:t>
            </w:r>
          </w:p>
        </w:tc>
      </w:tr>
      <w:tr>
        <w:trPr>
          <w:trHeight w:val="27"/>
        </w:trPr>
        <w:tc>
          <w:tcPr>
            <w:tcW w:w="9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March 31, 2016</w:t>
            </w: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1,053,389</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7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$1.34-2.62</w:t>
            </w:r>
          </w:p>
        </w:tc>
      </w:tr>
      <w:tr>
        <w:trPr>
          <w:trHeight w:val="27"/>
        </w:trPr>
        <w:tc>
          <w:tcPr>
            <w:tcW w:w="9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1,306,191</w:t>
            </w:r>
          </w:p>
        </w:tc>
      </w:tr>
      <w:tr>
        <w:trPr>
          <w:trHeight w:val="27"/>
        </w:trPr>
        <w:tc>
          <w:tcPr>
            <w:tcW w:w="9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2016, the weighted average grant-date fair value of restricted shares granted was $2.06.</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Unrecognized compensation cost related to non-vested common stock-based compensation as of March 31, 2016 is as follows (dollars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2018</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Remaining weighted average expected term</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 years</w:t>
            </w:r>
          </w:p>
        </w:tc>
      </w:tr>
    </w:tbl>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Orion previously issued warrants in connection with various stock offerings and services rendered. The warrants granted the holder the option to purchase common stock at specified prices for a specified period of time. No warrants were issued in fiscal 2016, 2015 or 2014. During fiscal 2015, all warrants outstanding for a total of 38,980 shares were exercised at $2.25 per share, and as a result, none remain outstanding.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warrant activity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2013</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2014</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Issued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March 31, 2015 and March 31,2016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DATA</w:t>
      </w:r>
    </w:p>
    <w:p>
      <w:pPr>
        <w:spacing w:after="0" w:line="28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Beginning in fiscal 2015, Orion reorganized its business into the following business segments: Orion U.S. Markets Division ("USM"), Orion Engineered Services Division ("OES") and Orion Distribution Services Division ("ODS"). The accounting policies are the same for each business segment as they are on a consolidated basis.</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Orion’s segments and their summary financial information are presented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domestic energy service companies, or ESCOs, and electrical contractors.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LED and High Intensity Fluorescent ("HIF") lighting and energy management systems. OES provides turnkey solutions for large national accounts, governments, municipalities and schools.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98" w:lineRule="exact"/>
        <w:rPr>
          <w:sz w:val="20"/>
          <w:szCs w:val="20"/>
          <w:color w:val="auto"/>
        </w:rPr>
      </w:pPr>
    </w:p>
    <w:p>
      <w:pPr>
        <w:ind w:right="560" w:firstLine="392"/>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which primarily include intercompany eliminations.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Operating (Loss) Profit</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6"/>
        </w:trPr>
        <w:tc>
          <w:tcPr>
            <w:tcW w:w="26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year ended March 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4"/>
              </w:rPr>
              <w:t>For the year ended March 31,</w:t>
            </w:r>
          </w:p>
        </w:tc>
        <w:tc>
          <w:tcPr>
            <w:tcW w:w="1200" w:type="dxa"/>
            <w:vAlign w:val="bottom"/>
            <w:tcBorders>
              <w:bottom w:val="single" w:sz="8" w:color="auto"/>
            </w:tcBorders>
          </w:tcPr>
          <w:p>
            <w:pPr>
              <w:spacing w:after="0"/>
              <w:rPr>
                <w:sz w:val="24"/>
                <w:szCs w:val="24"/>
                <w:color w:val="auto"/>
              </w:rPr>
            </w:pPr>
          </w:p>
        </w:tc>
      </w:tr>
      <w:tr>
        <w:trPr>
          <w:trHeight w:val="263"/>
        </w:trPr>
        <w:tc>
          <w:tcPr>
            <w:tcW w:w="2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38,841</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33,454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49,857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1,260</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(8,591)</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67,642</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72,210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09"/>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8"/>
          </w:tcPr>
          <w:p>
            <w:pPr>
              <w:jc w:val="center"/>
              <w:ind w:left="794"/>
              <w:spacing w:after="0"/>
              <w:rPr>
                <w:sz w:val="20"/>
                <w:szCs w:val="20"/>
                <w:color w:val="auto"/>
              </w:rPr>
            </w:pPr>
            <w:r>
              <w:rPr>
                <w:rFonts w:ascii="Arial" w:cs="Arial" w:eastAsia="Arial" w:hAnsi="Arial"/>
                <w:sz w:val="14"/>
                <w:szCs w:val="14"/>
                <w:b w:val="1"/>
                <w:bCs w:val="1"/>
                <w:color w:val="auto"/>
                <w:w w:val="94"/>
              </w:rPr>
              <w:t>Depreciation and Amortization</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 Expenditures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6"/>
        </w:trPr>
        <w:tc>
          <w:tcPr>
            <w:tcW w:w="2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For the year ended March 31,</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4"/>
              </w:rPr>
              <w:t>For the year ended March 31,</w:t>
            </w:r>
          </w:p>
        </w:tc>
        <w:tc>
          <w:tcPr>
            <w:tcW w:w="1200" w:type="dxa"/>
            <w:vAlign w:val="bottom"/>
            <w:tcBorders>
              <w:bottom w:val="single" w:sz="8" w:color="auto"/>
            </w:tcBorders>
          </w:tcPr>
          <w:p>
            <w:pPr>
              <w:spacing w:after="0"/>
              <w:rPr>
                <w:sz w:val="24"/>
                <w:szCs w:val="24"/>
                <w:color w:val="auto"/>
              </w:rPr>
            </w:pPr>
          </w:p>
        </w:tc>
      </w:tr>
      <w:tr>
        <w:trPr>
          <w:trHeight w:val="263"/>
        </w:trPr>
        <w:tc>
          <w:tcPr>
            <w:tcW w:w="26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U.S. Markets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1,168</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24"/>
                <w:szCs w:val="24"/>
                <w:color w:val="auto"/>
              </w:rPr>
            </w:pPr>
          </w:p>
        </w:tc>
        <w:tc>
          <w:tcPr>
            <w:tcW w:w="420" w:type="dxa"/>
            <w:vAlign w:val="bottom"/>
          </w:tcPr>
          <w:p>
            <w:pPr>
              <w:jc w:val="right"/>
              <w:ind w:right="233"/>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276</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Distribution Services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r>
      <w:tr>
        <w:trPr>
          <w:trHeight w:val="237"/>
        </w:trPr>
        <w:tc>
          <w:tcPr>
            <w:tcW w:w="26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4,538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410</w:t>
            </w:r>
          </w:p>
        </w:tc>
      </w:tr>
      <w:tr>
        <w:trPr>
          <w:trHeight w:val="27"/>
        </w:trPr>
        <w:tc>
          <w:tcPr>
            <w:tcW w:w="2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96"/>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Total Assets</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Deferred Revenue</w:t>
            </w:r>
          </w:p>
        </w:tc>
      </w:tr>
      <w:tr>
        <w:trPr>
          <w:trHeight w:val="263"/>
        </w:trPr>
        <w:tc>
          <w:tcPr>
            <w:tcW w:w="2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2016</w:t>
            </w:r>
          </w:p>
        </w:tc>
        <w:tc>
          <w:tcPr>
            <w:tcW w:w="136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2016</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2015</w:t>
            </w: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Markets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27,769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21,885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27,435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1,361</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29,101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70,875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87,805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1,518</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Orion’s revenue outside the United States is insignificant and Orion has no long-lived assets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12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additional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QUARTERLY FINANCIAL DATA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quarterly results for the years ended March 31, 2016 and March 31, 2015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 31, 2016</w:t>
            </w:r>
          </w:p>
        </w:tc>
        <w:tc>
          <w:tcPr>
            <w:tcW w:w="10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Dec 31, 2015</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 30, 2015</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 30, 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18,576</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16,751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15,728</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67,642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4,618</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4,708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2,913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3,758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15,997</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(10,870)</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basic per share calculation</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27,759</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27,672</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27,598</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27,482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27,628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diluted per share calculation</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27,759</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27,672</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27,598</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27,482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27,628</w:t>
            </w:r>
          </w:p>
        </w:tc>
      </w:tr>
      <w:tr>
        <w:trPr>
          <w:trHeight w:val="615"/>
        </w:trPr>
        <w:tc>
          <w:tcPr>
            <w:tcW w:w="6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 31, 2015</w:t>
            </w:r>
          </w:p>
        </w:tc>
        <w:tc>
          <w:tcPr>
            <w:tcW w:w="10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Dec 31, 2014</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 30, 2014</w:t>
            </w: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 30, 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19,366</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26,138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13,393</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13,313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72,210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2,982</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3,824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(10,555)</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2,612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(4,693)</w:t>
            </w:r>
          </w:p>
        </w:tc>
        <w:tc>
          <w:tcPr>
            <w:tcW w:w="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(18,346)</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(0.84)</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basic per share calculation</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24,071</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21,883</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21,820</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21,669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(0.84)</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diluted per share calculation</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24,071</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21,883</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21,820</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21,669</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22,353</w:t>
            </w:r>
          </w:p>
        </w:tc>
      </w:tr>
      <w:tr>
        <w:trPr>
          <w:trHeight w:val="27"/>
        </w:trPr>
        <w:tc>
          <w:tcPr>
            <w:tcW w:w="6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four quarters for net earnings per share may not add to the total year because of differences in the weighted average number of shares outstanding during the quarters and the year.</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2016, pursuant to Exchange Act Rule 13a-15(b) and 15d-15. Based on that evaluation, our Chief Executive Officer and our Chief Financial Officer have identified a material weaknesses in internal controls over financial reporting described below in Management’s Report on Internal Control and have, therefore, concluded that our disclosure controls and procedures were not effective as of March 31, 2016.</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Notwithstanding the identified material weakness, 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U.S. GAAP.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1" w:lineRule="exact"/>
        <w:rPr>
          <w:sz w:val="20"/>
          <w:szCs w:val="20"/>
          <w:color w:val="auto"/>
        </w:rPr>
      </w:pPr>
    </w:p>
    <w:p>
      <w:pPr>
        <w:jc w:val="both"/>
        <w:ind w:firstLine="561"/>
        <w:spacing w:after="0" w:line="257"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March 31, 2016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issued by the Committee of Sponsoring Organizations of the Treadway Commission ("COSO"). </w:t>
      </w:r>
      <w:r>
        <w:rPr>
          <w:rFonts w:ascii="Arial" w:cs="Arial" w:eastAsia="Arial" w:hAnsi="Arial"/>
          <w:sz w:val="18"/>
          <w:szCs w:val="18"/>
          <w:color w:val="auto"/>
        </w:rPr>
        <w:t>As a result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a material weakness exists as described below. A material weakness is “a deficiency or a combination of deficiencies, in internal control over financial reporting, such that there is a reasonable possibility that a material misstatement of the registrant’s annual or interim financial statement will not be prevented or detected in a timely basis.”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BDO USA, LLP, independent registered public accounting firm, has issued an attestation report on our internal control over financial reporting as of March 31, 2016. Their report is in Item 8 under the heading "Reports of Independent Registered Public Accounting Firm" of this Annual Report on Form 10-K.</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connection with the assessment of our internal control over financial reporting as of March 31, 2016, management identified the following material weaknesses that existed as of March 31, 2016:</w:t>
      </w:r>
    </w:p>
    <w:p>
      <w:pPr>
        <w:spacing w:after="0" w:line="170"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Risk Assessment and Monitoring Activities. </w:t>
      </w:r>
      <w:r>
        <w:rPr>
          <w:rFonts w:ascii="Arial" w:cs="Arial" w:eastAsia="Arial" w:hAnsi="Arial"/>
          <w:sz w:val="18"/>
          <w:szCs w:val="18"/>
          <w:color w:val="auto"/>
        </w:rPr>
        <w:t>We determined that our controls pertaining to risk assessment and monitoring activities did not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effectively, resulting in a material weakness pertaining to these COSO components. Specifically,</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660"/>
        <w:spacing w:after="0" w:line="319" w:lineRule="auto"/>
        <w:rPr>
          <w:sz w:val="20"/>
          <w:szCs w:val="20"/>
          <w:color w:val="auto"/>
        </w:rPr>
      </w:pPr>
      <w:r>
        <w:rPr>
          <w:rFonts w:ascii="Arial" w:cs="Arial" w:eastAsia="Arial" w:hAnsi="Arial"/>
          <w:sz w:val="17"/>
          <w:szCs w:val="17"/>
          <w:color w:val="auto"/>
        </w:rPr>
        <w:t xml:space="preserve">(i) with respect to risk assessment, we did not sufficiently identify and address risks associated with (a) the adequacy of training needs of employees whose job functions bear upon our accounting and financial reporting; </w:t>
      </w:r>
      <w:r>
        <w:rPr>
          <w:rFonts w:ascii="Arial" w:cs="Arial" w:eastAsia="Arial" w:hAnsi="Arial"/>
          <w:sz w:val="18"/>
          <w:szCs w:val="18"/>
          <w:color w:val="auto"/>
        </w:rPr>
        <w:t>and</w:t>
      </w:r>
      <w:r>
        <w:rPr>
          <w:rFonts w:ascii="Arial" w:cs="Arial" w:eastAsia="Arial" w:hAnsi="Arial"/>
          <w:sz w:val="17"/>
          <w:szCs w:val="17"/>
          <w:color w:val="auto"/>
        </w:rPr>
        <w:t xml:space="preserve"> (b) certain processes, further noted in the Control Activities discussion below, resulting in inadequate contract review activities; and (ii) with respect to monitoring activities, (a) we did not maintain effective controls for the review, supervision and monitoring of our accounting operations and for evaluating the adequacy of our internal control over financial reporting; and (b) there were insufficient procedures to effectively determine the adequacy of our internal control over financial reporting. The deficiencies in these COSO components are interrelated and represent a material weakness.</w:t>
      </w:r>
    </w:p>
    <w:p>
      <w:pPr>
        <w:spacing w:after="0" w:line="154" w:lineRule="exact"/>
        <w:rPr>
          <w:sz w:val="20"/>
          <w:szCs w:val="20"/>
          <w:color w:val="auto"/>
        </w:rPr>
      </w:pPr>
    </w:p>
    <w:p>
      <w:pPr>
        <w:ind w:left="660" w:right="60" w:hanging="328"/>
        <w:spacing w:after="0" w:line="264" w:lineRule="auto"/>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Control Activities - Revenue Recognition. </w:t>
      </w:r>
      <w:r>
        <w:rPr>
          <w:rFonts w:ascii="Arial" w:cs="Arial" w:eastAsia="Arial" w:hAnsi="Arial"/>
          <w:sz w:val="18"/>
          <w:szCs w:val="18"/>
          <w:color w:val="auto"/>
        </w:rPr>
        <w:t>The operating effectiveness of our controls were inadequate to ensure that the review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involving contracts and the related accounting entries was performed. Revenue recognition controls ensure that the reported amount and timing of revenue recognition are accurate.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Because of this material weakness, management concluded that we did not maintain effective internal control over financial reporting as of March 31, 2016, based on the criteria in </w:t>
      </w:r>
      <w:r>
        <w:rPr>
          <w:rFonts w:ascii="Arial" w:cs="Arial" w:eastAsia="Arial" w:hAnsi="Arial"/>
          <w:sz w:val="18"/>
          <w:szCs w:val="18"/>
          <w:i w:val="1"/>
          <w:iCs w:val="1"/>
          <w:color w:val="auto"/>
        </w:rPr>
        <w:t>Internal Control - Integrated Framework (2013) issued by COSO.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Remediation of Material Weaknesses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Board, the Audit &amp; Finance Committee and management have added resources and are developing and implementing new processes, procedures and internal controls to remediate the material weakness that existed in our internal control over financial reporting as it related to contract review and revenue recognition, and our disclosure controls and procedures, as of March 31, 2016.</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a thorough understanding of the “as is” state, process owners, and procedural or technological gaps causing the deficiency;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and evaluate a remediation action for the review and analysis of revenue transactions involving contracts; validate or improve the related policy and procedures; evaluate skills of the process owners with regard to the policy and adjust as required;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Implement specific remediation actions: train process owners, allow time for process adoption and adequate transaction volume for next steps;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executive management and the Audit &amp; Finance Committee.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steps we have taken in this process: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Late in the fourth quarter of fiscal 2016, we hired a Corporate Controller;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identified an external resource and have engaged them to perform a detailed accounting analysis on complex non-routine revenue transactions.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Remediation Plan is being administered by our Chief Financial Officer and involves key leaders from across the organization.</w:t>
      </w:r>
    </w:p>
    <w:p>
      <w:pPr>
        <w:spacing w:after="0" w:line="225"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 described above and employ any additional tools and resources deemed necessary to ensure that our financial statements are fairly stated in all material respects.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Except as described above in Plans for Remediation of Material Weakness, there were no other changes in our internal control over financial reporting (as defined in Rules 13a-15(f) and 15d-15(f) under the Exchange Act) that occurred during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quarter ended March 31, 2016, that have materially affected or are reasonably likely to materially affect, our internal control over financial reporting.</w:t>
      </w:r>
    </w:p>
    <w:p>
      <w:pPr>
        <w:spacing w:after="0" w:line="2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information required by this item with respect to directors, executive officers and corporate governance is incorporated by reference to Orion's Proxy Statement for its 2016 Annual Meeting of Shareholders to be filed with the SEC within 120 days after the end of the fiscal year ended March 31,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Orion's Proxy Statement for its 2016 Annual Meeting of Shareholders to be filed with the SEC within 120 days after the end of the fiscal year ended March 31, 2016.</w:t>
      </w:r>
    </w:p>
    <w:p>
      <w:pPr>
        <w:spacing w:after="0" w:line="112" w:lineRule="exact"/>
        <w:rPr>
          <w:sz w:val="20"/>
          <w:szCs w:val="20"/>
          <w:color w:val="auto"/>
        </w:rPr>
      </w:pPr>
    </w:p>
    <w:p>
      <w:pPr>
        <w:ind w:left="1300" w:right="2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8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Orion's Proxy Statement for its 2016 Annual Meeting of Shareholders to be filed with the SEC within 120 days after the end of the fiscal year ended March 31, 2016.</w:t>
      </w:r>
    </w:p>
    <w:p>
      <w:pPr>
        <w:spacing w:after="0" w:line="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Orion's Proxy Statement for its 2016 Annual Meeting of Shareholders to be filed with the SEC within 120 days after the end of the fiscal year ended March 31, 2016.</w:t>
      </w:r>
    </w:p>
    <w:p>
      <w:pPr>
        <w:spacing w:after="0" w:line="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The information required by this item is incorporated by reference to Orion's Proxy Statement for its 2016 Annual Meeting of Shareholders to be filed with the SEC within 120 days after the end of the fiscal year ended March 31, 2016.</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 Financial Statements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financial statements are set forth in Item 8 of this Form 10-K.</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 Financial Statement Schedule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SCHEDULE II</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VALUATION and QUALIFYING ACCOUNTS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Balance at</w:t>
            </w:r>
          </w:p>
        </w:tc>
        <w:tc>
          <w:tcPr>
            <w:tcW w:w="360" w:type="dxa"/>
            <w:vAlign w:val="bottom"/>
          </w:tcPr>
          <w:p>
            <w:pPr>
              <w:spacing w:after="0"/>
              <w:rPr>
                <w:sz w:val="14"/>
                <w:szCs w:val="14"/>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Provisions</w:t>
            </w:r>
          </w:p>
        </w:tc>
        <w:tc>
          <w:tcPr>
            <w:tcW w:w="520" w:type="dxa"/>
            <w:vAlign w:val="bottom"/>
          </w:tcPr>
          <w:p>
            <w:pPr>
              <w:spacing w:after="0"/>
              <w:rPr>
                <w:sz w:val="14"/>
                <w:szCs w:val="14"/>
                <w:color w:val="auto"/>
              </w:rPr>
            </w:pPr>
          </w:p>
        </w:tc>
        <w:tc>
          <w:tcPr>
            <w:tcW w:w="10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w w:val="92"/>
              </w:rPr>
              <w:t>Write offs</w:t>
            </w:r>
          </w:p>
        </w:tc>
        <w:tc>
          <w:tcPr>
            <w:tcW w:w="360" w:type="dxa"/>
            <w:vAlign w:val="bottom"/>
          </w:tcPr>
          <w:p>
            <w:pPr>
              <w:spacing w:after="0"/>
              <w:rPr>
                <w:sz w:val="14"/>
                <w:szCs w:val="14"/>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3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9"/>
              </w:rPr>
              <w:t>charged to</w:t>
            </w:r>
          </w:p>
        </w:tc>
        <w:tc>
          <w:tcPr>
            <w:tcW w:w="5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period</w:t>
            </w:r>
          </w:p>
        </w:tc>
        <w:tc>
          <w:tcPr>
            <w:tcW w:w="3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Arial" w:cs="Arial" w:eastAsia="Arial" w:hAnsi="Arial"/>
                <w:sz w:val="14"/>
                <w:szCs w:val="14"/>
                <w:b w:val="1"/>
                <w:bCs w:val="1"/>
                <w:color w:val="auto"/>
                <w:w w:val="85"/>
              </w:rPr>
              <w:t>expense</w:t>
            </w:r>
          </w:p>
        </w:tc>
        <w:tc>
          <w:tcPr>
            <w:tcW w:w="52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w w:val="93"/>
              </w:rPr>
              <w:t>and other</w:t>
            </w:r>
          </w:p>
        </w:tc>
        <w:tc>
          <w:tcPr>
            <w:tcW w:w="36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70"/>
        </w:trPr>
        <w:tc>
          <w:tcPr>
            <w:tcW w:w="660" w:type="dxa"/>
            <w:vAlign w:val="bottom"/>
          </w:tcPr>
          <w:p>
            <w:pPr>
              <w:jc w:val="right"/>
              <w:spacing w:after="0"/>
              <w:rPr>
                <w:sz w:val="20"/>
                <w:szCs w:val="20"/>
                <w:color w:val="auto"/>
              </w:rPr>
            </w:pPr>
            <w:r>
              <w:rPr>
                <w:rFonts w:ascii="Arial" w:cs="Arial" w:eastAsia="Arial" w:hAnsi="Arial"/>
                <w:sz w:val="14"/>
                <w:szCs w:val="14"/>
                <w:color w:val="auto"/>
                <w:w w:val="89"/>
              </w:rPr>
              <w:t>March 31,</w:t>
            </w:r>
          </w:p>
        </w:tc>
        <w:tc>
          <w:tcPr>
            <w:tcW w:w="3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60" w:type="dxa"/>
            <w:vAlign w:val="bottom"/>
          </w:tcPr>
          <w:p>
            <w:pPr>
              <w:jc w:val="right"/>
              <w:spacing w:after="0"/>
              <w:rPr>
                <w:sz w:val="20"/>
                <w:szCs w:val="20"/>
                <w:color w:val="auto"/>
              </w:rPr>
            </w:pPr>
            <w:r>
              <w:rPr>
                <w:rFonts w:ascii="Arial" w:cs="Arial" w:eastAsia="Arial" w:hAnsi="Arial"/>
                <w:sz w:val="18"/>
                <w:szCs w:val="18"/>
                <w:color w:val="auto"/>
              </w:rPr>
              <w:t>2016</w:t>
            </w:r>
          </w:p>
        </w:tc>
        <w:tc>
          <w:tcPr>
            <w:tcW w:w="34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458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575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528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0"/>
        </w:trPr>
        <w:tc>
          <w:tcPr>
            <w:tcW w:w="660" w:type="dxa"/>
            <w:vAlign w:val="bottom"/>
          </w:tcPr>
          <w:p>
            <w:pPr>
              <w:jc w:val="right"/>
              <w:spacing w:after="0"/>
              <w:rPr>
                <w:sz w:val="20"/>
                <w:szCs w:val="20"/>
                <w:color w:val="auto"/>
              </w:rPr>
            </w:pPr>
            <w:r>
              <w:rPr>
                <w:rFonts w:ascii="Arial" w:cs="Arial" w:eastAsia="Arial" w:hAnsi="Arial"/>
                <w:sz w:val="18"/>
                <w:szCs w:val="18"/>
                <w:color w:val="auto"/>
              </w:rPr>
              <w:t>2015</w:t>
            </w:r>
          </w:p>
        </w:tc>
        <w:tc>
          <w:tcPr>
            <w:tcW w:w="34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384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285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0"/>
        </w:trPr>
        <w:tc>
          <w:tcPr>
            <w:tcW w:w="660" w:type="dxa"/>
            <w:vAlign w:val="bottom"/>
          </w:tcPr>
          <w:p>
            <w:pPr>
              <w:jc w:val="right"/>
              <w:spacing w:after="0"/>
              <w:rPr>
                <w:sz w:val="20"/>
                <w:szCs w:val="20"/>
                <w:color w:val="auto"/>
              </w:rPr>
            </w:pPr>
            <w:r>
              <w:rPr>
                <w:rFonts w:ascii="Arial" w:cs="Arial" w:eastAsia="Arial" w:hAnsi="Arial"/>
                <w:sz w:val="18"/>
                <w:szCs w:val="18"/>
                <w:color w:val="auto"/>
              </w:rPr>
              <w:t>2014</w:t>
            </w:r>
          </w:p>
        </w:tc>
        <w:tc>
          <w:tcPr>
            <w:tcW w:w="34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174</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486"/>
        </w:trPr>
        <w:tc>
          <w:tcPr>
            <w:tcW w:w="660" w:type="dxa"/>
            <w:vAlign w:val="bottom"/>
          </w:tcPr>
          <w:p>
            <w:pPr>
              <w:jc w:val="right"/>
              <w:spacing w:after="0"/>
              <w:rPr>
                <w:sz w:val="20"/>
                <w:szCs w:val="20"/>
                <w:color w:val="auto"/>
              </w:rPr>
            </w:pPr>
            <w:r>
              <w:rPr>
                <w:rFonts w:ascii="Arial" w:cs="Arial" w:eastAsia="Arial" w:hAnsi="Arial"/>
                <w:sz w:val="18"/>
                <w:szCs w:val="18"/>
                <w:color w:val="auto"/>
              </w:rPr>
              <w:t>2016</w:t>
            </w:r>
          </w:p>
        </w:tc>
        <w:tc>
          <w:tcPr>
            <w:tcW w:w="3480" w:type="dxa"/>
            <w:vAlign w:val="bottom"/>
          </w:tcPr>
          <w:p>
            <w:pPr>
              <w:ind w:left="20"/>
              <w:spacing w:after="0"/>
              <w:rPr>
                <w:sz w:val="20"/>
                <w:szCs w:val="20"/>
                <w:color w:val="auto"/>
              </w:rPr>
            </w:pPr>
            <w:r>
              <w:rPr>
                <w:rFonts w:ascii="Arial" w:cs="Arial" w:eastAsia="Arial" w:hAnsi="Arial"/>
                <w:sz w:val="18"/>
                <w:szCs w:val="18"/>
                <w:color w:val="auto"/>
              </w:rPr>
              <w:t>Inventory Obsolescence Reserve</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1,619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509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0"/>
        </w:trPr>
        <w:tc>
          <w:tcPr>
            <w:tcW w:w="660" w:type="dxa"/>
            <w:vAlign w:val="bottom"/>
          </w:tcPr>
          <w:p>
            <w:pPr>
              <w:jc w:val="right"/>
              <w:spacing w:after="0"/>
              <w:rPr>
                <w:sz w:val="20"/>
                <w:szCs w:val="20"/>
                <w:color w:val="auto"/>
              </w:rPr>
            </w:pPr>
            <w:r>
              <w:rPr>
                <w:rFonts w:ascii="Arial" w:cs="Arial" w:eastAsia="Arial" w:hAnsi="Arial"/>
                <w:sz w:val="18"/>
                <w:szCs w:val="18"/>
                <w:color w:val="auto"/>
              </w:rPr>
              <w:t>2015</w:t>
            </w:r>
          </w:p>
        </w:tc>
        <w:tc>
          <w:tcPr>
            <w:tcW w:w="3480" w:type="dxa"/>
            <w:vAlign w:val="bottom"/>
          </w:tcPr>
          <w:p>
            <w:pPr>
              <w:ind w:left="20"/>
              <w:spacing w:after="0"/>
              <w:rPr>
                <w:sz w:val="20"/>
                <w:szCs w:val="20"/>
                <w:color w:val="auto"/>
              </w:rPr>
            </w:pPr>
            <w:r>
              <w:rPr>
                <w:rFonts w:ascii="Arial" w:cs="Arial" w:eastAsia="Arial" w:hAnsi="Arial"/>
                <w:sz w:val="18"/>
                <w:szCs w:val="18"/>
                <w:color w:val="auto"/>
              </w:rPr>
              <w:t>Inventory Obsolescence Reserve</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2,527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10,505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11,413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0"/>
        </w:trPr>
        <w:tc>
          <w:tcPr>
            <w:tcW w:w="660" w:type="dxa"/>
            <w:vAlign w:val="bottom"/>
          </w:tcPr>
          <w:p>
            <w:pPr>
              <w:jc w:val="right"/>
              <w:spacing w:after="0"/>
              <w:rPr>
                <w:sz w:val="20"/>
                <w:szCs w:val="20"/>
                <w:color w:val="auto"/>
              </w:rPr>
            </w:pPr>
            <w:r>
              <w:rPr>
                <w:rFonts w:ascii="Arial" w:cs="Arial" w:eastAsia="Arial" w:hAnsi="Arial"/>
                <w:sz w:val="18"/>
                <w:szCs w:val="18"/>
                <w:color w:val="auto"/>
              </w:rPr>
              <w:t>2014</w:t>
            </w:r>
          </w:p>
        </w:tc>
        <w:tc>
          <w:tcPr>
            <w:tcW w:w="3480" w:type="dxa"/>
            <w:vAlign w:val="bottom"/>
          </w:tcPr>
          <w:p>
            <w:pPr>
              <w:ind w:left="20"/>
              <w:spacing w:after="0"/>
              <w:rPr>
                <w:sz w:val="20"/>
                <w:szCs w:val="20"/>
                <w:color w:val="auto"/>
              </w:rPr>
            </w:pPr>
            <w:r>
              <w:rPr>
                <w:rFonts w:ascii="Arial" w:cs="Arial" w:eastAsia="Arial" w:hAnsi="Arial"/>
                <w:sz w:val="18"/>
                <w:szCs w:val="18"/>
                <w:color w:val="auto"/>
              </w:rPr>
              <w:t>Inventory Obsolescence Reserve</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2,301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1,995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1,769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80"/>
          </w:cols>
          <w:pgMar w:left="240" w:top="125" w:right="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Exhibit Title</w:t>
      </w:r>
    </w:p>
    <w:p>
      <w:pPr>
        <w:spacing w:after="0" w:line="172" w:lineRule="exact"/>
        <w:rPr>
          <w:sz w:val="20"/>
          <w:szCs w:val="20"/>
          <w:color w:val="auto"/>
        </w:rPr>
      </w:pPr>
    </w:p>
    <w:p>
      <w:pPr>
        <w:ind w:left="960" w:right="680" w:hanging="481"/>
        <w:spacing w:after="0" w:line="277" w:lineRule="auto"/>
        <w:tabs>
          <w:tab w:leader="none" w:pos="940" w:val="left"/>
        </w:tabs>
        <w:rPr>
          <w:sz w:val="20"/>
          <w:szCs w:val="20"/>
          <w:color w:val="auto"/>
        </w:rPr>
      </w:pPr>
      <w:r>
        <w:rPr>
          <w:rFonts w:ascii="Arial" w:cs="Arial" w:eastAsia="Arial" w:hAnsi="Arial"/>
          <w:sz w:val="18"/>
          <w:szCs w:val="18"/>
          <w:color w:val="auto"/>
        </w:rPr>
        <w:t>3.1</w:t>
        <w:tab/>
        <w:t>Amended and Restated Articles of Incorporation of Orion Energy Systems, Inc., filed as Exhibit 3.3 to the Registrant’s Form S-1 filed August 20, 2007, is hereby incorporated by reference.</w:t>
      </w:r>
    </w:p>
    <w:p>
      <w:pPr>
        <w:spacing w:after="0" w:line="130" w:lineRule="exact"/>
        <w:rPr>
          <w:sz w:val="20"/>
          <w:szCs w:val="20"/>
          <w:color w:val="auto"/>
        </w:rPr>
      </w:pPr>
    </w:p>
    <w:p>
      <w:pPr>
        <w:ind w:left="960" w:right="200" w:hanging="481"/>
        <w:spacing w:after="0" w:line="277" w:lineRule="auto"/>
        <w:tabs>
          <w:tab w:leader="none" w:pos="940" w:val="left"/>
        </w:tabs>
        <w:rPr>
          <w:sz w:val="20"/>
          <w:szCs w:val="20"/>
          <w:color w:val="auto"/>
        </w:rPr>
      </w:pPr>
      <w:r>
        <w:rPr>
          <w:rFonts w:ascii="Arial" w:cs="Arial" w:eastAsia="Arial" w:hAnsi="Arial"/>
          <w:sz w:val="18"/>
          <w:szCs w:val="18"/>
          <w:color w:val="auto"/>
        </w:rPr>
        <w:t>3.2</w:t>
        <w:tab/>
        <w:t>Amended and Restated Bylaws of Orion Energy Systems, Inc., filed as Exhibit 3.2 to the Registrant’s Form 10-Q filed November 8, 2013, is hereby incorporated by reference.</w:t>
      </w:r>
    </w:p>
    <w:p>
      <w:pPr>
        <w:spacing w:after="0" w:line="130" w:lineRule="exact"/>
        <w:rPr>
          <w:sz w:val="20"/>
          <w:szCs w:val="20"/>
          <w:color w:val="auto"/>
        </w:rPr>
      </w:pPr>
    </w:p>
    <w:p>
      <w:pPr>
        <w:ind w:left="960" w:right="40" w:hanging="481"/>
        <w:spacing w:after="0" w:line="264" w:lineRule="auto"/>
        <w:tabs>
          <w:tab w:leader="none" w:pos="940" w:val="left"/>
        </w:tabs>
        <w:rPr>
          <w:sz w:val="20"/>
          <w:szCs w:val="20"/>
          <w:color w:val="auto"/>
        </w:rPr>
      </w:pPr>
      <w:r>
        <w:rPr>
          <w:rFonts w:ascii="Arial" w:cs="Arial" w:eastAsia="Arial" w:hAnsi="Arial"/>
          <w:sz w:val="18"/>
          <w:szCs w:val="18"/>
          <w:color w:val="auto"/>
        </w:rPr>
        <w:t>4.1</w:t>
        <w:tab/>
        <w:t>Rights Agreement, dated as of January 7, 2009, between Orion Energy Systems, Inc. and Wells Fargo Bank, N.A., which includes as Exhibit A thereto the Form of Right Certificate and as Exhibit B thereto the Summary of Common Share Purchase Rights, filed as Exhibit 4.1 to the Registrant’s Form 8-A filed January 8, 2009, is hereby incorporated by reference.</w:t>
      </w:r>
    </w:p>
    <w:p>
      <w:pPr>
        <w:spacing w:after="0" w:line="141" w:lineRule="exact"/>
        <w:rPr>
          <w:sz w:val="20"/>
          <w:szCs w:val="20"/>
          <w:color w:val="auto"/>
        </w:rPr>
      </w:pPr>
    </w:p>
    <w:p>
      <w:pPr>
        <w:ind w:left="960" w:right="180" w:hanging="570"/>
        <w:spacing w:after="0" w:line="277" w:lineRule="auto"/>
        <w:tabs>
          <w:tab w:leader="none" w:pos="940" w:val="left"/>
        </w:tabs>
        <w:rPr>
          <w:sz w:val="20"/>
          <w:szCs w:val="20"/>
          <w:color w:val="auto"/>
        </w:rPr>
      </w:pPr>
      <w:r>
        <w:rPr>
          <w:rFonts w:ascii="Arial" w:cs="Arial" w:eastAsia="Arial" w:hAnsi="Arial"/>
          <w:sz w:val="18"/>
          <w:szCs w:val="18"/>
          <w:color w:val="auto"/>
        </w:rPr>
        <w:t>10.2</w:t>
        <w:tab/>
        <w:t>Orion Energy Systems, Inc. 2003 Stock Option Plan, as amended, filed as Exhibit 10.6 to the Registrant’s Form S-1 filed August 20, 2007, is hereby incorporated by reference.*</w:t>
      </w:r>
    </w:p>
    <w:p>
      <w:pPr>
        <w:spacing w:after="0" w:line="130" w:lineRule="exact"/>
        <w:rPr>
          <w:sz w:val="20"/>
          <w:szCs w:val="20"/>
          <w:color w:val="auto"/>
        </w:rPr>
      </w:pPr>
    </w:p>
    <w:p>
      <w:pPr>
        <w:ind w:left="960" w:right="460" w:hanging="570"/>
        <w:spacing w:after="0" w:line="277" w:lineRule="auto"/>
        <w:tabs>
          <w:tab w:leader="none" w:pos="940" w:val="left"/>
        </w:tabs>
        <w:rPr>
          <w:sz w:val="20"/>
          <w:szCs w:val="20"/>
          <w:color w:val="auto"/>
        </w:rPr>
      </w:pPr>
      <w:r>
        <w:rPr>
          <w:rFonts w:ascii="Arial" w:cs="Arial" w:eastAsia="Arial" w:hAnsi="Arial"/>
          <w:sz w:val="18"/>
          <w:szCs w:val="18"/>
          <w:color w:val="auto"/>
        </w:rPr>
        <w:t>10.3</w:t>
        <w:tab/>
        <w:t>Form of Stock Option Agreement under the Orion Energy Systems, Inc. 2003 Stock Option Plan, filed as Exhibit 10.7 to the Registrant’s Form S-1 filed August 20, 2007, is hereby incorporated by reference.*</w:t>
      </w:r>
    </w:p>
    <w:p>
      <w:pPr>
        <w:spacing w:after="0" w:line="130" w:lineRule="exact"/>
        <w:rPr>
          <w:sz w:val="20"/>
          <w:szCs w:val="20"/>
          <w:color w:val="auto"/>
        </w:rPr>
      </w:pPr>
    </w:p>
    <w:p>
      <w:pPr>
        <w:ind w:left="960" w:right="40" w:hanging="570"/>
        <w:spacing w:after="0" w:line="277" w:lineRule="auto"/>
        <w:tabs>
          <w:tab w:leader="none" w:pos="940" w:val="left"/>
        </w:tabs>
        <w:rPr>
          <w:sz w:val="20"/>
          <w:szCs w:val="20"/>
          <w:color w:val="auto"/>
        </w:rPr>
      </w:pPr>
      <w:r>
        <w:rPr>
          <w:rFonts w:ascii="Arial" w:cs="Arial" w:eastAsia="Arial" w:hAnsi="Arial"/>
          <w:sz w:val="18"/>
          <w:szCs w:val="18"/>
          <w:color w:val="auto"/>
        </w:rPr>
        <w:t>10.4</w:t>
        <w:tab/>
        <w:t>Orion Energy Systems, Inc. 2004 Stock and Incentive Awards Plan, filed as Exhibit 10.9 to the Registrant’s Form S-1 filed August 20, 2007, is hereby incorporated by reference.*</w:t>
      </w:r>
    </w:p>
    <w:p>
      <w:pPr>
        <w:spacing w:after="0" w:line="130" w:lineRule="exact"/>
        <w:rPr>
          <w:sz w:val="20"/>
          <w:szCs w:val="20"/>
          <w:color w:val="auto"/>
        </w:rPr>
      </w:pPr>
    </w:p>
    <w:p>
      <w:pPr>
        <w:ind w:left="960" w:right="80" w:hanging="770"/>
        <w:spacing w:after="0" w:line="277" w:lineRule="auto"/>
        <w:tabs>
          <w:tab w:leader="none" w:pos="940" w:val="left"/>
        </w:tabs>
        <w:rPr>
          <w:sz w:val="20"/>
          <w:szCs w:val="20"/>
          <w:color w:val="auto"/>
        </w:rPr>
      </w:pPr>
      <w:r>
        <w:rPr>
          <w:rFonts w:ascii="Arial" w:cs="Arial" w:eastAsia="Arial" w:hAnsi="Arial"/>
          <w:sz w:val="18"/>
          <w:szCs w:val="18"/>
          <w:color w:val="auto"/>
        </w:rPr>
        <w:t>10.4(a)</w:t>
        <w:tab/>
        <w:t>Amendment to Orion Energy Systems, Inc. 2004 Stock and Incentive Awards Plan, filed September 9, 2011 as Appendix A to the Registrant’s definitive proxy statement is hereby incorporated by reference.*</w:t>
      </w:r>
    </w:p>
    <w:p>
      <w:pPr>
        <w:spacing w:after="0" w:line="130" w:lineRule="exact"/>
        <w:rPr>
          <w:sz w:val="20"/>
          <w:szCs w:val="20"/>
          <w:color w:val="auto"/>
        </w:rPr>
      </w:pPr>
    </w:p>
    <w:p>
      <w:pPr>
        <w:ind w:left="960" w:right="140" w:hanging="570"/>
        <w:spacing w:after="0" w:line="277" w:lineRule="auto"/>
        <w:tabs>
          <w:tab w:leader="none" w:pos="940" w:val="left"/>
        </w:tabs>
        <w:rPr>
          <w:sz w:val="20"/>
          <w:szCs w:val="20"/>
          <w:color w:val="auto"/>
        </w:rPr>
      </w:pPr>
      <w:r>
        <w:rPr>
          <w:rFonts w:ascii="Arial" w:cs="Arial" w:eastAsia="Arial" w:hAnsi="Arial"/>
          <w:sz w:val="18"/>
          <w:szCs w:val="18"/>
          <w:color w:val="auto"/>
        </w:rPr>
        <w:t>10.5</w:t>
        <w:tab/>
        <w:t>Form of Stock Option Agreement under the Orion Energy Systems, Inc. 2004 Equity Incentive Plan, filed as Exhibit 10.10 to the Registrant’s Form S-1 filed August 20, 2007, is hereby incorporated by reference.*</w:t>
      </w:r>
    </w:p>
    <w:p>
      <w:pPr>
        <w:spacing w:after="0" w:line="130" w:lineRule="exact"/>
        <w:rPr>
          <w:sz w:val="20"/>
          <w:szCs w:val="20"/>
          <w:color w:val="auto"/>
        </w:rPr>
      </w:pPr>
    </w:p>
    <w:p>
      <w:pPr>
        <w:ind w:left="960" w:right="260" w:hanging="570"/>
        <w:spacing w:after="0" w:line="277" w:lineRule="auto"/>
        <w:tabs>
          <w:tab w:leader="none" w:pos="940" w:val="left"/>
        </w:tabs>
        <w:rPr>
          <w:sz w:val="20"/>
          <w:szCs w:val="20"/>
          <w:color w:val="auto"/>
        </w:rPr>
      </w:pPr>
      <w:r>
        <w:rPr>
          <w:rFonts w:ascii="Arial" w:cs="Arial" w:eastAsia="Arial" w:hAnsi="Arial"/>
          <w:sz w:val="18"/>
          <w:szCs w:val="18"/>
          <w:color w:val="auto"/>
        </w:rPr>
        <w:t>10.6</w:t>
        <w:tab/>
        <w:t>Form of Stock Option Agreement as of May 14, 2013 under the Orion Energy Systems, Inc. 2004 Stock and Incentive Awards Plan, filed as Exhibit 10.7 to the Registrant’s Form 10-K filed on June 14, 2014, is hereby incorporated by reference.*</w:t>
      </w:r>
    </w:p>
    <w:p>
      <w:pPr>
        <w:spacing w:after="0" w:line="130" w:lineRule="exact"/>
        <w:rPr>
          <w:sz w:val="20"/>
          <w:szCs w:val="20"/>
          <w:color w:val="auto"/>
        </w:rPr>
      </w:pPr>
    </w:p>
    <w:p>
      <w:pPr>
        <w:ind w:left="960" w:right="80" w:hanging="570"/>
        <w:spacing w:after="0" w:line="277" w:lineRule="auto"/>
        <w:tabs>
          <w:tab w:leader="none" w:pos="940" w:val="left"/>
        </w:tabs>
        <w:rPr>
          <w:sz w:val="20"/>
          <w:szCs w:val="20"/>
          <w:color w:val="auto"/>
        </w:rPr>
      </w:pPr>
      <w:r>
        <w:rPr>
          <w:rFonts w:ascii="Arial" w:cs="Arial" w:eastAsia="Arial" w:hAnsi="Arial"/>
          <w:sz w:val="18"/>
          <w:szCs w:val="18"/>
          <w:color w:val="auto"/>
        </w:rPr>
        <w:t>10.7</w:t>
        <w:tab/>
        <w:t>Form of Restricted Stock Award Agreement as of May 14, 2013 under the Orion Energy Systems, Inc. 2004 Stock and Incentive Awards Plan, filed as Exhibit 10.8 to the Registrant’s Form 10-K filed on June 14, 2014, is hereby incorporated by reference.*</w:t>
      </w:r>
    </w:p>
    <w:p>
      <w:pPr>
        <w:spacing w:after="0" w:line="130" w:lineRule="exact"/>
        <w:rPr>
          <w:sz w:val="20"/>
          <w:szCs w:val="20"/>
          <w:color w:val="auto"/>
        </w:rPr>
      </w:pPr>
    </w:p>
    <w:p>
      <w:pPr>
        <w:ind w:left="960" w:right="80" w:hanging="570"/>
        <w:spacing w:after="0" w:line="277" w:lineRule="auto"/>
        <w:tabs>
          <w:tab w:leader="none" w:pos="940" w:val="left"/>
        </w:tabs>
        <w:rPr>
          <w:sz w:val="20"/>
          <w:szCs w:val="20"/>
          <w:color w:val="auto"/>
        </w:rPr>
      </w:pPr>
      <w:r>
        <w:rPr>
          <w:rFonts w:ascii="Arial" w:cs="Arial" w:eastAsia="Arial" w:hAnsi="Arial"/>
          <w:sz w:val="18"/>
          <w:szCs w:val="18"/>
          <w:color w:val="auto"/>
        </w:rPr>
        <w:t>10.8</w:t>
        <w:tab/>
        <w:t>Summary of Non-Employee Director Compensation, filed as Exhibit 10.8 to the Registrant's Form 10-K for the year ended March 31, 2015, is hereby incorporated by reference.*</w:t>
      </w:r>
    </w:p>
    <w:p>
      <w:pPr>
        <w:spacing w:after="0" w:line="130" w:lineRule="exact"/>
        <w:rPr>
          <w:sz w:val="20"/>
          <w:szCs w:val="20"/>
          <w:color w:val="auto"/>
        </w:rPr>
      </w:pPr>
    </w:p>
    <w:p>
      <w:pPr>
        <w:ind w:left="960" w:right="40" w:hanging="570"/>
        <w:spacing w:after="0" w:line="277" w:lineRule="auto"/>
        <w:tabs>
          <w:tab w:leader="none" w:pos="940" w:val="left"/>
        </w:tabs>
        <w:rPr>
          <w:sz w:val="20"/>
          <w:szCs w:val="20"/>
          <w:color w:val="auto"/>
        </w:rPr>
      </w:pPr>
      <w:r>
        <w:rPr>
          <w:rFonts w:ascii="Arial" w:cs="Arial" w:eastAsia="Arial" w:hAnsi="Arial"/>
          <w:sz w:val="18"/>
          <w:szCs w:val="18"/>
          <w:color w:val="auto"/>
        </w:rPr>
        <w:t>10.9</w:t>
        <w:tab/>
        <w:t>Executive Employment and Severance Agreement, dated February 21, 2008, by and between Orion Energy Systems, Inc. and Michael J. Potts, filed as Exhibit 10.2 to the Registrant’s Form 8-K filed February 22, 2008, is hereby incorporated by reference.*</w:t>
      </w:r>
    </w:p>
    <w:p>
      <w:pPr>
        <w:spacing w:after="0" w:line="130" w:lineRule="exact"/>
        <w:rPr>
          <w:sz w:val="20"/>
          <w:szCs w:val="20"/>
          <w:color w:val="auto"/>
        </w:rPr>
      </w:pPr>
    </w:p>
    <w:p>
      <w:pPr>
        <w:ind w:left="960" w:right="180" w:hanging="661"/>
        <w:spacing w:after="0" w:line="308"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Executive Employment and Severance Agreement, dated as of September 27, 2012, by and between Orion Energy Systems, Inc. and John H. Scribante, filed as Exhibit 10.10 to the Registrant's Form 8-K filed September 28, 2012, is hereby incorporated by reference.*</w:t>
      </w:r>
    </w:p>
    <w:p>
      <w:pPr>
        <w:spacing w:after="0" w:line="106" w:lineRule="exact"/>
        <w:rPr>
          <w:sz w:val="20"/>
          <w:szCs w:val="20"/>
          <w:color w:val="auto"/>
        </w:rPr>
      </w:pPr>
    </w:p>
    <w:p>
      <w:pPr>
        <w:ind w:left="960" w:hanging="654"/>
        <w:spacing w:after="0" w:line="277" w:lineRule="auto"/>
        <w:tabs>
          <w:tab w:leader="none" w:pos="940" w:val="left"/>
        </w:tabs>
        <w:rPr>
          <w:sz w:val="20"/>
          <w:szCs w:val="20"/>
          <w:color w:val="auto"/>
        </w:rPr>
      </w:pPr>
      <w:r>
        <w:rPr>
          <w:rFonts w:ascii="Arial" w:cs="Arial" w:eastAsia="Arial" w:hAnsi="Arial"/>
          <w:sz w:val="18"/>
          <w:szCs w:val="18"/>
          <w:color w:val="auto"/>
        </w:rPr>
        <w:t>10.11</w:t>
        <w:tab/>
        <w:t>Executive Employment and Severance Agreement by and between Orion Energy Systems, Inc. and William T. Hull, filed as Exhibit 10.1 to the Registrant’s Form 8-K filed on October 5, 2015, is hereby incorporated by reference.*</w:t>
      </w:r>
    </w:p>
    <w:p>
      <w:pPr>
        <w:spacing w:after="0" w:line="130" w:lineRule="exact"/>
        <w:rPr>
          <w:sz w:val="20"/>
          <w:szCs w:val="20"/>
          <w:color w:val="auto"/>
        </w:rPr>
      </w:pPr>
    </w:p>
    <w:p>
      <w:pPr>
        <w:ind w:left="960" w:right="520" w:hanging="661"/>
        <w:spacing w:after="0" w:line="277" w:lineRule="auto"/>
        <w:tabs>
          <w:tab w:leader="none" w:pos="940" w:val="left"/>
        </w:tabs>
        <w:rPr>
          <w:sz w:val="20"/>
          <w:szCs w:val="20"/>
          <w:color w:val="auto"/>
        </w:rPr>
      </w:pPr>
      <w:r>
        <w:rPr>
          <w:rFonts w:ascii="Arial" w:cs="Arial" w:eastAsia="Arial" w:hAnsi="Arial"/>
          <w:sz w:val="18"/>
          <w:szCs w:val="18"/>
          <w:color w:val="auto"/>
        </w:rPr>
        <w:t>10.12</w:t>
        <w:tab/>
        <w:t>Letter Agreement effective December 1, 2012 between Orion and John H. Scribante, filed as Exhibit 10.15 to Orion's Form 8-K filed on December 6, 2012, is hereby incorporated by reference.*</w:t>
      </w:r>
    </w:p>
    <w:p>
      <w:pPr>
        <w:spacing w:after="0" w:line="130" w:lineRule="exact"/>
        <w:rPr>
          <w:sz w:val="20"/>
          <w:szCs w:val="20"/>
          <w:color w:val="auto"/>
        </w:rPr>
      </w:pPr>
    </w:p>
    <w:p>
      <w:pPr>
        <w:ind w:left="960" w:right="640" w:hanging="661"/>
        <w:spacing w:after="0" w:line="277" w:lineRule="auto"/>
        <w:tabs>
          <w:tab w:leader="none" w:pos="940" w:val="left"/>
        </w:tabs>
        <w:rPr>
          <w:sz w:val="20"/>
          <w:szCs w:val="20"/>
          <w:color w:val="auto"/>
        </w:rPr>
      </w:pPr>
      <w:r>
        <w:rPr>
          <w:rFonts w:ascii="Arial" w:cs="Arial" w:eastAsia="Arial" w:hAnsi="Arial"/>
          <w:sz w:val="18"/>
          <w:szCs w:val="18"/>
          <w:color w:val="auto"/>
        </w:rPr>
        <w:t>10.13</w:t>
        <w:tab/>
        <w:t>Letter Agreement effective December 1, 2012 between Orion and Michael J. Potts, filed as Exhibit 10.16 to Orion's Form 8-K filed on December 6, 2012, is hereby incorporated by reference.*</w:t>
      </w:r>
    </w:p>
    <w:p>
      <w:pPr>
        <w:spacing w:after="0" w:line="130" w:lineRule="exact"/>
        <w:rPr>
          <w:sz w:val="20"/>
          <w:szCs w:val="20"/>
          <w:color w:val="auto"/>
        </w:rPr>
      </w:pPr>
    </w:p>
    <w:p>
      <w:pPr>
        <w:ind w:left="960" w:right="120" w:hanging="661"/>
        <w:spacing w:after="0" w:line="308"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Executive Employment and Severance Agreement, dated as of January 1, 2014, by and between Orion Energy Systems, Inc. and Marc Meade filed as Exhibit 10.1 to the Registrant’s Form 8-K filed on January 6, 2014, is hereby incorporated by reference.*</w:t>
      </w:r>
    </w:p>
    <w:p>
      <w:pPr>
        <w:spacing w:after="0" w:line="106" w:lineRule="exact"/>
        <w:rPr>
          <w:sz w:val="20"/>
          <w:szCs w:val="20"/>
          <w:color w:val="auto"/>
        </w:rPr>
      </w:pPr>
    </w:p>
    <w:p>
      <w:pPr>
        <w:ind w:left="960" w:right="300" w:hanging="661"/>
        <w:spacing w:after="0" w:line="342"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Executive Restricted Stock Award Agreement as of May 14, 2014 under the Orion Energy Systems, Inc. 2004 Stock and Incentive Awards Plan filed as Exhibit 10.17 to the Registrant’s Form 10-K filed on June 13, 2014, is hereby incorporated by reference.*</w:t>
      </w:r>
    </w:p>
    <w:p>
      <w:pPr>
        <w:spacing w:after="0" w:line="83" w:lineRule="exact"/>
        <w:rPr>
          <w:sz w:val="20"/>
          <w:szCs w:val="20"/>
          <w:color w:val="auto"/>
        </w:rPr>
      </w:pPr>
    </w:p>
    <w:p>
      <w:pPr>
        <w:ind w:left="960" w:hanging="661"/>
        <w:spacing w:after="0" w:line="342"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Non-Employee Director Restricted Stock Award Agreement as of May 14, 2014 under the Orion Energy Systems, Inc. 2004 Stock and Incentive Awards Plan filed as Exhibit 10.18 to the Registrant’s Form 10-K filed on June 13, 2014, is hereby incorporated by reference.*</w:t>
      </w:r>
    </w:p>
    <w:p>
      <w:pPr>
        <w:sectPr>
          <w:pgSz w:w="11900" w:h="16838" w:orient="portrait"/>
          <w:cols w:equalWidth="0" w:num="1">
            <w:col w:w="11280"/>
          </w:cols>
          <w:pgMar w:left="240" w:top="125" w:right="379" w:bottom="1440" w:gutter="0" w:footer="0" w:header="0"/>
        </w:sect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80"/>
          </w:cols>
          <w:pgMar w:left="240" w:top="125" w:right="37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60" w:right="280" w:hanging="661"/>
        <w:spacing w:after="0" w:line="342" w:lineRule="auto"/>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Executive Restricted Stock Award Agreement as of May 26, 2015 under the Orion Energy Systems, Inc. 2004 Stock and Incentive Awards Plan , filed as Exhibit 10.18 to the Registrant’s Form 10-K for the year ended March 31, 2015, is hereby incorporated by reference.*</w:t>
      </w:r>
    </w:p>
    <w:p>
      <w:pPr>
        <w:spacing w:after="0" w:line="83" w:lineRule="exact"/>
        <w:rPr>
          <w:sz w:val="20"/>
          <w:szCs w:val="20"/>
          <w:color w:val="auto"/>
        </w:rPr>
      </w:pPr>
    </w:p>
    <w:p>
      <w:pPr>
        <w:ind w:left="960" w:right="60" w:hanging="661"/>
        <w:spacing w:after="0" w:line="264" w:lineRule="auto"/>
        <w:tabs>
          <w:tab w:leader="none" w:pos="940" w:val="left"/>
        </w:tabs>
        <w:rPr>
          <w:sz w:val="20"/>
          <w:szCs w:val="20"/>
          <w:color w:val="auto"/>
        </w:rPr>
      </w:pPr>
      <w:r>
        <w:rPr>
          <w:rFonts w:ascii="Arial" w:cs="Arial" w:eastAsia="Arial" w:hAnsi="Arial"/>
          <w:sz w:val="18"/>
          <w:szCs w:val="18"/>
          <w:color w:val="auto"/>
        </w:rPr>
        <w:t>10.18</w:t>
        <w:tab/>
        <w:t>Form of Executive Tandem Restricted Stock and Cash Award Agreement as of May 26, 2015 under the Orion Energy Systems, Inc. 2004 Stock and Incentive Awards Plan, filed as Exhibit 10.19 to the Registrant’s Form 10-K for the year ended March 31, 2015, is hereby incorporated by reference.*</w:t>
      </w:r>
    </w:p>
    <w:p>
      <w:pPr>
        <w:spacing w:after="0" w:line="141" w:lineRule="exact"/>
        <w:rPr>
          <w:sz w:val="20"/>
          <w:szCs w:val="20"/>
          <w:color w:val="auto"/>
        </w:rPr>
      </w:pPr>
    </w:p>
    <w:p>
      <w:pPr>
        <w:ind w:left="960" w:right="60" w:hanging="661"/>
        <w:spacing w:after="0" w:line="264" w:lineRule="auto"/>
        <w:tabs>
          <w:tab w:leader="none" w:pos="940" w:val="left"/>
        </w:tabs>
        <w:rPr>
          <w:sz w:val="20"/>
          <w:szCs w:val="20"/>
          <w:color w:val="auto"/>
        </w:rPr>
      </w:pPr>
      <w:r>
        <w:rPr>
          <w:rFonts w:ascii="Arial" w:cs="Arial" w:eastAsia="Arial" w:hAnsi="Arial"/>
          <w:sz w:val="18"/>
          <w:szCs w:val="18"/>
          <w:color w:val="auto"/>
        </w:rPr>
        <w:t>10.19</w:t>
        <w:tab/>
        <w:t>Form of Non-Employee Director Restricted Stock Award Agreement as of May 26, 2015 under the Orion Energy Systems, Inc. 2004 Stock and Incentive Awards Plan, filed as Exhibit 10.20 to the Registrant’s Form 10-K for the year ended March 31, 2015, is hereby incorporated by reference.*</w:t>
      </w:r>
    </w:p>
    <w:p>
      <w:pPr>
        <w:spacing w:after="0" w:line="141" w:lineRule="exact"/>
        <w:rPr>
          <w:sz w:val="20"/>
          <w:szCs w:val="20"/>
          <w:color w:val="auto"/>
        </w:rPr>
      </w:pPr>
    </w:p>
    <w:p>
      <w:pPr>
        <w:jc w:val="both"/>
        <w:ind w:left="960" w:right="160" w:hanging="661"/>
        <w:spacing w:after="0" w:line="264" w:lineRule="auto"/>
        <w:tabs>
          <w:tab w:leader="none" w:pos="940" w:val="left"/>
        </w:tabs>
        <w:rPr>
          <w:sz w:val="20"/>
          <w:szCs w:val="20"/>
          <w:color w:val="auto"/>
        </w:rPr>
      </w:pPr>
      <w:r>
        <w:rPr>
          <w:rFonts w:ascii="Arial" w:cs="Arial" w:eastAsia="Arial" w:hAnsi="Arial"/>
          <w:sz w:val="18"/>
          <w:szCs w:val="18"/>
          <w:color w:val="auto"/>
        </w:rPr>
        <w:t>10.20</w:t>
        <w:tab/>
        <w:t>Form of Non-Employee Director Tandem Restricted Stock and Cash Award Agreement as of May 26, 2015 under the Orion Energy Systems, Inc. 2004 Stock and Incentive Awards Plan, filed as Exhibit 10.21 to the Registrant’s Form 10-K for the year ended March 31, 2015, is hereby incorporated by reference.*</w:t>
      </w:r>
    </w:p>
    <w:p>
      <w:pPr>
        <w:spacing w:after="0" w:line="141"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Orion Energy Systems, Inc.+</w:t>
      </w:r>
    </w:p>
    <w:p>
      <w:pPr>
        <w:spacing w:after="0" w:line="185"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w:t>
      </w:r>
    </w:p>
    <w:p>
      <w:pPr>
        <w:spacing w:after="0" w:line="185" w:lineRule="exact"/>
        <w:rPr>
          <w:sz w:val="20"/>
          <w:szCs w:val="20"/>
          <w:color w:val="auto"/>
        </w:rPr>
      </w:pPr>
    </w:p>
    <w:p>
      <w:pPr>
        <w:ind w:left="960" w:right="300" w:hanging="570"/>
        <w:spacing w:after="0" w:line="277" w:lineRule="auto"/>
        <w:tabs>
          <w:tab w:leader="none" w:pos="940" w:val="left"/>
        </w:tabs>
        <w:rPr>
          <w:sz w:val="20"/>
          <w:szCs w:val="20"/>
          <w:color w:val="auto"/>
        </w:rPr>
      </w:pPr>
      <w:r>
        <w:rPr>
          <w:rFonts w:ascii="Arial" w:cs="Arial" w:eastAsia="Arial" w:hAnsi="Arial"/>
          <w:sz w:val="18"/>
          <w:szCs w:val="18"/>
          <w:color w:val="auto"/>
        </w:rPr>
        <w:t>31.1</w:t>
        <w:tab/>
        <w:t>Certification of Chief Executive Officer of Orion Energy Systems, Inc. pursuant to Rule 13a-14(a) or Rule 15d-14(a) promulgated under the Securities Exchange Act of 1934, as amended. +</w:t>
      </w:r>
    </w:p>
    <w:p>
      <w:pPr>
        <w:spacing w:after="0" w:line="130" w:lineRule="exact"/>
        <w:rPr>
          <w:sz w:val="20"/>
          <w:szCs w:val="20"/>
          <w:color w:val="auto"/>
        </w:rPr>
      </w:pPr>
    </w:p>
    <w:p>
      <w:pPr>
        <w:ind w:left="960" w:right="340" w:hanging="570"/>
        <w:spacing w:after="0" w:line="277" w:lineRule="auto"/>
        <w:tabs>
          <w:tab w:leader="none" w:pos="940" w:val="left"/>
        </w:tabs>
        <w:rPr>
          <w:sz w:val="20"/>
          <w:szCs w:val="20"/>
          <w:color w:val="auto"/>
        </w:rPr>
      </w:pPr>
      <w:r>
        <w:rPr>
          <w:rFonts w:ascii="Arial" w:cs="Arial" w:eastAsia="Arial" w:hAnsi="Arial"/>
          <w:sz w:val="18"/>
          <w:szCs w:val="18"/>
          <w:color w:val="auto"/>
        </w:rPr>
        <w:t>31.2</w:t>
        <w:tab/>
        <w:t>Certification of Chief Financial Officer of Orion Energy Systems, Inc. pursuant to Rule 13a-14(a) or Rule 15d-14(a) promulgated under the Securities Exchange Act of 1934, as amended. +</w:t>
      </w:r>
    </w:p>
    <w:p>
      <w:pPr>
        <w:spacing w:after="0" w:line="130" w:lineRule="exact"/>
        <w:rPr>
          <w:sz w:val="20"/>
          <w:szCs w:val="20"/>
          <w:color w:val="auto"/>
        </w:rPr>
      </w:pPr>
    </w:p>
    <w:p>
      <w:pPr>
        <w:ind w:left="960" w:hanging="570"/>
        <w:spacing w:after="0" w:line="264" w:lineRule="auto"/>
        <w:tabs>
          <w:tab w:leader="none" w:pos="940" w:val="left"/>
        </w:tabs>
        <w:rPr>
          <w:sz w:val="20"/>
          <w:szCs w:val="20"/>
          <w:color w:val="auto"/>
        </w:rPr>
      </w:pPr>
      <w:r>
        <w:rPr>
          <w:rFonts w:ascii="Arial" w:cs="Arial" w:eastAsia="Arial" w:hAnsi="Arial"/>
          <w:sz w:val="18"/>
          <w:szCs w:val="18"/>
          <w:color w:val="auto"/>
        </w:rPr>
        <w:t>32.1</w:t>
        <w:tab/>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141" w:lineRule="exact"/>
        <w:rPr>
          <w:sz w:val="20"/>
          <w:szCs w:val="20"/>
          <w:color w:val="auto"/>
        </w:rPr>
      </w:pPr>
    </w:p>
    <w:p>
      <w:pPr>
        <w:ind w:left="960" w:hanging="533"/>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101.INS XBRL Instance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101.SCH Taxonomy extension schema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101.CAL Taxonomy extension calculation linkbase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101.LAB Taxonomy extension label linkbase document</w:t>
      </w:r>
    </w:p>
    <w:p>
      <w:pPr>
        <w:spacing w:after="0" w:line="18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101.PRE Taxonomy extension presentation linkbase document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 by Orion Energy Systems, Inc. are filed with the Securities and Exchange Commission under File No. 001-33887.</w:t>
      </w:r>
    </w:p>
    <w:p>
      <w:pPr>
        <w:spacing w:after="0" w:line="221" w:lineRule="exact"/>
        <w:rPr>
          <w:sz w:val="20"/>
          <w:szCs w:val="20"/>
          <w:color w:val="auto"/>
        </w:rPr>
      </w:pPr>
    </w:p>
    <w:p>
      <w:pPr>
        <w:ind w:left="720" w:hanging="685"/>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125" w:right="3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June 23, 2016.</w:t>
      </w:r>
    </w:p>
    <w:p>
      <w:pPr>
        <w:spacing w:after="0" w:line="33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ORION ENERGY SYSTEMS, INC.</w:t>
      </w:r>
    </w:p>
    <w:p>
      <w:pPr>
        <w:spacing w:after="0" w:line="63" w:lineRule="exact"/>
        <w:rPr>
          <w:sz w:val="20"/>
          <w:szCs w:val="20"/>
          <w:color w:val="auto"/>
        </w:rPr>
      </w:pPr>
    </w:p>
    <w:p>
      <w:pPr>
        <w:ind w:left="690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31750</wp:posOffset>
            </wp:positionV>
            <wp:extent cx="23412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John H. Scribante</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on June 23, 2016.</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H. Scribante</w:t>
      </w:r>
    </w:p>
    <w:p>
      <w:pPr>
        <w:spacing w:after="0" w:line="18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T. Hull</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/s/ James R. Kackley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R. Kackley</w:t>
      </w:r>
    </w:p>
    <w:p>
      <w:pPr>
        <w:spacing w:after="0" w:line="185" w:lineRule="exact"/>
        <w:rPr>
          <w:sz w:val="20"/>
          <w:szCs w:val="20"/>
          <w:color w:val="auto"/>
        </w:rPr>
      </w:pPr>
    </w:p>
    <w:p>
      <w:pPr>
        <w:jc w:val="right"/>
        <w:ind w:right="170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W. Altschaefl</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3319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 (Principal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185" w:lineRule="exact"/>
        <w:rPr>
          <w:sz w:val="20"/>
          <w:szCs w:val="20"/>
          <w:color w:val="auto"/>
        </w:rPr>
      </w:pPr>
    </w:p>
    <w:p>
      <w:pPr>
        <w:ind w:right="1320"/>
        <w:spacing w:after="0" w:line="356" w:lineRule="auto"/>
        <w:rPr>
          <w:sz w:val="20"/>
          <w:szCs w:val="20"/>
          <w:color w:val="auto"/>
        </w:rPr>
      </w:pPr>
      <w:r>
        <w:rPr>
          <w:rFonts w:ascii="Arial" w:cs="Arial" w:eastAsia="Arial" w:hAnsi="Arial"/>
          <w:sz w:val="18"/>
          <w:szCs w:val="18"/>
          <w:color w:val="auto"/>
        </w:rPr>
        <w:t>Chief Financial Officer, Chief Accounting Officer and Treasurer (Principal Financial Officer)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68" w:lineRule="exact"/>
        <w:rPr>
          <w:sz w:val="20"/>
          <w:szCs w:val="20"/>
          <w:color w:val="auto"/>
        </w:rPr>
      </w:pPr>
    </w:p>
    <w:p>
      <w:pPr>
        <w:sectPr>
          <w:pgSz w:w="11900" w:h="16838" w:orient="portrait"/>
          <w:cols w:equalWidth="0" w:num="2">
            <w:col w:w="5480" w:space="720"/>
            <w:col w:w="52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00" w:type="dxa"/>
            <w:vAlign w:val="bottom"/>
          </w:tcPr>
          <w:p>
            <w:pPr>
              <w:jc w:val="center"/>
              <w:spacing w:after="0"/>
              <w:rPr>
                <w:sz w:val="20"/>
                <w:szCs w:val="20"/>
                <w:color w:val="auto"/>
              </w:rPr>
            </w:pPr>
            <w:r>
              <w:rPr>
                <w:rFonts w:ascii="Arial" w:cs="Arial" w:eastAsia="Arial" w:hAnsi="Arial"/>
                <w:sz w:val="18"/>
                <w:szCs w:val="18"/>
                <w:color w:val="auto"/>
                <w:w w:val="89"/>
              </w:rPr>
              <w:t>/s/ Kenneth L. Goodson, Jr.</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Kenneth L. Goodson, Jr.</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89"/>
              </w:rPr>
              <w:t>/s/ Tryg C. Jacobson</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Tryg C. Jacobson</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89"/>
              </w:rPr>
              <w:t>/s/ James D. Leslie</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James D. Leslie</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0"/>
              </w:rPr>
              <w:t>/s/ Michael J. Potts</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Michael J. Potts</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1"/>
              </w:rPr>
              <w:t>/s/ Elizabeth Gamsky Rich</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Elizabeth Gamsky Rich</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0"/>
              </w:rPr>
              <w:t>/s/ Thomas N. Schueller</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Thomas N. Schueller</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3"/>
              </w:rPr>
              <w:t>/s/ Mark C. Williamson</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Mark C. Williamson</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Arial" w:cs="Arial" w:eastAsia="Arial" w:hAnsi="Arial"/>
                <w:sz w:val="18"/>
                <w:szCs w:val="18"/>
                <w:color w:val="auto"/>
                <w:w w:val="92"/>
              </w:rPr>
              <w:t>/s/ Anthony L. Otten</w:t>
            </w:r>
          </w:p>
        </w:tc>
        <w:tc>
          <w:tcPr>
            <w:tcW w:w="1100" w:type="dxa"/>
            <w:vAlign w:val="bottom"/>
          </w:tcPr>
          <w:p>
            <w:pPr>
              <w:ind w:left="500"/>
              <w:spacing w:after="0"/>
              <w:rPr>
                <w:sz w:val="20"/>
                <w:szCs w:val="20"/>
                <w:color w:val="auto"/>
              </w:rPr>
            </w:pPr>
            <w:r>
              <w:rPr>
                <w:rFonts w:ascii="Arial" w:cs="Arial" w:eastAsia="Arial" w:hAnsi="Arial"/>
                <w:sz w:val="18"/>
                <w:szCs w:val="18"/>
                <w:color w:val="auto"/>
                <w:w w:val="91"/>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Anthony L. Otten</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340" w:type="dxa"/>
            <w:vAlign w:val="bottom"/>
            <w:gridSpan w:val="3"/>
          </w:tcPr>
          <w:p>
            <w:pPr>
              <w:ind w:left="1160"/>
              <w:spacing w:after="0"/>
              <w:rPr>
                <w:sz w:val="20"/>
                <w:szCs w:val="20"/>
                <w:color w:val="auto"/>
              </w:rPr>
            </w:pPr>
            <w:r>
              <w:rPr>
                <w:rFonts w:ascii="Arial" w:cs="Arial" w:eastAsia="Arial" w:hAnsi="Arial"/>
                <w:sz w:val="18"/>
                <w:szCs w:val="18"/>
                <w:b w:val="1"/>
                <w:bCs w:val="1"/>
                <w:color w:val="auto"/>
              </w:rPr>
              <w:t>Subsidiaries</w:t>
            </w:r>
          </w:p>
        </w:tc>
      </w:tr>
      <w:tr>
        <w:trPr>
          <w:trHeight w:val="500"/>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Entity</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7"/>
        </w:trPr>
        <w:tc>
          <w:tcPr>
            <w:tcW w:w="4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Great Lakes Energy Technologies, LLC</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Clean Energy Solutions,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Orion Asset Management,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Wisconsin</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Orion LED Canada, Inc.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British Columbia, Canada</w:t>
            </w:r>
          </w:p>
        </w:tc>
      </w:tr>
    </w:tbl>
    <w:p>
      <w:pPr>
        <w:sectPr>
          <w:pgSz w:w="11900" w:h="16838" w:orient="portrait"/>
          <w:cols w:equalWidth="0" w:num="1">
            <w:col w:w="11420"/>
          </w:cols>
          <w:pgMar w:left="240" w:top="36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Manitowoc, Wisconsin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Forms S-8 and S-3 (No. 333-169611, 333-148401, 333-176176 and 333-193411) of Orion Energy Systems, Inc. of our reports dated June 23, 2016, relating to the consolidated financial statements and financial statement schedule, and the effectiveness of Orion Energy Systems, Inc.’s internal control over financial reporting, which appears in the Annual Report to Shareholders, which is incorporated by reference in this Annual Report on Form 10-K.</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Milwaukee, Wisconsin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23, 2016</w:t>
      </w:r>
    </w:p>
    <w:p>
      <w:pPr>
        <w:sectPr>
          <w:pgSz w:w="11900" w:h="16838" w:orient="portrait"/>
          <w:cols w:equalWidth="0" w:num="1">
            <w:col w:w="11420"/>
          </w:cols>
          <w:pgMar w:left="240" w:top="36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15d-14(a) under 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 Chief Accounting Officer and Treasurer</w:t>
      </w:r>
    </w:p>
    <w:p>
      <w:pPr>
        <w:sectPr>
          <w:pgSz w:w="11900" w:h="16838" w:orient="portrait"/>
          <w:cols w:equalWidth="0" w:num="1">
            <w:col w:w="11420"/>
          </w:cols>
          <w:pgMar w:left="240" w:top="20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2016,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 and Treasurer</w:t>
      </w:r>
    </w:p>
    <w:p>
      <w:pPr>
        <w:spacing w:after="0" w:line="360"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June 23, 2016</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2"/>
    </w:lvl>
  </w:abstractNum>
  <w:abstractNum w:abstractNumId="10">
    <w:nsid w:val="3F2DBA31"/>
    <w:multiLevelType w:val="hybridMultilevel"/>
    <w:lvl w:ilvl="0">
      <w:lvlJc w:val="left"/>
      <w:lvlText w:val="(%1)"/>
      <w:numFmt w:val="lowerRoman"/>
      <w:start w:val="5"/>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0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2019-12-29T11:13:46Z</dcterms:created>
  <dcterms:modified xsi:type="dcterms:W3CDTF">2019-12-29T11:13:46Z</dcterms:modified>
</cp:coreProperties>
</file>