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001-33887</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Orion Energy Systems,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020" w:type="dxa"/>
            <w:vAlign w:val="bottom"/>
            <w:gridSpan w:val="2"/>
          </w:tcPr>
          <w:p>
            <w:pPr>
              <w:jc w:val="right"/>
              <w:ind w:right="18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02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54220</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5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02"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“accelerated filer,” “large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180" w:space="440"/>
            <w:col w:w="1420" w:space="360"/>
            <w:col w:w="3340" w:space="200"/>
            <w:col w:w="2279"/>
          </w:cols>
          <w:pgMar w:left="240" w:top="122" w:right="1440" w:bottom="1440" w:gutter="0" w:footer="0" w:header="0"/>
          <w:type w:val="continuous"/>
        </w:sectPr>
      </w:pPr>
    </w:p>
    <w:p>
      <w:pPr>
        <w:ind w:left="340" w:right="73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22,984,286 shares of the Registrant’s common stock outstanding on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w w:val="90"/>
              </w:rPr>
              <w:t>Orion Energy Systems, Inc.</w:t>
            </w:r>
          </w:p>
        </w:tc>
        <w:tc>
          <w:tcPr>
            <w:tcW w:w="98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4"/>
              </w:rPr>
              <w:t>Quarterly Report On Form 10-Q</w:t>
            </w:r>
          </w:p>
        </w:tc>
        <w:tc>
          <w:tcPr>
            <w:tcW w:w="98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w w:val="91"/>
              </w:rPr>
              <w:t>For The Quarter Ended June 30, 2011</w:t>
            </w:r>
          </w:p>
        </w:tc>
        <w:tc>
          <w:tcPr>
            <w:tcW w:w="98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w w:val="90"/>
              </w:rPr>
              <w:t>Table Of Contents</w:t>
            </w:r>
          </w:p>
        </w:tc>
        <w:tc>
          <w:tcPr>
            <w:tcW w:w="9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Page(s)</w:t>
            </w:r>
          </w:p>
        </w:tc>
      </w:tr>
      <w:tr>
        <w:trPr>
          <w:trHeight w:val="385"/>
        </w:trPr>
        <w:tc>
          <w:tcPr>
            <w:tcW w:w="302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2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3260" w:type="dxa"/>
            <w:vAlign w:val="bottom"/>
            <w:tcBorders>
              <w:bottom w:val="single" w:sz="8" w:color="0000EE"/>
            </w:tcBorders>
            <w:gridSpan w:val="11"/>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 (unaudited)</w:t>
              </w:r>
            </w:hyperlink>
          </w:p>
        </w:tc>
        <w:tc>
          <w:tcPr>
            <w:tcW w:w="538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2011 and June 30, 2011</w:t>
              </w:r>
            </w:hyperlink>
          </w:p>
        </w:tc>
        <w:tc>
          <w:tcPr>
            <w:tcW w:w="258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June 30, 2010 and 2011</w:t>
              </w:r>
            </w:hyperlink>
          </w:p>
        </w:tc>
        <w:tc>
          <w:tcPr>
            <w:tcW w:w="94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40" w:type="dxa"/>
            <w:vAlign w:val="bottom"/>
            <w:gridSpan w:val="1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Three Months Ended June 30, 2010 and 2011</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3280" w:type="dxa"/>
            <w:vAlign w:val="bottom"/>
            <w:tcBorders>
              <w:top w:val="single" w:sz="8" w:color="0000EE"/>
            </w:tcBorders>
            <w:gridSpan w:val="5"/>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54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ITEM 2. Management’s Discussion and Analysis of Financial Condition and Results of Operations</w:t>
              </w:r>
            </w:hyperlink>
          </w:p>
        </w:tc>
        <w:tc>
          <w:tcPr>
            <w:tcW w:w="110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8640" w:type="dxa"/>
            <w:vAlign w:val="bottom"/>
            <w:gridSpan w:val="1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 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32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4. Controls and Procedures</w:t>
              </w:r>
            </w:hyperlink>
          </w:p>
        </w:tc>
        <w:tc>
          <w:tcPr>
            <w:tcW w:w="33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592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8640" w:type="dxa"/>
            <w:vAlign w:val="bottom"/>
            <w:gridSpan w:val="1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1A. Risk Factors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640" w:type="dxa"/>
            <w:vAlign w:val="bottom"/>
            <w:gridSpan w:val="1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5. Other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13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5"/>
              </w:rPr>
            </w:pPr>
            <w:hyperlink w:anchor="page33">
              <w:r>
                <w:rPr>
                  <w:rFonts w:ascii="Arial" w:cs="Arial" w:eastAsia="Arial" w:hAnsi="Arial"/>
                  <w:sz w:val="18"/>
                  <w:szCs w:val="18"/>
                  <w:b w:val="1"/>
                  <w:bCs w:val="1"/>
                  <w:color w:val="0000EE"/>
                  <w:w w:val="95"/>
                </w:rPr>
                <w:t>ITEM 6. Exhibits</w:t>
              </w:r>
            </w:hyperlink>
          </w:p>
        </w:tc>
        <w:tc>
          <w:tcPr>
            <w:tcW w:w="800" w:type="dxa"/>
            <w:vAlign w:val="bottom"/>
            <w:tcBorders>
              <w:top w:val="single" w:sz="8" w:color="0000EE"/>
            </w:tcBorders>
            <w:gridSpan w:val="2"/>
          </w:tcPr>
          <w:p>
            <w:pPr>
              <w:spacing w:after="0"/>
              <w:rPr>
                <w:sz w:val="24"/>
                <w:szCs w:val="24"/>
                <w:color w:val="auto"/>
              </w:rPr>
            </w:pPr>
          </w:p>
        </w:tc>
        <w:tc>
          <w:tcPr>
            <w:tcW w:w="650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640" w:type="dxa"/>
            <w:vAlign w:val="bottom"/>
            <w:gridSpan w:val="1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Exhibit 31.1</w:t>
            </w:r>
          </w:p>
        </w:tc>
        <w:tc>
          <w:tcPr>
            <w:tcW w:w="7500" w:type="dxa"/>
            <w:vAlign w:val="bottom"/>
            <w:gridSpan w:val="14"/>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left="560" w:right="216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BALANCE SHEETS (in thousands, except share and per share amounts)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1"/>
              </w:rPr>
              <w:t>March 31,</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11,560</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12,557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Accounts receivable, net of allowances of $436 and $491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27,618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29,920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79,048</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30,017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123,128</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12,479</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16,553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30,335</w:t>
            </w:r>
          </w:p>
        </w:tc>
        <w:tc>
          <w:tcPr>
            <w:tcW w:w="100" w:type="dxa"/>
            <w:vAlign w:val="bottom"/>
          </w:tcPr>
          <w:p>
            <w:pPr>
              <w:spacing w:after="0"/>
              <w:rPr>
                <w:sz w:val="20"/>
                <w:szCs w:val="20"/>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stock, $0.01 par value: Shares authorized: 30,000,000 shares at March 31, 2011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2011; no shares issued and outstanding at March 31, 2011 and June 30, 2011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color w:val="auto"/>
                <w:w w:val="96"/>
              </w:rPr>
              <w:t>Common stock, no par value: Shares authorized: 200,000,000 at March 31, 2011 and June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w w:val="93"/>
              </w:rPr>
              <w:t>2011; shares issued: 30,312,758 and 30,393,053 at March 31, 2011 and June 30, 2011;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outstanding: 22,893,803 and 22,983,886 at March 31, 2011 and June 30, 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w w:val="95"/>
              </w:rPr>
              <w:t>Treasury stock: 7,431,897 and 7,409,167 common shares at March 31, 2011 and June 30, 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(31,708)</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(31,671)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Shareholder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Retained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r>
      <w:tr>
        <w:trPr>
          <w:trHeight w:val="27"/>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92,793</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123,128</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8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tcPr>
          <w:p>
            <w:pPr>
              <w:jc w:val="center"/>
              <w:ind w:left="13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21,679</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16,977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22,774</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15,004</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30"/>
        </w:trPr>
        <w:tc>
          <w:tcPr>
            <w:tcW w:w="3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11,224</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30"/>
        </w:trPr>
        <w:tc>
          <w:tcPr>
            <w:tcW w:w="3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Dividend and interest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23"/>
        </w:trPr>
        <w:tc>
          <w:tcPr>
            <w:tcW w:w="3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loss per share attributable to common shareholders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22,523,107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22,921,436</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share attributable to common shareholders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30"/>
        </w:trPr>
        <w:tc>
          <w:tcPr>
            <w:tcW w:w="34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Weighted-average common shares and share equivalents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22,523,107</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22,921,436</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5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8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UNAUDITED CONDENSED 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tcPr>
          <w:p>
            <w:pPr>
              <w:jc w:val="center"/>
              <w:ind w:left="139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June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Deferred income tax benefit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 in allowance for notes and accounts receivable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Accounts receivable, current and long-term</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3,143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(4,312)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(3,215)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 held under operating leases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asset sales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Additions to patents and licenses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 term investments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Payment of long-term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Proceeds from repayment of shareholders notes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23,364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Shares surrendered into treasury from stock option exercise</w:t>
            </w: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from treasury for stock note receivable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7540" w:type="dxa"/>
            <w:vAlign w:val="bottom"/>
            <w:gridSpan w:val="3"/>
          </w:tcPr>
          <w:p>
            <w:pPr>
              <w:jc w:val="center"/>
              <w:ind w:left="275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DESCRIPTION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54"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In August 2009, the Company created Orion Engineered Systems, a new operating division offering additional alternative renewable energy systems. During the quarter ended December 31, 2010, the new division exceeded the thresholds for segment reporting and, accordingly, the Company introduced the presentation of operating segments in that quarter. See Note I “Segment Reporting” of these financial statements for further discussion of our reportable segments.</w:t>
      </w:r>
    </w:p>
    <w:p>
      <w:pPr>
        <w:spacing w:after="0" w:line="13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Company’s corporate offices and manufacturing operations are located in Manitowoc, Wisconsin and an operations facility occupied by Orion Engineered Systems is located in Plymouth, Wisconsin.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Company’s consolidated financial statements include the accounts of Orion Energy Systems, Inc. and its wholly-owned subsidiaries. All significant intercompany transactions and balances have been eliminated in consolidation.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Where appropriate, certain reclassifications have been made to prior years’ financial statements to conform to the current year presentation.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2012 or other interim periods.</w:t>
      </w:r>
    </w:p>
    <w:p>
      <w:pPr>
        <w:spacing w:after="0" w:line="151"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The condensed consolidated balance sheet at March 31, 2011 has been derived from the audited consolidated financial statements at that date but does not include all of the information required by GAAP for complete financial statements.</w:t>
      </w:r>
    </w:p>
    <w:p>
      <w:pPr>
        <w:spacing w:after="0" w:line="10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2011 filed with the Securities and Exchange Commission on July 22, 2011.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amortized cost and fair value of short-term investments, with gross unrealized gains and losses, as of March 31, 2011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2011 were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March 31, 2011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r>
      <w:tr>
        <w:trPr>
          <w:trHeight w:val="27"/>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June 30, 2011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r>
      <w:tr>
        <w:trPr>
          <w:trHeight w:val="27"/>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As of March 31, 2011 and June 30, 2011, the Company’s financial assets described in the table above were measured at fair value on a recurring basis employing quoted prices in active markets for identical assets (level 1 inputs).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certificate of deposit is pledged as security for an equipment lease.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carrying amounts of the Company’s financial instruments, which include cash and cash equivalents,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from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198"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The Company considers its lease balances included in consolidated current and long-term accounts receivable from its Orion Throughput Agreement, or OTA, sales-type leases to be financing receivables. Additional disclosures on the credit quality of the Company’s sold OTA sales-type leases and lease balances included in accounts receivable are as follows: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Aging Analysis as of June 30, 2011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Greater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Not Past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1-90 days</w:t>
            </w:r>
          </w:p>
        </w:tc>
        <w:tc>
          <w:tcPr>
            <w:tcW w:w="1680" w:type="dxa"/>
            <w:vAlign w:val="bottom"/>
            <w:gridSpan w:val="4"/>
          </w:tcPr>
          <w:p>
            <w:pPr>
              <w:ind w:left="360"/>
              <w:spacing w:after="0"/>
              <w:rPr>
                <w:sz w:val="20"/>
                <w:szCs w:val="20"/>
                <w:color w:val="auto"/>
              </w:rPr>
            </w:pPr>
            <w:r>
              <w:rPr>
                <w:rFonts w:ascii="Arial" w:cs="Arial" w:eastAsia="Arial" w:hAnsi="Arial"/>
                <w:sz w:val="18"/>
                <w:szCs w:val="18"/>
                <w:b w:val="1"/>
                <w:bCs w:val="1"/>
                <w:color w:val="auto"/>
              </w:rPr>
              <w:t>than 90 days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Total sales-type</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past due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9"/>
              </w:rPr>
              <w:t>past due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Total past due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leases</w:t>
            </w:r>
          </w:p>
        </w:tc>
      </w:tr>
      <w:tr>
        <w:trPr>
          <w:trHeight w:val="210"/>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 balances included in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consolidated accounts receivable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current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Lease balances included in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w w:val="98"/>
              </w:rPr>
              <w:t>consolidated accounts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 long-term</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5,534</w:t>
            </w: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sales-type leases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7,438</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sales-type leases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7,436</w:t>
            </w: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credit losses</w:t>
      </w:r>
    </w:p>
    <w:p>
      <w:pPr>
        <w:spacing w:after="0" w:line="19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did not incur any provision write-offs or credit losses against its OTA sales-type lease receivable balances in either fiscal 2011 or for the quarter ended June 30, 2011.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2011 and June 30, 2011, the Company had inventory obsolescence reserves of $811,000 and $811,000.</w:t>
      </w:r>
    </w:p>
    <w:p>
      <w:pPr>
        <w:spacing w:after="0" w:line="15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Inventories were comprised of the following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12,343</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18,859</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32,174</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Prepaid expenses and other current assets consist primarily of deferred costs related to in-process OTA projects, prepaid insurance premiums, prepaid license fees, purchase deposits, advance payments to contractors, advance commission payments and miscellaneous receivables.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300" w:type="dxa"/>
            <w:vAlign w:val="bottom"/>
          </w:tcPr>
          <w:p>
            <w:pPr>
              <w:ind w:left="38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1"/>
              </w:rPr>
              <w:t>March 31,</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15,161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r>
      <w:tr>
        <w:trPr>
          <w:trHeight w:val="223"/>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41,225</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(10,226)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(11,099)</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30,126</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3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10 — 15 years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Buildings</w:t>
            </w:r>
          </w:p>
        </w:tc>
        <w:tc>
          <w:tcPr>
            <w:tcW w:w="5380" w:type="dxa"/>
            <w:vAlign w:val="bottom"/>
          </w:tcPr>
          <w:p>
            <w:pPr>
              <w:ind w:left="1480"/>
              <w:spacing w:after="0"/>
              <w:rPr>
                <w:sz w:val="20"/>
                <w:szCs w:val="20"/>
                <w:color w:val="auto"/>
              </w:rPr>
            </w:pPr>
            <w:r>
              <w:rPr>
                <w:rFonts w:ascii="Arial" w:cs="Arial" w:eastAsia="Arial" w:hAnsi="Arial"/>
                <w:sz w:val="18"/>
                <w:szCs w:val="18"/>
                <w:color w:val="auto"/>
              </w:rPr>
              <w:t>10 — 39 years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3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Shorter of asset life or life of lease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5380" w:type="dxa"/>
            <w:vAlign w:val="bottom"/>
          </w:tcPr>
          <w:p>
            <w:pPr>
              <w:ind w:left="1480"/>
              <w:spacing w:after="0"/>
              <w:rPr>
                <w:sz w:val="20"/>
                <w:szCs w:val="20"/>
                <w:color w:val="auto"/>
              </w:rPr>
            </w:pPr>
            <w:r>
              <w:rPr>
                <w:rFonts w:ascii="Arial" w:cs="Arial" w:eastAsia="Arial" w:hAnsi="Arial"/>
                <w:sz w:val="18"/>
                <w:szCs w:val="18"/>
                <w:color w:val="auto"/>
              </w:rPr>
              <w:t>2 — 10 years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Plant equipment</w:t>
            </w:r>
          </w:p>
        </w:tc>
        <w:tc>
          <w:tcPr>
            <w:tcW w:w="53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3 — 10 years</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98" w:lineRule="exact"/>
        <w:rPr>
          <w:sz w:val="20"/>
          <w:szCs w:val="20"/>
          <w:color w:val="auto"/>
        </w:rPr>
      </w:pPr>
    </w:p>
    <w:p>
      <w:pPr>
        <w:ind w:left="340" w:right="499" w:firstLine="389"/>
        <w:spacing w:after="0" w:line="454" w:lineRule="auto"/>
        <w:rPr>
          <w:sz w:val="20"/>
          <w:szCs w:val="20"/>
          <w:color w:val="auto"/>
        </w:rPr>
      </w:pPr>
      <w:r>
        <w:rPr>
          <w:rFonts w:ascii="Arial" w:cs="Arial" w:eastAsia="Arial" w:hAnsi="Arial"/>
          <w:sz w:val="18"/>
          <w:szCs w:val="18"/>
          <w:color w:val="auto"/>
        </w:rPr>
        <w:t xml:space="preserve">Patents and licenses are amortized over their estimated useful life, ranging from 7 to 17 years, using the straight line method. </w:t>
      </w:r>
      <w:r>
        <w:rPr>
          <w:rFonts w:ascii="Arial" w:cs="Arial" w:eastAsia="Arial" w:hAnsi="Arial"/>
          <w:sz w:val="18"/>
          <w:szCs w:val="18"/>
          <w:b w:val="1"/>
          <w:bCs w:val="1"/>
          <w:i w:val="1"/>
          <w:iCs w:val="1"/>
          <w:color w:val="auto"/>
        </w:rPr>
        <w:t>Long-Term Receivables</w:t>
      </w: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 Long-term receivables from OTA contracts were $5.5 million as of June 30, 2011.</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at 11%. As of June 30, 2011, the following amounts were due from the third party finance company in future periods (in thousands):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2016</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7"/>
        </w:trPr>
        <w:tc>
          <w:tcPr>
            <w:tcW w:w="8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gross long-term receivable</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r>
      <w:tr>
        <w:trPr>
          <w:trHeight w:val="27"/>
        </w:trPr>
        <w:tc>
          <w:tcPr>
            <w:tcW w:w="8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long-term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r>
      <w:tr>
        <w:trPr>
          <w:trHeight w:val="20"/>
        </w:trPr>
        <w:tc>
          <w:tcPr>
            <w:tcW w:w="8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Other long-term assets include long-term security deposits, prepaid licensing costs and deferred financing costs. Other long-term assets include $55,000 and $61,000 of deferred financing costs as of March 31, 2011 and June 30, 2011. Deferred financing costs related to debt issuances are amortized to interest expense over the life of the related debt issue (2 to 15 years).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98"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Accrued expenses include warranty accruals, accrued wages and benefits, accrued vacation, sales tax payable and other various unpaid expenses. No accrued expenses exceeded 5% of current liabilities as of either March 31, 2011, or June 30, 2011.</w:t>
      </w:r>
    </w:p>
    <w:p>
      <w:pPr>
        <w:spacing w:after="0" w:line="10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tcPr>
          <w:p>
            <w:pPr>
              <w:ind w:left="380"/>
              <w:spacing w:after="0"/>
              <w:rPr>
                <w:sz w:val="20"/>
                <w:szCs w:val="20"/>
                <w:color w:val="auto"/>
              </w:rPr>
            </w:pPr>
            <w:r>
              <w:rPr>
                <w:rFonts w:ascii="Arial" w:cs="Arial" w:eastAsia="Arial" w:hAnsi="Arial"/>
                <w:sz w:val="18"/>
                <w:szCs w:val="18"/>
                <w:color w:val="auto"/>
              </w:rPr>
              <w:t>Changes in the Company’s warranty accrual were as follows (in thousands):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00" w:type="dxa"/>
            <w:vAlign w:val="bottom"/>
            <w:gridSpan w:val="2"/>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Provision to cost of product revenue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(49)</w:t>
            </w: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(31)</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offers a financing program, called an OTA, for a customer’s lease of the Company’s energy management systems. The OTA is structured as a sales-type capital lease and upon successful installation of the system and customer acknowledgement that the system is operating as specified, product revenue is recognized at the Company’s net investment in the lease, which typically is the net present value of the future cash flows.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offers a separate program, called a power purchase agreement, or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typically in excess of 10 years.</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than for OTA and PPA sales, revenue is recognized when the following four criteria are met:</w:t>
      </w:r>
    </w:p>
    <w:p>
      <w:pPr>
        <w:spacing w:after="0" w:line="185" w:lineRule="exact"/>
        <w:rPr>
          <w:sz w:val="20"/>
          <w:szCs w:val="20"/>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For sales contracts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66"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The nature of the Company’s multiple element arrangements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41" w:lineRule="exact"/>
        <w:rPr>
          <w:sz w:val="20"/>
          <w:szCs w:val="20"/>
          <w:color w:val="auto"/>
        </w:rPr>
      </w:pPr>
    </w:p>
    <w:p>
      <w:pPr>
        <w:jc w:val="both"/>
        <w:ind w:left="340" w:right="1360" w:firstLine="389"/>
        <w:spacing w:after="0" w:line="268" w:lineRule="auto"/>
        <w:rPr>
          <w:sz w:val="20"/>
          <w:szCs w:val="20"/>
          <w:color w:val="auto"/>
        </w:rPr>
      </w:pPr>
      <w:r>
        <w:rPr>
          <w:rFonts w:ascii="Arial" w:cs="Arial" w:eastAsia="Arial" w:hAnsi="Arial"/>
          <w:sz w:val="17"/>
          <w:szCs w:val="17"/>
          <w:color w:val="auto"/>
        </w:rPr>
        <w:t>To determine the selling price in multiple-element arrangements, the Company established VSOE of the selling price for its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47" w:lineRule="exact"/>
        <w:rPr>
          <w:sz w:val="20"/>
          <w:szCs w:val="20"/>
          <w:color w:val="auto"/>
        </w:rPr>
      </w:pPr>
    </w:p>
    <w:p>
      <w:pPr>
        <w:jc w:val="both"/>
        <w:ind w:left="340" w:right="1360" w:firstLine="389"/>
        <w:spacing w:after="0" w:line="257" w:lineRule="auto"/>
        <w:rPr>
          <w:sz w:val="20"/>
          <w:szCs w:val="20"/>
          <w:color w:val="auto"/>
        </w:rPr>
      </w:pPr>
      <w:r>
        <w:rPr>
          <w:rFonts w:ascii="Arial" w:cs="Arial" w:eastAsia="Arial" w:hAnsi="Arial"/>
          <w:sz w:val="18"/>
          <w:szCs w:val="18"/>
          <w:color w:val="auto"/>
        </w:rPr>
        <w:t>To determine the selling price for solar renewable product and services sold through the Company’s Engineered Systems division, the Company uses management’s best estimate of selling price giving consideration to external and internal factors including, but not limited to, pricing practices, margin objectives, competition, scope and size of individual projects, geographies in which the Company offers its products and services and internal costs. The Company has completed a limited number of renewable project sales and accordingly, does not have sufficient VSOE or TPE evidence.</w:t>
      </w:r>
    </w:p>
    <w:p>
      <w:pPr>
        <w:spacing w:after="0" w:line="161"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Costs of products delivered, and services performed, that are subject to additional performance obligations or customer acceptance are deferred and recorded in prepaid expenses and other current assets on the Consolidated Balance Sheet. These deferred costs are expensed at the time the related revenue is recognized. Deferred costs amounted to $773,000 and $648,000 as of March 31, 2011 and June 30, 2011.</w:t>
      </w:r>
    </w:p>
    <w:p>
      <w:pPr>
        <w:spacing w:after="0" w:line="146" w:lineRule="exact"/>
        <w:rPr>
          <w:sz w:val="20"/>
          <w:szCs w:val="20"/>
          <w:color w:val="auto"/>
        </w:rPr>
      </w:pPr>
    </w:p>
    <w:p>
      <w:pPr>
        <w:jc w:val="both"/>
        <w:ind w:left="340" w:right="1360" w:firstLine="389"/>
        <w:spacing w:after="0" w:line="279" w:lineRule="auto"/>
        <w:rPr>
          <w:sz w:val="20"/>
          <w:szCs w:val="20"/>
          <w:color w:val="auto"/>
        </w:rPr>
      </w:pPr>
      <w:r>
        <w:rPr>
          <w:rFonts w:ascii="Arial" w:cs="Arial" w:eastAsia="Arial" w:hAnsi="Arial"/>
          <w:sz w:val="17"/>
          <w:szCs w:val="17"/>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500" w:type="dxa"/>
            <w:vAlign w:val="bottom"/>
            <w:vMerge w:val="restart"/>
          </w:tcPr>
          <w:p>
            <w:pPr>
              <w:jc w:val="right"/>
              <w:ind w:right="227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4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months ended June 30, 2010 and 2011, there were none and $0.2 million realized tax benefits from the exercise of stock options.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fair value of each option grant, excluding performance stock options, for the three months ended June 30, 2010 and June 30,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2011 was determined using the assumptions in the following table:</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10"/>
        </w:trPr>
        <w:tc>
          <w:tcPr>
            <w:tcW w:w="720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 years</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5.4 years</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98"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0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Diluted net loss per common share reflects the dilution that would occur if warrants and employee stock options were exercised. In the computation of diluted net income per common share, the Company uses the “treasury stock” method for outstanding options and warrants. Diluted net loss per common share is the same as basic net loss per common share for the periods ended June 30, 2010 and June 30, 2011, because the effects of potentially dilutive securities are anti-dilutive. The effect of net loss per common share is calculated based upon the following shares (in thousands except share amounts):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June 30,</w:t>
            </w:r>
          </w:p>
        </w:tc>
      </w:tr>
      <w:tr>
        <w:trPr>
          <w:trHeight w:val="210"/>
        </w:trPr>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Net loss (in thousands)</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02"/>
        </w:trPr>
        <w:tc>
          <w:tcPr>
            <w:tcW w:w="6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22,523,107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22,921,436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assumed conversion of stock options and warrants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22,523,107</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22,921,436</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20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840" w:type="dxa"/>
            <w:vAlign w:val="bottom"/>
            <w:gridSpan w:val="5"/>
          </w:tcPr>
          <w:p>
            <w:pPr>
              <w:ind w:left="38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5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4"/>
              </w:rPr>
              <w:t>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3,769,282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4,266,586</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76,240</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38,980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3,845,522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4,305,566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27% and 11% of total cost of revenue for the three months ended June 30, 2010 and June 30, 2011, respectively.</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currently purchases a majority of its solar panels from one supplier for its sales of solar generating systems through its Orion Engineered Systems Division. The Company does have alternative vendor sources for its sale of PV solar generating systems. Purchases from this supplier accounted for 12% and 33% of total cost or revenue for the three months ended June 30, 2010 and June 30, 2011, respectively.</w:t>
      </w:r>
    </w:p>
    <w:p>
      <w:pPr>
        <w:spacing w:after="0" w:line="16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For the three months ended June 30, 2010, no customer accounted for more than 10% of revenue. For the three months ended June 30, 2011, two customers accounted for more than 10% of revenue.</w:t>
      </w:r>
    </w:p>
    <w:p>
      <w:pPr>
        <w:spacing w:after="0" w:line="130" w:lineRule="exact"/>
        <w:rPr>
          <w:sz w:val="20"/>
          <w:szCs w:val="20"/>
          <w:color w:val="auto"/>
        </w:rPr>
      </w:pPr>
    </w:p>
    <w:p>
      <w:pPr>
        <w:ind w:left="340" w:right="739" w:firstLine="389"/>
        <w:spacing w:after="0" w:line="461" w:lineRule="auto"/>
        <w:rPr>
          <w:sz w:val="20"/>
          <w:szCs w:val="20"/>
          <w:color w:val="auto"/>
        </w:rPr>
      </w:pPr>
      <w:r>
        <w:rPr>
          <w:rFonts w:ascii="Arial" w:cs="Arial" w:eastAsia="Arial" w:hAnsi="Arial"/>
          <w:sz w:val="18"/>
          <w:szCs w:val="18"/>
          <w:color w:val="auto"/>
        </w:rPr>
        <w:t xml:space="preserve">As of March 31, 2011, and June 30, 2011, one customer accounted for 16% and 11% of accounts receivable, respectively. </w:t>
      </w:r>
      <w:r>
        <w:rPr>
          <w:rFonts w:ascii="Arial" w:cs="Arial" w:eastAsia="Arial" w:hAnsi="Arial"/>
          <w:sz w:val="18"/>
          <w:szCs w:val="18"/>
          <w:b w:val="1"/>
          <w:bCs w:val="1"/>
          <w:i w:val="1"/>
          <w:iCs w:val="1"/>
          <w:color w:val="auto"/>
        </w:rPr>
        <w:t>Recent Accounting Pronouncements</w:t>
      </w:r>
    </w:p>
    <w:p>
      <w:pPr>
        <w:spacing w:after="0" w:line="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 xml:space="preserve">In July 2010, the FASB issued Accounting Standards Update 2010-20, </w:t>
      </w:r>
      <w:r>
        <w:rPr>
          <w:rFonts w:ascii="Arial" w:cs="Arial" w:eastAsia="Arial" w:hAnsi="Arial"/>
          <w:sz w:val="18"/>
          <w:szCs w:val="18"/>
          <w:i w:val="1"/>
          <w:iCs w:val="1"/>
          <w:color w:val="auto"/>
        </w:rPr>
        <w:t>Disclosures about the Credit Quality of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Receivables and the Allowance for Credit Losses </w:t>
      </w:r>
      <w:r>
        <w:rPr>
          <w:rFonts w:ascii="Arial" w:cs="Arial" w:eastAsia="Arial" w:hAnsi="Arial"/>
          <w:sz w:val="18"/>
          <w:szCs w:val="18"/>
          <w:color w:val="auto"/>
        </w:rPr>
        <w:t>(ASU 2010-20). ASU 2010-20 requires further disaggregated disclosures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financial statement users’ understanding of (1) the nature of an entity’s credit risk associated with its financing receivables and (2) the entity’s assessment of that risk in estimating its allowance for credit losses as well as changes in the allowance and the reasons for those changes. The new and amended disclosures as of the end of a reporting period are effective for interim and annual reporting periods ending on or after December 15, 2010. The adoption of ASU 2010-20 did not have a significant impact on the Company’s consolidated financial statements.</w:t>
      </w:r>
    </w:p>
    <w:p>
      <w:pPr>
        <w:spacing w:after="0" w:line="149"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 xml:space="preserve">In April, 2011, the FASB issued ASU No. 2011-03 </w:t>
      </w:r>
      <w:r>
        <w:rPr>
          <w:rFonts w:ascii="Arial" w:cs="Arial" w:eastAsia="Arial" w:hAnsi="Arial"/>
          <w:sz w:val="18"/>
          <w:szCs w:val="18"/>
          <w:i w:val="1"/>
          <w:iCs w:val="1"/>
          <w:color w:val="auto"/>
        </w:rPr>
        <w:t>Transfers and Servicing (Topic 860): Reconsideration of Effective Control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Repurchase Agreements </w:t>
      </w:r>
      <w:r>
        <w:rPr>
          <w:rFonts w:ascii="Arial" w:cs="Arial" w:eastAsia="Arial" w:hAnsi="Arial"/>
          <w:sz w:val="18"/>
          <w:szCs w:val="18"/>
          <w:color w:val="auto"/>
        </w:rPr>
        <w:t>(“ASU 2011-03”). ASU No. 2011-03 affects all entities that enter into agreements to transfer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both entitle and obligate the transferor to repurchase or redeem the financial assets before their maturity. The amendments in ASU 2011-03 remove from the assessment of effective control the criterion relating to the transferor’s ability to repurchase or redeem financial assets on substantially the agreed terms, even in the event of default by the transferee. ASU 2011-03 also eliminates the requirement to demonstrate that the transferor possesses adequate collateral to fund substantially all the cost of purchasing replacement financial assets. The guidance is effective for the Company’s reporting period ended March 31, 2012. ASU 2011-03 is required to be applied prospectively to transactions or modifications of existing transaction that occur on or after January 1, 2012. The Company does not expect that the adoption of ASU 2011-03 will have a significant impact on the Company’s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Measurements (Topic 820): Amendments to Achieve Common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and Disclosure Requirements in US GAAP and International Financial Reporting Standards (“IFRS”)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2011-04”). ASU 2011-04 represents the converged guidance of the FASB and the IASB (the “Boards”) on fair value measurements. The collective efforts of the Boards and their staffs, reflected in ASU 2011-04,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Company does not expect that the adoption of ASU 2011-04 will have a significant impact on the Company’s consolidated financial statements.</w:t>
      </w:r>
    </w:p>
    <w:p>
      <w:pPr>
        <w:spacing w:after="0" w:line="14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In June 2011, the FASB issued ASU No. 2011-05, “</w:t>
      </w:r>
      <w:r>
        <w:rPr>
          <w:rFonts w:ascii="Arial" w:cs="Arial" w:eastAsia="Arial" w:hAnsi="Arial"/>
          <w:sz w:val="18"/>
          <w:szCs w:val="18"/>
          <w:i w:val="1"/>
          <w:iCs w:val="1"/>
          <w:color w:val="auto"/>
        </w:rPr>
        <w:t>Comprehensive Income (ASC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which amends current comprehensive income guidance. This accounting update eliminates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The adoption of ASU 2011-05 will not have a significant impact on the Company’s consolidated statements as it only requires a change in the format of the current presentation.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C — RELATED PARTY TRANSACTIONS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the three months ended June 30, 2010 and June 30, 2011, the Company recorded revenue of $3,000 and $0 for products and services sold to an entity for which a director of the Company was formerly the executive chairman. The terms and conditions of such relationship are believed to be not materially more favorable to the Company or the entity than could be obtained from an independent third party.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D — LONG-TERM DEBT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debt as of March 31, 2011 and June 30, 2011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1"/>
              </w:rPr>
              <w:t>March 31,</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Customer equipment finance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4,518</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Debenture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Debt Arrangements</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June 2011, the Company entered into a note agreement with a financial institution that provided the Company with $2.8 million to fund completed customer contracts under the Company’s OTA finance program. The note is collateralized by the OTA-related equipment and the expected future monthly payments under the supporting 46 individual OTA contracts. The note bears interest at 7.85% and matures in March 2016 and is included in the customer equipment finance notes payable line in the table above. The note agreement includes a debt service covenant with respect to the supporting OTA contracts that the aggregate amount of all remaining scheduled payments due with respect to the individual OTA contracts be not less than 1.25 to 1.0 of the remaining principal and interest payments due under the loan. As of June 30, 2011 the Company was in compliance with the debt service covenant.</w:t>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On June 30, 2010, the Company entered into a new credit agreement (Credit Agreement) with JP Morgan Chase Bank, N.A. (JP Morgan). The Credit Agreement replaced the Company’s former credit agreement with a different bank.</w:t>
      </w:r>
    </w:p>
    <w:p>
      <w:pPr>
        <w:spacing w:after="0" w:line="130"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Credit Agreement provides for a revolving credit facility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As of June 30, 2011, the Company had outstanding letters of credit totaling $1.7 million, primarily for securing collateral requirements under equipment operating leases. In fiscal 2011, the Company incurred $57,000 of total deferred financing costs related to the Credit Agreement which is being amortized over the two-year term of the Credit Agreement. There were no borrowings by the Company under the Credit Agreement as of March 31, 2011 or June 30, 2011. The Company was in compliance with all of its covenants under the Credit Agreement as of June 30, 2011.</w:t>
      </w:r>
    </w:p>
    <w:p>
      <w:pPr>
        <w:spacing w:after="0" w:line="14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PV and wind turbine systems or facilities, as well as all accounts receivable and assets of the Company related to the foregoing, are excluded from these liens.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not met as of June 30, 2011.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E — INCOME TAXES</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income tax provision for the three months ended June 30, 2011 was determined by applying an estimated annual effective tax rate of (39.8)% to income before taxes. The estimated effective income tax rate was determined by applying statutory tax rates to pretax income adjusted for certain permanent book to tax differences and tax credits.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6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2"/>
              </w:rPr>
              <w:t>Three Months Ended June 30,</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State taxes, net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Federal tax credit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Change in valuation reserve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$0.5 million were recorded in fiscal 2011 as a reduction in taxes payable and a credit to additional paid in capital based on the amount that was utilized during the year. Benefits of $0.2 million were recorded for the period ended June 30,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fiscal 2011, the Company converted almost all of its existing incentive stock options, or ISOs, to NQSOs. This conversion was applied retrospectively, allowing the Company to benefit by reducing $0.6 million of income tax expense during fiscal 2011 related to non-deductible ISO stock compensation expense that was previously deferred for income tax purposes. The conversion will greatly reduce the impact of stock-based compensation expense on the effective tax rate in the table above. Since July 30, 2008, all stock option grants have been issued as NQSOs.</w:t>
      </w:r>
    </w:p>
    <w:p>
      <w:pPr>
        <w:spacing w:after="0" w:line="16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As of June 30, 2011, the Company had federal net operating loss carryforwards of approximately $8.0 million, of which $4.8 million are associated with the exercise of NQSOs that have not yet been recognized by the Company in its financial statements. The Company also has state net operating loss carryforwards of approximately $4.7 million, of which $2.5 million are associated with the exercise of NQSOs. The Company also has federal tax credit carryforwards of approximately $1.0 million and state tax credits of $0.6 million. A full valuation allowance has been set up for the state tax credits due to the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2014 — 2030.</w:t>
      </w:r>
    </w:p>
    <w:p>
      <w:pPr>
        <w:spacing w:after="0" w:line="13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1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June 30, 2011, the Company’s U.S. federal income tax returns for tax years 2009 to 2011 remain subject to examination. The Company has various federal income tax return positions in the process of examination for 2009 and 2010. The Company currently believes that the ultimate resolution of these matters, individually or in the aggregate, will not have a material effect on its business, financial condition, results of operations or liquidity.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As of June 30, 2011, the balance of gross unrecognized tax benefits was approximately $0.4 million, all of which would reduce the Company’s effective tax rate if recognized. The Company does not expect this amount to change in the next 12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4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three months ended June 30, 2010 and 2011, the Company had the following unrecognized tax benefit activity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00" w:type="dxa"/>
            <w:vAlign w:val="bottom"/>
            <w:gridSpan w:val="5"/>
          </w:tcPr>
          <w:p>
            <w:pPr>
              <w:spacing w:after="0"/>
              <w:rPr>
                <w:sz w:val="20"/>
                <w:szCs w:val="20"/>
                <w:color w:val="auto"/>
              </w:rPr>
            </w:pPr>
            <w:r>
              <w:rPr>
                <w:rFonts w:ascii="Arial" w:cs="Arial" w:eastAsia="Arial" w:hAnsi="Arial"/>
                <w:sz w:val="18"/>
                <w:szCs w:val="18"/>
                <w:b w:val="1"/>
                <w:bCs w:val="1"/>
                <w:color w:val="auto"/>
                <w:w w:val="99"/>
              </w:rPr>
              <w:t>Three Months Ended</w:t>
            </w:r>
          </w:p>
        </w:tc>
        <w:tc>
          <w:tcPr>
            <w:tcW w:w="1900" w:type="dxa"/>
            <w:vAlign w:val="bottom"/>
            <w:gridSpan w:val="4"/>
          </w:tcPr>
          <w:p>
            <w:pPr>
              <w:ind w:left="16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June 30, 2010</w:t>
            </w:r>
          </w:p>
        </w:tc>
        <w:tc>
          <w:tcPr>
            <w:tcW w:w="1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June 30, 2011</w:t>
            </w:r>
          </w:p>
        </w:tc>
        <w:tc>
          <w:tcPr>
            <w:tcW w:w="10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leases vehicles and equipment under operating leases. Rent expense under operating leases was $413,000 and $529,000 for the three months ended June 30, 2010 and June 30, 2011. The Company enters into non-cancellable purchase commitments for certain inventory items in order to secure better pricing and ensure sufficient materials on hand to meet anticipated order volume and customer expectations, as well as for capital expenditures. As of June 30, 2011, the Company had entered into $14.4 million of purchase commitments related to fiscal 2012, including $1.7 million for operating lease commitments and $12.7 million for inventory purchase commitments.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(IPO). The plaintiffs claimed to represent those persons who purchased shares of the Company’s common stock from December 18, 2007 through February 6, 2008. The plaintiffs alleged, among other things, that the defendants made misstatements and failed to disclose material information in the Company’s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2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53"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In the fourth quarter of fiscal 2010, the Company reached a preliminary agreement to settle the class action lawsuits and on January 3, 2011, the court issued an order granting preliminary approval of the settlement. After a fairness hearing on April 14, 2011, the court approved the settlement in a final judgment and order. No shareholder appeared at the hearing to object. Accordingly, the case has concluded. Of the final settlement amount of $3.25 million, the Company contributed $0.49 million and the its insurer contributed $2.76 million. The Company recorded the settlement charge in the fourth quarter of fiscal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G — SHAREHOLDERS’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6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27"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In August 2010, the Company’s board of directors approved a non-compensatory employee stock purchase plan, or ESPP. The ESPP authorizes 2,500,000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Amex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during fiscal 2011 and for the three months ended June 30, 2011:</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Shares Issued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Issued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 ESPP</w:t>
            </w:r>
          </w:p>
        </w:tc>
        <w:tc>
          <w:tcPr>
            <w:tcW w:w="18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1"/>
              </w:rPr>
              <w:t>Closing Market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 Loan</w:t>
            </w:r>
          </w:p>
        </w:tc>
        <w:tc>
          <w:tcPr>
            <w:tcW w:w="1660" w:type="dxa"/>
            <w:vAlign w:val="bottom"/>
            <w:gridSpan w:val="4"/>
          </w:tcPr>
          <w:p>
            <w:pPr>
              <w:ind w:left="160"/>
              <w:spacing w:after="0"/>
              <w:rPr>
                <w:sz w:val="20"/>
                <w:szCs w:val="20"/>
                <w:color w:val="auto"/>
              </w:rPr>
            </w:pPr>
            <w:r>
              <w:rPr>
                <w:rFonts w:ascii="Arial" w:cs="Arial" w:eastAsia="Arial" w:hAnsi="Arial"/>
                <w:sz w:val="18"/>
                <w:szCs w:val="18"/>
                <w:b w:val="1"/>
                <w:bCs w:val="1"/>
                <w:color w:val="auto"/>
              </w:rPr>
              <w:t>Dollar Value of</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Repayment of</w:t>
            </w:r>
          </w:p>
        </w:tc>
      </w:tr>
      <w:tr>
        <w:trPr>
          <w:trHeight w:val="234"/>
        </w:trPr>
        <w:tc>
          <w:tcPr>
            <w:tcW w:w="27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Loans Issued</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8"/>
              </w:rPr>
              <w:t>Fiscal Year Ended March 31, 2011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65,776</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58,655</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Quarter Ended June 30, 2011</w:t>
            </w:r>
          </w:p>
        </w:tc>
        <w:tc>
          <w:tcPr>
            <w:tcW w:w="1040" w:type="dxa"/>
            <w:vAlign w:val="bottom"/>
          </w:tcPr>
          <w:p>
            <w:pPr>
              <w:jc w:val="right"/>
              <w:spacing w:after="0"/>
              <w:rPr>
                <w:sz w:val="20"/>
                <w:szCs w:val="20"/>
                <w:color w:val="auto"/>
              </w:rPr>
            </w:pPr>
            <w:r>
              <w:rPr>
                <w:rFonts w:ascii="Arial" w:cs="Arial" w:eastAsia="Arial" w:hAnsi="Arial"/>
                <w:sz w:val="18"/>
                <w:szCs w:val="18"/>
                <w:color w:val="auto"/>
              </w:rPr>
              <w:t>9,788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3.93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8,601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33,800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1,649</w:t>
            </w:r>
          </w:p>
        </w:tc>
      </w:tr>
      <w:tr>
        <w:trPr>
          <w:trHeight w:val="27"/>
        </w:trPr>
        <w:tc>
          <w:tcPr>
            <w:tcW w:w="2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75,564</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67,256</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w:t>
            </w:r>
          </w:p>
        </w:tc>
      </w:tr>
      <w:tr>
        <w:trPr>
          <w:trHeight w:val="20"/>
        </w:trPr>
        <w:tc>
          <w:tcPr>
            <w:tcW w:w="2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H — STOCK OPTIONS AND WARRANTS</w:t>
      </w:r>
    </w:p>
    <w:p>
      <w:pPr>
        <w:spacing w:after="0" w:line="202"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The Company grants stock options under its 2003 Stock Option and 2004 Stock and Incentive Awards Plans (the Plans). Under the terms of the Plans, the Company has reserved 12,000,000 shares for issuance to key employees, consultants and directors. The Company’s board of directors approved an increase to the number of shares available under the 2004 Stock and Incentive Awards Plan of 1,500,000 shares, and such share increase was approved by the Company’s shareholders at the 2010 annual shareholders meeting and such shares are included above, other than as described below.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2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3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granted the accelerated vesting stock options in May 2011 under its 2004 Stock and Incentive Awards to provide an opportunity for its named executive officers to earn long-term equity incentive awards based on the Company’s financial performance for fiscal 2012. An aggregate of 459,041 stock options were granted on the third business day following the Company’s public release of its fiscal 2011 results at an exercise price per share of $4.19, which was the closing sale price of the Company’s Common Stock on that date. The stock options will only vest, however, if the optionee remains employed and the Company is successful in achieving at least 100% of the target levels for each of the Company’s three financial metric targets for fiscal 2012, and if the Company’s stock price equals or exceeds $5.00 per share for at least 20 trading days during any 90-day period during the option’s ten-year term.</w:t>
      </w:r>
    </w:p>
    <w:p>
      <w:pPr>
        <w:spacing w:after="0" w:line="16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For the three months ended June 30, 2010 and June 30, 2011, the Company granted 5,419 and 3,282 shares from the 2004 Stock and Incentive Awards Plan to certain non-employee directors who elected to receive stock awards in lieu of cash compensation. The shares were valued at $3.46 per share and $4.19 per share, the closing market prices as of the grant date.</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840" w:type="dxa"/>
            <w:vAlign w:val="bottom"/>
            <w:gridSpan w:val="2"/>
          </w:tcPr>
          <w:p>
            <w:pPr>
              <w:ind w:left="380"/>
              <w:spacing w:after="0"/>
              <w:rPr>
                <w:sz w:val="20"/>
                <w:szCs w:val="20"/>
                <w:color w:val="auto"/>
              </w:rPr>
            </w:pPr>
            <w:r>
              <w:rPr>
                <w:rFonts w:ascii="Arial" w:cs="Arial" w:eastAsia="Arial" w:hAnsi="Arial"/>
                <w:sz w:val="18"/>
                <w:szCs w:val="18"/>
                <w:color w:val="auto"/>
                <w:w w:val="97"/>
              </w:rPr>
              <w:t>The following amounts of stock-based compensation were recorded (in thousands):</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1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As of June 30, 2011, compensation cost related to non-vested common stock-based compensation, excluding performance stock option awards amounted to $4.1 million over a remaining weighted average expected term of 6.7 years.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0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Available for</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0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(in years)</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r>
      <w:tr>
        <w:trPr>
          <w:trHeight w:val="20"/>
        </w:trPr>
        <w:tc>
          <w:tcPr>
            <w:tcW w:w="3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1,577,676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3,658,768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Granted stock options</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(873,311)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873,311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188,480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(188,480)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Balance at June 30, 2011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889,563</w:t>
            </w:r>
          </w:p>
        </w:tc>
        <w:tc>
          <w:tcPr>
            <w:tcW w:w="3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4,266,586</w:t>
            </w:r>
          </w:p>
        </w:tc>
        <w:tc>
          <w:tcPr>
            <w:tcW w:w="2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1740" w:type="dxa"/>
            <w:vAlign w:val="bottom"/>
            <w:gridSpan w:val="3"/>
          </w:tcPr>
          <w:p>
            <w:pPr>
              <w:jc w:val="right"/>
              <w:ind w:right="380"/>
              <w:spacing w:after="0"/>
              <w:rPr>
                <w:sz w:val="20"/>
                <w:szCs w:val="20"/>
                <w:color w:val="auto"/>
              </w:rPr>
            </w:pPr>
            <w:r>
              <w:rPr>
                <w:rFonts w:ascii="Arial" w:cs="Arial" w:eastAsia="Arial" w:hAnsi="Arial"/>
                <w:sz w:val="18"/>
                <w:szCs w:val="18"/>
                <w:color w:val="auto"/>
              </w:rPr>
              <w:t>7.08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2,882,478</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2011</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1,874,548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1,965,319</w:t>
            </w: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$3.93 as of June 30, 2011.</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summary of the status of the Company’s outstanding non-vested stock options as of June 30, 2011 was as follows: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1,832,167</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873,311</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(124,960)</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(188,480)</w:t>
            </w:r>
          </w:p>
        </w:tc>
      </w:tr>
      <w:tr>
        <w:trPr>
          <w:trHeight w:val="27"/>
        </w:trPr>
        <w:tc>
          <w:tcPr>
            <w:tcW w:w="8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2,392,038</w:t>
            </w:r>
          </w:p>
        </w:tc>
      </w:tr>
      <w:tr>
        <w:trPr>
          <w:trHeight w:val="20"/>
        </w:trPr>
        <w:tc>
          <w:tcPr>
            <w:tcW w:w="8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2011 or during the three months ended June 30, 2011.</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Outstanding warrants were comprised of the following: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March 31, 2011</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3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Arial" w:cs="Arial" w:eastAsia="Arial" w:hAnsi="Arial"/>
                <w:sz w:val="18"/>
                <w:szCs w:val="18"/>
                <w:color w:val="auto"/>
              </w:rPr>
              <w:t>Issued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360" w:type="dxa"/>
            <w:vAlign w:val="bottom"/>
            <w:gridSpan w:val="4"/>
            <w:vMerge w:val="restart"/>
          </w:tcPr>
          <w:p>
            <w:pPr>
              <w:ind w:left="380"/>
              <w:spacing w:after="0"/>
              <w:rPr>
                <w:sz w:val="20"/>
                <w:szCs w:val="20"/>
                <w:color w:val="auto"/>
              </w:rPr>
            </w:pPr>
            <w:r>
              <w:rPr>
                <w:rFonts w:ascii="Arial" w:cs="Arial" w:eastAsia="Arial" w:hAnsi="Arial"/>
                <w:sz w:val="18"/>
                <w:szCs w:val="18"/>
                <w:color w:val="auto"/>
              </w:rPr>
              <w:t>A summary of outstanding warrants at June 30, 2011 follows:</w:t>
            </w: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6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jc w:val="center"/>
              <w:ind w:left="730"/>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Exercise Price</w:t>
            </w:r>
          </w:p>
        </w:tc>
        <w:tc>
          <w:tcPr>
            <w:tcW w:w="4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94"/>
              </w:rPr>
              <w:t>Warrants</w:t>
            </w:r>
          </w:p>
        </w:tc>
        <w:tc>
          <w:tcPr>
            <w:tcW w:w="8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Expiration</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2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38,980</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028" w:gutter="0" w:footer="0" w:header="0"/>
        </w:sect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28"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I — SEGMENT DATA</w:t>
      </w:r>
    </w:p>
    <w:p>
      <w:pPr>
        <w:spacing w:after="0" w:line="20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During the fiscal 2011 third quarter, certain activity of the Orion Engineered Systems Division exceeded the quantitative thresholds required for segment reporting. As such, descriptions of the Company’s segments and their summary financial information are summarized below.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Energy Management Division develops, manufactures and sells commercial high intensity fluorescent, or HIF, lighting systems and energy management systems.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and provides technical services for the Company’s sale of HIF lighting systems and energy management systems.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8"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Revenues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Operating (Loss) Income</w:t>
            </w:r>
          </w:p>
        </w:tc>
        <w:tc>
          <w:tcPr>
            <w:tcW w:w="0" w:type="dxa"/>
            <w:vAlign w:val="bottom"/>
          </w:tcPr>
          <w:p>
            <w:pPr>
              <w:spacing w:after="0"/>
              <w:rPr>
                <w:sz w:val="1"/>
                <w:szCs w:val="1"/>
                <w:color w:val="auto"/>
              </w:rPr>
            </w:pPr>
          </w:p>
        </w:tc>
      </w:tr>
      <w:tr>
        <w:trPr>
          <w:trHeight w:val="234"/>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(dollars in thousands)</w:t>
            </w: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June 30,</w:t>
            </w:r>
          </w:p>
        </w:tc>
        <w:tc>
          <w:tcPr>
            <w:tcW w:w="3160" w:type="dxa"/>
            <w:vAlign w:val="bottom"/>
            <w:gridSpan w:val="7"/>
          </w:tcPr>
          <w:p>
            <w:pPr>
              <w:ind w:left="140"/>
              <w:spacing w:after="0"/>
              <w:rPr>
                <w:sz w:val="20"/>
                <w:szCs w:val="20"/>
                <w:color w:val="auto"/>
              </w:rPr>
            </w:pPr>
            <w:r>
              <w:rPr>
                <w:rFonts w:ascii="Arial" w:cs="Arial" w:eastAsia="Arial" w:hAnsi="Arial"/>
                <w:sz w:val="18"/>
                <w:szCs w:val="18"/>
                <w:b w:val="1"/>
                <w:bCs w:val="1"/>
                <w:color w:val="auto"/>
                <w:w w:val="93"/>
              </w:rPr>
              <w:t>For the Three Months Ended June 30,</w:t>
            </w:r>
          </w:p>
        </w:tc>
        <w:tc>
          <w:tcPr>
            <w:tcW w:w="0" w:type="dxa"/>
            <w:vAlign w:val="bottom"/>
          </w:tcPr>
          <w:p>
            <w:pPr>
              <w:spacing w:after="0"/>
              <w:rPr>
                <w:sz w:val="1"/>
                <w:szCs w:val="1"/>
                <w:color w:val="auto"/>
              </w:rPr>
            </w:pPr>
          </w:p>
        </w:tc>
      </w:tr>
      <w:tr>
        <w:trPr>
          <w:trHeight w:val="210"/>
        </w:trPr>
        <w:tc>
          <w:tcPr>
            <w:tcW w:w="3500" w:type="dxa"/>
            <w:vAlign w:val="bottom"/>
            <w:gridSpan w:val="2"/>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Energy Management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15,398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16,442</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22,774</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2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1"/>
              </w:rPr>
              <w:t>Total Assets</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3"/>
              </w:rPr>
              <w:t>Deferred Revenue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March 31, 2011</w:t>
            </w:r>
          </w:p>
        </w:tc>
        <w:tc>
          <w:tcPr>
            <w:tcW w:w="1000" w:type="dxa"/>
            <w:vAlign w:val="bottom"/>
            <w:gridSpan w:val="2"/>
          </w:tcPr>
          <w:p>
            <w:pPr>
              <w:spacing w:after="0"/>
              <w:rPr>
                <w:sz w:val="20"/>
                <w:szCs w:val="20"/>
                <w:color w:val="auto"/>
              </w:rPr>
            </w:pPr>
            <w:r>
              <w:rPr>
                <w:rFonts w:ascii="Arial" w:cs="Arial" w:eastAsia="Arial" w:hAnsi="Arial"/>
                <w:sz w:val="18"/>
                <w:szCs w:val="18"/>
                <w:color w:val="auto"/>
                <w:w w:val="85"/>
              </w:rPr>
              <w:t>June 30, 2011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March 31, 2011</w:t>
            </w:r>
          </w:p>
        </w:tc>
        <w:tc>
          <w:tcPr>
            <w:tcW w:w="980" w:type="dxa"/>
            <w:vAlign w:val="bottom"/>
            <w:gridSpan w:val="2"/>
          </w:tcPr>
          <w:p>
            <w:pPr>
              <w:spacing w:after="0"/>
              <w:rPr>
                <w:sz w:val="20"/>
                <w:szCs w:val="20"/>
                <w:color w:val="auto"/>
              </w:rPr>
            </w:pPr>
            <w:r>
              <w:rPr>
                <w:rFonts w:ascii="Arial" w:cs="Arial" w:eastAsia="Arial" w:hAnsi="Arial"/>
                <w:sz w:val="18"/>
                <w:szCs w:val="18"/>
                <w:color w:val="auto"/>
                <w:w w:val="84"/>
              </w:rPr>
              <w:t>June 30, 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Energy Management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67,449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66,996</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533</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14,405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33,136</w:t>
            </w: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38,301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114,990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123,128</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00" w:right="179" w:hanging="76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2011.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2011 Annual Report filed on Form 10-K for the fiscal year ended March 31, 2011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systems and wind turbines. We operate in two business segments, which we refer to as our energy management division and our engineered systems division.</w:t>
      </w:r>
    </w:p>
    <w:p>
      <w:pPr>
        <w:spacing w:after="0" w:line="14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have sold and installed more than 2,116,000 of our HIF lighting systems in over 7,097 facilities from December 1, 2001 through June 30, 2011. We have sold our products to 135 Fortune 500 companies, many of which have installed our HIF lighting systems in multiple facilities. Our top direct customers by revenue in fiscal 2011 included Coca-Cola Enterprises Inc., U.S. Foodservice, SYSCO Corp., Ball Corporation, MillerCoors and Pepsico, Inc. and its affiliates.</w:t>
      </w:r>
    </w:p>
    <w:p>
      <w:pPr>
        <w:spacing w:after="0" w:line="14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Our fiscal year ends on March 31. We call our prior fiscal year which ended on March 31, 2011, “fiscal 2011”. We call our current fiscal year, which will end on March 31, 2012, “fiscal 2012.” Our fiscal first quarter ended on June 30, our fiscal second quarter ends on September 30, our fiscal third quarter ends on December 31 and our fiscal fourth quarter ends on March 31.</w:t>
      </w:r>
    </w:p>
    <w:p>
      <w:pPr>
        <w:spacing w:after="0" w:line="12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Because of the recessed state of the global economy, especially as it impacted capital equipment manufacturers, our results for the first half of fiscal 2011 were impacted by lengthened customer sales cycles and sluggish customer capital spending. During the second half of fiscal 2011 and the first quarter of fiscal 2012, capital equipment purchases were slightly improved and we continue to remain optimistic regarding customer behaviors for fiscal year 2012. To address these difficult economic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 and the first half of fiscal 2011. During the second quarter of fiscal 2011, we identified an additional $1 million of annualized cost reductions related to decreased product costs, improved manufacturing efficiencies and reduced operating expenses. We realized these cost reductions beginning during the fiscal 2011 third quarter through reduction in general and administrative expenses and improved product margins for our HIF lighting systems.</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Despite these recent economic challenges, we remain optimistic about our near-term and long-term financial performance. Our near-term optimism is based upon our record level of revenue in fiscal 2011 along with our return to profitability, the increasing volume of unit sales in the second half of fiscal 2011 of our new products, specifically our exterior HIF fixtures, InteLite wireless dynamic controls, and our Apollo light pipes, the increase in the number of our value-added resellers and their sales staffs, and our cost reduction plans completed during fiscal 2011.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our participation in the replacement part aftermarket and the increasing national recognition of the importance of environmental stewardship, including legislation in the State of Wisconsin passed in fiscal 2011 that recognized our solar Apollo light pipe as a renewable product offering and qualified it for incentives currently offered to other renewable technologies.</w:t>
      </w:r>
    </w:p>
    <w:p>
      <w:pPr>
        <w:spacing w:after="0" w:line="15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August 2009, we created Orion Engineered Systems, a new operating division which has been offering our customers additional alternative renewable energy systems. In fiscal 2010, we sold and installed three solar photovoltaic, or PV, electricity generating projects, completing our test analysis on two of the three in the fiscal 2010 third quarter, and executed our first cash sale and our first power purchase agreement, or PPA, as a result of the successful testing of these systems. We completed the installation and customer acceptance of the third system, a cash sale, during our fiscal 2011 first quarter. During our fiscal 2011 second quarter, we received an $8.2 million cash order for a solar PV generating system for which we recognized $6.6 million of revenue in fiscal 2011.</w:t>
      </w:r>
    </w:p>
    <w:p>
      <w:pPr>
        <w:spacing w:after="0" w:line="12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our fiscal 2011 third quarter, revenue from our Orion Engineered Systems Division exceeded the quantitative threshold for generally accepted accounting principles, or GAAP, segment accounting. We now report our Energy Management and Engineered Systems Divisions as separate segments. Our Energy Management Division develops, manufactures and sells commercial high intensity fluorescent, or HIF, lighting systems and energy management systems. Our Engineered Systems Division sells and integrates alternative renewable energy systems and provides technical services for the Company’s sale of HIF lighting systems and energy management systems.</w:t>
      </w:r>
    </w:p>
    <w:p>
      <w:pPr>
        <w:spacing w:after="0" w:line="153"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Throughput Agreement, or OTA, finance program. Our OTA financing program provides for our customer’s purchase or our energy management systems without an up-front capital outlay. The OTA contracts under this sales-type financing are either structured with a fixed term, typically 60 months, and a bargain purchase option at the end of the term, or are one year in duration and, at the completion of the initial one-year term, provide for</w:t>
      </w:r>
    </w:p>
    <w:p>
      <w:pPr>
        <w:spacing w:after="0" w:line="2" w:lineRule="exact"/>
        <w:rPr>
          <w:sz w:val="20"/>
          <w:szCs w:val="20"/>
          <w:color w:val="auto"/>
        </w:rPr>
      </w:pPr>
    </w:p>
    <w:p>
      <w:pPr>
        <w:jc w:val="both"/>
        <w:ind w:left="340" w:right="159" w:hanging="8"/>
        <w:spacing w:after="0" w:line="267" w:lineRule="auto"/>
        <w:tabs>
          <w:tab w:leader="none" w:pos="559"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to four automatic one-year renewals at agreed upon pricing; (ii) an early buyout for cash; or (iii) the return of the equipment at the customer’s expense. The revenue that we are entitled to receive from the sale of our energy management systems under our OTA financing program is fixed and is based on the cost of the energy management system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 We expect that the number of customers who choose to purchase our systems by using our OTA financing program will continue to increase in future periods.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are looking to secure external sources of funding for PPA’s on behalf of our customers.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and Expense Components</w:t>
      </w:r>
    </w:p>
    <w:p>
      <w:pPr>
        <w:spacing w:after="0" w:line="189"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to end users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53% of our total revenue in fiscal 2011, not taking into consideration our renewable technologies revenue generated through our Orion Engineered Systems division. During the fiscal 2012 first quarter, wholesale revenues accounted for approximately 62% of our total revenue, not taking into consideration our renewable technologies revenue generated through our Orion Engineered Systems Division, compared to 53% for the fiscal 2011 first quarter.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Additionally, we offer our OTA sales-type financing program under which we finance the customer’s purchase of our energy management systems. We recognize revenue from OTA contracts at the net present value of the future cash flows at the completion date of the installation of the energy management systems and the customers acknowledgement that the system is operating as specified.</w:t>
      </w:r>
    </w:p>
    <w:p>
      <w:pPr>
        <w:spacing w:after="0" w:line="160"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In fiscal 2011, we recognized $10.7 million of revenue from 127 completed OTA contracts. For the three months ended June 30, 2011, we recognized $2.9 million of revenue from 53 completed contracts. In the future, we expect an increase in the volume of OTA contracts as our customers take advantage of the value proposition without incurring any up-front capital cost.</w:t>
      </w:r>
    </w:p>
    <w:p>
      <w:pPr>
        <w:spacing w:after="0" w:line="125"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2011, we recognized $0.4 million of revenue from completed PPAs. In the first quarter of fiscal 2012, we recognized $0.2 million of revenue from completed PPAs. As of June 30, 2011, we had signed one customer to two separate PPAs representing future potential discounted revenue streams of $2.9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June 30, 2011 (in thousands):</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2013</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Beyond</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r>
      <w:tr>
        <w:trPr>
          <w:trHeight w:val="27"/>
        </w:trPr>
        <w:tc>
          <w:tcPr>
            <w:tcW w:w="8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expected future discounted revenue from PPAs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r>
      <w:tr>
        <w:trPr>
          <w:trHeight w:val="20"/>
        </w:trPr>
        <w:tc>
          <w:tcPr>
            <w:tcW w:w="8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Other than for OTA and PPA revenue, we recognize revenue on product only sales at the time of shipment. For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27% and 45% of our total revenue for the first quarter of fiscal 2011 and fiscal 2012, respectively. Two customers accounted for more than 10% of our total revenue in the fiscal 2012 first quarter.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changes in capital investment levels by our customers and prospects (iii) the number and timing of large retrofit and multi-facility retrofit, or “roll-out,” projects; (iv) the level of our wholesale sales; (v) our ability to realize revenue from our services; (vi) market conditions; (vii) our execution of our sales process; (viii) our ability to compete in a highly competitive market and our ability to respond successfully to market competition; (ix) the selling price of our products and services;</w:t>
      </w:r>
    </w:p>
    <w:p>
      <w:pPr>
        <w:spacing w:after="0" w:line="5" w:lineRule="exact"/>
        <w:rPr>
          <w:sz w:val="20"/>
          <w:szCs w:val="20"/>
          <w:color w:val="auto"/>
        </w:rPr>
      </w:pPr>
    </w:p>
    <w:p>
      <w:pPr>
        <w:jc w:val="both"/>
        <w:ind w:left="340" w:right="159" w:hanging="8"/>
        <w:spacing w:after="0" w:line="255" w:lineRule="auto"/>
        <w:tabs>
          <w:tab w:leader="none" w:pos="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capital investment levels by our customers and prospects; and (xi) customer sales and budget cycles. As a result, our total revenue may be subject to quarterly variations and our total revenue for any particular fiscal quarter may not be indicative of future results.</w:t>
      </w:r>
    </w:p>
    <w:p>
      <w:pPr>
        <w:spacing w:after="0" w:line="163"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June 30, 2011, we had a backlog of firm purchase orders of approximately $11.6 million, which included $4.2 million of solar PV orders. As of March 31, 2011, we had a backlog of firm purchase orders of approximately $7.8 million, which included $6.5 million of solar PV orders. We generally expect this level of firm purchase order backlog related to HIF lighting systems to be converted into revenue within the following quarter and our firm purchase order backlog related to solar PV systems to be recognized within the following two quarters. Principally as a result of the continued lengthening of our customer’s purchasing decisions because of current recessed economic conditions and related factors, the continued shortening of our installation cycles, a comparison of backlog from period to period is not necessarily meaningful and may not be indicative of actual revenue recognized in future periods.</w:t>
      </w:r>
    </w:p>
    <w:p>
      <w:pPr>
        <w:spacing w:after="0" w:line="13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w:t>
      </w:r>
      <w:r>
        <w:rPr>
          <w:rFonts w:ascii="Arial" w:cs="Arial" w:eastAsia="Arial" w:hAnsi="Arial"/>
          <w:sz w:val="16"/>
          <w:szCs w:val="16"/>
          <w:i w:val="1"/>
          <w:iCs w:val="1"/>
          <w:color w:val="auto"/>
        </w:rPr>
        <w:t xml:space="preserve"> </w:t>
      </w:r>
      <w:r>
        <w:rPr>
          <w:rFonts w:ascii="Arial" w:cs="Arial" w:eastAsia="Arial" w:hAnsi="Arial"/>
          <w:sz w:val="16"/>
          <w:szCs w:val="16"/>
          <w:color w:val="auto"/>
        </w:rPr>
        <w:t>aluminum; (ii) electrical 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11% of our total cost of revenue for the fiscal 2012 first quarter and were 27% of our total cost of revenue for the fiscal 2011 first quarter.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w:t>
      </w:r>
    </w:p>
    <w:p>
      <w:pPr>
        <w:spacing w:after="0" w:line="131"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revenue, and as a result, our gross profit may be subject to quarterly variation. Our gross profit as a percentage of total revenue, or gross margin, is affected by a number of factors, including: (i) our level of solar PV sales which generally have substantially lower relative gross margins than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w:t>
      </w:r>
    </w:p>
    <w:p>
      <w:pPr>
        <w:spacing w:after="0" w:line="5" w:lineRule="exact"/>
        <w:rPr>
          <w:sz w:val="20"/>
          <w:szCs w:val="20"/>
          <w:color w:val="auto"/>
        </w:rPr>
      </w:pPr>
    </w:p>
    <w:p>
      <w:pPr>
        <w:jc w:val="both"/>
        <w:ind w:left="340" w:right="179" w:hanging="8"/>
        <w:spacing w:after="0" w:line="255" w:lineRule="auto"/>
        <w:tabs>
          <w:tab w:leader="none" w:pos="60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16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(iii) research and development expenses. Personnel related costs are our largest operating expense. In fiscal 2012, we intend to increase headcount in our sales areas for telemarketing and direct sales employees as we believe that future opportunities within our business remain strong.</w:t>
      </w:r>
    </w:p>
    <w:p>
      <w:pPr>
        <w:spacing w:after="0" w:line="146"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w:t>
      </w:r>
    </w:p>
    <w:p>
      <w:pPr>
        <w:ind w:left="680" w:hanging="34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professional services fees; (v) technology related costs and amortization; (vi) bad debt and asset impairment charges; and</w:t>
      </w:r>
    </w:p>
    <w:p>
      <w:pPr>
        <w:spacing w:after="0" w:line="20" w:lineRule="exact"/>
        <w:rPr>
          <w:rFonts w:ascii="Arial" w:cs="Arial" w:eastAsia="Arial" w:hAnsi="Arial"/>
          <w:sz w:val="17"/>
          <w:szCs w:val="17"/>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corporate-related travel.</w:t>
      </w:r>
    </w:p>
    <w:p>
      <w:pPr>
        <w:spacing w:after="0" w:line="17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w:t>
      </w:r>
    </w:p>
    <w:p>
      <w:pPr>
        <w:ind w:left="340" w:right="159" w:hanging="8"/>
        <w:spacing w:after="0" w:line="261"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lodging and other out-of-pocket expenses associated with our selling efforts; (iv) marketing programs; (v) pre-sales costs; and (vi) other related overhead.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44" w:lineRule="exact"/>
        <w:rPr>
          <w:sz w:val="20"/>
          <w:szCs w:val="20"/>
          <w:color w:val="auto"/>
        </w:rPr>
      </w:pPr>
    </w:p>
    <w:p>
      <w:pPr>
        <w:jc w:val="both"/>
        <w:ind w:left="340" w:right="179" w:firstLine="389"/>
        <w:spacing w:after="0" w:line="297" w:lineRule="auto"/>
        <w:rPr>
          <w:sz w:val="20"/>
          <w:szCs w:val="20"/>
          <w:color w:val="auto"/>
        </w:rPr>
      </w:pPr>
      <w:r>
        <w:rPr>
          <w:rFonts w:ascii="Arial" w:cs="Arial" w:eastAsia="Arial" w:hAnsi="Arial"/>
          <w:sz w:val="16"/>
          <w:szCs w:val="16"/>
          <w:color w:val="auto"/>
        </w:rPr>
        <w:t>In fiscal 2011 and continuing in our fiscal 2012 first quarter, we invested in marketing efforts to our direct end customers and to our channel partners through increasing advertising, marketing collateral materials and participating in national industry and customer trade shows. We expense all pre-sale costs incurred in connection with our sales process prior to obtaining a purchase order. These pre-sale costs may reduce our net income in a given period prior to recognizing any corresponding revenue. We also intend to continue investing in our research and development of new and enhanced energy management products and services.</w:t>
      </w:r>
    </w:p>
    <w:p>
      <w:pPr>
        <w:spacing w:after="0" w:line="118"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We recognize compensation expense for the fair value of our stock option awards granted over their related vesting period. We recognized $0.4 million for the first quarter of fiscal 2012 and $0.2 million for the first quarter of fiscal 2011. As a result of prior option grants, we expect to recognize an additional $4.1 million of stock-based compensation over a weighted average period of approximately seven years, including $1.0 million over the remaining quarters of fiscal 2012.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5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obligations, including the amortization of previously incurred financing costs. We amortize deferred financing costs to interest expense over the life of the related debt instrument, ranging from two to fifteen years.</w:t>
      </w:r>
    </w:p>
    <w:p>
      <w:pPr>
        <w:spacing w:after="0" w:line="154"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We report interest income earned on our cash and cash equivalents and short term investments. We also report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earned from our financed OTA contracts.</w:t>
      </w:r>
    </w:p>
    <w:p>
      <w:pPr>
        <w:spacing w:after="0" w:line="130"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June 30, 2011, we had net operating loss carryforwards of approximately $8.0 million for federal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and $4.7 million for state tax purposes. Included in these loss carryforwards were $4.8 million for federal and $2.5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$1.0 million and state credit carryforwards of approximately $0.6 million. A full valuation allowance has been set up for the state tax credits. We believe it is more likely than not that we will realize the benefits of most of these assets and we have reserved for an allowance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4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2010 or fiscal 2011. For fiscal 2012, we do not anticipate a limitation on the use of our net operating loss carryforwards.</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w:t>
            </w:r>
          </w:p>
        </w:tc>
        <w:tc>
          <w:tcPr>
            <w:tcW w:w="9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9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9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 of</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5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15,758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21,679</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Service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1,219</w:t>
            </w: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1,095</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16,977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22,774</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10,307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15,004</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65.9%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734</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11,224</w:t>
            </w: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15,738</w:t>
            </w:r>
          </w:p>
        </w:tc>
        <w:tc>
          <w:tcPr>
            <w:tcW w:w="360" w:type="dxa"/>
            <w:vAlign w:val="bottom"/>
            <w:vMerge w:val="continue"/>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69.1%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7,036</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2,945</w:t>
            </w: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3,076</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13.5%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3,768</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610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622</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Loss before income tax</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(1,369)</w:t>
            </w:r>
          </w:p>
        </w:tc>
        <w:tc>
          <w:tcPr>
            <w:tcW w:w="360" w:type="dxa"/>
            <w:vAlign w:val="bottom"/>
            <w:vMerge w:val="continue"/>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60" w:type="dxa"/>
            <w:vAlign w:val="bottom"/>
            <w:vMerge w:val="continue"/>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360" w:type="dxa"/>
            <w:vAlign w:val="bottom"/>
            <w:vMerge w:val="continue"/>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360" w:type="dxa"/>
            <w:vAlign w:val="bottom"/>
            <w:vMerge w:val="continue"/>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increased from $15.8 million for the fiscal 2011 first quarter to $21.7 million for the fiscal 2012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an increase of $5.9 million, or 37%. The increase in product revenue was a result of increased sales of our high intensity fluorescent, or HIF, lighting systems and renewable energy systems. Service revenue decreased from $1.2 million for the fiscal 2011 first quarter to $1.1 million for the fiscal 2012 first quarter, a decrease of $0.1 million or 8%. The decrease in service revenues was a result of the continued percentage increase of our total revenues generated by our wholesale channels where our services are not provided. Total revenue from renewable energy systems was $5.4 million for the fiscal 2012 first quarter compared to $0.4 million for the fiscal 2011 first quarter, an increase of $5.0 million or 1,250%.</w:t>
      </w:r>
    </w:p>
    <w:p>
      <w:pPr>
        <w:spacing w:after="0" w:line="13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increased from $10.3 million for the fiscal 2011 first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$15.0 million for the fiscal 2012 first quarter, an increase of $4.7 million, or 46%. Our cost of service revenues decreased from $0.9 million for the fiscal 2011 first quarter to $0.7 million for the fiscal 2012 first quarter, a decrease of $0.2 million, or 22%. Total gross margin decreased from 33.9% for the fiscal 2011 first quarter to 30.9% for the fiscal 2012 first quarter. For the fiscal 2012 first quarter, our gross margin declined due to a higher mix of renewable product and service revenues from our Orion Engineered Systems division. Our gross margin percentage on renewable revenues from this division was 17.1% during the fiscal 2012 first quarter. Gross margin from our HIF integrated systems revenue for the fiscal 2012 first quarter was 35.2%.</w:t>
      </w:r>
    </w:p>
    <w:p>
      <w:pPr>
        <w:spacing w:after="0" w:line="14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from $2.9 million for the fiscal 2011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to $3.1 million for the fiscal 2012 first quarter, an increase of $0.2 million, or 7%. The increase was a result of $0.1 million incurred for depreciation and software license costs for our new enterprise resource planning, or ERP, system and $0.1 million for increased stock compensation costs versus the prior fiscal year’s period. Additionally, we incurred legal and professional service expenses related to the recently completed financial statement restatements resulting from our revenue recognition change in accounting for our OTA contracts.</w:t>
      </w:r>
    </w:p>
    <w:p>
      <w:pPr>
        <w:spacing w:after="0" w:line="153"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$3.6 million for the fiscal 2011 first quarter to</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for the fiscal 2012 first quarter, an increase of $0.2 million, or 6%. The increase was a result of increased costs for headcount additions in our newly formed telemarketing department, higher commission expense on our increased revenue and increased depreciation for our new customer relationship management, or CRM, system. Total sales and marketing headcount as of June 30, 2011 was 88 compared to 83 as of June 30, 2010.</w:t>
      </w:r>
    </w:p>
    <w:p>
      <w:pPr>
        <w:spacing w:after="0" w:line="148"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of $0.6 million for the fiscal 2012 first quarter were slightly</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our fiscal 2011 first quarter expenses. Expenses incurred in the fiscal 2012 first quarter related to compensation costs for the development and support of our new products, depreciation expenses for lab and research equipment and sample and testing costs related to our dynamic control devices and our light emitting diode, or LED, product initiatives.</w:t>
      </w:r>
    </w:p>
    <w:p>
      <w:pPr>
        <w:spacing w:after="0" w:line="12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increased from $70,000 for the fiscal 2011 first quarter to $87,000 for the fiscal 2012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 increase of $17,000, or 24%. The increase in our interest expense was due to additional debt funding completed during the second half of fiscal 2011 for the purpose of financing our OTA projects.</w:t>
      </w:r>
    </w:p>
    <w:p>
      <w:pPr>
        <w:sectPr>
          <w:pgSz w:w="11900" w:h="16838" w:orient="portrait"/>
          <w:cols w:equalWidth="0" w:num="1">
            <w:col w:w="10219"/>
          </w:cols>
          <w:pgMar w:left="240" w:top="419" w:right="1440" w:bottom="528"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28"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from $93,000 for the fiscal 2011 first quarter to $154,000 for the fiscal 2012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 increase of $61,000 or 66%. Interest income increased due to an increase in completed OTA contracts and the related interest income under the financing terms.</w:t>
      </w:r>
    </w:p>
    <w:p>
      <w:pPr>
        <w:spacing w:after="0" w:line="15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benefit decreased from a benefit of $0.8 million for the fiscal 2011 first quarter to an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$0.1 million for the fiscal 2012 first quarter, a decrease of $0.7 million or 88%. Our effective income tax rate for the fiscal 2011 first quarter was 60.8%, compared to 39.8% for the fiscal 2012 first quarter. The change in effective rate was due to the conversion of our incentive stock options, or ISOs, to non-qualified stock options, or NQSOs, completed during the second half of fiscal 2011.</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Management Segment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Energy Management segment operating results: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34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3120" w:type="dxa"/>
            <w:vAlign w:val="bottom"/>
            <w:gridSpan w:val="6"/>
          </w:tcPr>
          <w:p>
            <w:pPr>
              <w:spacing w:after="0"/>
              <w:rPr>
                <w:sz w:val="20"/>
                <w:szCs w:val="20"/>
                <w:color w:val="auto"/>
              </w:rPr>
            </w:pPr>
            <w:r>
              <w:rPr>
                <w:rFonts w:ascii="Arial" w:cs="Arial" w:eastAsia="Arial" w:hAnsi="Arial"/>
                <w:sz w:val="18"/>
                <w:szCs w:val="18"/>
                <w:b w:val="1"/>
                <w:bCs w:val="1"/>
                <w:color w:val="auto"/>
                <w:w w:val="96"/>
              </w:rPr>
              <w:t>For the Three Months Ended June 30,</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15,398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Energy Management segment revenue increased $1.0 million, or 6%, from $15.4 million for the fiscal 2011 first quarter to $16.4 million for the fiscal 2012 first quarter. The increase was due to increased sales of our HIF lighting systems to our wholesale customers.</w:t>
      </w:r>
    </w:p>
    <w:p>
      <w:pPr>
        <w:spacing w:after="0" w:line="14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Energy Management segment operating income increased $0.5 million, or 167%, from $0.3 million for the fiscal 2011 first quarter to $0.8 million for the fiscal 2012 first quarter. The increase in operating income was a result of additional revenue and improved gross margins on our HIF lighting systems.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Engineered Systems Segment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Engineered Systems segment operating results: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31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2"/>
              </w:rPr>
              <w:t>For the Three Months Ended June 30,</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Engineered Systems segment revenue increased $4.7 million, or 294%, from $1.6 million for the fiscal 2011 first quarter to $6.3 million for the fiscal 2012 first quarter. The increase was due to increased sales of solar renewable technologies. During the first quarter of fiscal 2011, our Engineered Systems segment efforts were focused on continuing to build sales pipeline and determination of the market for these renewable technologies within our customer base.</w:t>
      </w:r>
    </w:p>
    <w:p>
      <w:pPr>
        <w:spacing w:after="0" w:line="146"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Engineered Systems segment operating income increased $0.5 million, or 125%, from an operating loss of $0.4 million for the fiscal 2011 first quarter to operating income of $0.1 million for the fiscal 2012 first quarter. The increase in operating income was a result of the increased revenue volume and resulting contribution margin from sales of solar renewable energy systems.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We had approximately $12.6 million in cash and cash equivalents and $1.0 million in short-term investments as of June 30, 2011, compared to $11.6 million and $1.0 million at March 31, 2011. Our cash equivalents are invested in money market accounts with maturities of less than 90 days and an average yield of 0.2%. Our short-term investment account consists of a bank certificate of deposit in the amount of $1.0 million with an expiration date of September 2011 and a yield of 3.25%.</w:t>
      </w:r>
    </w:p>
    <w:p>
      <w:pPr>
        <w:spacing w:after="0" w:line="13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the fiscal 2012 first quarter, we completed a third tranche of debt funding in the amount of $2.8 million to finance our OTA projects. We have now secured multiple debt sources for our OTA finance contracts. We continue to pursue debt opportunities to support the anticipated growth of our OTA finance program. We believe that our existing cash and cash equivalents, our anticipated cash flows from operating activities and our borrowing capacity under our revolving credit facility will be sufficient to meet our anticipated cash needs for at least the next 12 months, dependent upon the growth of our OTA finance programs and the extent to which we support such contracts with our own cash.</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our cash flows for the three months ended June 30, 2010 and 2011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for the first quarter of fiscal 2012 was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consisted of net cash used for changes in operating assets and liabilities of $1.5 million and a net loss adjusted for non-cash expense items of 0.7 million. Cash used for changes in operating assets and liabilities consisted of an increase of $4.3 million in total accounts receivable due to the increase in revenue and OTA finance contracts completed during the quarter and a $2.7 million increase in inventory for purchases of solar panel inventory and increases in our work-in-process and lighting fixture inventories for orders that are expected to ship during the fiscal 2012 second quarter, offset by a $4.0 million increase in accounts payable, primarily due to inventory purchases.</w:t>
      </w:r>
    </w:p>
    <w:p>
      <w:pPr>
        <w:spacing w:after="0" w:line="16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Cash used in operating activities for the fiscal 2011 first quarter was $6.3 million and consisted of net cash used for changes in operating assets and liabilities of $5.9 million and a net loss adjusted for non-cash expense items of $0.4 million. Cash used for changes in operating assets and liabilities consisted of an increase of $4.0 million of inventory resulting from an increase of $1.8 million for purchases of wireless control inventories based upon our Phase 2 initiatives, a $1.5 million increase in solar panel inventories in anticipation of the receipt of customer purchase orders and an increase in ballast component inventories. The vast majority of our wireless components are assembled overseas and require longer delivery lead times. In addition, overseas suppliers require deposit payments at time of purchase order. During the fiscal 2011 first quarter, we continued to increase our inventory levels of key electronic components to avoid potential shortages and customer service issues as a result of lengthening supply lead times and product availability issues.</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fiscal 2012 first quarter, cash used in investing activities was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included a net $1.0 million for capital improvements related to our information technology systems, manufacturing and tooling improvements and facility investments.</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For the fiscal 2011 first quarter, cash used in investing activities was $0.8 million. This included $0.6 million for capital improvements related to our information technology systems, manufacturing and tooling improvements and facility investments and $0.2 million for a long-term investment.</w:t>
      </w:r>
    </w:p>
    <w:p>
      <w:pPr>
        <w:spacing w:after="0" w:line="154"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fiscal 2012 first quarter, cash flows provided by financing activities were</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This included $2.8 million in new debt borrowings to fund OTAs, $0.2 million for excess tax benefits from stock-based compensation and $0.1 million received from stock option and warrant exercises. Cash flows used in financing activities included $0.3 million for repayment of long-term debt.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For the fiscal 2011 first quarter, cash flows used in financing activities were $0.1 million. This included $0.1 million for repayment of long-term debt and $0.1 million for costs related to our new credit agreement. Cash flows provided by financing activities included proceeds of $0.1 million received from stock option exercises.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Our net working capital as of June 30, 2011 was $56.8 million, consisting of $79.0 million in current assets and $22.2 million in current liabilities. Our net working capital as of March 31, 2011 was $56.9 million, consisting of $73.1 million in current assets and $16.2 million in current liabilities. Our current accounts receivables increased from fiscal 2011 year-end by $2.3 million as a result of our increased sales activity and related revenue, including receivables from completed OTA contracts, during our fiscal 2012 first quarter. Our inventories increased from our fiscal 2011 year-end by $2.7 million due to a $1.5 million increase in solar panel inventories in anticipation of the receipt of customer purchase orders, a $0.5 million increase in our work-in process inventories for product orders to be delivered in our fiscal 2012 second quarter, a $0.4 million increase in raw materials to provide safety stock and a $0.3 million increase in finished goods for orders shipping in our fiscal 2012 second quarter.</w:t>
      </w:r>
    </w:p>
    <w:p>
      <w:pPr>
        <w:spacing w:after="0" w:line="13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fiscal 2011, we continued to increase our inventory levels of key electronic components, specifically electronic ballasts, to avoid potential shortages and customer service issues as a result of lengthening supply lead times and product availability issues. We continue to monitor supply side concerns within the electronic component market and believe that our current inventory levels are sufficient to protect us against the risk of being unable to deliver product as specified by our customers’ requirements. We are continually monitoring supply side concerns through conversations with our key vendors and currently believe that supply availability concerns appear to have moderated, but have not diminished to the point where we anticipate reducing safety stock to the levels that existed prior to the electrical components supply issues.</w:t>
      </w:r>
    </w:p>
    <w:p>
      <w:pPr>
        <w:spacing w:after="0" w:line="151"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On June 30 2010, we entered into a new credit agreement, or Credit Agreement, with JP Morgan Chase Bank, N.A., or JP Morgan. The Credit Agreement replaced our former credit agreement.</w:t>
      </w:r>
    </w:p>
    <w:p>
      <w:pPr>
        <w:spacing w:after="0" w:line="130"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Credit Agreement provides for a revolving credit facility, or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We also may cause JP Morgan to issue letters of credit for our account in the aggregate principal amount of up to $2.0 million, with the dollar amount of each issued letter of credit counting against the overall limit on borrowings under the Credit Facility. As of June 30, 2011, we had outstanding letters of credit totaling $1.7 million, primarily for securing collateral requirements under equipment operating leases. We had no outstanding borrowings under the Credit Agreement as of June 30, 2011. We were in compliance with all of our covenants under the Credit Agreement as of June 30, 2011.</w:t>
      </w:r>
    </w:p>
    <w:p>
      <w:pPr>
        <w:spacing w:after="0" w:line="15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photovoltaic and wind turbine systems or facilities, as well as all of our accounts receivable and assets related to the foregoing, are excluded from these liens.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did not meet the deposit requirement to waive the unused fee as of June 30, 2011.</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9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We expect to incur approximately $1.7 to $2.0 million in capital expenditures during the remainder of fiscal 2012, excluding capital to support expected OTA growth. We spent $1.0 million on capital expenditures during the first quarter of fiscal 2012 on information technologies and other tooling and equipment for new products and cost improvements in our manufacturing facility. Our capital spending plans predominantly consist of further cost improvements in our manufacturing facility, improvements to our building and headquarters, new product development and investment in information technology systems. We consider the investment in our information systems critical to our long-term success and our ability to ensure a strong control environment over financial reporting and operations. We expect to finance these capital expenditures primarily through our existing cash, equipment secured loans and leases, to the extent needed, long-term debt financing, or by using our available capacity under our Credit Facility.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is a summary of our long-term contractual obligations as of June 30, 2011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Less than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3-5 Years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7,931</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1,481</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8,879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Purchase order commitments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15,605</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12,743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33,896</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no off-balance sheet arrangements.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340" w:right="1679" w:firstLine="389"/>
        <w:spacing w:after="0" w:line="454" w:lineRule="auto"/>
        <w:rPr>
          <w:sz w:val="20"/>
          <w:szCs w:val="20"/>
          <w:color w:val="auto"/>
        </w:rPr>
      </w:pPr>
      <w:r>
        <w:rPr>
          <w:rFonts w:ascii="Arial" w:cs="Arial" w:eastAsia="Arial" w:hAnsi="Arial"/>
          <w:sz w:val="18"/>
          <w:szCs w:val="18"/>
          <w:color w:val="auto"/>
        </w:rPr>
        <w:t xml:space="preserve">Our results from operations have not been, and we do not expect them to be, materially affected by inflation. </w:t>
      </w:r>
      <w:r>
        <w:rPr>
          <w:rFonts w:ascii="Arial" w:cs="Arial" w:eastAsia="Arial" w:hAnsi="Arial"/>
          <w:sz w:val="18"/>
          <w:szCs w:val="18"/>
          <w:b w:val="1"/>
          <w:bCs w:val="1"/>
          <w:color w:val="auto"/>
        </w:rPr>
        <w:t>Critical Accounting Policies and Estimates</w:t>
      </w:r>
    </w:p>
    <w:p>
      <w:pPr>
        <w:jc w:val="both"/>
        <w:ind w:left="340" w:right="159" w:firstLine="389"/>
        <w:spacing w:after="0" w:line="28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2011. There have been no material changes in any of our accounting policies since March 31, 2011.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Our exposure to market risk was discussed in the “Quantitative and Qualitative Disclosures About Market Risk” section contained in our Annual Report on Form 10-K for the year ended March 31, 2011. There have been no material changes to such exposures since March 31, 2011.</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or the Exchange Act, as of the end of the quarter ended June 30, 2011 pursuant to Rule 13a-15(b) of the Exchange Act. Based upon their evaluation, our Chief Executive Officer and our Chief Financial Officer concluded that our disclosure controls and procedures were effective as of the end of the quarter ended June 30, 2011.</w:t>
      </w:r>
    </w:p>
    <w:p>
      <w:pPr>
        <w:spacing w:after="0" w:line="14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2011 that has materially affected, or is reasonably likely to materially affect, our internal control over financial reporting.</w:t>
      </w:r>
    </w:p>
    <w:p>
      <w:pPr>
        <w:spacing w:after="0" w:line="13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2011, which we filed with the SEC on July 22, 2011. During the three months ended June 30, 2011, there were no material changes to the risk factors that were disclosed in Part I — Item 1A under the heading “Risk Factors” in our Annual Report on Form 10-K for the fiscal year ended March 31, 2011.</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Statistical Data</w:t>
      </w:r>
    </w:p>
    <w:p>
      <w:pPr>
        <w:spacing w:after="0" w:line="189"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following table presents certain statistical data, cumulative from December 1, 2001 through June 30, 2011,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17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December 1, 2001</w:t>
            </w:r>
          </w:p>
        </w:tc>
      </w:tr>
      <w:tr>
        <w:trPr>
          <w:trHeight w:val="234"/>
        </w:trPr>
        <w:tc>
          <w:tcPr>
            <w:tcW w:w="17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Through June 30, 2011</w:t>
            </w:r>
          </w:p>
        </w:tc>
      </w:tr>
      <w:tr>
        <w:trPr>
          <w:trHeight w:val="210"/>
        </w:trPr>
        <w:tc>
          <w:tcPr>
            <w:tcW w:w="17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thousands, unaudited)</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Total units sold (including HIF lighting systems)</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Customer kilowatt hours saved(2)(3)</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16,712,441</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1,289,858</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10,859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1,084,824</w:t>
            </w:r>
          </w:p>
        </w:tc>
      </w:tr>
      <w:tr>
        <w:trPr>
          <w:trHeight w:val="189"/>
        </w:trPr>
        <w:tc>
          <w:tcPr>
            <w:tcW w:w="1740" w:type="dxa"/>
            <w:vAlign w:val="bottom"/>
            <w:tcBorders>
              <w:bottom w:val="single" w:sz="8" w:color="auto"/>
            </w:tcBorders>
          </w:tcPr>
          <w:p>
            <w:pPr>
              <w:spacing w:after="0"/>
              <w:rPr>
                <w:sz w:val="16"/>
                <w:szCs w:val="16"/>
                <w:color w:val="auto"/>
              </w:rPr>
            </w:pP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5"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“HIF lighting systems” includes all HIF units sold under the brand name “Compact Modular” and its predecessor, “Illuminator.”</w:t>
      </w:r>
    </w:p>
    <w:p>
      <w:pPr>
        <w:spacing w:after="0" w:line="99" w:lineRule="exact"/>
        <w:rPr>
          <w:rFonts w:ascii="Arial" w:cs="Arial" w:eastAsia="Arial" w:hAnsi="Arial"/>
          <w:sz w:val="16"/>
          <w:szCs w:val="16"/>
          <w:color w:val="auto"/>
        </w:rPr>
      </w:pPr>
    </w:p>
    <w:p>
      <w:pPr>
        <w:jc w:val="both"/>
        <w:ind w:left="720" w:right="159" w:hanging="388"/>
        <w:spacing w:after="0" w:line="269"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2.8 million units).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1380" w:hanging="388"/>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21" w:lineRule="exact"/>
        <w:rPr>
          <w:rFonts w:ascii="Arial" w:cs="Arial" w:eastAsia="Arial" w:hAnsi="Arial"/>
          <w:sz w:val="18"/>
          <w:szCs w:val="18"/>
          <w:color w:val="auto"/>
        </w:rPr>
      </w:pPr>
    </w:p>
    <w:p>
      <w:pPr>
        <w:jc w:val="both"/>
        <w:ind w:left="720" w:right="1360" w:hanging="388"/>
        <w:spacing w:after="0" w:line="31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calculate our customers’ electricity costs saved by multiplying the cumulative total customer kilowatt hours saved indicated in the table by $0.077 per kilowatt hour. The national average rate for 2010, which is the most current full year for which this information is available, was $0.0988 per kilowatt hour according to the United States Energy Information Administration.</w:t>
      </w:r>
    </w:p>
    <w:p>
      <w:pPr>
        <w:jc w:val="both"/>
        <w:ind w:left="720" w:right="1360" w:hanging="388"/>
        <w:spacing w:after="0" w:line="259"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38" w:lineRule="exact"/>
        <w:rPr>
          <w:sz w:val="20"/>
          <w:szCs w:val="20"/>
          <w:color w:val="auto"/>
        </w:rPr>
      </w:pPr>
    </w:p>
    <w:p>
      <w:pPr>
        <w:jc w:val="both"/>
        <w:ind w:left="720" w:right="1380" w:hanging="388"/>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2.8 million total units sold, which contain a total of approximately 14.0 million lamps. Each lamp illuminates approximately 75 square feet. The majority of our installed fixtures contain six lamps and typically illuminate approximately 450 square feet.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ind w:left="720"/>
              <w:spacing w:after="0"/>
              <w:rPr>
                <w:sz w:val="20"/>
                <w:szCs w:val="20"/>
                <w:color w:val="auto"/>
              </w:rPr>
            </w:pPr>
            <w:r>
              <w:rPr>
                <w:rFonts w:ascii="Arial" w:cs="Arial" w:eastAsia="Arial" w:hAnsi="Arial"/>
                <w:sz w:val="18"/>
                <w:szCs w:val="18"/>
                <w:b w:val="1"/>
                <w:bCs w:val="1"/>
                <w:color w:val="auto"/>
              </w:rPr>
              <w:t>(a) Exhibits</w:t>
            </w:r>
          </w:p>
        </w:tc>
        <w:tc>
          <w:tcPr>
            <w:tcW w:w="9660" w:type="dxa"/>
            <w:vAlign w:val="bottom"/>
          </w:tcPr>
          <w:p>
            <w:pPr>
              <w:spacing w:after="0"/>
              <w:rPr>
                <w:sz w:val="20"/>
                <w:szCs w:val="20"/>
                <w:color w:val="auto"/>
              </w:rPr>
            </w:pPr>
          </w:p>
        </w:tc>
      </w:tr>
      <w:tr>
        <w:trPr>
          <w:trHeight w:val="418"/>
        </w:trPr>
        <w:tc>
          <w:tcPr>
            <w:tcW w:w="1760" w:type="dxa"/>
            <w:vAlign w:val="bottom"/>
          </w:tcPr>
          <w:p>
            <w:pPr>
              <w:jc w:val="center"/>
              <w:ind w:left="90"/>
              <w:spacing w:after="0"/>
              <w:rPr>
                <w:sz w:val="20"/>
                <w:szCs w:val="20"/>
                <w:color w:val="auto"/>
              </w:rPr>
            </w:pPr>
            <w:r>
              <w:rPr>
                <w:rFonts w:ascii="Arial" w:cs="Arial" w:eastAsia="Arial" w:hAnsi="Arial"/>
                <w:sz w:val="18"/>
                <w:szCs w:val="18"/>
                <w:color w:val="auto"/>
                <w:w w:val="85"/>
              </w:rPr>
              <w:t>31.1</w:t>
            </w:r>
          </w:p>
        </w:tc>
        <w:tc>
          <w:tcPr>
            <w:tcW w:w="966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of Orion Energy Systems, Inc. pursuant to Rule 13a-14(a) or Rule 15d-</w:t>
            </w:r>
          </w:p>
        </w:tc>
      </w:tr>
      <w:tr>
        <w:trPr>
          <w:trHeight w:val="230"/>
        </w:trPr>
        <w:tc>
          <w:tcPr>
            <w:tcW w:w="1760" w:type="dxa"/>
            <w:vAlign w:val="bottom"/>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760" w:type="dxa"/>
            <w:vAlign w:val="bottom"/>
          </w:tcPr>
          <w:p>
            <w:pPr>
              <w:jc w:val="center"/>
              <w:ind w:left="90"/>
              <w:spacing w:after="0"/>
              <w:rPr>
                <w:sz w:val="20"/>
                <w:szCs w:val="20"/>
                <w:color w:val="auto"/>
              </w:rPr>
            </w:pPr>
            <w:r>
              <w:rPr>
                <w:rFonts w:ascii="Arial" w:cs="Arial" w:eastAsia="Arial" w:hAnsi="Arial"/>
                <w:sz w:val="18"/>
                <w:szCs w:val="18"/>
                <w:color w:val="auto"/>
                <w:w w:val="85"/>
              </w:rPr>
              <w:t>31.2</w:t>
            </w:r>
          </w:p>
        </w:tc>
        <w:tc>
          <w:tcPr>
            <w:tcW w:w="966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of Orion Energy Systems, Inc. pursuant to Rule 13a-14(a) or Rule 15d-</w:t>
            </w:r>
          </w:p>
        </w:tc>
      </w:tr>
      <w:tr>
        <w:trPr>
          <w:trHeight w:val="230"/>
        </w:trPr>
        <w:tc>
          <w:tcPr>
            <w:tcW w:w="1760" w:type="dxa"/>
            <w:vAlign w:val="bottom"/>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760" w:type="dxa"/>
            <w:vAlign w:val="bottom"/>
          </w:tcPr>
          <w:p>
            <w:pPr>
              <w:jc w:val="center"/>
              <w:ind w:left="90"/>
              <w:spacing w:after="0"/>
              <w:rPr>
                <w:sz w:val="20"/>
                <w:szCs w:val="20"/>
                <w:color w:val="auto"/>
              </w:rPr>
            </w:pPr>
            <w:r>
              <w:rPr>
                <w:rFonts w:ascii="Arial" w:cs="Arial" w:eastAsia="Arial" w:hAnsi="Arial"/>
                <w:sz w:val="18"/>
                <w:szCs w:val="18"/>
                <w:color w:val="auto"/>
                <w:w w:val="85"/>
              </w:rPr>
              <w:t>32.1</w:t>
            </w:r>
          </w:p>
        </w:tc>
        <w:tc>
          <w:tcPr>
            <w:tcW w:w="966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of Orion Energy Systems, Inc. pursuant to Rule 13a-14(b) promulgated</w:t>
            </w:r>
          </w:p>
        </w:tc>
      </w:tr>
      <w:tr>
        <w:trPr>
          <w:trHeight w:val="216"/>
        </w:trPr>
        <w:tc>
          <w:tcPr>
            <w:tcW w:w="1760" w:type="dxa"/>
            <w:vAlign w:val="bottom"/>
          </w:tcPr>
          <w:p>
            <w:pPr>
              <w:spacing w:after="0"/>
              <w:rPr>
                <w:sz w:val="18"/>
                <w:szCs w:val="18"/>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under the Securities Exchange Act of 1934, as amended, and 18 U.S.C. Section 1350, as adopted pursuant to</w:t>
            </w:r>
          </w:p>
        </w:tc>
      </w:tr>
      <w:tr>
        <w:trPr>
          <w:trHeight w:val="230"/>
        </w:trPr>
        <w:tc>
          <w:tcPr>
            <w:tcW w:w="1760" w:type="dxa"/>
            <w:vAlign w:val="bottom"/>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1760" w:type="dxa"/>
            <w:vAlign w:val="bottom"/>
          </w:tcPr>
          <w:p>
            <w:pPr>
              <w:jc w:val="center"/>
              <w:ind w:left="90"/>
              <w:spacing w:after="0"/>
              <w:rPr>
                <w:sz w:val="20"/>
                <w:szCs w:val="20"/>
                <w:color w:val="auto"/>
              </w:rPr>
            </w:pPr>
            <w:r>
              <w:rPr>
                <w:rFonts w:ascii="Arial" w:cs="Arial" w:eastAsia="Arial" w:hAnsi="Arial"/>
                <w:sz w:val="18"/>
                <w:szCs w:val="18"/>
                <w:color w:val="auto"/>
                <w:w w:val="85"/>
              </w:rPr>
              <w:t>32.2</w:t>
            </w:r>
          </w:p>
        </w:tc>
        <w:tc>
          <w:tcPr>
            <w:tcW w:w="966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of Orion Energy Systems, Inc. pursuant to Rule 13a-14(b) promulgated</w:t>
            </w:r>
          </w:p>
        </w:tc>
      </w:tr>
      <w:tr>
        <w:trPr>
          <w:trHeight w:val="216"/>
        </w:trPr>
        <w:tc>
          <w:tcPr>
            <w:tcW w:w="1760" w:type="dxa"/>
            <w:vAlign w:val="bottom"/>
          </w:tcPr>
          <w:p>
            <w:pPr>
              <w:spacing w:after="0"/>
              <w:rPr>
                <w:sz w:val="18"/>
                <w:szCs w:val="18"/>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under the Securities Exchange Act of 1934, as amended, and 18 U.S.C. Section 1350, as adopted pursuant to</w:t>
            </w:r>
          </w:p>
        </w:tc>
      </w:tr>
      <w:tr>
        <w:trPr>
          <w:trHeight w:val="230"/>
        </w:trPr>
        <w:tc>
          <w:tcPr>
            <w:tcW w:w="1760" w:type="dxa"/>
            <w:vAlign w:val="bottom"/>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760" w:type="dxa"/>
            <w:vAlign w:val="bottom"/>
          </w:tcPr>
          <w:p>
            <w:pPr>
              <w:jc w:val="center"/>
              <w:ind w:left="70"/>
              <w:spacing w:after="0"/>
              <w:rPr>
                <w:sz w:val="20"/>
                <w:szCs w:val="20"/>
                <w:color w:val="auto"/>
              </w:rPr>
            </w:pPr>
            <w:r>
              <w:rPr>
                <w:rFonts w:ascii="Arial" w:cs="Arial" w:eastAsia="Arial" w:hAnsi="Arial"/>
                <w:sz w:val="18"/>
                <w:szCs w:val="18"/>
                <w:color w:val="auto"/>
                <w:w w:val="92"/>
              </w:rPr>
              <w:t>101.INS</w:t>
            </w:r>
          </w:p>
        </w:tc>
        <w:tc>
          <w:tcPr>
            <w:tcW w:w="966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1760" w:type="dxa"/>
            <w:vAlign w:val="bottom"/>
          </w:tcPr>
          <w:p>
            <w:pPr>
              <w:jc w:val="center"/>
              <w:ind w:left="90"/>
              <w:spacing w:after="0"/>
              <w:rPr>
                <w:sz w:val="20"/>
                <w:szCs w:val="20"/>
                <w:color w:val="auto"/>
              </w:rPr>
            </w:pPr>
            <w:r>
              <w:rPr>
                <w:rFonts w:ascii="Arial" w:cs="Arial" w:eastAsia="Arial" w:hAnsi="Arial"/>
                <w:sz w:val="18"/>
                <w:szCs w:val="18"/>
                <w:color w:val="auto"/>
                <w:w w:val="90"/>
              </w:rPr>
              <w:t>101.SCH</w:t>
            </w:r>
          </w:p>
        </w:tc>
        <w:tc>
          <w:tcPr>
            <w:tcW w:w="9660" w:type="dxa"/>
            <w:vAlign w:val="bottom"/>
          </w:tcPr>
          <w:p>
            <w:pPr>
              <w:ind w:left="120"/>
              <w:spacing w:after="0"/>
              <w:rPr>
                <w:sz w:val="20"/>
                <w:szCs w:val="20"/>
                <w:color w:val="auto"/>
              </w:rPr>
            </w:pPr>
            <w:r>
              <w:rPr>
                <w:rFonts w:ascii="Arial" w:cs="Arial" w:eastAsia="Arial" w:hAnsi="Arial"/>
                <w:sz w:val="18"/>
                <w:szCs w:val="18"/>
                <w:color w:val="auto"/>
              </w:rPr>
              <w:t>Taxonomy extension schema document</w:t>
            </w:r>
          </w:p>
        </w:tc>
      </w:tr>
      <w:tr>
        <w:trPr>
          <w:trHeight w:val="432"/>
        </w:trPr>
        <w:tc>
          <w:tcPr>
            <w:tcW w:w="1760" w:type="dxa"/>
            <w:vAlign w:val="bottom"/>
          </w:tcPr>
          <w:p>
            <w:pPr>
              <w:jc w:val="center"/>
              <w:ind w:left="70"/>
              <w:spacing w:after="0"/>
              <w:rPr>
                <w:sz w:val="20"/>
                <w:szCs w:val="20"/>
                <w:color w:val="auto"/>
              </w:rPr>
            </w:pPr>
            <w:r>
              <w:rPr>
                <w:rFonts w:ascii="Arial" w:cs="Arial" w:eastAsia="Arial" w:hAnsi="Arial"/>
                <w:sz w:val="18"/>
                <w:szCs w:val="18"/>
                <w:color w:val="auto"/>
                <w:w w:val="97"/>
              </w:rPr>
              <w:t>101.CAL</w:t>
            </w:r>
          </w:p>
        </w:tc>
        <w:tc>
          <w:tcPr>
            <w:tcW w:w="9660" w:type="dxa"/>
            <w:vAlign w:val="bottom"/>
          </w:tcPr>
          <w:p>
            <w:pPr>
              <w:ind w:left="120"/>
              <w:spacing w:after="0"/>
              <w:rPr>
                <w:sz w:val="20"/>
                <w:szCs w:val="20"/>
                <w:color w:val="auto"/>
              </w:rPr>
            </w:pPr>
            <w:r>
              <w:rPr>
                <w:rFonts w:ascii="Arial" w:cs="Arial" w:eastAsia="Arial" w:hAnsi="Arial"/>
                <w:sz w:val="18"/>
                <w:szCs w:val="18"/>
                <w:color w:val="auto"/>
              </w:rPr>
              <w:t>Taxonomy extension calculation linkbase document</w:t>
            </w:r>
          </w:p>
        </w:tc>
      </w:tr>
      <w:tr>
        <w:trPr>
          <w:trHeight w:val="432"/>
        </w:trPr>
        <w:tc>
          <w:tcPr>
            <w:tcW w:w="1760" w:type="dxa"/>
            <w:vAlign w:val="bottom"/>
          </w:tcPr>
          <w:p>
            <w:pPr>
              <w:jc w:val="center"/>
              <w:ind w:left="70"/>
              <w:spacing w:after="0"/>
              <w:rPr>
                <w:sz w:val="20"/>
                <w:szCs w:val="20"/>
                <w:color w:val="auto"/>
              </w:rPr>
            </w:pPr>
            <w:r>
              <w:rPr>
                <w:rFonts w:ascii="Arial" w:cs="Arial" w:eastAsia="Arial" w:hAnsi="Arial"/>
                <w:sz w:val="18"/>
                <w:szCs w:val="18"/>
                <w:color w:val="auto"/>
                <w:w w:val="98"/>
              </w:rPr>
              <w:t>101.LAB</w:t>
            </w:r>
          </w:p>
        </w:tc>
        <w:tc>
          <w:tcPr>
            <w:tcW w:w="9660" w:type="dxa"/>
            <w:vAlign w:val="bottom"/>
          </w:tcPr>
          <w:p>
            <w:pPr>
              <w:ind w:left="120"/>
              <w:spacing w:after="0"/>
              <w:rPr>
                <w:sz w:val="20"/>
                <w:szCs w:val="20"/>
                <w:color w:val="auto"/>
              </w:rPr>
            </w:pPr>
            <w:r>
              <w:rPr>
                <w:rFonts w:ascii="Arial" w:cs="Arial" w:eastAsia="Arial" w:hAnsi="Arial"/>
                <w:sz w:val="18"/>
                <w:szCs w:val="18"/>
                <w:color w:val="auto"/>
              </w:rPr>
              <w:t>Taxonomy extension label linkbase document</w:t>
            </w:r>
          </w:p>
        </w:tc>
      </w:tr>
      <w:tr>
        <w:trPr>
          <w:trHeight w:val="432"/>
        </w:trPr>
        <w:tc>
          <w:tcPr>
            <w:tcW w:w="1760" w:type="dxa"/>
            <w:vAlign w:val="bottom"/>
          </w:tcPr>
          <w:p>
            <w:pPr>
              <w:jc w:val="center"/>
              <w:ind w:left="70"/>
              <w:spacing w:after="0"/>
              <w:rPr>
                <w:sz w:val="20"/>
                <w:szCs w:val="20"/>
                <w:color w:val="auto"/>
              </w:rPr>
            </w:pPr>
            <w:r>
              <w:rPr>
                <w:rFonts w:ascii="Arial" w:cs="Arial" w:eastAsia="Arial" w:hAnsi="Arial"/>
                <w:sz w:val="18"/>
                <w:szCs w:val="18"/>
                <w:color w:val="auto"/>
                <w:w w:val="88"/>
              </w:rPr>
              <w:t>101.PRE</w:t>
            </w:r>
          </w:p>
        </w:tc>
        <w:tc>
          <w:tcPr>
            <w:tcW w:w="9660" w:type="dxa"/>
            <w:vAlign w:val="bottom"/>
          </w:tcPr>
          <w:p>
            <w:pPr>
              <w:ind w:left="120"/>
              <w:spacing w:after="0"/>
              <w:rPr>
                <w:sz w:val="20"/>
                <w:szCs w:val="20"/>
                <w:color w:val="auto"/>
              </w:rPr>
            </w:pPr>
            <w:r>
              <w:rPr>
                <w:rFonts w:ascii="Arial" w:cs="Arial" w:eastAsia="Arial" w:hAnsi="Arial"/>
                <w:sz w:val="18"/>
                <w:szCs w:val="18"/>
                <w:color w:val="auto"/>
              </w:rPr>
              <w:t>Taxonomy extension presentation linkbase document</w:t>
            </w:r>
          </w:p>
        </w:tc>
      </w:tr>
      <w:tr>
        <w:trPr>
          <w:trHeight w:val="797"/>
        </w:trPr>
        <w:tc>
          <w:tcPr>
            <w:tcW w:w="1760" w:type="dxa"/>
            <w:vAlign w:val="bottom"/>
          </w:tcPr>
          <w:p>
            <w:pPr>
              <w:spacing w:after="0"/>
              <w:rPr>
                <w:sz w:val="24"/>
                <w:szCs w:val="24"/>
                <w:color w:val="auto"/>
              </w:rPr>
            </w:pPr>
          </w:p>
        </w:tc>
        <w:tc>
          <w:tcPr>
            <w:tcW w:w="9660" w:type="dxa"/>
            <w:vAlign w:val="bottom"/>
          </w:tcPr>
          <w:p>
            <w:pPr>
              <w:ind w:left="3340"/>
              <w:spacing w:after="0"/>
              <w:rPr>
                <w:sz w:val="20"/>
                <w:szCs w:val="20"/>
                <w:color w:val="auto"/>
              </w:rPr>
            </w:pPr>
            <w:r>
              <w:rPr>
                <w:rFonts w:ascii="Arial" w:cs="Arial" w:eastAsia="Arial" w:hAnsi="Arial"/>
                <w:sz w:val="18"/>
                <w:szCs w:val="18"/>
                <w:color w:val="auto"/>
              </w:rPr>
              <w:t>32</w:t>
            </w:r>
          </w:p>
        </w:tc>
      </w:tr>
      <w:tr>
        <w:trPr>
          <w:trHeight w:val="226"/>
        </w:trPr>
        <w:tc>
          <w:tcPr>
            <w:tcW w:w="1760" w:type="dxa"/>
            <w:vAlign w:val="bottom"/>
            <w:tcBorders>
              <w:bottom w:val="single" w:sz="8" w:color="808080"/>
            </w:tcBorders>
          </w:tcPr>
          <w:p>
            <w:pPr>
              <w:spacing w:after="0"/>
              <w:rPr>
                <w:sz w:val="19"/>
                <w:szCs w:val="19"/>
                <w:color w:val="auto"/>
              </w:rPr>
            </w:pPr>
          </w:p>
        </w:tc>
        <w:tc>
          <w:tcPr>
            <w:tcW w:w="9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9, 2011.</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-130810</wp:posOffset>
            </wp:positionV>
            <wp:extent cx="2529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Index to Form 10-Q for the Period Ended June 30, 2011</w:t>
            </w:r>
          </w:p>
        </w:tc>
        <w:tc>
          <w:tcPr>
            <w:tcW w:w="2300" w:type="dxa"/>
            <w:vAlign w:val="bottom"/>
          </w:tcPr>
          <w:p>
            <w:pPr>
              <w:spacing w:after="0"/>
              <w:rPr>
                <w:sz w:val="24"/>
                <w:szCs w:val="24"/>
                <w:color w:val="auto"/>
              </w:rPr>
            </w:pPr>
          </w:p>
        </w:tc>
      </w:tr>
      <w:tr>
        <w:trPr>
          <w:trHeight w:val="438"/>
        </w:trPr>
        <w:tc>
          <w:tcPr>
            <w:tcW w:w="1360" w:type="dxa"/>
            <w:vAlign w:val="bottom"/>
          </w:tcPr>
          <w:p>
            <w:pPr>
              <w:jc w:val="center"/>
              <w:ind w:left="490"/>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24"/>
                <w:szCs w:val="24"/>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360" w:type="dxa"/>
            <w:vAlign w:val="bottom"/>
          </w:tcPr>
          <w:p>
            <w:pPr>
              <w:jc w:val="center"/>
              <w:ind w:left="490"/>
              <w:spacing w:after="0"/>
              <w:rPr>
                <w:sz w:val="20"/>
                <w:szCs w:val="20"/>
                <w:color w:val="auto"/>
              </w:rPr>
            </w:pPr>
            <w:r>
              <w:rPr>
                <w:rFonts w:ascii="Arial" w:cs="Arial" w:eastAsia="Arial" w:hAnsi="Arial"/>
                <w:sz w:val="18"/>
                <w:szCs w:val="18"/>
                <w:color w:val="auto"/>
                <w:w w:val="85"/>
              </w:rPr>
              <w:t>31.2</w:t>
            </w:r>
          </w:p>
        </w:tc>
        <w:tc>
          <w:tcPr>
            <w:tcW w:w="260" w:type="dxa"/>
            <w:vAlign w:val="bottom"/>
          </w:tcPr>
          <w:p>
            <w:pPr>
              <w:spacing w:after="0"/>
              <w:rPr>
                <w:sz w:val="24"/>
                <w:szCs w:val="24"/>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14(a) promulgated under the Securities Exchange Act of 1934, as amended.</w:t>
            </w:r>
          </w:p>
        </w:tc>
      </w:tr>
      <w:tr>
        <w:trPr>
          <w:trHeight w:val="418"/>
        </w:trPr>
        <w:tc>
          <w:tcPr>
            <w:tcW w:w="1360" w:type="dxa"/>
            <w:vAlign w:val="bottom"/>
          </w:tcPr>
          <w:p>
            <w:pPr>
              <w:jc w:val="center"/>
              <w:ind w:left="490"/>
              <w:spacing w:after="0"/>
              <w:rPr>
                <w:sz w:val="20"/>
                <w:szCs w:val="20"/>
                <w:color w:val="auto"/>
              </w:rPr>
            </w:pPr>
            <w:r>
              <w:rPr>
                <w:rFonts w:ascii="Arial" w:cs="Arial" w:eastAsia="Arial" w:hAnsi="Arial"/>
                <w:sz w:val="18"/>
                <w:szCs w:val="18"/>
                <w:color w:val="auto"/>
                <w:w w:val="85"/>
              </w:rPr>
              <w:t>32.1</w:t>
            </w:r>
          </w:p>
        </w:tc>
        <w:tc>
          <w:tcPr>
            <w:tcW w:w="260" w:type="dxa"/>
            <w:vAlign w:val="bottom"/>
          </w:tcPr>
          <w:p>
            <w:pPr>
              <w:spacing w:after="0"/>
              <w:rPr>
                <w:sz w:val="24"/>
                <w:szCs w:val="24"/>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13a-14(b) promulgated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1"/>
              </w:rPr>
              <w:t>under the Securities Exchange Act of 1934, as amended, and 18 U.S.C. Section 1350, as adopted pursuant to</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1360" w:type="dxa"/>
            <w:vAlign w:val="bottom"/>
          </w:tcPr>
          <w:p>
            <w:pPr>
              <w:jc w:val="center"/>
              <w:ind w:left="490"/>
              <w:spacing w:after="0"/>
              <w:rPr>
                <w:sz w:val="20"/>
                <w:szCs w:val="20"/>
                <w:color w:val="auto"/>
              </w:rPr>
            </w:pPr>
            <w:r>
              <w:rPr>
                <w:rFonts w:ascii="Arial" w:cs="Arial" w:eastAsia="Arial" w:hAnsi="Arial"/>
                <w:sz w:val="18"/>
                <w:szCs w:val="18"/>
                <w:color w:val="auto"/>
                <w:w w:val="85"/>
              </w:rPr>
              <w:t>32.2</w:t>
            </w:r>
          </w:p>
        </w:tc>
        <w:tc>
          <w:tcPr>
            <w:tcW w:w="260" w:type="dxa"/>
            <w:vAlign w:val="bottom"/>
          </w:tcPr>
          <w:p>
            <w:pPr>
              <w:spacing w:after="0"/>
              <w:rPr>
                <w:sz w:val="24"/>
                <w:szCs w:val="24"/>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13a-14(b) promulgated</w:t>
            </w: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w w:val="91"/>
              </w:rPr>
              <w:t>under the Securities Exchange Act of 1934, as amended, and 18 U.S.C. Section 1350, as adopted pursuant to</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6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101.INS</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16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101.SCH</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Taxonomy extension schema document</w:t>
            </w:r>
          </w:p>
        </w:tc>
      </w:tr>
      <w:tr>
        <w:trPr>
          <w:trHeight w:val="432"/>
        </w:trPr>
        <w:tc>
          <w:tcPr>
            <w:tcW w:w="1620" w:type="dxa"/>
            <w:vAlign w:val="bottom"/>
            <w:gridSpan w:val="2"/>
          </w:tcPr>
          <w:p>
            <w:pPr>
              <w:jc w:val="center"/>
              <w:ind w:left="210"/>
              <w:spacing w:after="0"/>
              <w:rPr>
                <w:sz w:val="20"/>
                <w:szCs w:val="20"/>
                <w:color w:val="auto"/>
              </w:rPr>
            </w:pPr>
            <w:r>
              <w:rPr>
                <w:rFonts w:ascii="Arial" w:cs="Arial" w:eastAsia="Arial" w:hAnsi="Arial"/>
                <w:sz w:val="18"/>
                <w:szCs w:val="18"/>
                <w:color w:val="auto"/>
                <w:w w:val="97"/>
              </w:rPr>
              <w:t>101.CAL</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Taxonomy extension calculation linkbase document</w:t>
            </w:r>
          </w:p>
        </w:tc>
      </w:tr>
      <w:tr>
        <w:trPr>
          <w:trHeight w:val="432"/>
        </w:trPr>
        <w:tc>
          <w:tcPr>
            <w:tcW w:w="162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101.LAB</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Taxonomy extension label linkbase document</w:t>
            </w:r>
          </w:p>
        </w:tc>
      </w:tr>
      <w:tr>
        <w:trPr>
          <w:trHeight w:val="432"/>
        </w:trPr>
        <w:tc>
          <w:tcPr>
            <w:tcW w:w="16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101.PRE</w:t>
            </w:r>
          </w:p>
        </w:tc>
        <w:tc>
          <w:tcPr>
            <w:tcW w:w="8320" w:type="dxa"/>
            <w:vAlign w:val="bottom"/>
            <w:gridSpan w:val="3"/>
          </w:tcPr>
          <w:p>
            <w:pPr>
              <w:ind w:left="260"/>
              <w:spacing w:after="0"/>
              <w:rPr>
                <w:sz w:val="20"/>
                <w:szCs w:val="20"/>
                <w:color w:val="auto"/>
              </w:rPr>
            </w:pPr>
            <w:r>
              <w:rPr>
                <w:rFonts w:ascii="Arial" w:cs="Arial" w:eastAsia="Arial" w:hAnsi="Arial"/>
                <w:sz w:val="18"/>
                <w:szCs w:val="18"/>
                <w:color w:val="auto"/>
              </w:rPr>
              <w:t>Taxonomy extension presentation linkbase document</w:t>
            </w:r>
          </w:p>
        </w:tc>
      </w:tr>
      <w:tr>
        <w:trPr>
          <w:trHeight w:val="797"/>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20" w:type="dxa"/>
            <w:vAlign w:val="bottom"/>
            <w:gridSpan w:val="2"/>
          </w:tcPr>
          <w:p>
            <w:pPr>
              <w:ind w:left="3480"/>
              <w:spacing w:after="0"/>
              <w:rPr>
                <w:sz w:val="20"/>
                <w:szCs w:val="20"/>
                <w:color w:val="auto"/>
              </w:rPr>
            </w:pPr>
            <w:r>
              <w:rPr>
                <w:rFonts w:ascii="Arial" w:cs="Arial" w:eastAsia="Arial" w:hAnsi="Arial"/>
                <w:sz w:val="18"/>
                <w:szCs w:val="18"/>
                <w:color w:val="auto"/>
              </w:rPr>
              <w:t>34</w:t>
            </w:r>
          </w:p>
        </w:tc>
        <w:tc>
          <w:tcPr>
            <w:tcW w:w="2300" w:type="dxa"/>
            <w:vAlign w:val="bottom"/>
          </w:tcPr>
          <w:p>
            <w:pPr>
              <w:spacing w:after="0"/>
              <w:rPr>
                <w:sz w:val="24"/>
                <w:szCs w:val="24"/>
                <w:color w:val="auto"/>
              </w:rPr>
            </w:pPr>
          </w:p>
        </w:tc>
      </w:tr>
    </w:tbl>
    <w:p>
      <w:pPr>
        <w:sectPr>
          <w:pgSz w:w="11900" w:h="16838" w:orient="portrait"/>
          <w:cols w:equalWidth="0" w:num="1">
            <w:col w:w="10219"/>
          </w:cols>
          <w:pgMar w:left="240" w:top="405"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I, Neal R. Verfuerth, certify that:</w:t>
      </w:r>
    </w:p>
    <w:p>
      <w:pPr>
        <w:spacing w:after="0" w:line="185" w:lineRule="exact"/>
        <w:rPr>
          <w:sz w:val="20"/>
          <w:szCs w:val="20"/>
          <w:color w:val="auto"/>
        </w:rPr>
      </w:pPr>
    </w:p>
    <w:p>
      <w:pPr>
        <w:ind w:left="188" w:hanging="188"/>
        <w:spacing w:after="0"/>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84" w:lineRule="exact"/>
        <w:rPr>
          <w:rFonts w:ascii="Arial" w:cs="Arial" w:eastAsia="Arial" w:hAnsi="Arial"/>
          <w:sz w:val="18"/>
          <w:szCs w:val="18"/>
          <w:color w:val="auto"/>
        </w:rPr>
      </w:pPr>
    </w:p>
    <w:p>
      <w:pPr>
        <w:ind w:left="8" w:right="459" w:hanging="8"/>
        <w:spacing w:after="0" w:line="264"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8" w:right="359" w:hanging="8"/>
        <w:spacing w:after="0" w:line="264"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8" w:right="199" w:hanging="8"/>
        <w:spacing w:after="0" w:line="264"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8" w:right="299"/>
        <w:spacing w:after="0" w:line="286" w:lineRule="auto"/>
        <w:rPr>
          <w:sz w:val="20"/>
          <w:szCs w:val="20"/>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sz w:val="20"/>
          <w:szCs w:val="20"/>
          <w:color w:val="auto"/>
        </w:rPr>
      </w:pPr>
    </w:p>
    <w:p>
      <w:pPr>
        <w:ind w:left="8" w:right="179"/>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sz w:val="20"/>
          <w:szCs w:val="20"/>
          <w:color w:val="auto"/>
        </w:rPr>
      </w:pPr>
    </w:p>
    <w:p>
      <w:pPr>
        <w:jc w:val="both"/>
        <w:ind w:left="8" w:right="199"/>
        <w:spacing w:after="0" w:line="264"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sz w:val="20"/>
          <w:szCs w:val="20"/>
          <w:color w:val="auto"/>
        </w:rPr>
      </w:pPr>
    </w:p>
    <w:p>
      <w:pPr>
        <w:ind w:left="8" w:right="379"/>
        <w:spacing w:after="0" w:line="286" w:lineRule="auto"/>
        <w:rPr>
          <w:sz w:val="20"/>
          <w:szCs w:val="20"/>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left="8" w:right="319" w:hanging="8"/>
        <w:spacing w:after="0" w:line="264" w:lineRule="auto"/>
        <w:tabs>
          <w:tab w:leader="none" w:pos="1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left="8" w:right="239"/>
        <w:spacing w:after="0" w:line="342"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ind w:left="8" w:right="499"/>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9, 2011</w:t>
      </w:r>
    </w:p>
    <w:p>
      <w:pPr>
        <w:spacing w:after="0" w:line="225"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-130810</wp:posOffset>
            </wp:positionV>
            <wp:extent cx="22809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87"/>
          </w:cols>
          <w:pgMar w:left="572" w:top="121"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Scott R. Jensen, certify that:</w:t>
      </w:r>
    </w:p>
    <w:p>
      <w:pPr>
        <w:spacing w:after="0" w:line="185" w:lineRule="exact"/>
        <w:rPr>
          <w:sz w:val="20"/>
          <w:szCs w:val="20"/>
          <w:color w:val="auto"/>
        </w:rPr>
      </w:pPr>
    </w:p>
    <w:p>
      <w:pPr>
        <w:ind w:left="188" w:hanging="188"/>
        <w:spacing w:after="0"/>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84" w:lineRule="exact"/>
        <w:rPr>
          <w:rFonts w:ascii="Arial" w:cs="Arial" w:eastAsia="Arial" w:hAnsi="Arial"/>
          <w:sz w:val="18"/>
          <w:szCs w:val="18"/>
          <w:color w:val="auto"/>
        </w:rPr>
      </w:pPr>
    </w:p>
    <w:p>
      <w:pPr>
        <w:ind w:left="8" w:right="459" w:hanging="8"/>
        <w:spacing w:after="0" w:line="264"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8" w:right="359" w:hanging="8"/>
        <w:spacing w:after="0" w:line="264"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8" w:right="199" w:hanging="8"/>
        <w:spacing w:after="0" w:line="264"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8" w:right="299"/>
        <w:spacing w:after="0" w:line="286" w:lineRule="auto"/>
        <w:rPr>
          <w:sz w:val="20"/>
          <w:szCs w:val="20"/>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sz w:val="20"/>
          <w:szCs w:val="20"/>
          <w:color w:val="auto"/>
        </w:rPr>
      </w:pPr>
    </w:p>
    <w:p>
      <w:pPr>
        <w:ind w:left="8" w:right="179"/>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sz w:val="20"/>
          <w:szCs w:val="20"/>
          <w:color w:val="auto"/>
        </w:rPr>
      </w:pPr>
    </w:p>
    <w:p>
      <w:pPr>
        <w:jc w:val="both"/>
        <w:ind w:left="8" w:right="199"/>
        <w:spacing w:after="0" w:line="264"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sz w:val="20"/>
          <w:szCs w:val="20"/>
          <w:color w:val="auto"/>
        </w:rPr>
      </w:pPr>
    </w:p>
    <w:p>
      <w:pPr>
        <w:ind w:left="8" w:right="379"/>
        <w:spacing w:after="0" w:line="286" w:lineRule="auto"/>
        <w:rPr>
          <w:sz w:val="20"/>
          <w:szCs w:val="20"/>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left="8" w:right="319" w:hanging="8"/>
        <w:spacing w:after="0" w:line="264" w:lineRule="auto"/>
        <w:tabs>
          <w:tab w:leader="none" w:pos="1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left="8" w:right="239"/>
        <w:spacing w:after="0" w:line="342"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ind w:left="8" w:right="499"/>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9, 2011</w:t>
      </w:r>
    </w:p>
    <w:p>
      <w:pPr>
        <w:spacing w:after="0" w:line="225"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-130810</wp:posOffset>
            </wp:positionV>
            <wp:extent cx="2280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87"/>
          </w:cols>
          <w:pgMar w:left="572" w:top="121"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CEO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June 30, 2011,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146" w:lineRule="exact"/>
        <w:rPr>
          <w:sz w:val="20"/>
          <w:szCs w:val="20"/>
          <w:color w:val="auto"/>
        </w:rPr>
      </w:pPr>
    </w:p>
    <w:p>
      <w:pPr>
        <w:ind w:left="740" w:hanging="370"/>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Date: August 9, 2011</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Neal R. Verfuerth</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CFO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June 30, 2011,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46" w:lineRule="exact"/>
        <w:rPr>
          <w:sz w:val="20"/>
          <w:szCs w:val="20"/>
          <w:color w:val="auto"/>
        </w:rPr>
      </w:pPr>
    </w:p>
    <w:p>
      <w:pPr>
        <w:ind w:left="740" w:hanging="370"/>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Date: August 9, 2011</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470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lowerRoman"/>
      <w:start w:val="10"/>
    </w:lvl>
  </w:abstractNum>
  <w:abstractNum w:abstractNumId="5">
    <w:nsid w:val="66EF438D"/>
    <w:multiLevelType w:val="hybridMultilevel"/>
    <w:lvl w:ilvl="0">
      <w:lvlJc w:val="left"/>
      <w:lvlText w:val="(%1)"/>
      <w:numFmt w:val="lowerRoman"/>
      <w:start w:val="5"/>
    </w:lvl>
  </w:abstractNum>
  <w:abstractNum w:abstractNumId="6">
    <w:nsid w:val="140E0F76"/>
    <w:multiLevelType w:val="hybridMultilevel"/>
    <w:lvl w:ilvl="0">
      <w:lvlJc w:val="left"/>
      <w:lvlText w:val="(%1)"/>
      <w:numFmt w:val="lowerRoman"/>
      <w:start w:val="4"/>
    </w:lvl>
  </w:abstractNum>
  <w:abstractNum w:abstractNumId="7">
    <w:nsid w:val="3352255A"/>
    <w:multiLevelType w:val="hybridMultilevel"/>
    <w:lvl w:ilvl="0">
      <w:lvlJc w:val="left"/>
      <w:lvlText w:val="(%1)"/>
      <w:numFmt w:val="lowerRoman"/>
      <w:start w:val="7"/>
    </w:lvl>
  </w:abstractNum>
  <w:abstractNum w:abstractNumId="8">
    <w:nsid w:val="109CF92E"/>
    <w:multiLevelType w:val="hybridMultilevel"/>
    <w:lvl w:ilvl="0">
      <w:lvlJc w:val="left"/>
      <w:lvlText w:val="(%1)"/>
      <w:numFmt w:val="lowerRoman"/>
      <w:start w:val="3"/>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2019-12-11T05:05:39Z</dcterms:created>
  <dcterms:modified xsi:type="dcterms:W3CDTF">2019-12-11T05:05:39Z</dcterms:modified>
</cp:coreProperties>
</file>