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 w:hAnsi="Times New Roman"/>
          <w:b/>
          <w:color w:val="000000"/>
          <w:sz w:val="16"/>
        </w:rPr>
      </w:pPr>
      <w:bookmarkStart w:id="0" w:name="oesx-20260807.htm"/>
      <w:bookmarkStart w:id="1" w:name="ksoesx20260807"/>
      <w:bookmarkEnd w:id="0"/>
      <w:bookmarkEnd w:id="1"/>
      <w:r>
        <w:rPr>
          <w:rFonts w:ascii="Times New Roman" w:hAnsi="Times New Roman"/>
          <w:b/>
          <w:color w:val="000000"/>
          <w:sz w:val="16"/>
        </w:rPr>
        <w:t>Registration No. 333-_________</w:t>
      </w:r>
    </w:p>
    <w:p>
      <w:pPr>
        <w:pStyle w:val="TextBody"/>
        <w:bidi w:val="0"/>
        <w:jc w:val="center"/>
        <w:rPr>
          <w:rFonts w:ascii="Times New Roman" w:hAnsi="Times New Roman"/>
          <w:b/>
          <w:color w:val="000000"/>
          <w:sz w:val="16"/>
        </w:rPr>
      </w:pPr>
      <w:r>
        <w:rPr>
          <w:rFonts w:ascii="Times New Roman" w:hAnsi="Times New Roman"/>
          <w:b/>
          <w:color w:val="000000"/>
          <w:sz w:val="16"/>
        </w:rPr>
        <w:t>As filed with the United States Securities and Exchange Commission on August 7, 2026</w:t>
      </w:r>
    </w:p>
    <w:p>
      <w:pPr>
        <w:pStyle w:val="TextBody"/>
        <w:pBdr>
          <w:bottom w:val="double" w:sz="4" w:space="1" w:color="000000"/>
        </w:pBdr>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UNITED STATES</w:t>
      </w:r>
    </w:p>
    <w:p>
      <w:pPr>
        <w:pStyle w:val="TextBody"/>
        <w:bidi w:val="0"/>
        <w:jc w:val="center"/>
        <w:rPr>
          <w:rFonts w:ascii="Times New Roman" w:hAnsi="Times New Roman"/>
          <w:b/>
          <w:color w:val="000000"/>
          <w:sz w:val="22"/>
        </w:rPr>
      </w:pPr>
      <w:r>
        <w:rPr>
          <w:rFonts w:ascii="Times New Roman" w:hAnsi="Times New Roman"/>
          <w:b/>
          <w:color w:val="000000"/>
          <w:sz w:val="2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FORM S-8</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 xml:space="preserve">REGISTRATION STATEMENT </w:t>
      </w:r>
      <w:r>
        <w:rPr>
          <w:rFonts w:ascii="Times New Roman" w:hAnsi="Times New Roman"/>
          <w:b/>
          <w:i/>
          <w:color w:val="000000"/>
          <w:sz w:val="22"/>
        </w:rPr>
        <w:t>UNDER THE SECURITIES ACT OF 1933</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Orion Energy Systems,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4321"/>
        <w:gridCol w:w="146"/>
        <w:gridCol w:w="2986"/>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39-1847269</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number)</w:t>
            </w:r>
          </w:p>
        </w:tc>
      </w:tr>
    </w:tbl>
    <w:p>
      <w:pPr>
        <w:pStyle w:val="TextBody"/>
        <w:bidi w:val="0"/>
        <w:jc w:val="left"/>
        <w:rPr/>
      </w:pPr>
      <w:r>
        <w:rPr/>
        <w:t> </w:t>
      </w:r>
    </w:p>
    <w:tbl>
      <w:tblPr>
        <w:tblW w:w="5023" w:type="dxa"/>
        <w:jc w:val="left"/>
        <w:tblInd w:w="0" w:type="dxa"/>
        <w:tblLayout w:type="fixed"/>
        <w:tblCellMar>
          <w:top w:w="28" w:type="dxa"/>
          <w:left w:w="28" w:type="dxa"/>
          <w:bottom w:w="28" w:type="dxa"/>
          <w:right w:w="28" w:type="dxa"/>
        </w:tblCellMar>
      </w:tblPr>
      <w:tblGrid>
        <w:gridCol w:w="3991"/>
        <w:gridCol w:w="146"/>
        <w:gridCol w:w="88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2210 Woodland Drive, Manitowoc, Wisconsin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54220</w:t>
            </w:r>
          </w:p>
        </w:tc>
      </w:tr>
      <w:tr>
        <w:trPr/>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r>
    </w:tbl>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Orion Energy Systems, Inc. 2016 Omnibus Incentive Plan, as amended and restated</w:t>
      </w:r>
    </w:p>
    <w:p>
      <w:pPr>
        <w:pStyle w:val="TextBody"/>
        <w:bidi w:val="0"/>
        <w:jc w:val="center"/>
        <w:rPr>
          <w:rFonts w:ascii="Times New Roman" w:hAnsi="Times New Roman"/>
          <w:color w:val="000000"/>
          <w:sz w:val="18"/>
        </w:rPr>
      </w:pPr>
      <w:r>
        <w:rPr>
          <w:rFonts w:ascii="Times New Roman" w:hAnsi="Times New Roman"/>
          <w:color w:val="000000"/>
          <w:sz w:val="18"/>
        </w:rPr>
        <w:t>(Full title of the plan)</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855" w:type="dxa"/>
        <w:jc w:val="left"/>
        <w:tblInd w:w="0" w:type="dxa"/>
        <w:tblLayout w:type="fixed"/>
        <w:tblCellMar>
          <w:top w:w="28" w:type="dxa"/>
          <w:left w:w="28" w:type="dxa"/>
          <w:bottom w:w="28" w:type="dxa"/>
          <w:right w:w="28" w:type="dxa"/>
        </w:tblCellMar>
      </w:tblPr>
      <w:tblGrid>
        <w:gridCol w:w="5806"/>
        <w:gridCol w:w="146"/>
        <w:gridCol w:w="146"/>
        <w:gridCol w:w="146"/>
        <w:gridCol w:w="261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5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 Per Brodin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Copy to:</w:t>
            </w:r>
          </w:p>
        </w:tc>
      </w:tr>
      <w:tr>
        <w:trPr/>
        <w:tc>
          <w:tcPr>
            <w:tcW w:w="5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Garrett F. Bishop, Esq.</w:t>
            </w:r>
          </w:p>
        </w:tc>
      </w:tr>
      <w:tr>
        <w:trPr/>
        <w:tc>
          <w:tcPr>
            <w:tcW w:w="5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Orion Energy Systems, Inc.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Foley &amp; Lardner LLP</w:t>
            </w:r>
          </w:p>
        </w:tc>
      </w:tr>
      <w:tr>
        <w:trPr/>
        <w:tc>
          <w:tcPr>
            <w:tcW w:w="5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2210 Woodland Drive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777 East Wisconsin Avenue</w:t>
            </w:r>
          </w:p>
        </w:tc>
      </w:tr>
      <w:tr>
        <w:trPr/>
        <w:tc>
          <w:tcPr>
            <w:tcW w:w="5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Manitowoc, Wisconsin 54220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Milwaukee, Wisconsin 53202</w:t>
            </w:r>
          </w:p>
        </w:tc>
      </w:tr>
      <w:tr>
        <w:trPr/>
        <w:tc>
          <w:tcPr>
            <w:tcW w:w="5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 892-9340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(414) 271-2400</w:t>
            </w:r>
          </w:p>
        </w:tc>
      </w:tr>
      <w:tr>
        <w:trPr/>
        <w:tc>
          <w:tcPr>
            <w:tcW w:w="5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address and telephone number, including area code, of agent for service)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1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00" w:after="283"/>
        <w:jc w:val="both"/>
        <w:rPr/>
      </w:pPr>
      <w:r>
        <w:rPr/>
        <w:t> </w:t>
      </w:r>
    </w:p>
    <w:p>
      <w:pPr>
        <w:pStyle w:val="TextBody"/>
        <w:pBdr>
          <w:bottom w:val="single" w:sz="4" w:space="1" w:color="000000"/>
        </w:pBdr>
        <w:bidi w:val="0"/>
        <w:spacing w:before="0" w:after="12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double" w:sz="4" w:space="3" w:color="000000"/>
        </w:pBdr>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STATEMENT PURSUANT TO GENERAL INSTRUCTION E TO FORM S-8</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purpose of this Registration Statement is to register 300,000 additional shares of common stock, no par value (the “Common Stock”), of Orion Energy Systems, Inc. (the “Company” or the “Registrant”) in connection with the Orion Energy Systems, Inc. 2016 Omnibus Incentive Plan, as amended and restated (the “Plan”), as a result of the approval by the Company’s shareholders of an increase in the number of shares of Common Stock reserved under the Plan at the Company’s 2026 annual meeting of shareholders.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General Instruction E of Form S-8, the contents of the Company’s Registration Statement on Form S-8 (Registration No. 333-213042) filed on August 10, 2016, its Registration Statement on Form S-8 (Registration No. 333-233180) filed on August 9, 2019 and its Registration Statement on Form S-8 (Registration No. 333-273921) filed on August 11, 2023, including the documents incorporated by reference therein, are incorporated by reference into this Registration Statement, except as set forth below.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document or documents containing the information specified in Part I are not required to be filed with the Commission as part of this Form S-8 Registration Statement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 xml:space="preserve">ITEM 8. </w:t>
      </w:r>
      <w:r>
        <w:rPr>
          <w:rFonts w:ascii="Times New Roman" w:hAnsi="Times New Roman"/>
          <w:b/>
          <w:color w:val="000000"/>
          <w:sz w:val="20"/>
          <w:u w:val="single"/>
        </w:rPr>
        <w:t>EXHIBITS</w:t>
      </w:r>
      <w:r>
        <w:rPr>
          <w:rFonts w:ascii="Times New Roman" w:hAnsi="Times New Roman"/>
          <w:b/>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0"/>
        <w:gridCol w:w="146"/>
        <w:gridCol w:w="9019"/>
      </w:tblGrid>
      <w:tr>
        <w:trPr/>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9" w:type="dxa"/>
            <w:tcBorders/>
            <w:vAlign w:val="center"/>
          </w:tcPr>
          <w:p>
            <w:pPr>
              <w:pStyle w:val="TableContents"/>
              <w:bidi w:val="0"/>
              <w:spacing w:before="0" w:after="283"/>
              <w:jc w:val="left"/>
              <w:rPr>
                <w:sz w:val="4"/>
                <w:szCs w:val="4"/>
              </w:rPr>
            </w:pPr>
            <w:r>
              <w:rPr>
                <w:sz w:val="4"/>
                <w:szCs w:val="4"/>
              </w:rPr>
            </w:r>
          </w:p>
        </w:tc>
      </w:tr>
      <w:tr>
        <w:trPr/>
        <w:tc>
          <w:tcPr>
            <w:tcW w:w="1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Exhibit </w:t>
            </w:r>
            <w:r>
              <w:rPr>
                <w:rFonts w:ascii="Times New Roman" w:hAnsi="Times New Roman"/>
                <w:b/>
                <w:color w:val="000000"/>
                <w:sz w:val="20"/>
                <w:u w:val="single"/>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Description</w:t>
            </w:r>
          </w:p>
        </w:tc>
      </w:tr>
      <w:tr>
        <w:trPr/>
        <w:tc>
          <w:tcPr>
            <w:tcW w:w="1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9" w:type="dxa"/>
            <w:tcBorders/>
            <w:tcMar>
              <w:top w:w="0" w:type="dxa"/>
              <w:left w:w="0" w:type="dxa"/>
              <w:bottom w:w="0" w:type="dxa"/>
              <w:right w:w="0" w:type="dxa"/>
            </w:tcMar>
            <w:vAlign w:val="center"/>
          </w:tcPr>
          <w:p>
            <w:pPr>
              <w:pStyle w:val="TableContents"/>
              <w:bidi w:val="0"/>
              <w:jc w:val="left"/>
              <w:rPr/>
            </w:pPr>
            <w:hyperlink r:id="rId2">
              <w:r>
                <w:rPr>
                  <w:rStyle w:val="InternetLink"/>
                  <w:rFonts w:ascii="Times New Roman" w:hAnsi="Times New Roman"/>
                  <w:color w:val="0000FF"/>
                  <w:sz w:val="20"/>
                  <w:u w:val="single"/>
                </w:rPr>
                <w:t>Amended and Restated Articles of Incorporation of Orion Energy Systems, Inc. (incorporated by reference to Exhibit 3.3 to the Registrant's Form S-1 Registration Statement filed with the Securities and Exchange Commission on August 20, 2007).</w:t>
              </w:r>
            </w:hyperlink>
          </w:p>
          <w:p>
            <w:pPr>
              <w:pStyle w:val="TableContents"/>
              <w:bidi w:val="0"/>
              <w:spacing w:before="0" w:after="283"/>
              <w:jc w:val="left"/>
              <w:rPr/>
            </w:pPr>
            <w:r>
              <w:rPr/>
              <w:t> </w:t>
            </w:r>
          </w:p>
        </w:tc>
      </w:tr>
      <w:tr>
        <w:trPr/>
        <w:tc>
          <w:tcPr>
            <w:tcW w:w="1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Articles of Amendment to Amended and Restated Articles of Incorporation and Orion Energy Systems, Inc., effective August 22, 2025 (incorporated by reference to Exhibit 3.1 to the Registrant's Current Report on Form 8-K filed with the Securities and Exchange Commission on August 19, 2025).</w:t>
              </w:r>
            </w:hyperlink>
          </w:p>
        </w:tc>
      </w:tr>
      <w:tr>
        <w:trPr/>
        <w:tc>
          <w:tcPr>
            <w:tcW w:w="1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9"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Bylaws of Orion Energy Systems, Inc. (incorporated by reference to Exhibit 3.1 to the Registrant's Current Report on Form 8-K filed with the Securities and Exchange Commission on November 14, 2022).</w:t>
              </w:r>
            </w:hyperlink>
          </w:p>
        </w:tc>
      </w:tr>
      <w:tr>
        <w:trPr/>
        <w:tc>
          <w:tcPr>
            <w:tcW w:w="1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9"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Orion Energy Systems, Inc. 2016 Omnibus Incentive Plan, as amended and restated (incorporated by reference to Annex A to the Registrant's Definitive Proxy Statement on Schedule 14A filed with the Securities and Exchange Commission on June 23, 2026).</w:t>
              </w:r>
            </w:hyperlink>
          </w:p>
        </w:tc>
      </w:tr>
      <w:tr>
        <w:trPr/>
        <w:tc>
          <w:tcPr>
            <w:tcW w:w="1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9" w:type="dxa"/>
            <w:tcBorders/>
            <w:tcMar>
              <w:top w:w="0" w:type="dxa"/>
              <w:left w:w="0" w:type="dxa"/>
              <w:bottom w:w="0" w:type="dxa"/>
              <w:right w:w="0" w:type="dxa"/>
            </w:tcMar>
            <w:vAlign w:val="center"/>
          </w:tcPr>
          <w:p>
            <w:pPr>
              <w:pStyle w:val="TableContents"/>
              <w:bidi w:val="0"/>
              <w:spacing w:before="0" w:after="283"/>
              <w:jc w:val="left"/>
              <w:rPr/>
            </w:pPr>
            <w:hyperlink w:anchor="oesx-ex5.htm">
              <w:r>
                <w:rPr>
                  <w:rStyle w:val="InternetLink"/>
                  <w:rFonts w:ascii="Times New Roman" w:hAnsi="Times New Roman"/>
                  <w:color w:val="0000FF"/>
                  <w:sz w:val="20"/>
                  <w:u w:val="single"/>
                </w:rPr>
                <w:t>Opinion of Foley &amp; Lardner LLP (including consent of counsel).*</w:t>
              </w:r>
            </w:hyperlink>
          </w:p>
        </w:tc>
      </w:tr>
      <w:tr>
        <w:trPr/>
        <w:tc>
          <w:tcPr>
            <w:tcW w:w="1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9" w:type="dxa"/>
            <w:tcBorders/>
            <w:tcMar>
              <w:top w:w="0" w:type="dxa"/>
              <w:left w:w="0" w:type="dxa"/>
              <w:bottom w:w="0" w:type="dxa"/>
              <w:right w:w="0" w:type="dxa"/>
            </w:tcMar>
            <w:vAlign w:val="center"/>
          </w:tcPr>
          <w:p>
            <w:pPr>
              <w:pStyle w:val="TableContents"/>
              <w:bidi w:val="0"/>
              <w:spacing w:before="0" w:after="283"/>
              <w:jc w:val="left"/>
              <w:rPr/>
            </w:pPr>
            <w:hyperlink w:anchor="oesx-ex23_1.htm">
              <w:r>
                <w:rPr>
                  <w:rStyle w:val="InternetLink"/>
                  <w:rFonts w:ascii="Times New Roman" w:hAnsi="Times New Roman"/>
                  <w:color w:val="0000FF"/>
                  <w:sz w:val="20"/>
                  <w:u w:val="single"/>
                </w:rPr>
                <w:t>Consent of BDO USA, P.C.*</w:t>
              </w:r>
            </w:hyperlink>
          </w:p>
        </w:tc>
      </w:tr>
      <w:tr>
        <w:trPr/>
        <w:tc>
          <w:tcPr>
            <w:tcW w:w="1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9" w:type="dxa"/>
            <w:tcBorders/>
            <w:tcMar>
              <w:top w:w="0" w:type="dxa"/>
              <w:left w:w="0" w:type="dxa"/>
              <w:bottom w:w="0" w:type="dxa"/>
              <w:right w:w="0" w:type="dxa"/>
            </w:tcMar>
            <w:vAlign w:val="center"/>
          </w:tcPr>
          <w:p>
            <w:pPr>
              <w:pStyle w:val="TableContents"/>
              <w:bidi w:val="0"/>
              <w:spacing w:before="0" w:after="283"/>
              <w:jc w:val="left"/>
              <w:rPr/>
            </w:pPr>
            <w:hyperlink w:anchor="oesx-ex5.htm">
              <w:r>
                <w:rPr>
                  <w:rStyle w:val="InternetLink"/>
                  <w:rFonts w:ascii="Times New Roman" w:hAnsi="Times New Roman"/>
                  <w:color w:val="0000FF"/>
                  <w:sz w:val="20"/>
                  <w:u w:val="single"/>
                </w:rPr>
                <w:t>Consent of Foley &amp; Lardner LLP (filed as part of Exhibit (5).*</w:t>
              </w:r>
            </w:hyperlink>
          </w:p>
        </w:tc>
      </w:tr>
      <w:tr>
        <w:trPr/>
        <w:tc>
          <w:tcPr>
            <w:tcW w:w="1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9"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Powers of Attorney (included on the signature page to this Registration Statement).*</w:t>
              </w:r>
            </w:hyperlink>
          </w:p>
        </w:tc>
      </w:tr>
      <w:tr>
        <w:trPr/>
        <w:tc>
          <w:tcPr>
            <w:tcW w:w="1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9" w:type="dxa"/>
            <w:tcBorders/>
            <w:tcMar>
              <w:top w:w="0" w:type="dxa"/>
              <w:left w:w="0" w:type="dxa"/>
              <w:bottom w:w="0" w:type="dxa"/>
              <w:right w:w="0" w:type="dxa"/>
            </w:tcMar>
            <w:vAlign w:val="center"/>
          </w:tcPr>
          <w:p>
            <w:pPr>
              <w:pStyle w:val="TableContents"/>
              <w:bidi w:val="0"/>
              <w:spacing w:before="0" w:after="283"/>
              <w:jc w:val="left"/>
              <w:rPr/>
            </w:pPr>
            <w:hyperlink w:anchor="oesx-exfiling_fees.htm">
              <w:r>
                <w:rPr>
                  <w:rStyle w:val="InternetLink"/>
                  <w:rFonts w:ascii="Times New Roman" w:hAnsi="Times New Roman"/>
                  <w:color w:val="0000FF"/>
                  <w:sz w:val="20"/>
                  <w:u w:val="single"/>
                </w:rPr>
                <w:t>Filing Fee Table.*</w:t>
              </w:r>
            </w:hyperlink>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 w:name="signatures"/>
      <w:bookmarkEnd w:id="2"/>
      <w:r>
        <w:rPr>
          <w:rFonts w:ascii="Times New Roman" w:hAnsi="Times New Roman"/>
          <w:b/>
          <w:color w:val="000000"/>
          <w:sz w:val="20"/>
        </w:rPr>
        <w:t>SIGNATURES</w:t>
      </w:r>
    </w:p>
    <w:p>
      <w:pPr>
        <w:pStyle w:val="TextBody"/>
        <w:bidi w:val="0"/>
        <w:jc w:val="center"/>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Manitowoc, State of Wisconsin, on August 7, 2026.</w:t>
      </w:r>
    </w:p>
    <w:p>
      <w:pPr>
        <w:pStyle w:val="TextBody"/>
        <w:bidi w:val="0"/>
        <w:jc w:val="left"/>
        <w:rPr/>
      </w:pPr>
      <w:r>
        <w:rPr/>
        <w:t> </w:t>
      </w:r>
    </w:p>
    <w:tbl>
      <w:tblPr>
        <w:tblW w:w="3252" w:type="dxa"/>
        <w:jc w:val="left"/>
        <w:tblInd w:w="0" w:type="dxa"/>
        <w:tblLayout w:type="fixed"/>
        <w:tblCellMar>
          <w:top w:w="28" w:type="dxa"/>
          <w:left w:w="28" w:type="dxa"/>
          <w:bottom w:w="28" w:type="dxa"/>
          <w:right w:w="28" w:type="dxa"/>
        </w:tblCellMar>
      </w:tblPr>
      <w:tblGrid>
        <w:gridCol w:w="161"/>
        <w:gridCol w:w="3091"/>
      </w:tblGrid>
      <w:tr>
        <w:trPr/>
        <w:tc>
          <w:tcPr>
            <w:tcW w:w="161"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ORION ENERGY SYSTEMS, INC.</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Sally A. Washlow</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Sally A. Washlow</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below by the following persons in the capacities indicated on August 7, 2026. Each person whose signature appears below constitutes and appoints Sally A. Washlow and J. Per Brodin, and each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each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pStyle w:val="TextBody"/>
        <w:bidi w:val="0"/>
        <w:jc w:val="left"/>
        <w:rPr/>
      </w:pPr>
      <w:r>
        <w:rPr/>
        <w:t> </w:t>
      </w:r>
    </w:p>
    <w:tbl>
      <w:tblPr>
        <w:tblW w:w="10033" w:type="dxa"/>
        <w:jc w:val="left"/>
        <w:tblInd w:w="0" w:type="dxa"/>
        <w:tblLayout w:type="fixed"/>
        <w:tblCellMar>
          <w:top w:w="28" w:type="dxa"/>
          <w:left w:w="28" w:type="dxa"/>
          <w:bottom w:w="28" w:type="dxa"/>
          <w:right w:w="28" w:type="dxa"/>
        </w:tblCellMar>
      </w:tblPr>
      <w:tblGrid>
        <w:gridCol w:w="2416"/>
        <w:gridCol w:w="146"/>
        <w:gridCol w:w="747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1" w:type="dxa"/>
            <w:tcBorders/>
            <w:vAlign w:val="center"/>
          </w:tcPr>
          <w:p>
            <w:pPr>
              <w:pStyle w:val="TableContents"/>
              <w:bidi w:val="0"/>
              <w:spacing w:before="0" w:after="283"/>
              <w:jc w:val="left"/>
              <w:rPr>
                <w:sz w:val="4"/>
                <w:szCs w:val="4"/>
              </w:rPr>
            </w:pPr>
            <w:r>
              <w:rPr>
                <w:sz w:val="4"/>
                <w:szCs w:val="4"/>
              </w:rPr>
            </w:r>
          </w:p>
        </w:tc>
      </w:tr>
      <w:tr>
        <w:trPr/>
        <w:tc>
          <w:tcPr>
            <w:tcW w:w="24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r>
      <w:tr>
        <w:trPr/>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Sally A. Washlow</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Sally A. Washlow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Per Brodin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Executive Vice President, Chief Accounting Officer and Treasurer </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Per Brodin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r>
        <w:trPr/>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Anthony L. Otten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Chair</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L. Otten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Ellen B. Richstone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Ellen B. Richstone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A. Shapiro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A. Shapiro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Heather L. Wishart-Smith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Heather L. Wishart-Smith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 w:name="oesx-ex5.htm"/>
      <w:bookmarkStart w:id="4" w:name="ksoesxex5"/>
      <w:bookmarkStart w:id="5" w:name="oesx-ex5.htm"/>
      <w:bookmarkStart w:id="6" w:name="ksoesxex5"/>
      <w:bookmarkEnd w:id="5"/>
      <w:bookmarkEnd w:id="6"/>
      <w:r>
        <w:br w:type="page"/>
      </w:r>
    </w:p>
    <w:tbl>
      <w:tblPr>
        <w:tblW w:w="4017" w:type="dxa"/>
        <w:jc w:val="left"/>
        <w:tblInd w:w="0" w:type="dxa"/>
        <w:tblLayout w:type="fixed"/>
        <w:tblCellMar>
          <w:top w:w="28" w:type="dxa"/>
          <w:left w:w="28" w:type="dxa"/>
          <w:bottom w:w="28" w:type="dxa"/>
          <w:right w:w="28" w:type="dxa"/>
        </w:tblCellMar>
      </w:tblPr>
      <w:tblGrid>
        <w:gridCol w:w="2051"/>
        <w:gridCol w:w="1966"/>
      </w:tblGrid>
      <w:tr>
        <w:trPr/>
        <w:tc>
          <w:tcPr>
            <w:tcW w:w="205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2051" w:type="dxa"/>
            <w:tcBorders/>
            <w:tcMar>
              <w:top w:w="0" w:type="dxa"/>
              <w:left w:w="0" w:type="dxa"/>
              <w:bottom w:w="0" w:type="dxa"/>
              <w:right w:w="0" w:type="dxa"/>
            </w:tcMar>
            <w:vAlign w:val="center"/>
          </w:tcPr>
          <w:p>
            <w:pPr>
              <w:pStyle w:val="TableContents"/>
              <w:bidi w:val="0"/>
              <w:jc w:val="left"/>
              <w:rPr/>
            </w:pPr>
            <w:r>
              <w:rPr/>
              <w:drawing>
                <wp:inline distT="0" distB="0" distL="0" distR="0">
                  <wp:extent cx="12382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238250" cy="514350"/>
                          </a:xfrm>
                          <a:prstGeom prst="rect">
                            <a:avLst/>
                          </a:prstGeom>
                        </pic:spPr>
                      </pic:pic>
                    </a:graphicData>
                  </a:graphic>
                </wp:inline>
              </w:drawing>
            </w:r>
          </w:p>
          <w:p>
            <w:pPr>
              <w:pStyle w:val="TableContents"/>
              <w:bidi w:val="0"/>
              <w:spacing w:before="0" w:after="240"/>
              <w:jc w:val="left"/>
              <w:rPr/>
            </w:pPr>
            <w:r>
              <w:rPr/>
              <w:t> </w:t>
            </w:r>
          </w:p>
        </w:tc>
        <w:tc>
          <w:tcPr>
            <w:tcW w:w="1966" w:type="dxa"/>
            <w:tcBorders/>
            <w:tcMar>
              <w:top w:w="0" w:type="dxa"/>
              <w:left w:w="0" w:type="dxa"/>
              <w:bottom w:w="0" w:type="dxa"/>
              <w:right w:w="0" w:type="dxa"/>
            </w:tcMar>
            <w:vAlign w:val="center"/>
          </w:tcPr>
          <w:p>
            <w:pPr>
              <w:pStyle w:val="TableContents"/>
              <w:bidi w:val="0"/>
              <w:jc w:val="left"/>
              <w:rPr>
                <w:rFonts w:ascii="Arial" w:hAnsi="Arial"/>
                <w:caps/>
                <w:color w:val="000000"/>
                <w:sz w:val="14"/>
              </w:rPr>
            </w:pPr>
            <w:r>
              <w:rPr>
                <w:rFonts w:ascii="Arial" w:hAnsi="Arial"/>
                <w:caps/>
                <w:color w:val="000000"/>
                <w:sz w:val="14"/>
              </w:rPr>
              <w:t>777 E Wisconsin Ave</w:t>
              <w:br/>
              <w:t>Milwaukee, WI 53202-5306</w:t>
            </w:r>
          </w:p>
          <w:p>
            <w:pPr>
              <w:pStyle w:val="TableContents"/>
              <w:bidi w:val="0"/>
              <w:jc w:val="left"/>
              <w:rPr>
                <w:rFonts w:ascii="Arial" w:hAnsi="Arial"/>
                <w:caps/>
                <w:color w:val="000000"/>
                <w:sz w:val="14"/>
              </w:rPr>
            </w:pPr>
            <w:r>
              <w:rPr>
                <w:rFonts w:ascii="Arial" w:hAnsi="Arial"/>
                <w:caps/>
                <w:color w:val="000000"/>
                <w:sz w:val="14"/>
              </w:rPr>
              <w:t>414.271.2400 TEL</w:t>
            </w:r>
          </w:p>
          <w:p>
            <w:pPr>
              <w:pStyle w:val="TableContents"/>
              <w:bidi w:val="0"/>
              <w:jc w:val="left"/>
              <w:rPr>
                <w:rFonts w:ascii="Arial" w:hAnsi="Arial"/>
                <w:caps/>
                <w:color w:val="000000"/>
                <w:sz w:val="14"/>
              </w:rPr>
            </w:pPr>
            <w:r>
              <w:rPr>
                <w:rFonts w:ascii="Arial" w:hAnsi="Arial"/>
                <w:caps/>
                <w:color w:val="000000"/>
                <w:sz w:val="14"/>
              </w:rPr>
              <w:t>414.297.4900 FAX</w:t>
            </w:r>
          </w:p>
          <w:p>
            <w:pPr>
              <w:pStyle w:val="TableContents"/>
              <w:bidi w:val="0"/>
              <w:spacing w:before="0" w:after="140"/>
              <w:jc w:val="left"/>
              <w:rPr>
                <w:rFonts w:ascii="Arial" w:hAnsi="Arial"/>
                <w:b/>
                <w:caps/>
                <w:color w:val="0066BA"/>
                <w:sz w:val="14"/>
              </w:rPr>
            </w:pPr>
            <w:r>
              <w:rPr>
                <w:rFonts w:ascii="Arial" w:hAnsi="Arial"/>
                <w:b/>
                <w:caps/>
                <w:color w:val="0066BA"/>
                <w:sz w:val="14"/>
              </w:rPr>
              <w:t>foley.com</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August 7, 2026</w:t>
      </w:r>
    </w:p>
    <w:p>
      <w:pPr>
        <w:pStyle w:val="TextBody"/>
        <w:bidi w:val="0"/>
        <w:jc w:val="left"/>
        <w:rPr/>
      </w:pPr>
      <w:r>
        <w:rPr/>
        <w:t> </w:t>
      </w:r>
    </w:p>
    <w:p>
      <w:pPr>
        <w:pStyle w:val="TextBody"/>
        <w:bidi w:val="0"/>
        <w:jc w:val="left"/>
        <w:rPr/>
      </w:pPr>
      <w:r>
        <w:rPr/>
        <w:t> </w:t>
      </w:r>
    </w:p>
    <w:tbl>
      <w:tblPr>
        <w:tblW w:w="3162" w:type="dxa"/>
        <w:jc w:val="left"/>
        <w:tblInd w:w="0" w:type="dxa"/>
        <w:tblLayout w:type="fixed"/>
        <w:tblCellMar>
          <w:top w:w="28" w:type="dxa"/>
          <w:left w:w="28" w:type="dxa"/>
          <w:bottom w:w="28" w:type="dxa"/>
          <w:right w:w="28" w:type="dxa"/>
        </w:tblCellMar>
      </w:tblPr>
      <w:tblGrid>
        <w:gridCol w:w="297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Orion Energy Systems, Inc.</w:t>
            </w:r>
          </w:p>
          <w:p>
            <w:pPr>
              <w:pStyle w:val="TableContents"/>
              <w:bidi w:val="0"/>
              <w:jc w:val="left"/>
              <w:rPr>
                <w:rFonts w:ascii="Times New Roman" w:hAnsi="Times New Roman"/>
                <w:color w:val="000000"/>
                <w:sz w:val="24"/>
              </w:rPr>
            </w:pPr>
            <w:r>
              <w:rPr>
                <w:rFonts w:ascii="Times New Roman" w:hAnsi="Times New Roman"/>
                <w:color w:val="000000"/>
                <w:sz w:val="24"/>
              </w:rPr>
              <w:t>2210 Woodland Drive</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Manitowoc, Wisconsin 54220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have acted as counsel for Orion Energy Systems, Inc., a Wisconsin corporation (the “Company”), in conjunction with the preparation of a Registration Statement on Form S-8 (the “Registration Statement”) to be filed by the Company with the Securities and Exchange Commission under the Securities Act of 1933, as amended (the “Securities Act”), relating to 300,000 shares of the Company’s common stock, no par value (the “Shares”), which may be issued pursuant to the Orion Energy Systems, Inc. 2016 Omnibus Incentive Plan, as amended and restated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such counsel, we have examined: (i) the Plan and related documents; (ii) the Registration Statement, including the exhibits (including those incorporated by reference) constituting a part of the Registration Statement; (iii) the Amended and Restated Articles of Incorporation of the Company, as amended to date; (iv) the Second Amended and Restated Bylaws of the Company, as amended to date; (v) resolutions of the Company’s Board of Directors relating to the Plan and the issuance of the Shares thereunder; and (vi) such other documents and records and certificates of government officials as we have deemed necessary to enable us to render this opinion. In our examination of the above-referenced documents, we have assumed the genuineness of all signatures, the authenticity of all documents, certificates and instruments submitted to us as originals and the conformity with the originals of all documents submitted to us as copies. Insofar as this opinion relates to Shares to be issued in the future, we have assumed that all of the Shares eligible for issuance under the Plan will be issued for not less than par value.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Based upon the foregoing, we are of the opinion that the Shares, when issued by the Company pursuant to the terms and conditions of the Plan and as contemplated by the Registration Statement, will be validly issued, fully paid and nonassessable.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are qualified to practice law in the State of Wisconsin and we do not purport to be experts on the law other than that of the State of Wisconsin and the federal laws of the United States of America. We express no opinion as to the laws of any jurisdiction other than the State of Wisconsin and the federal laws of the United States.</w:t>
      </w:r>
    </w:p>
    <w:p>
      <w:pPr>
        <w:pStyle w:val="TextBody"/>
        <w:bidi w:val="0"/>
        <w:spacing w:before="0" w:after="240"/>
        <w:jc w:val="both"/>
        <w:rPr>
          <w:rFonts w:ascii="Times New Roman" w:hAnsi="Times New Roman"/>
          <w:sz w:val="20"/>
        </w:rPr>
      </w:pPr>
      <w:r>
        <w:rPr>
          <w:rFonts w:ascii="Times New Roman" w:hAnsi="Times New Roman"/>
          <w:color w:val="000000"/>
          <w:sz w:val="24"/>
        </w:rPr>
        <w:t>We consent to the use of this opinion as an exhibit to the Registration Statement. In giving our consent, we do not admit that we are “experts” within the meaning of Section 11 of the</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DOCXDOCID DMS=NetDocuments Format=&lt;&lt;ID&gt;&gt;.&lt;&lt;VER&gt;&gt; \* MERGEFORMAT 4932-4092-3752.1</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160" w:after="240"/>
        <w:jc w:val="left"/>
        <w:rPr/>
      </w:pPr>
      <w:r>
        <w:rPr/>
        <w:drawing>
          <wp:inline distT="0" distB="0" distL="0" distR="0">
            <wp:extent cx="1371600" cy="514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371600" cy="514350"/>
                    </a:xfrm>
                    <a:prstGeom prst="rect">
                      <a:avLst/>
                    </a:prstGeom>
                  </pic:spPr>
                </pic:pic>
              </a:graphicData>
            </a:graphic>
          </wp:inline>
        </w:drawing>
      </w:r>
    </w:p>
    <w:p>
      <w:pPr>
        <w:pStyle w:val="TextBody"/>
        <w:bidi w:val="0"/>
        <w:jc w:val="left"/>
        <w:rPr>
          <w:rFonts w:ascii="Times New Roman" w:hAnsi="Times New Roman"/>
          <w:color w:val="000000"/>
          <w:sz w:val="24"/>
        </w:rPr>
      </w:pPr>
      <w:r>
        <w:rPr>
          <w:rFonts w:ascii="Times New Roman" w:hAnsi="Times New Roman"/>
          <w:color w:val="000000"/>
          <w:sz w:val="24"/>
        </w:rPr>
        <w:t>Orion Energy Systems, Inc.</w:t>
      </w:r>
    </w:p>
    <w:p>
      <w:pPr>
        <w:pStyle w:val="TextBody"/>
        <w:bidi w:val="0"/>
        <w:jc w:val="left"/>
        <w:rPr>
          <w:rFonts w:ascii="Times New Roman" w:hAnsi="Times New Roman"/>
          <w:color w:val="000000"/>
          <w:sz w:val="24"/>
        </w:rPr>
      </w:pPr>
      <w:r>
        <w:rPr>
          <w:rFonts w:ascii="Times New Roman" w:hAnsi="Times New Roman"/>
          <w:color w:val="000000"/>
          <w:sz w:val="24"/>
        </w:rPr>
        <w:t>StyleRef "Date" August 7, 2026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Page 2</w:t>
      </w:r>
    </w:p>
    <w:p>
      <w:pPr>
        <w:pStyle w:val="TextBody"/>
        <w:bidi w:val="0"/>
        <w:jc w:val="left"/>
        <w:rPr/>
      </w:pPr>
      <w:r>
        <w:rPr/>
        <w:t> </w:t>
      </w:r>
    </w:p>
    <w:p>
      <w:pPr>
        <w:pStyle w:val="TextBody"/>
        <w:bidi w:val="0"/>
        <w:spacing w:before="0" w:after="240"/>
        <w:jc w:val="both"/>
        <w:rPr>
          <w:rFonts w:ascii="Times New Roman" w:hAnsi="Times New Roman"/>
          <w:color w:val="000000"/>
          <w:sz w:val="24"/>
        </w:rPr>
      </w:pPr>
      <w:bookmarkStart w:id="7" w:name="bktaxadvice"/>
      <w:bookmarkEnd w:id="7"/>
      <w:r>
        <w:rPr>
          <w:rFonts w:ascii="Times New Roman" w:hAnsi="Times New Roman"/>
          <w:color w:val="000000"/>
          <w:sz w:val="24"/>
        </w:rPr>
        <w:t>Securities Act or within the category of persons whose consent is required by Section 7 of the Securities Act.</w:t>
      </w:r>
      <w:bookmarkStart w:id="8" w:name="bktempclosing"/>
      <w:bookmarkEnd w:id="8"/>
    </w:p>
    <w:p>
      <w:pPr>
        <w:pStyle w:val="TextBody"/>
        <w:bidi w:val="0"/>
        <w:jc w:val="left"/>
        <w:rPr>
          <w:rFonts w:ascii="Times New Roman" w:hAnsi="Times New Roman"/>
          <w:color w:val="000000"/>
          <w:sz w:val="24"/>
        </w:rPr>
      </w:pPr>
      <w:r>
        <w:rPr>
          <w:rFonts w:ascii="Times New Roman" w:hAnsi="Times New Roman"/>
          <w:color w:val="000000"/>
          <w:sz w:val="24"/>
        </w:rPr>
        <w:t>Very truly yours,</w:t>
        <w:br/>
        <w:br/>
        <w:t>/s/ Foley &amp; Lardner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rebuchet MS;sans-serif" w:hAnsi="Trebuchet MS;sans-serif"/>
          <w:color w:val="000000"/>
          <w:sz w:val="21"/>
          <w:u w:val="single"/>
        </w:rPr>
      </w:pPr>
      <w:bookmarkStart w:id="9" w:name="oesx-ex23_1.htm"/>
      <w:bookmarkStart w:id="10" w:name="ksoesxex23_1"/>
      <w:bookmarkEnd w:id="9"/>
      <w:bookmarkEnd w:id="10"/>
      <w:r>
        <w:rPr>
          <w:rFonts w:ascii="Trebuchet MS;sans-serif" w:hAnsi="Trebuchet MS;sans-serif"/>
          <w:color w:val="000000"/>
          <w:sz w:val="21"/>
          <w:u w:val="single"/>
        </w:rPr>
        <w:t>Consent of Independent Registered Public Accounting Firm</w:t>
      </w:r>
      <w:r>
        <w:br w:type="page"/>
      </w:r>
    </w:p>
    <w:p>
      <w:pPr>
        <w:pStyle w:val="TextBody"/>
        <w:bidi w:val="0"/>
        <w:spacing w:before="240" w:after="283"/>
        <w:jc w:val="both"/>
        <w:rPr/>
      </w:pPr>
      <w:r>
        <w:rPr/>
        <w:t> </w:t>
      </w:r>
    </w:p>
    <w:p>
      <w:pPr>
        <w:pStyle w:val="TextBody"/>
        <w:bidi w:val="0"/>
        <w:spacing w:before="240" w:after="283"/>
        <w:jc w:val="both"/>
        <w:rPr>
          <w:rFonts w:ascii="Trebuchet MS;sans-serif" w:hAnsi="Trebuchet MS;sans-serif"/>
          <w:color w:val="000000"/>
          <w:sz w:val="21"/>
        </w:rPr>
      </w:pPr>
      <w:r>
        <w:rPr>
          <w:rFonts w:ascii="Trebuchet MS;sans-serif" w:hAnsi="Trebuchet MS;sans-serif"/>
          <w:color w:val="000000"/>
          <w:sz w:val="21"/>
        </w:rPr>
        <w:t>We hereby consent to the incorporation by reference in this Registration Statement of our report dated June 4, 2026 relating to the consolidated financial statements of Orion Energy Systems, Inc. (the Company) appearing in the Company’s Annual Report on Form 10-K for the year ended March 31, 2026.</w:t>
      </w:r>
    </w:p>
    <w:p>
      <w:pPr>
        <w:pStyle w:val="TextBody"/>
        <w:bidi w:val="0"/>
        <w:jc w:val="both"/>
        <w:rPr/>
      </w:pPr>
      <w:r>
        <w:rPr/>
        <w:t> </w:t>
      </w:r>
    </w:p>
    <w:p>
      <w:pPr>
        <w:pStyle w:val="TextBody"/>
        <w:bidi w:val="0"/>
        <w:jc w:val="both"/>
        <w:rPr>
          <w:rFonts w:ascii="Trebuchet MS;sans-serif" w:hAnsi="Trebuchet MS;sans-serif"/>
          <w:color w:val="000000"/>
          <w:sz w:val="21"/>
        </w:rPr>
      </w:pPr>
      <w:r>
        <w:rPr>
          <w:rFonts w:ascii="Trebuchet MS;sans-serif" w:hAnsi="Trebuchet MS;sans-serif"/>
          <w:color w:val="000000"/>
          <w:sz w:val="21"/>
        </w:rPr>
        <w:t>/s/ BDO USA, P.C.</w:t>
      </w:r>
    </w:p>
    <w:p>
      <w:pPr>
        <w:pStyle w:val="TextBody"/>
        <w:bidi w:val="0"/>
        <w:jc w:val="both"/>
        <w:rPr>
          <w:rFonts w:ascii="Trebuchet MS;sans-serif" w:hAnsi="Trebuchet MS;sans-serif"/>
          <w:color w:val="000000"/>
          <w:sz w:val="21"/>
        </w:rPr>
      </w:pPr>
      <w:r>
        <w:rPr>
          <w:rFonts w:ascii="Trebuchet MS;sans-serif" w:hAnsi="Trebuchet MS;sans-serif"/>
          <w:color w:val="000000"/>
          <w:sz w:val="21"/>
        </w:rPr>
        <w:t>Milwaukee, Wisconsin</w:t>
      </w:r>
    </w:p>
    <w:p>
      <w:pPr>
        <w:pStyle w:val="TextBody"/>
        <w:bidi w:val="0"/>
        <w:spacing w:before="240" w:after="283"/>
        <w:jc w:val="both"/>
        <w:rPr>
          <w:rFonts w:ascii="Trebuchet MS;sans-serif" w:hAnsi="Trebuchet MS;sans-serif"/>
          <w:color w:val="000000"/>
          <w:sz w:val="21"/>
        </w:rPr>
      </w:pPr>
      <w:r>
        <w:rPr>
          <w:rFonts w:ascii="Trebuchet MS;sans-serif" w:hAnsi="Trebuchet MS;sans-serif"/>
          <w:color w:val="000000"/>
          <w:sz w:val="21"/>
        </w:rPr>
        <w:t>August 7, 2026</w:t>
      </w:r>
    </w:p>
    <w:p>
      <w:pPr>
        <w:pStyle w:val="TextBody"/>
        <w:bidi w:val="0"/>
        <w:jc w:val="both"/>
        <w:rPr/>
      </w:pPr>
      <w:r>
        <w:rPr/>
        <w:t> </w:t>
      </w:r>
    </w:p>
    <w:p>
      <w:pPr>
        <w:pStyle w:val="TextBody"/>
        <w:bidi w:val="0"/>
        <w:jc w:val="both"/>
        <w:rPr>
          <w:rFonts w:ascii="Times New Roman" w:hAnsi="Times New Roman"/>
          <w:sz w:val="20"/>
        </w:rPr>
      </w:pPr>
      <w:r>
        <w:rPr>
          <w:rFonts w:ascii="Trebuchet MS;sans-serif" w:hAnsi="Trebuchet MS;sans-serif"/>
          <w:color w:val="000000"/>
          <w:sz w:val="18"/>
        </w:rPr>
        <w:t>BDO USA, P.C., a Virginia professional corporation, is the U.S. member of BDO International Limited, a UK company limited by guarantee, and forms part of the international BDO network of independent member firms.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rebuchet MS;sans-serif" w:hAnsi="Trebuchet MS;sans-serif"/>
          <w:color w:val="000000"/>
          <w:sz w:val="18"/>
        </w:rPr>
      </w:pPr>
      <w:r>
        <w:rPr>
          <w:rFonts w:ascii="Trebuchet MS;sans-serif" w:hAnsi="Trebuchet MS;sans-serif"/>
          <w:color w:val="000000"/>
          <w:sz w:val="18"/>
        </w:rPr>
        <w:t>BDO is the brand name for the BDO network and for each of the BDO Member Firms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1" w:name="oesx-exfiling_fees.htm"/>
      <w:bookmarkStart w:id="12" w:name="ksoesxexfiling_fees"/>
      <w:bookmarkStart w:id="13" w:name="oesx-exfiling_fees.htm"/>
      <w:bookmarkStart w:id="14" w:name="ksoesxexfiling_fees"/>
      <w:bookmarkEnd w:id="13"/>
      <w:bookmarkEnd w:id="14"/>
      <w:r>
        <w:br w:type="page"/>
      </w:r>
    </w:p>
    <w:tbl>
      <w:tblPr>
        <w:tblW w:w="4085" w:type="dxa"/>
        <w:jc w:val="left"/>
        <w:tblInd w:w="0" w:type="dxa"/>
        <w:tblLayout w:type="fixed"/>
        <w:tblCellMar>
          <w:top w:w="28" w:type="dxa"/>
          <w:left w:w="28" w:type="dxa"/>
          <w:bottom w:w="28" w:type="dxa"/>
          <w:right w:w="28" w:type="dxa"/>
        </w:tblCellMar>
      </w:tblPr>
      <w:tblGrid>
        <w:gridCol w:w="3931"/>
        <w:gridCol w:w="154"/>
      </w:tblGrid>
      <w:tr>
        <w:trPr/>
        <w:tc>
          <w:tcPr>
            <w:tcW w:w="408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93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283"/>
              <w:jc w:val="left"/>
              <w:rPr>
                <w:b/>
              </w:rPr>
            </w:pPr>
            <w:r>
              <w:rPr>
                <w:b/>
              </w:rPr>
              <w:t xml:space="preserve">ORION ENERGY SYSTEMS,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65"/>
        <w:gridCol w:w="1302"/>
        <w:gridCol w:w="1211"/>
        <w:gridCol w:w="1247"/>
        <w:gridCol w:w="1605"/>
        <w:gridCol w:w="1127"/>
        <w:gridCol w:w="1444"/>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6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7"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5"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4"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65" w:type="dxa"/>
            <w:tcBorders/>
            <w:shd w:fill="E7E7E2" w:val="clear"/>
            <w:vAlign w:val="center"/>
          </w:tcPr>
          <w:p>
            <w:pPr>
              <w:pStyle w:val="TableContents"/>
              <w:bidi w:val="0"/>
              <w:spacing w:before="0" w:after="283"/>
              <w:jc w:val="left"/>
              <w:rPr/>
            </w:pPr>
            <w:r>
              <w:rPr/>
              <w:t xml:space="preserve">Common Stock, no par value per share </w:t>
            </w:r>
          </w:p>
        </w:tc>
        <w:tc>
          <w:tcPr>
            <w:tcW w:w="1302" w:type="dxa"/>
            <w:tcBorders/>
            <w:shd w:fill="E7E7E2" w:val="clear"/>
            <w:vAlign w:val="center"/>
          </w:tcPr>
          <w:p>
            <w:pPr>
              <w:pStyle w:val="TableContents"/>
              <w:bidi w:val="0"/>
              <w:spacing w:before="0" w:after="283"/>
              <w:jc w:val="center"/>
              <w:rPr/>
            </w:pPr>
            <w:r>
              <w:rPr/>
              <w:t xml:space="preserve">Other </w:t>
            </w:r>
          </w:p>
        </w:tc>
        <w:tc>
          <w:tcPr>
            <w:tcW w:w="1211" w:type="dxa"/>
            <w:tcBorders/>
            <w:shd w:fill="E7E7E2" w:val="clear"/>
            <w:vAlign w:val="center"/>
          </w:tcPr>
          <w:p>
            <w:pPr>
              <w:pStyle w:val="TableContents"/>
              <w:bidi w:val="0"/>
              <w:spacing w:before="0" w:after="283"/>
              <w:jc w:val="right"/>
              <w:rPr/>
            </w:pPr>
            <w:r>
              <w:rPr/>
              <w:t xml:space="preserve">300,000 </w:t>
            </w:r>
          </w:p>
        </w:tc>
        <w:tc>
          <w:tcPr>
            <w:tcW w:w="1247" w:type="dxa"/>
            <w:tcBorders/>
            <w:shd w:fill="E7E7E2" w:val="clear"/>
            <w:vAlign w:val="center"/>
          </w:tcPr>
          <w:p>
            <w:pPr>
              <w:pStyle w:val="TableContents"/>
              <w:bidi w:val="0"/>
              <w:spacing w:before="0" w:after="283"/>
              <w:jc w:val="right"/>
              <w:rPr/>
            </w:pPr>
            <w:r>
              <w:rPr/>
              <w:t xml:space="preserve">$ 10.06 </w:t>
            </w:r>
          </w:p>
        </w:tc>
        <w:tc>
          <w:tcPr>
            <w:tcW w:w="1605" w:type="dxa"/>
            <w:tcBorders/>
            <w:shd w:fill="E7E7E2" w:val="clear"/>
            <w:vAlign w:val="center"/>
          </w:tcPr>
          <w:p>
            <w:pPr>
              <w:pStyle w:val="TableContents"/>
              <w:bidi w:val="0"/>
              <w:spacing w:before="0" w:after="283"/>
              <w:jc w:val="right"/>
              <w:rPr/>
            </w:pPr>
            <w:r>
              <w:rPr/>
              <w:t xml:space="preserve">$ 3,018,000.00 </w:t>
            </w:r>
          </w:p>
        </w:tc>
        <w:tc>
          <w:tcPr>
            <w:tcW w:w="1127" w:type="dxa"/>
            <w:tcBorders/>
            <w:shd w:fill="E7E7E2" w:val="clear"/>
            <w:vAlign w:val="center"/>
          </w:tcPr>
          <w:p>
            <w:pPr>
              <w:pStyle w:val="TableContents"/>
              <w:bidi w:val="0"/>
              <w:spacing w:before="0" w:after="283"/>
              <w:jc w:val="right"/>
              <w:rPr/>
            </w:pPr>
            <w:r>
              <w:rPr/>
              <w:t xml:space="preserve">0.0001381 </w:t>
            </w:r>
          </w:p>
        </w:tc>
        <w:tc>
          <w:tcPr>
            <w:tcW w:w="1444" w:type="dxa"/>
            <w:tcBorders/>
            <w:shd w:fill="E7E7E2" w:val="clear"/>
            <w:vAlign w:val="center"/>
          </w:tcPr>
          <w:p>
            <w:pPr>
              <w:pStyle w:val="TableContents"/>
              <w:bidi w:val="0"/>
              <w:spacing w:before="0" w:after="283"/>
              <w:jc w:val="right"/>
              <w:rPr/>
            </w:pPr>
            <w:r>
              <w:rPr/>
              <w:t xml:space="preserve">$ 416.79 </w:t>
            </w:r>
          </w:p>
        </w:tc>
      </w:tr>
      <w:tr>
        <w:trPr/>
        <w:tc>
          <w:tcPr>
            <w:tcW w:w="4782" w:type="dxa"/>
            <w:gridSpan w:val="5"/>
            <w:tcBorders/>
            <w:vAlign w:val="center"/>
          </w:tcPr>
          <w:p>
            <w:pPr>
              <w:pStyle w:val="TableContents"/>
              <w:bidi w:val="0"/>
              <w:spacing w:before="0" w:after="0"/>
              <w:ind w:left="0" w:right="0" w:hanging="0"/>
              <w:jc w:val="right"/>
              <w:rPr/>
            </w:pPr>
            <w:r>
              <w:rPr/>
              <w:t>Total Offering Amounts:</w:t>
            </w:r>
          </w:p>
        </w:tc>
        <w:tc>
          <w:tcPr>
            <w:tcW w:w="1247"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0"/>
              <w:ind w:left="0" w:right="0" w:hanging="0"/>
              <w:jc w:val="right"/>
              <w:rPr/>
            </w:pPr>
            <w:bookmarkStart w:id="15" w:name="MaxAggtOfferingPrice"/>
            <w:bookmarkEnd w:id="15"/>
            <w:r>
              <w:rPr/>
              <w:t xml:space="preserve">$ 3,018,000.00 </w:t>
            </w:r>
          </w:p>
        </w:tc>
        <w:tc>
          <w:tcPr>
            <w:tcW w:w="1127" w:type="dxa"/>
            <w:tcBorders/>
            <w:vAlign w:val="center"/>
          </w:tcPr>
          <w:p>
            <w:pPr>
              <w:pStyle w:val="TableContents"/>
              <w:bidi w:val="0"/>
              <w:spacing w:before="0" w:after="283"/>
              <w:jc w:val="left"/>
              <w:rPr>
                <w:sz w:val="4"/>
                <w:szCs w:val="4"/>
              </w:rPr>
            </w:pPr>
            <w:r>
              <w:rPr>
                <w:sz w:val="4"/>
                <w:szCs w:val="4"/>
              </w:rPr>
            </w:r>
          </w:p>
        </w:tc>
        <w:tc>
          <w:tcPr>
            <w:tcW w:w="1444"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$ 416.79 </w:t>
            </w:r>
          </w:p>
        </w:tc>
      </w:tr>
      <w:tr>
        <w:trPr/>
        <w:tc>
          <w:tcPr>
            <w:tcW w:w="4782" w:type="dxa"/>
            <w:gridSpan w:val="5"/>
            <w:tcBorders/>
            <w:vAlign w:val="center"/>
          </w:tcPr>
          <w:p>
            <w:pPr>
              <w:pStyle w:val="TableContents"/>
              <w:bidi w:val="0"/>
              <w:spacing w:before="0" w:after="0"/>
              <w:ind w:left="0" w:right="0" w:hanging="0"/>
              <w:jc w:val="right"/>
              <w:rPr/>
            </w:pPr>
            <w:r>
              <w:rPr/>
              <w:t xml:space="preserve">Total Fee Offsets: </w:t>
            </w:r>
          </w:p>
        </w:tc>
        <w:tc>
          <w:tcPr>
            <w:tcW w:w="1247"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0"/>
              <w:ind w:left="0" w:right="0" w:hanging="0"/>
              <w:jc w:val="right"/>
              <w:rPr/>
            </w:pPr>
            <w:bookmarkStart w:id="17" w:name="TotalOffsetAmt"/>
            <w:bookmarkEnd w:id="17"/>
            <w:r>
              <w:rPr/>
              <w:t xml:space="preserve">$ 0.00 </w:t>
            </w:r>
          </w:p>
        </w:tc>
      </w:tr>
      <w:tr>
        <w:trPr/>
        <w:tc>
          <w:tcPr>
            <w:tcW w:w="4782" w:type="dxa"/>
            <w:gridSpan w:val="5"/>
            <w:tcBorders/>
            <w:vAlign w:val="center"/>
          </w:tcPr>
          <w:p>
            <w:pPr>
              <w:pStyle w:val="TableContents"/>
              <w:bidi w:val="0"/>
              <w:spacing w:before="0" w:after="0"/>
              <w:ind w:left="0" w:right="0" w:hanging="0"/>
              <w:jc w:val="right"/>
              <w:rPr/>
            </w:pPr>
            <w:r>
              <w:rPr/>
              <w:t xml:space="preserve">Net Fee Due: </w:t>
            </w:r>
          </w:p>
        </w:tc>
        <w:tc>
          <w:tcPr>
            <w:tcW w:w="1247"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0"/>
              <w:ind w:left="0" w:right="0" w:hanging="0"/>
              <w:jc w:val="right"/>
              <w:rPr/>
            </w:pPr>
            <w:bookmarkStart w:id="18" w:name="NetFeeAmt"/>
            <w:bookmarkEnd w:id="18"/>
            <w:r>
              <w:rPr/>
              <w:t xml:space="preserve">$ 416.79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3"/>
        <w:gridCol w:w="8711"/>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Pursuant to Rule 416(a) promulgated under the Securities Act of 1933, as amended, this Registration Statement shall also cover any additional shares of common stock ("Common Stock") of Orion Energy Systems, Inc. that may be offered or issued under the Orion Energy Systems, Inc. 2016 Omnibus Incentive Plan, as amended and restated (the "Plan"), by reason of any stock dividend, stock split, recapitalization or other similar transaction that results in an adjustment in the number of outstanding shares of Common Stock. Proposed Maximum Offering Price per Unit estimated in accordance with Rule 457(c) and Rule 457(h) solely for the purpose of calculating the registration fee based on a per share price of $10.06, the average of the high and low price per share of the Common Stock as reported on the Nasdaq Capital Market on July 31, 2026. The Amount Registered represents 300,000 shares of Common Stock that may be offered and sold under the Plan.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Trebuchet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9375/000095013407018504/c17612exv3w3.htm" TargetMode="External"/><Relationship Id="rId3" Type="http://schemas.openxmlformats.org/officeDocument/2006/relationships/hyperlink" Target="https://www.sec.gov/Archives/edgar/data/1409375/000119312525183453/d946146dex31.htm" TargetMode="External"/><Relationship Id="rId4" Type="http://schemas.openxmlformats.org/officeDocument/2006/relationships/hyperlink" Target="https://www.sec.gov/ix?doc=/Archives/edgar/data/0001409375/000119312522284552/d391651d8k.htm" TargetMode="External"/><Relationship Id="rId5" Type="http://schemas.openxmlformats.org/officeDocument/2006/relationships/hyperlink" Target="https://www.sec.gov/ix?doc=/Archives/edgar/data/0001409375/000119312526279460/d136640ddef14a.htm" TargetMode="External"/><Relationship Id="rId6" Type="http://schemas.openxmlformats.org/officeDocument/2006/relationships/image" Target="media/image1.gif"/><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1940</Words>
  <Characters>10376</Characters>
  <CharactersWithSpaces>12361</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