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ind w:left="4080" w:right="1940" w:hanging="4072"/>
        <w:spacing w:after="0" w:line="297" w:lineRule="auto"/>
        <w:tabs>
          <w:tab w:leader="none" w:pos="5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color w:val="auto"/>
        </w:rPr>
        <w:t>March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1" w:lineRule="exact"/>
        <w:rPr>
          <w:sz w:val="24"/>
          <w:szCs w:val="24"/>
          <w:color w:val="auto"/>
        </w:rPr>
      </w:pPr>
    </w:p>
    <w:p>
      <w:pPr>
        <w:ind w:left="35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-6350</wp:posOffset>
            </wp:positionV>
            <wp:extent cx="118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Orion Energy Systems, Inc.</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67945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9" w:lineRule="exact"/>
        <w:rPr>
          <w:sz w:val="24"/>
          <w:szCs w:val="24"/>
          <w:color w:val="auto"/>
        </w:rPr>
      </w:pPr>
    </w:p>
    <w:tbl>
      <w:tblPr>
        <w:tblLayout w:type="fixed"/>
        <w:tblInd w:w="1640" w:type="dxa"/>
        <w:tblCellMar>
          <w:top w:w="0" w:type="dxa"/>
          <w:left w:w="0" w:type="dxa"/>
          <w:bottom w:w="0" w:type="dxa"/>
          <w:right w:w="0" w:type="dxa"/>
        </w:tblCellMar>
      </w:tblPr>
      <w:tr>
        <w:trPr>
          <w:trHeight w:val="214"/>
        </w:trPr>
        <w:tc>
          <w:tcPr>
            <w:tcW w:w="4480" w:type="dxa"/>
            <w:vAlign w:val="bottom"/>
          </w:tcPr>
          <w:p>
            <w:pPr>
              <w:jc w:val="center"/>
              <w:ind w:right="1461"/>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6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480" w:type="dxa"/>
            <w:vAlign w:val="bottom"/>
          </w:tcPr>
          <w:p>
            <w:pPr>
              <w:jc w:val="center"/>
              <w:ind w:right="14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60" w:type="dxa"/>
            <w:vAlign w:val="bottom"/>
          </w:tcPr>
          <w:p>
            <w:pPr>
              <w:jc w:val="center"/>
              <w:ind w:left="14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51"/>
        </w:trPr>
        <w:tc>
          <w:tcPr>
            <w:tcW w:w="4480" w:type="dxa"/>
            <w:vAlign w:val="bottom"/>
          </w:tcPr>
          <w:p>
            <w:pPr>
              <w:jc w:val="center"/>
              <w:ind w:right="1441"/>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60" w:type="dxa"/>
            <w:vAlign w:val="bottom"/>
          </w:tcPr>
          <w:p>
            <w:pPr>
              <w:jc w:val="center"/>
              <w:ind w:left="14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38"/>
        </w:trPr>
        <w:tc>
          <w:tcPr>
            <w:tcW w:w="448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w:t>
            </w:r>
          </w:p>
        </w:tc>
        <w:tc>
          <w:tcPr>
            <w:tcW w:w="26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54220</w:t>
            </w:r>
          </w:p>
        </w:tc>
        <w:tc>
          <w:tcPr>
            <w:tcW w:w="0" w:type="dxa"/>
            <w:vAlign w:val="bottom"/>
          </w:tcPr>
          <w:p>
            <w:pPr>
              <w:spacing w:after="0"/>
              <w:rPr>
                <w:sz w:val="1"/>
                <w:szCs w:val="1"/>
                <w:color w:val="auto"/>
              </w:rPr>
            </w:pPr>
          </w:p>
        </w:tc>
      </w:tr>
      <w:tr>
        <w:trPr>
          <w:trHeight w:val="233"/>
        </w:trPr>
        <w:tc>
          <w:tcPr>
            <w:tcW w:w="4480" w:type="dxa"/>
            <w:vAlign w:val="bottom"/>
            <w:vMerge w:val="restart"/>
          </w:tcPr>
          <w:p>
            <w:pPr>
              <w:jc w:val="center"/>
              <w:ind w:right="14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68"/>
        </w:trPr>
        <w:tc>
          <w:tcPr>
            <w:tcW w:w="4480" w:type="dxa"/>
            <w:vAlign w:val="bottom"/>
            <w:vMerge w:val="continue"/>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(920) 892-9340</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5" w:lineRule="exact"/>
        <w:rPr>
          <w:sz w:val="24"/>
          <w:szCs w:val="24"/>
          <w:color w:val="auto"/>
        </w:rPr>
      </w:pPr>
    </w:p>
    <w:tbl>
      <w:tblPr>
        <w:tblLayout w:type="fixed"/>
        <w:tblInd w:w="1300" w:type="dxa"/>
        <w:tblCellMar>
          <w:top w:w="0" w:type="dxa"/>
          <w:left w:w="0" w:type="dxa"/>
          <w:bottom w:w="0" w:type="dxa"/>
          <w:right w:w="0" w:type="dxa"/>
        </w:tblCellMar>
      </w:tblPr>
      <w:tr>
        <w:trPr>
          <w:trHeight w:val="173"/>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200" w:type="dxa"/>
            <w:vAlign w:val="bottom"/>
          </w:tcPr>
          <w:p>
            <w:pPr>
              <w:spacing w:after="0"/>
              <w:rPr>
                <w:sz w:val="15"/>
                <w:szCs w:val="15"/>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3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OESX</w:t>
            </w:r>
          </w:p>
        </w:tc>
        <w:tc>
          <w:tcPr>
            <w:tcW w:w="29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390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p>
      <w:pPr>
        <w:spacing w:after="0" w:line="18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4">
            <w:col w:w="7280" w:space="140"/>
            <w:col w:w="220" w:space="60"/>
            <w:col w:w="140" w:space="140"/>
            <w:col w:w="3260"/>
          </w:cols>
          <w:pgMar w:left="320" w:top="317" w:right="339" w:bottom="1440" w:gutter="0" w:footer="0" w:header="0"/>
          <w:type w:val="continuous"/>
        </w:sectPr>
      </w:pPr>
    </w:p>
    <w:p>
      <w:pPr>
        <w:spacing w:after="0" w:line="2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9" w:lineRule="exact"/>
        <w:rPr>
          <w:sz w:val="24"/>
          <w:szCs w:val="24"/>
          <w:color w:val="auto"/>
        </w:rPr>
      </w:pPr>
    </w:p>
    <w:p>
      <w:pPr>
        <w:sectPr>
          <w:pgSz w:w="11900" w:h="16838" w:orient="portrait"/>
          <w:cols w:equalWidth="0" w:num="5">
            <w:col w:w="6980" w:space="140"/>
            <w:col w:w="200" w:space="80"/>
            <w:col w:w="140" w:space="140"/>
            <w:col w:w="180" w:space="60"/>
            <w:col w:w="3320"/>
          </w:cols>
          <w:pgMar w:left="320" w:top="317" w:right="339" w:bottom="1440" w:gutter="0" w:footer="0" w:header="0"/>
          <w:type w:val="continuous"/>
        </w:sectPr>
      </w:pPr>
    </w:p>
    <w:p>
      <w:pPr>
        <w:ind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firstLine="5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9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1" w:lineRule="exact"/>
        <w:rPr>
          <w:sz w:val="24"/>
          <w:szCs w:val="24"/>
          <w:color w:val="auto"/>
        </w:rPr>
      </w:pPr>
    </w:p>
    <w:p>
      <w:pPr>
        <w:ind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2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left="520"/>
        <w:spacing w:after="0" w:line="161" w:lineRule="exact"/>
        <w:tabs>
          <w:tab w:leader="none" w:pos="7220" w:val="left"/>
          <w:tab w:leader="none" w:pos="77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firstLine="510"/>
        <w:spacing w:after="0" w:line="261" w:lineRule="auto"/>
        <w:rPr>
          <w:sz w:val="20"/>
          <w:szCs w:val="20"/>
          <w:color w:val="auto"/>
        </w:rPr>
      </w:pPr>
      <w:r>
        <w:rPr>
          <w:rFonts w:ascii="Times New Roman" w:cs="Times New Roman" w:eastAsia="Times New Roman" w:hAnsi="Times New Roman"/>
          <w:sz w:val="14"/>
          <w:szCs w:val="14"/>
          <w:color w:val="auto"/>
        </w:rPr>
        <w:t>The aggregate market value of shares of the Registrant’s common stock held by non-affiliates as of September 30, 2021, the last business day of the Registrant’s most recently completed second fiscal quarter, was approximately $103,616,098.</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May 31, 2022, there were 31,098,938 shares of the Registrant’s common stock outstanding.</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3" w:lineRule="exact"/>
        <w:rPr>
          <w:sz w:val="24"/>
          <w:szCs w:val="24"/>
          <w:color w:val="auto"/>
        </w:rPr>
      </w:pPr>
    </w:p>
    <w:p>
      <w:pPr>
        <w:ind w:right="20" w:firstLine="510"/>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the 2022 Annual Meeting of Shareholders to be held on August 4, 2022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80" w:type="dxa"/>
            <w:vAlign w:val="bottom"/>
            <w:gridSpan w:val="9"/>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rPr>
              <w:t>ORION ENERGY SYSTEMS,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80" w:type="dxa"/>
            <w:vAlign w:val="bottom"/>
            <w:gridSpan w:val="9"/>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60" w:type="dxa"/>
            <w:vAlign w:val="bottom"/>
            <w:gridSpan w:val="10"/>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FOR THE YEAR ENDED MARCH 31, 2021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20" w:type="dxa"/>
            <w:vAlign w:val="bottom"/>
            <w:gridSpan w:val="8"/>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7"/>
            <w:vMerge w:val="restart"/>
          </w:tcPr>
          <w:p>
            <w:pPr>
              <w:jc w:val="center"/>
              <w:ind w:right="4480"/>
              <w:spacing w:after="0"/>
              <w:rPr>
                <w:sz w:val="20"/>
                <w:szCs w:val="20"/>
                <w:color w:val="auto"/>
              </w:rPr>
            </w:pPr>
            <w:r>
              <w:rPr>
                <w:rFonts w:ascii="Times New Roman" w:cs="Times New Roman" w:eastAsia="Times New Roman" w:hAnsi="Times New Roman"/>
                <w:sz w:val="18"/>
                <w:szCs w:val="18"/>
                <w:color w:val="auto"/>
                <w:w w:val="95"/>
              </w:rPr>
              <w:t>PART I</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gridSpan w:val="7"/>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160" w:type="dxa"/>
            <w:vAlign w:val="bottom"/>
            <w:tcBorders>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8"/>
                <w:szCs w:val="18"/>
                <w:color w:val="0000EE"/>
                <w:w w:val="99"/>
              </w:rPr>
              <w:t>Item 1 Business</w:t>
            </w:r>
          </w:p>
        </w:tc>
        <w:tc>
          <w:tcPr>
            <w:tcW w:w="9460" w:type="dxa"/>
            <w:vAlign w:val="bottom"/>
            <w:gridSpan w:val="22"/>
          </w:tcPr>
          <w:p>
            <w:pPr>
              <w:spacing w:after="0"/>
              <w:rPr>
                <w:sz w:val="16"/>
                <w:szCs w:val="16"/>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6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7940" w:type="dxa"/>
            <w:vAlign w:val="bottom"/>
            <w:gridSpan w:val="12"/>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06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Properties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8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 Legal Proceedings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2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20" w:type="dxa"/>
            <w:vAlign w:val="bottom"/>
            <w:gridSpan w:val="7"/>
            <w:vMerge w:val="restart"/>
          </w:tcPr>
          <w:p>
            <w:pPr>
              <w:jc w:val="center"/>
              <w:ind w:right="4500"/>
              <w:spacing w:after="0"/>
              <w:rPr>
                <w:sz w:val="20"/>
                <w:szCs w:val="20"/>
                <w:color w:val="auto"/>
              </w:rPr>
            </w:pPr>
            <w:r>
              <w:rPr>
                <w:rFonts w:ascii="Times New Roman" w:cs="Times New Roman" w:eastAsia="Times New Roman" w:hAnsi="Times New Roman"/>
                <w:sz w:val="18"/>
                <w:szCs w:val="18"/>
                <w:color w:val="auto"/>
                <w:w w:val="95"/>
              </w:rPr>
              <w:t>PART II</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7"/>
            <w:vMerge w:val="continue"/>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0620" w:type="dxa"/>
            <w:vAlign w:val="bottom"/>
            <w:gridSpan w:val="24"/>
          </w:tcPr>
          <w:p>
            <w:pPr>
              <w:spacing w:after="0" w:line="174" w:lineRule="exact"/>
              <w:rPr>
                <w:sz w:val="20"/>
                <w:szCs w:val="20"/>
                <w:color w:val="auto"/>
              </w:rPr>
            </w:pPr>
            <w:r>
              <w:rPr>
                <w:rFonts w:ascii="Times New Roman" w:cs="Times New Roman" w:eastAsia="Times New Roman" w:hAnsi="Times New Roman"/>
                <w:sz w:val="18"/>
                <w:szCs w:val="18"/>
                <w:color w:val="0000EE"/>
              </w:rPr>
              <w:t>Item 5 Market for Registrant’s Common Equity, Related Shareholder Matters and Issuer Purchases of Equity Securities</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85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6 [Reserved]</w:t>
            </w:r>
          </w:p>
        </w:tc>
        <w:tc>
          <w:tcPr>
            <w:tcW w:w="2040" w:type="dxa"/>
            <w:vAlign w:val="bottom"/>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9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0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7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8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6780" w:type="dxa"/>
            <w:vAlign w:val="bottom"/>
            <w:gridSpan w:val="9"/>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6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0"/>
          </w:tcPr>
          <w:p>
            <w:pPr>
              <w:spacing w:after="0"/>
              <w:rPr>
                <w:sz w:val="18"/>
                <w:szCs w:val="18"/>
                <w:color w:val="auto"/>
              </w:rPr>
            </w:pPr>
          </w:p>
        </w:tc>
        <w:tc>
          <w:tcPr>
            <w:tcW w:w="3640" w:type="dxa"/>
            <w:vAlign w:val="bottom"/>
            <w:gridSpan w:val="3"/>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06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55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54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27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7"/>
          </w:tcPr>
          <w:p>
            <w:pPr>
              <w:jc w:val="center"/>
              <w:ind w:right="4480"/>
              <w:spacing w:after="0"/>
              <w:rPr>
                <w:sz w:val="20"/>
                <w:szCs w:val="20"/>
                <w:color w:val="auto"/>
              </w:rPr>
            </w:pPr>
            <w:r>
              <w:rPr>
                <w:rFonts w:ascii="Times New Roman" w:cs="Times New Roman" w:eastAsia="Times New Roman" w:hAnsi="Times New Roman"/>
                <w:sz w:val="18"/>
                <w:szCs w:val="18"/>
                <w:color w:val="auto"/>
                <w:w w:val="96"/>
              </w:rPr>
              <w:t>PART III</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700" w:type="dxa"/>
            <w:vAlign w:val="bottom"/>
            <w:tcBorders>
              <w:bottom w:val="single" w:sz="8" w:color="0000EE"/>
            </w:tcBorders>
            <w:gridSpan w:val="16"/>
          </w:tcPr>
          <w:p>
            <w:pPr>
              <w:spacing w:after="0" w:line="174" w:lineRule="exact"/>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5920" w:type="dxa"/>
            <w:vAlign w:val="bottom"/>
            <w:gridSpan w:val="8"/>
          </w:tcPr>
          <w:p>
            <w:pPr>
              <w:spacing w:after="0"/>
              <w:rPr>
                <w:sz w:val="16"/>
                <w:szCs w:val="16"/>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8220" w:type="dxa"/>
            <w:vAlign w:val="bottom"/>
            <w:gridSpan w:val="14"/>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9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Shareholder Matters</w:t>
            </w:r>
          </w:p>
        </w:tc>
        <w:tc>
          <w:tcPr>
            <w:tcW w:w="2720" w:type="dxa"/>
            <w:vAlign w:val="bottom"/>
            <w:gridSpan w:val="2"/>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456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6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20" w:type="dxa"/>
            <w:vAlign w:val="bottom"/>
            <w:gridSpan w:val="7"/>
          </w:tcPr>
          <w:p>
            <w:pPr>
              <w:jc w:val="center"/>
              <w:ind w:right="4480"/>
              <w:spacing w:after="0"/>
              <w:rPr>
                <w:sz w:val="20"/>
                <w:szCs w:val="20"/>
                <w:color w:val="auto"/>
              </w:rPr>
            </w:pPr>
            <w:r>
              <w:rPr>
                <w:rFonts w:ascii="Times New Roman" w:cs="Times New Roman" w:eastAsia="Times New Roman" w:hAnsi="Times New Roman"/>
                <w:sz w:val="18"/>
                <w:szCs w:val="18"/>
                <w:color w:val="auto"/>
                <w:w w:val="94"/>
              </w:rPr>
              <w:t>PART IV</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760" w:type="dxa"/>
            <w:vAlign w:val="bottom"/>
            <w:tcBorders>
              <w:bottom w:val="single" w:sz="8" w:color="0000EE"/>
            </w:tcBorders>
            <w:gridSpan w:val="14"/>
          </w:tcPr>
          <w:p>
            <w:pPr>
              <w:spacing w:after="0" w:line="174" w:lineRule="exact"/>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6860" w:type="dxa"/>
            <w:vAlign w:val="bottom"/>
            <w:gridSpan w:val="10"/>
          </w:tcPr>
          <w:p>
            <w:pPr>
              <w:spacing w:after="0"/>
              <w:rPr>
                <w:sz w:val="16"/>
                <w:szCs w:val="16"/>
                <w:color w:val="auto"/>
              </w:rPr>
            </w:pP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 Form 10-K Summary</w:t>
            </w:r>
          </w:p>
        </w:tc>
        <w:tc>
          <w:tcPr>
            <w:tcW w:w="8460" w:type="dxa"/>
            <w:vAlign w:val="bottom"/>
            <w:gridSpan w:val="16"/>
          </w:tcPr>
          <w:p>
            <w:pPr>
              <w:spacing w:after="0"/>
              <w:rPr>
                <w:sz w:val="18"/>
                <w:szCs w:val="18"/>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860" w:type="dxa"/>
            <w:vAlign w:val="bottom"/>
            <w:gridSpan w:val="23"/>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121"/>
        </w:trPr>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99"/>
        <w:spacing w:after="0" w:line="252"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89" w:lineRule="exact"/>
        <w:rPr>
          <w:sz w:val="20"/>
          <w:szCs w:val="20"/>
          <w:color w:val="auto"/>
        </w:rPr>
      </w:pPr>
    </w:p>
    <w:p>
      <w:pPr>
        <w:ind w:left="8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key customers, and the potential consequences of the loss of one or more key customers or suppliers, including key contacts at such customers</w:t>
      </w:r>
      <w:r>
        <w:rPr>
          <w:rFonts w:ascii="Times New Roman" w:cs="Times New Roman" w:eastAsia="Times New Roman" w:hAnsi="Times New Roman"/>
          <w:sz w:val="18"/>
          <w:szCs w:val="18"/>
          <w:color w:val="212529"/>
        </w:rPr>
        <w:t>;</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deterioration of market conditions, including our dependence on customers' capital budgets for sales of products and services, and adverse impacts on costs and the demand for our products as a result of factors such as the COVID-19 pandemic and the implementation of tariffs;</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general economic, business and geopolitical conditions, including the impacts of natural disasters, pandemics and outbreaks of contagious diseases and other adverse public health developments, such as the COVID-19 pandemic;</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manage and maintain our refocused business strategy to successfully bring to market new and innovative product and service offerings;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hire and retain talented individuals in all disciplines of our company;</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(including as a result of tariffs), shortages or interruptions of component supplies and raw materials used to manufacture our products;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transactions with suitable acquisition candidates in the future as part of our growth strategy;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future acquisitions;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additional debt financing and/or equity capital to pursue our evolving strategy and sustain our growth initiatives;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of potential loss related to single or focused exposure within our current customer base and product offerings;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our profitability and positive cash flows;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differentiate our products in a highly competitive and converging market, expand our customer base and gain market share;</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downward pressure on the average selling prices of our products as a result of competitive pressures in the light emitting diode ("LED") market;</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and avoid inventory obsolescence in a rapidly evolving LED market;</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reliance on third parties for the manufacture and development of products, product components, as well as the provision of certain services;</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emphasis on selling more of our products through third party distributors and sales agents, including our ability to attract and retain effective third party distributors and sales agents to execute our sales model;</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participate in new product and technology offerings or applications in a cost effective and timely manner;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safe and secure information technology systems;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balance customer demand and production capacity;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our patent portfolio and license technology from third parties;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electricity;</w:t>
      </w:r>
    </w:p>
    <w:p>
      <w:pPr>
        <w:spacing w:after="0" w:line="117" w:lineRule="exact"/>
        <w:rPr>
          <w:rFonts w:ascii="Times New Roman" w:cs="Times New Roman" w:eastAsia="Times New Roman" w:hAnsi="Times New Roman"/>
          <w:sz w:val="18"/>
          <w:szCs w:val="18"/>
          <w:color w:val="auto"/>
        </w:rPr>
      </w:pPr>
    </w:p>
    <w:p>
      <w:pPr>
        <w:ind w:left="860" w:right="20" w:hanging="366"/>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in our credit agreement;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comply with, and the effects of, any current and future industry and government regulations, laws and policies;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warranty claims in excess of our reserve estimates.</w:t>
      </w:r>
    </w:p>
    <w:p>
      <w:pPr>
        <w:spacing w:after="0" w:line="225"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62"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jc w:val="both"/>
        <w:ind w:right="2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project engineering, energy project management design and maintenance services.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Our services consist of turnkey installation and system maintenance. Virtually all of our sales occur within North America.</w:t>
      </w:r>
    </w:p>
    <w:p>
      <w:pPr>
        <w:spacing w:after="0" w:line="18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principal customers include large national account end-users, electrical distributors, electrical contractors and energy service companies (“ESCOS”). Currently, a significant amount of our products are manufactured at our leased production facility located in Manitowoc, Wisconsin, although as the LED and related IoT market continues to evolve, we are increasingly sourcing products and components from third parties in order to diversify our product offerings.</w:t>
      </w:r>
    </w:p>
    <w:p>
      <w:pPr>
        <w:spacing w:after="0" w:line="180"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differentiate ourselves from our competitors thorough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w:t>
      </w:r>
    </w:p>
    <w:p>
      <w:pPr>
        <w:spacing w:after="0" w:line="17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as well as project management services. We also sell our lighting systems on a wholesale basis, principally to electrical distributors, electrical contractors and ESCOs to sell to their own customer bases.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fiscal year ends on March 31. We refer to our current fiscal year which ended on March 31, 2022 as "fiscal 2022". We refer to our most recently completed fiscal year, which ended on March 31, 2021, as “fiscal 2021”, and our prior fiscal year which ended on March 31, 2020 as "fiscal 2020". Our fiscal first quarter of each fiscal year ends on June 30, our fiscal second quarter ends on September 30, our fiscal third quarter ends on December 31, and our fiscal fourth quarter ends on March 31.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reportable segments: Orion Services Group Division ("OSG"), and Orion Distribution Services Division ("ODS"), and Orion U.S. Markets Division ("USM").</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For financial results by reportable segment, please refer to Note 18 – Segment Data in our consolidated financial statements included in Item 8.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Services Group Division</w:t>
      </w:r>
    </w:p>
    <w:p>
      <w:pPr>
        <w:spacing w:after="0" w:line="121"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Our OSG segment (a) develops and sells lighting products and provides construction and engineering services for our commercial lighting and energy management systems and (b) provides retailers, distributors and other businesses with maintenance, repair and replacement services for the lighting and related electrical components deployed in their facilities. OSG provides engineering, design, lighting products and in many cases turnkey solutions for large national accounts, governments, municipalities, schools and other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Our ODS segment focuses on selling lighting products through manufacturer representative agencies and a network of North American broadline and electrical distributors and contractors.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Our USM segment sells commercial lighting systems and energy management systems to the wholesale contractor markets. USM customers include ESCOs and contractors.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provide enterprise-grade LED lighting and energy management project solutions. We are primarily focused on providing commercial and industrial facilities lighting retrofit solutions in North America using solid-state LED technology. We believe the market for lighting products has shifted to LED lighting systems and continues to grow.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other technologies.</w:t>
      </w:r>
    </w:p>
    <w:p>
      <w:pPr>
        <w:spacing w:after="0" w:line="18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products deliver energy savings and efficiency gains to our commercial and industrial customers without compromising their quantity or quality of light. We estimate that our energy management systems reduce our customers’ legacy lighting-related electricity costs by approximately 50% or greater, while maintaining their quantity of light after the reduced wattage and improving overall lighting quality when replacing traditional fixtures. Our customers with legacy lighting systems typically realize a one to four-year payback period, and most often 18 – 24 months, from electricity cost savings generated by our lighting systems without considering utility incentives or government subsidies. Energy-efficient lighting systems are cost-effective and environmentally responsible solutions allowing end users to reduce operating expenses and their carbon footprint.</w:t>
      </w:r>
    </w:p>
    <w:p>
      <w:pPr>
        <w:spacing w:after="0" w:line="18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serve government and private sector end-customers in the following primary markets: commercial office and retail, exterior area lighting and industrial applications.</w:t>
      </w:r>
    </w:p>
    <w:p>
      <w:pPr>
        <w:spacing w:after="0" w:line="160"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office and retail. </w:t>
      </w:r>
      <w:r>
        <w:rPr>
          <w:rFonts w:ascii="Times New Roman" w:cs="Times New Roman" w:eastAsia="Times New Roman" w:hAnsi="Times New Roman"/>
          <w:sz w:val="18"/>
          <w:szCs w:val="18"/>
          <w:color w:val="auto"/>
        </w:rPr>
        <w:t>Our commercial office and retail market includes commercial office buildings, retail store fronts, government offices,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schools, hospitals and other buildings with traditional 10 to 12 foot ceiling heights.</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Industrial applications. </w:t>
      </w:r>
      <w:r>
        <w:rPr>
          <w:rFonts w:ascii="Times New Roman" w:cs="Times New Roman" w:eastAsia="Times New Roman" w:hAnsi="Times New Roman"/>
          <w:sz w:val="18"/>
          <w:szCs w:val="18"/>
          <w:color w:val="auto"/>
        </w:rPr>
        <w:t>Our market for industrial facilities includes manufacturing facilities, distribution and warehouse facilities,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buildings and agricultural buildings. These facilities typically contain "high-bay" lighting fixtures.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both"/>
        <w:ind w:right="20" w:firstLine="494"/>
        <w:spacing w:after="0" w:line="266" w:lineRule="auto"/>
        <w:rPr>
          <w:sz w:val="20"/>
          <w:szCs w:val="20"/>
          <w:color w:val="auto"/>
        </w:rPr>
      </w:pPr>
      <w:r>
        <w:rPr>
          <w:rFonts w:ascii="Times New Roman" w:cs="Times New Roman" w:eastAsia="Times New Roman" w:hAnsi="Times New Roman"/>
          <w:sz w:val="18"/>
          <w:szCs w:val="18"/>
          <w:color w:val="auto"/>
        </w:rPr>
        <w:t>Commercial and industrial facilities in the United States employ a variety of lighting technologies, including HID, traditional fluorescents, LED and incandescent lighting fixtures. We estimate that approximately 25-30% of this market still utilizes inefficient high intensity discharge ("HID") lighting technologies. Our lighting systems typically replace less efficient HID, HIF fixtures, and earlier generation of LED fixtures.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Exterior Area lighting. </w:t>
      </w:r>
      <w:r>
        <w:rPr>
          <w:rFonts w:ascii="Times New Roman" w:cs="Times New Roman" w:eastAsia="Times New Roman" w:hAnsi="Times New Roman"/>
          <w:sz w:val="18"/>
          <w:szCs w:val="18"/>
          <w:color w:val="auto"/>
        </w:rPr>
        <w:t>Our market for area lighting includes parking garages, surface lots, automobile dealerships and gas service stations.</w:t>
      </w:r>
    </w:p>
    <w:p>
      <w:pPr>
        <w:spacing w:after="0" w:line="227"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utilities design and fund programs that promote or deliver energy efficiency through legislation, regulation or voluntary action. Our product sales are not solely dependent upon these incentive programs, but we do believe that these incentive programs provide an important benefit as our customers evaluate their out-of-pocket cash investments.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19"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Value Proposition. </w:t>
      </w:r>
      <w:r>
        <w:rPr>
          <w:rFonts w:ascii="Times New Roman" w:cs="Times New Roman" w:eastAsia="Times New Roman" w:hAnsi="Times New Roman"/>
          <w:sz w:val="18"/>
          <w:szCs w:val="18"/>
          <w:color w:val="auto"/>
        </w:rPr>
        <w:t>We estimate our LED lighting systems generally reduce lighting-related electricity usage and costs by approximately 50%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compared to legacy fixtures, while retaining the quantity of light, improving overall lighting quality and helping customers reduce their carbon footprint.</w:t>
      </w:r>
    </w:p>
    <w:p>
      <w:pPr>
        <w:spacing w:after="0" w:line="173"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Multi-Facility Roll-Out Capability. </w:t>
      </w:r>
      <w:r>
        <w:rPr>
          <w:rFonts w:ascii="Times New Roman" w:cs="Times New Roman" w:eastAsia="Times New Roman" w:hAnsi="Times New Roman"/>
          <w:sz w:val="18"/>
          <w:szCs w:val="18"/>
          <w:color w:val="auto"/>
        </w:rPr>
        <w:t>We offer our customers a single source, turnkey solution for project implementation in which we manage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responsibility for 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pacing w:after="0" w:line="17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Rapid Payback Period. </w:t>
      </w:r>
      <w:r>
        <w:rPr>
          <w:rFonts w:ascii="Times New Roman" w:cs="Times New Roman" w:eastAsia="Times New Roman" w:hAnsi="Times New Roman"/>
          <w:sz w:val="18"/>
          <w:szCs w:val="18"/>
          <w:color w:val="auto"/>
        </w:rPr>
        <w:t>In most retrofit projects where we replace HID and HIF fixtures, our customers typically realize a one to four year, but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often 18 – 24 months, payback period on our lighting systems. These returns are achieved without considering utility incentives or government subsidies (although subsidies and incentives are continually being made available to our customers in connection with the installation of our systems that further shorten payback periods).</w:t>
      </w:r>
    </w:p>
    <w:p>
      <w:pPr>
        <w:spacing w:after="0" w:line="18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Easy Installation, Implementation and Maintenance. </w:t>
      </w:r>
      <w:r>
        <w:rPr>
          <w:rFonts w:ascii="Times New Roman" w:cs="Times New Roman" w:eastAsia="Times New Roman" w:hAnsi="Times New Roman"/>
          <w:sz w:val="18"/>
          <w:szCs w:val="18"/>
          <w:color w:val="auto"/>
        </w:rPr>
        <w:t>Most of our fixtures are designed with a lightweight construction and modular plug-and-play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architecture that allows for fast and easy installation, facilitates maintenance, and integration of other components of our energy management system. Our office LED Troffer Door Retrofit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LDR</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products are designed to allow for fast and easy installation without disrupting the ceiling space or the office workspace.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83"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Expanded Product Offerings. </w:t>
      </w:r>
      <w:r>
        <w:rPr>
          <w:rFonts w:ascii="Times New Roman" w:cs="Times New Roman" w:eastAsia="Times New Roman" w:hAnsi="Times New Roman"/>
          <w:sz w:val="18"/>
          <w:szCs w:val="18"/>
          <w:color w:val="auto"/>
        </w:rPr>
        <w:t>We are committed to continuing to develop LED product offerings in all of the markets we serve. Our third generation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ISON® class of LED interior fixture delivers a market leading up to 214 lumens per watt. This advancement means our customers can get more light with less energy, and sometimes fewer fixtures, than with any other product on the market. We have also recently launched a variety of new products, features and functionality targeting healthcare, food service, high and low temperature environments and other market segments. Our lighting products also may be configured to include IoT enabled control systems. In fiscal 2022, we introduced a product range under the brand PureMotion. These products circulate air for enhanced airflow, temperature comfort and energy savings. In addition, the PureMotion UVC products sanitize air in a safe UVC chamber that eliminates various airborne viruses, bacteria, mold and fungi. See "Products and Services" below.</w:t>
      </w:r>
    </w:p>
    <w:p>
      <w:pPr>
        <w:spacing w:after="0" w:line="183"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Benefits. </w:t>
      </w:r>
      <w:r>
        <w:rPr>
          <w:rFonts w:ascii="Times New Roman" w:cs="Times New Roman" w:eastAsia="Times New Roman" w:hAnsi="Times New Roman"/>
          <w:sz w:val="18"/>
          <w:szCs w:val="18"/>
          <w:color w:val="auto"/>
        </w:rPr>
        <w:t>By allowing for the permanent reduction of electricity consumption, we believe our energy management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reduce indirect CO2 emissions that are a negative by-product of energy generation which help enable our customers to achieve their sustainability, energy savings and carbon footprint reduction goals.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9"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Compelling Value Proposition. </w:t>
      </w:r>
      <w:r>
        <w:rPr>
          <w:rFonts w:ascii="Times New Roman" w:cs="Times New Roman" w:eastAsia="Times New Roman" w:hAnsi="Times New Roman"/>
          <w:sz w:val="18"/>
          <w:szCs w:val="18"/>
          <w:color w:val="auto"/>
        </w:rPr>
        <w:t>By permanently reducing lighting-related electricity usage, our systems help enable our customers to achieve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sustainability, energy savings and carbon footprint reduction goals without compromising quantity and quality of light in their facilities. As a result, our products offer our customers a rapid return on their investment, without relying on government subsidies or utility incentives.</w:t>
      </w:r>
    </w:p>
    <w:p>
      <w:pPr>
        <w:spacing w:after="0" w:line="173"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Comprehensive Project Management. </w:t>
      </w:r>
      <w:r>
        <w:rPr>
          <w:rFonts w:ascii="Times New Roman" w:cs="Times New Roman" w:eastAsia="Times New Roman" w:hAnsi="Times New Roman"/>
          <w:sz w:val="18"/>
          <w:szCs w:val="18"/>
          <w:color w:val="auto"/>
        </w:rPr>
        <w:t>We offer our customers a single source solution whereby we manage and are responsible for an entire retrofit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lighting project, from initial site surveys and energy audits through to installation and controls integration and subsequent maintenance. Our ability to offer such comprehensive turnkey project management services, coupled with best-in-class customer service, allows us to deliver energy reductions and cost savings to our customers in timely, orderly and planned multi-facility rollouts nationwide. We believe one of our competitive advantages is our ability to deliver full turnkey LED lighting project capabilities. These turnkey services were the principal reason we achieved significant revenue growth in fiscal 2020 as we executed on our commitment to retrofit multiple locations for a major national account customer. This roll-out resumed in the second half of fiscal 2021 after a suspension in the first half of fiscal 2021 related to the COVID-19 pandemic response. Our success in the national account market segment centers on our turnkey design, engineering, manufacturing and project management capabilities and subsequent maintenance, which represent a very clear competitive advantage for us among large enterprises seeking to benefit from the illumination benefits and energy savings of LED lighting across locations nationwide. Few LED lighting providers are organized to serve every step of a custom retrofit project in a comprehensive, non-disruptive and timely fashion, from custom fixture design and initial site surveys to final installations. Incrementally, we are also able to help customers deploy state-of-the-art control systems that provide even greater long-term value from their lighting system investments.</w:t>
      </w:r>
    </w:p>
    <w:p>
      <w:pPr>
        <w:spacing w:after="0" w:line="19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Large and Growing Customer Base. </w:t>
      </w:r>
      <w:r>
        <w:rPr>
          <w:rFonts w:ascii="Times New Roman" w:cs="Times New Roman" w:eastAsia="Times New Roman" w:hAnsi="Times New Roman"/>
          <w:sz w:val="18"/>
          <w:szCs w:val="18"/>
          <w:color w:val="auto"/>
        </w:rPr>
        <w:t>We have developed a large and growing national customer base and have installed our products in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industrial facilities across North America.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hospitals, fast food chains, retail storefronts, grocery and pharmacies.</w:t>
      </w:r>
    </w:p>
    <w:p>
      <w:pPr>
        <w:spacing w:after="0" w:line="183"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Innovative Technology. </w:t>
      </w:r>
      <w:r>
        <w:rPr>
          <w:rFonts w:ascii="Times New Roman" w:cs="Times New Roman" w:eastAsia="Times New Roman" w:hAnsi="Times New Roman"/>
          <w:sz w:val="18"/>
          <w:szCs w:val="18"/>
          <w:color w:val="auto"/>
        </w:rPr>
        <w:t>We have developed a portfolio of United States patents primarily covering various elements of our products.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innovations allow our products to produce more light output per unit of input energy compared to our competition. We also have patents pending that primarily cover various elements of our newly developed LED products and certain business methods. To complement our innovative energy management products, our integrated energy management services provide our customers with a turnkey solution either at a single facility or across their North American facility footprints. Our demonstrated ability to innovate provides us with significant competitive advantages. Our lighting products offer significantly more light output as measured in foot-candles of light delivered per watt of electricity consumed when compared to HID or traditional fluorescent fixtures. Beyond the benefits of our lighting fixtures, we believe that there is also an opportunity to utilize our system platform as a “connected ceiling” or “smart ceiling”, or a framework or network that can support the installation and integration of other solutions on a digital platform. This “smart ceiling” can be integrated with other technologies to collect data and manage assets and resources more efficiently. Orion’s percentage of systems utilizing IoT enabled devices has grown significantly over the past few years and we expect this trend to continue. Our “Industrial Internet of Things” or IoT enabled devices not only contain energy management control functions, but also have the ability to collect facility usage and traffic data as well as collect data from other facility mechanical systems, providing our customers with a path to digitization for their business operations.</w:t>
      </w:r>
    </w:p>
    <w:p>
      <w:pPr>
        <w:spacing w:after="0" w:line="190"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Expanded Sales and Distribution Network. </w:t>
      </w:r>
      <w:r>
        <w:rPr>
          <w:rFonts w:ascii="Times New Roman" w:cs="Times New Roman" w:eastAsia="Times New Roman" w:hAnsi="Times New Roman"/>
          <w:sz w:val="18"/>
          <w:szCs w:val="18"/>
          <w:color w:val="auto"/>
        </w:rPr>
        <w:t>In addition to selling directly to national accounts, electrical contractors and ESCOs, we sell our lighting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to electrical distributors through a North American network of independent lighting agencies. As of the end of fiscal 2022, we had 27 independent lighting agencies representing us in substantially all of North America. We intend to continue to selectively evaluate our sales network in the future, with a focus on geographic regions where we do not currently have a strong sales presence.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in Fiscal 2022</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COVID-19 pandemic has disrupted business, trade, commerce, financial and credit markets, in the U.S. and globally. Our business was adversely impacted by measures taken by customers, suppliers, government entities and others to control the spread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the virus beginning in March 2020 (the last few weeks of our 2020 fiscal year), and continuing most significantly into the second quarter of fiscal 2021. During the third quarter of fiscal 2021, we experienced a rebound in business as project installations resumed for our largest customer. However, potential future risks remain due to the COVID-19 pandemic.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 COVID-19 pandemic becomes more pronounced in our markets or experiences a resurgence in markets recovering from the spread of COVID-19, our results of operation would likely be materially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In fiscal 2022, we continued to successfully capitalize on our capability of being a full service, turn-key provider of LED lighting and controls systems with design, build, installation and project management services, including being awarded large additional projects for a major national account. To build on this success, we are evolving our business strategy to further leverage this unique capability, while making targeted additions to the scope and nature of our products and services to enhance the value we can provide to our customers. In particular, we are working to develop recurring revenue streams, including lighting and electrical maintenance services, with an emphasis on utilizing control sensor technology to collect data and assist customers in the digitization of this data, along with other potential services. We also plan to expand our “smart-building” and “connected ceiling” IoT capabilities, along with related software and control technology products and services offerings. While we intend to pursue these expansion strategies organically, we also are actively exploring potential acquisitions that could accelerate our progress. Our ability to achieve our desired revenue and profitability goals depends on our ability to manage the adverse impact of COVID-19 and related supply chain disruptions and effectively execute on the following key strategic initiatives.</w:t>
      </w:r>
    </w:p>
    <w:p>
      <w:pPr>
        <w:spacing w:after="0" w:line="19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Focus on executing and marketing our turnkey LED retrofit capabilities to large national account customers. </w:t>
      </w:r>
      <w:r>
        <w:rPr>
          <w:rFonts w:ascii="Times New Roman" w:cs="Times New Roman" w:eastAsia="Times New Roman" w:hAnsi="Times New Roman"/>
          <w:sz w:val="18"/>
          <w:szCs w:val="18"/>
          <w:color w:val="auto"/>
        </w:rPr>
        <w:t>We believe one of our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advantages is our ability to deliver full turnkey LED lighting project capabilities starting with energy audits and site assessments that lead to custom engineering and manufacturing through to fully managed installations. These attributes coupled with our superior customer service, high quality designs and expedited delivery responsiveness resulted in our contract to retrofit multiple locations for a significant single national account beginning in fiscal 2020 that continued into fiscal 2022.</w:t>
      </w:r>
    </w:p>
    <w:p>
      <w:pPr>
        <w:spacing w:after="0" w:line="183"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Continue Product Innovation. </w:t>
      </w:r>
      <w:r>
        <w:rPr>
          <w:rFonts w:ascii="Times New Roman" w:cs="Times New Roman" w:eastAsia="Times New Roman" w:hAnsi="Times New Roman"/>
          <w:sz w:val="18"/>
          <w:szCs w:val="18"/>
          <w:color w:val="auto"/>
        </w:rPr>
        <w:t>We continue to innovate, developing lighting fixtures and features that address specific customer requirements,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working to maintain a leadership position in energy efficiency, smart product design and installation benefits. For interior building applications, we recently expanded our product line to include a family of ceiling air movement solutions, some of which incorporate LED lighting and others which utilize ultraviolet C light waves to kill viruses, bacteria and germs.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8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Leverage Orion’s Smart Lighting Systems to Support Internet of Things Applications. </w:t>
      </w:r>
      <w:r>
        <w:rPr>
          <w:rFonts w:ascii="Times New Roman" w:cs="Times New Roman" w:eastAsia="Times New Roman" w:hAnsi="Times New Roman"/>
          <w:sz w:val="18"/>
          <w:szCs w:val="18"/>
          <w:color w:val="auto"/>
        </w:rPr>
        <w:t>We believe we are ideally positioned to help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providing our customers with a path to digitization for their business operations.</w:t>
      </w:r>
    </w:p>
    <w:p>
      <w:pPr>
        <w:spacing w:after="0" w:line="18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 Maintenance Service Offerings. </w:t>
      </w:r>
      <w:r>
        <w:rPr>
          <w:rFonts w:ascii="Times New Roman" w:cs="Times New Roman" w:eastAsia="Times New Roman" w:hAnsi="Times New Roman"/>
          <w:sz w:val="18"/>
          <w:szCs w:val="18"/>
          <w:color w:val="auto"/>
        </w:rPr>
        <w:t>We believe we can leverage our construction management process expertise to develop a high-quality,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quick-response, multi-location maintenance service offering. Our experience with large national customers and our large installed base of fixtures position us well to extend a maintenance offering to historical customers, as well as to new customers. Development of this recurring revenue stream is making progress and we believe there is significant market opportunity.</w:t>
      </w:r>
    </w:p>
    <w:p>
      <w:pPr>
        <w:spacing w:after="0" w:line="180"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Support success of our ESCO and agent driven distribution sales channels. </w:t>
      </w:r>
      <w:r>
        <w:rPr>
          <w:rFonts w:ascii="Times New Roman" w:cs="Times New Roman" w:eastAsia="Times New Roman" w:hAnsi="Times New Roman"/>
          <w:sz w:val="18"/>
          <w:szCs w:val="18"/>
          <w:color w:val="auto"/>
        </w:rPr>
        <w:t>We continue to focus on building our relationships and product and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Our primary focus has been the sale of our LED lighting fixtures with integrated controls technology and related installation services. We will continue to focus on these products and services, as well as the development of a maintenance service offering.</w:t>
      </w:r>
    </w:p>
    <w:p>
      <w:pPr>
        <w:spacing w:after="0" w:line="5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Currently, most of our products are manufactured at our leased production facility location in Manitowoc, Wisconsin, although as the LED market continues to evolve, we also source products and components from third parties in order to have versatility in our product development. We are focused on researching, developing and/or acquiring new innovative LED products and technologies for the retrofit markets. We plan to continue developing creative new LED retrofit products in order to offer our customers a variety of integrated energy management services, such as system design, project management and installation.</w:t>
      </w:r>
    </w:p>
    <w:p>
      <w:pPr>
        <w:spacing w:after="0" w:line="2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description of our primary products:</w:t>
      </w:r>
    </w:p>
    <w:p>
      <w:pPr>
        <w:spacing w:after="0" w:line="22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Interior LED High Bay Fixtures: </w:t>
      </w:r>
      <w:r>
        <w:rPr>
          <w:rFonts w:ascii="Times New Roman" w:cs="Times New Roman" w:eastAsia="Times New Roman" w:hAnsi="Times New Roman"/>
          <w:sz w:val="18"/>
          <w:szCs w:val="18"/>
          <w:color w:val="auto"/>
        </w:rPr>
        <w:t>Our LED interior high bay lighting products consist of our Harris high bay, Apollo</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bay and ISON®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bay products. Our ISON® class of LED interior fixture offers a full package of premium features, including low total cost of ownership, optics that currently exceed competitors in terms of lumen package, delivered light, modularity and advanced thermal management. Our third generation of ISON® class of LED interior fixture delivers up to an exceptional 214 lumens per watt. This advancement means our customers can get more light with less energy, and sometimes fewer fixtures, compared to other products on the market. Our Apollo</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class of LED interior fixtures is designed for new construction and retrofit projects where initial cost is the largest factor in the purchase decision. Our Harris high bay is ideal for customers seeking a cost-effective solution to deliver energy savings and maintenance reductions. In addition, our LED interior lighting products are lightweight and easy to handle, which further reduces installation and maintenance costs and helps to build brand loyalty with electrical contractors and installers.</w:t>
      </w:r>
    </w:p>
    <w:p>
      <w:pPr>
        <w:spacing w:after="0" w:line="185"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Smart Lighting Controls. </w:t>
      </w:r>
      <w:r>
        <w:rPr>
          <w:rFonts w:ascii="Times New Roman" w:cs="Times New Roman" w:eastAsia="Times New Roman" w:hAnsi="Times New Roman"/>
          <w:sz w:val="18"/>
          <w:szCs w:val="18"/>
          <w:color w:val="auto"/>
        </w:rPr>
        <w:t>We offer a broad array of smart building control systems. These control systems provide both lighting control options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occupancy, daylight, or schedule control) and data intelligence capabilities for building managers to log, monitor, and analyze use of space, energy savings, and provide physical security of the space.</w:t>
      </w:r>
    </w:p>
    <w:p>
      <w:pPr>
        <w:spacing w:after="0" w:line="172" w:lineRule="exact"/>
        <w:rPr>
          <w:sz w:val="20"/>
          <w:szCs w:val="20"/>
          <w:color w:val="auto"/>
        </w:rPr>
      </w:pPr>
    </w:p>
    <w:p>
      <w:pPr>
        <w:jc w:val="both"/>
        <w:ind w:firstLine="494"/>
        <w:spacing w:after="0" w:line="262" w:lineRule="auto"/>
        <w:rPr>
          <w:sz w:val="20"/>
          <w:szCs w:val="20"/>
          <w:color w:val="auto"/>
        </w:rPr>
      </w:pPr>
      <w:r>
        <w:rPr>
          <w:rFonts w:ascii="Times New Roman" w:cs="Times New Roman" w:eastAsia="Times New Roman" w:hAnsi="Times New Roman"/>
          <w:sz w:val="18"/>
          <w:szCs w:val="18"/>
          <w:i w:val="1"/>
          <w:iCs w:val="1"/>
          <w:color w:val="auto"/>
        </w:rPr>
        <w:t>The LED Troffer Door Retrofit (LDR</w:t>
      </w:r>
      <w:r>
        <w:rPr>
          <w:rFonts w:ascii="Times New Roman" w:cs="Times New Roman" w:eastAsia="Times New Roman" w:hAnsi="Times New Roman"/>
          <w:sz w:val="15"/>
          <w:szCs w:val="15"/>
          <w:i w:val="1"/>
          <w:iCs w:val="1"/>
          <w:color w:val="auto"/>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LDR</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designed to replace existing 4 foot by 2 foot and 2 foot by 2 foot fluorescent troffers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frequently found in office or retail grid ceilings. Our LDR</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product is unique in that the LED optics and electronics are housed within the doorframe that allows for installation of the product in approximately one to two minutes. Our LDR</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product also provides reduced maintenance expenses based upon improved LED chips.</w:t>
      </w:r>
    </w:p>
    <w:p>
      <w:pPr>
        <w:spacing w:after="0" w:line="177"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Products. </w:t>
      </w:r>
      <w:r>
        <w:rPr>
          <w:rFonts w:ascii="Times New Roman" w:cs="Times New Roman" w:eastAsia="Times New Roman" w:hAnsi="Times New Roman"/>
          <w:sz w:val="18"/>
          <w:szCs w:val="18"/>
          <w:color w:val="auto"/>
        </w:rPr>
        <w:t>In fiscal 2022, we introduced a range of air movement products capable of virus elimination. We also offer our customers a variety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other LED and HIF fixtures to address their lighting and energy management needs, including fixtures designed for agribusinesses, parking lots, roadways, retail, mezzanine, outdoor applications and private label resale.</w:t>
      </w:r>
    </w:p>
    <w:p>
      <w:pPr>
        <w:spacing w:after="0" w:line="173"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i w:val="1"/>
          <w:iCs w:val="1"/>
          <w:color w:val="auto"/>
        </w:rPr>
        <w:t>Warranty Policy</w:t>
      </w:r>
      <w:r>
        <w:rPr>
          <w:rFonts w:ascii="Times New Roman" w:cs="Times New Roman" w:eastAsia="Times New Roman" w:hAnsi="Times New Roman"/>
          <w:sz w:val="18"/>
          <w:szCs w:val="18"/>
          <w:color w:val="auto"/>
        </w:rPr>
        <w:t>. Our warranty policy generally provides for a limited one-year warranty on our HIF products and a limited five-year warranty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LED products, although we do offer warranties ranging up to 10 years for certain LED products. Ballasts, lamps, drivers, LED chips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2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provide a range of fee-based lighting-related energy management services to our customers, including:</w:t>
      </w:r>
    </w:p>
    <w:p>
      <w:pPr>
        <w:spacing w:after="0" w:line="117" w:lineRule="exact"/>
        <w:rPr>
          <w:sz w:val="20"/>
          <w:szCs w:val="20"/>
          <w:color w:val="auto"/>
        </w:rPr>
      </w:pPr>
    </w:p>
    <w:p>
      <w:pPr>
        <w:ind w:left="860" w:hanging="36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site assessment, which includes a review of the current lighting and controls including IoT enabled devices requirements and energy usage at the customer’s facility;</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field verification, or SFV, during which we perform a test implementation of our energy management system at a customer’s facility;</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incentive and government subsidy management, where we assist our customers in identifying, applying for and obtaining available utility incentives or government subsidies;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left="860" w:hanging="366"/>
        <w:spacing w:after="0" w:line="266"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6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services, for our products, which we provide through our national network of qualified third-party installers;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facility design commissioning of IoT enabled control devices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in connection with our retrofit installations, where we remove, dispose of and recycle our customer’s legacy lighting fixtures;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lighting and electrical system maintenance services both preventative and reactive in nature.</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also provide other services that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primarily target commercial, institutional and industrial customers who have warehousing, retail, manufacturing, and office facilities. In fiscal 2022, one customer accounted for 49.1% of our total revenue. In fiscal 2021, that same customer accounted for 56.0% of our total revenue, and in fiscal 2020, this same customer accounted for 74.1% of our total revenue. We expect that we will continue to experience significant customer concentration in fiscal 2023, but to a lesser degree than in the previous three years. While we continue to seek to diversify our customer base by expanding our reach to national accounts, ESCOs and the agent driven distribution channel, we expect to continue to derive a significant percentage of our revenue from contracts with one or a few customers. These contracts are entered into in the ordinary course of business and typically provide that we will deliver products and services on a work order or purchase order basis and any purchase order may be terminated prior to shipment. Our maintenance work orders or contracts may be for discrete projects or may have multi-year terms. These contracts generally do not guarantee that the customer will buy our products or services.</w:t>
      </w:r>
    </w:p>
    <w:p>
      <w:pPr>
        <w:spacing w:after="0" w:line="19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amount and concentration of our revenues with one or more customer may fluctuate on a year to year or quarter to quarter basis depending on the number of purchase orders issued by our customers. The loss of a significant customer or the termination of a material volume of purchase orders (or the underlying agreements) could have a material adverse effect on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sell our products in one of three ways: (i) directly through our relationships with our national account partners; (ii) indirectly through independent sales agencies and broadline North American distributors; and (iii) through ESCOs. Our ODS segment focuses on developing and expanding customer relationships with independent manufacturer’s sales agents and broadline distributors. As of the end of fiscal 2022 we had 27 independent lighting agencies representing us in substantially all of North America expanding our reach with broadline distributors. We attempt to leverage the customer relationships of these distributors to further extend the geographic scope of our selling efforts. We work cooperatively with our indirect channels through participation in national trade organizations and by providing training on our sales methodologies.</w:t>
      </w:r>
    </w:p>
    <w:p>
      <w:pPr>
        <w:spacing w:after="0" w:line="187"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direct mail campaigns, advertising in select publications, public relations campaigns, social media and other lead generation and brand-building initiatives.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market for energy-efficient lighting products and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There are a number of lighting fixture manufacturers that sell LED and HIF products that compete with our lighting product lines. Lighting companies such as Acuity Brands, Inc., Signify Co., Cree, Inc., LSI Industries, Inc. and GE Current, a Daintree Company, are some of our main competitors within the commercial office, retail and industrial markets. We are also facing increased competition from manufacturers in low-cost countries.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also face competition from companies who provide energy management services. Some of these competitors, such as Ameresco, Inc., Johnson Controls International and Honeywell International, provide basic systems and controls designed to further energy efficiency.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As of March 31, 2022, we had been issued over 100 United States patents and have applied for a number of additional United States patents. The patented and patent pending technologies cover various innovative elements of our products, including our HIF and LED fixtures. Our patented LDR</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believe that our patent portfolio as a whole is material to our business. We also believe that our patents covering our ability to manage the thermal and optical performance of our lighting products are material to our business, and that the loss of these patents could significantly and adversely affect our business, operating results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orders. Our backlog as of March 31, 2022 and March 31, 2021 totaled $10.1 million and $15.5 million, respectively. We generally expect our backlog to be recognized as revenue within one year, although the COVID-19 pandemic extended this time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Distribution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lease an approximately 266,000 square foot primary manufacturing and distribution facility located in Manitowoc, Wisconsin, where most of our products are manufactured. We utilize both solar and wind power to support the energy requirements for our manufacturing facility, allowing us to reduce our carbon footprint.</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our development on additional LED products, resulting in our development and commercialization of several new suites of LED interior high bay products.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operate research and development lab and test facilities in our Jacksonville, Florida and Manitowoc, Wisconsin locations.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and Other Available Information</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 We are not including the information contained on our website as part of, or incorporating it by reference into, this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As of March 31, 2022, we had approximately 314 full-time employees. We also employ temporary employees in our manufacturing facility as demand requires, at times in excess of 100 temporary employees. Our employees are not represented by any labor union, and we have never experienced a work stoppage or strike due to employee relations.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an employee-centric organization, maintaining a safe and respectful environment that provides opportunity for our employees.</w:t>
      </w:r>
    </w:p>
    <w:p>
      <w:pPr>
        <w:spacing w:after="0" w:line="117"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believe our employees are among our most important resources and are critical to our continued success. We focus significant attention on attracting and retaining talented and experienced individuals to manage and support our operations. We pay our employees competitively and offer a broad range of company-paid benefits, which we believe are competitive with others in our industry.</w:t>
      </w:r>
    </w:p>
    <w:p>
      <w:pPr>
        <w:spacing w:after="0" w:line="68"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are committed to hiring, developing and supporting a diverse and inclusive workplace. Our management teams and all of our employees are expected to exhibit and promote honest, ethical and respectful conduct in the workplace. We will not tolerate discrimination or harassment in any form. All of our employees must adhere to a code of conduct that sets standards for appropriate behavior and includes required annual training on preventing, identifying, reporting and stopping any type of unlawful discrimination.</w:t>
      </w:r>
    </w:p>
    <w:p>
      <w:pPr>
        <w:spacing w:after="0" w:line="72"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At times during fiscal 2022, in response to the COVID-19 pandemic, we continued to implement safety protocols and procedures to protect our employees and our customers. These protocols included limiting travel, restricting access to our facilities along with monitoring processes, physical distancing, physical barriers, enhanced cleaning procedures, and requiring face coverings. In addition, we modified the way we conducted many aspects of our business to reduce the number of in-person interactions. For example, we significantly expanded the use of virtual interactions in all aspects of our business, including customer facing activities. Many of our administrative and operational functions during this time required modification as well, including most of our professional workforce working remotely. We expanded paid time-off for employees impacted by COVID-19 and provided increased pay for certain employees involved in critical infrastructure who could not work remotely. We expect to continue implement such safety and wellness measures as government authorities may require or recommend or as we may determine to be in the best interest of our employees, clients, vendors and shareholders.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11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immediately following this summary. Some of these risks are summarized below:</w:t>
      </w:r>
    </w:p>
    <w:p>
      <w:pPr>
        <w:spacing w:after="0" w:line="270" w:lineRule="exact"/>
        <w:rPr>
          <w:sz w:val="20"/>
          <w:szCs w:val="20"/>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could again in the future be, negatively impacted by the Coronavirus (“COVID-19”) pandemic.</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use components and raw materials that may be subject to price fluctuations, shortages or interruptions of supply.</w:t>
      </w:r>
    </w:p>
    <w:p>
      <w:pPr>
        <w:spacing w:after="0" w:line="117" w:lineRule="exact"/>
        <w:rPr>
          <w:rFonts w:ascii="Times New Roman" w:cs="Times New Roman" w:eastAsia="Times New Roman" w:hAnsi="Times New Roman"/>
          <w:sz w:val="18"/>
          <w:szCs w:val="18"/>
          <w:color w:val="auto"/>
        </w:rPr>
      </w:pPr>
    </w:p>
    <w:p>
      <w:pPr>
        <w:ind w:left="860" w:right="20" w:hanging="366"/>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desired revenue and profitability goals depends on our ability to effectively and timely execute on our key strategic initiatives.</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global economy have negatively impacted, and could in the future negatively impact, our customers, suppliers and business.</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evolve our business strategy to increase our focus on new product and service offerings, the nature of our business may be significantly changed, or transformed.</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major sources of recurring revenue and the loss of any significant customers or a major customer would likely materially adversely affect us.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evolving business strategy includes actively exploring potential acquisitions, which involves substantial risks.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tariffs and other actions may adversely affect our business.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LED lighting retrofit solutions depends, in part, on our ability to claim market share away from our competitors.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increasingly rely on third-party manufacturers for the manufacture and development of our products and product components.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pressures in the markets in which we operate or anticipate operating in the future may adversely affect our financial results.</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emphasis on indirect distribution channels to sell our products and services to supplement our direct distribution channels has had limited success to date.</w:t>
      </w:r>
    </w:p>
    <w:p>
      <w:pPr>
        <w:spacing w:after="0" w:line="53" w:lineRule="exact"/>
        <w:rPr>
          <w:rFonts w:ascii="Times New Roman" w:cs="Times New Roman" w:eastAsia="Times New Roman" w:hAnsi="Times New Roman"/>
          <w:sz w:val="18"/>
          <w:szCs w:val="18"/>
          <w:color w:val="auto"/>
        </w:rPr>
      </w:pPr>
    </w:p>
    <w:p>
      <w:pPr>
        <w:jc w:val="both"/>
        <w:ind w:left="860" w:hanging="366"/>
        <w:spacing w:after="0" w:line="266"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w:t>
      </w:r>
    </w:p>
    <w:p>
      <w:pPr>
        <w:spacing w:after="0" w:line="6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balance customer demand and production capacity and increased difficulty in obtaining permanent employee staffing could negatively impact our business.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could again in the future be, negatively impacted by the COVID-19 pandemic.</w:t>
      </w:r>
    </w:p>
    <w:p>
      <w:pPr>
        <w:spacing w:after="0" w:line="229" w:lineRule="exact"/>
        <w:rPr>
          <w:sz w:val="20"/>
          <w:szCs w:val="20"/>
          <w:color w:val="auto"/>
        </w:rPr>
      </w:pPr>
    </w:p>
    <w:p>
      <w:pPr>
        <w:ind w:right="120" w:firstLine="494"/>
        <w:spacing w:after="0" w:line="256" w:lineRule="auto"/>
        <w:rPr>
          <w:sz w:val="20"/>
          <w:szCs w:val="20"/>
          <w:color w:val="auto"/>
        </w:rPr>
      </w:pPr>
      <w:r>
        <w:rPr>
          <w:rFonts w:ascii="Times New Roman" w:cs="Times New Roman" w:eastAsia="Times New Roman" w:hAnsi="Times New Roman"/>
          <w:sz w:val="18"/>
          <w:szCs w:val="18"/>
          <w:color w:val="auto"/>
        </w:rPr>
        <w:t>The COVID-19 pandemic has disrupted business, trade, commerce, financial and credit markets in the United States and globally. Our business has been adversely impacted by measures taken by customers, suppliers, government entities and others to control the spread of the virus beginning in March 2020, the last few weeks of our prior fiscal year, and continuing most significantly into the second quarter of fiscal 2021. During the third quarter of fiscal 2021, we experienced a rebound in business, with a full quarter of project installations for our largest customer, as well as installations for a new large specialty retail customer, and no significant COVlD-19 impacts. However, some customers continue to refrain from awarding new projects and potential future risks remain due to the COVID-19 pandemic.</w:t>
      </w:r>
    </w:p>
    <w:p>
      <w:pPr>
        <w:spacing w:after="0" w:line="187" w:lineRule="exact"/>
        <w:rPr>
          <w:sz w:val="20"/>
          <w:szCs w:val="20"/>
          <w:color w:val="auto"/>
        </w:rPr>
      </w:pPr>
    </w:p>
    <w:p>
      <w:pPr>
        <w:ind w:right="40" w:firstLine="494"/>
        <w:spacing w:after="0" w:line="268" w:lineRule="auto"/>
        <w:rPr>
          <w:sz w:val="20"/>
          <w:szCs w:val="20"/>
          <w:color w:val="auto"/>
        </w:rPr>
      </w:pPr>
      <w:r>
        <w:rPr>
          <w:rFonts w:ascii="Times New Roman" w:cs="Times New Roman" w:eastAsia="Times New Roman" w:hAnsi="Times New Roman"/>
          <w:sz w:val="17"/>
          <w:szCs w:val="17"/>
          <w:color w:val="auto"/>
        </w:rPr>
        <w:t>As part of our response to the impacts of the COVID-19 pandemic, during the fourth quarter of fiscal 2020, we implemented a number of cost reduction and cash conservation measures, including reducing headcount. While certain COVID-19 related restrictions began to initially lessen in certain jurisdictions during the second half of fiscal 2021, stay-at-home, face mask or lockdown orders remain in effect in others, with employees asked to work remotely if possible. Certain areas of the country have seen spikes of COVID-19 cases (including in and around our headquarters in Manitowoc, Wisconsin and our office in Jacksonville, Florida), which could result in renewed restrictions and lockdown orders. Some of our customers and projects are in areas where travel restrictions have been imposed, certain customers have either closed or reduced on-site activities, and timelines for the completion of several projects have been delayed, extended or terminated. These COVID-19 related modifications to our business practices, including any future actions we take, may cause us to experience reductions in productivity and disruptions to our business routines. In addition, we have needed to make substantial working capital expenditures and advance inventory purchases that we may not be able to recoup if our customer agreements or a substantial volume of purchase orders under our customer agreements are delayed or terminated as a result of COVID-19.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 COVID-19 pandemic becomes more pronounced in our markets or experiences a resurgence in markets recovering from the spread of COVID-19, or if another significant natural disaster or pandemic were to occur in the future, our results of operation would likely be materially adversely affected. The impact of COVID-19 may also exacerbate other risks discussed in Item 1A of this Annual Report on Form 10-K, any of which could have a material effect on our financial condition, results of operations and cash flows.</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products use components and raw materials that may be subject to price fluctuations, shortages or interruptions of supply, including semiconductor chips that have been subject to an ongoing significant shortage. If we are unable to maintain supply sources of our components and raw materials or if our sources fail to satisfy our supply requirements, we may lose sales and experience increased component costs.</w:t>
      </w:r>
    </w:p>
    <w:p>
      <w:pPr>
        <w:spacing w:after="0" w:line="175"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We are vulnerable to price increases, as well as transportation and delivery delays, for components and raw materials that we require for our products, including aluminum, copper, certain rare earth minerals, semiconductor chips, power supplies and LED chips and modules. In particular, we utilize semiconductor chips in our LED lighting products and control sensors. Since semiconductor chips have been recently subject to an ongoing significant shortage, our ability to source these important components that use semiconductor chips has been adversely affected. This has resulted in increased component delivery lead times, delays in our product production and increased costs to obtain components with available semiconductor chips. To the extent this semiconductor chip shortage continues, our production ability and results of operations will be adversely affected. We also source certain finished goods externally.</w:t>
      </w:r>
    </w:p>
    <w:p>
      <w:pPr>
        <w:spacing w:after="0" w:line="18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Limitations inherent within our supply chain of certain of our components, raw materials and finished goods, including competitive, governmental, and legal limitations, natural disasters, and other events, could impact costs and future increases in the costs of these items. For example, the adoption of new tariffs by the new United States administration or by other countries and the ongoing impact of COVID-19 in China could continue to adversely affect our profitability and availability of raw materials and components, as there can be no assurance that future price increases will be successfully passed through to customers or that we will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be able to find alternative suppliers. Further, suppliers’ inventories of certain components that our products require may be limited and are subject to acquisition by others. As a result of disruption to our supply chain due to COVID-19, which has caused supplier delivery constraints and concerns over component availability, we have attempted to purchase excess quantities of certain components that are critical to our product manufacturing. We will likely need to continue to follow this practice in the future. As a result, we have had, and may need to continue, to devote additional working capital to support component and raw material inventory purchases that may not be used over a reasonable period to produce saleable products, and we may be required to increase our excess and obsolete inventory reserves to account for these excess quantities, particularly if demand for our products does not meet our expectations. Also, any further delays, shortages or interruptions in the supply of our components or raw materials could further disrupt our operations. If any of these events occur, our results of operations, financial condition and cash flows could be materially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our desired revenue and profitability goals depends on our ability to effectively and timely execute on our key strategic initiatives.</w:t>
      </w:r>
    </w:p>
    <w:p>
      <w:pPr>
        <w:spacing w:after="0" w:line="159"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Our ability to achieve our desired revenue and profitability goals depends on how effectively and timely we execute on our following key strategic initiatives:</w:t>
      </w:r>
    </w:p>
    <w:p>
      <w:pPr>
        <w:spacing w:after="0" w:line="54" w:lineRule="exact"/>
        <w:rPr>
          <w:sz w:val="20"/>
          <w:szCs w:val="20"/>
          <w:color w:val="auto"/>
        </w:rPr>
      </w:pPr>
    </w:p>
    <w:p>
      <w:pPr>
        <w:ind w:left="860" w:hanging="366"/>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and marketing our turnkey LED retrofit capabilities to large national account customers;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our product innovation;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smart lighting systems to support IoT applications;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maintenance service offerings;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success of our ESCO and distribution sales channels.</w:t>
      </w:r>
    </w:p>
    <w:p>
      <w:pPr>
        <w:spacing w:after="0" w:line="225"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We also may identify and pursue strategic acquisition candidates that would help support these initiatives. There can be no assurance that we will be able to successfully implement these initiatives or, even if implemented, that they will result in the anticipated benefits to our business.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balance customer demand and production capacity and increased difficulty in obtaining permanent employee staffing could negatively impact our business.</w:t>
      </w:r>
    </w:p>
    <w:p>
      <w:pPr>
        <w:spacing w:after="0" w:line="15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As customer demand for our products changes, we must be able to adjust our production capacity, including increasing or decreasing our employee workforce, to meet demand. We are continually taking steps to address our manufacturing capacity needs for our products. If we are not able to increase or decrease our production capacity at our targeted rate or if there are unforeseen costs associated with adjusting our capacity levels, our ability to execute our operating plan could be adversely affected</w:t>
      </w:r>
    </w:p>
    <w:p>
      <w:pPr>
        <w:spacing w:after="0" w:line="180"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We have recently experienced increased difficulty in hiring sufficient permanent employees to support our production demands. This circumstance has resulted in our increased reliance on temporary employee staffing to support our production operations. Temporary employees can be less reliable and require more ongoing training than permanent employees. These factors can adversely affect our operational efficiencies. This situation has also placed a significant burden on our continuing employees, has resulted in higher recruiting expenses as we have sought to recruit and train additional new permanent employees, and introduced increased instability in our operations to the extent responsibilities are reallocated to new or different employees. To the extent that we are unable to effectively hire a sufficient number of permanent employees, and our reliance on temporary staffing continues to increase, our operations and our ability to execute our operating plan could be adversely affected.</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rely upon the knowledge, experience and skills of key employees throughout our organization, particularly our senior management team, our sales group that requires technical knowledge or contacts in, and knowledge of, the LED industry, and our innovation and engineering team. In addition, our ability to attract talented new employees, particularly in our sales group and our innovation and engineering team, is also critical to our success. We also depend on our distribution channels and network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manufacturer sales representative agencies. If we are unable to attract and retain key employees, resellers, and manufacturer sales representative agencies because of competition or, in the case of employees, inadequate compensation or other factors, our results of operations and our ability to execute our operating plan could be adversely affected.</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not realize the anticipated benefits of past or future acquisitions, including our recent acquisition of Stay-Lite Lighting, and integration of Stay-Lite Lighting or other acquired businesses may disrupt our business and management, which could adversely affect our business, financial condition, or results of operations.</w:t>
      </w:r>
    </w:p>
    <w:p>
      <w:pPr>
        <w:spacing w:after="0" w:line="6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Effective on January 1, 2022, the Company acquired all of the issued and outstanding capital stock of Stay-Lite Lighting, Inc. (“Stay-Lite Lighting”), a nationwide lighting and electrical maintenance service provider (the “Stay-Lite Acquisition”); and, we may acquire additional companies or enter into other business combinations or strategic initiatives in the future. We may not realize the anticipated benefits of the Stay-Lite Acquisition or such other business combinations or acquisitions, and we may encounter substantial difficulties, costs and delays involved in integrating our operations with such businesses, including:</w:t>
      </w:r>
    </w:p>
    <w:p>
      <w:pPr>
        <w:spacing w:after="0" w:line="75" w:lineRule="exact"/>
        <w:rPr>
          <w:sz w:val="20"/>
          <w:szCs w:val="20"/>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between business cultures;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focus perceived by third-party constituencies;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in distribution, marketing or other important relationships;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constraints of management resources;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implement uniform standards, controls, procedures and policies;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maximize our financial and strategic position;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planned synergies or expected financial results benefits;</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potential of the acquired businesses' technologies, complete product development, or properly obtain or secure appropriate protection of intellectual property rights; and</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and/or the diversion of management's attention from other ongoing business concerns.</w:t>
      </w:r>
    </w:p>
    <w:p>
      <w:pPr>
        <w:spacing w:after="0" w:line="117"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Business combinations and acquisitions of companies are inherently risky, and ultimately, if we do not complete the integration of Stay-Lite Lighting or other acquired businesses successfully and in a timely manner, we may not realize the anticipated benefits of such acquisitions to the extent anticipated, which could adversely affect our business, financial condition, or results of operations.</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spacing w:after="0" w:line="67"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involve the storage of our confidential information and trade secrets, as well as our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 attacks, or cyber intrusion, including by computer hackers, foreign governments, and cyber terrorists, has generally increased as cyber 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Some of our existing information technology systems are in need of enhancement, updating and replacement. If our information technology systems fail, or if we experience an interruption in their operation, then our business, results of operations and financial condition could be materially adversely affected.</w:t>
      </w:r>
    </w:p>
    <w:p>
      <w:pPr>
        <w:spacing w:after="0" w:line="67"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The efficient operation of our business is dependent on our information technology systems, some of which are in need of enhancement, updating and replacement. We rely on these systems generally to manage day-to-day operations,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have a material adverse affect on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81" w:lineRule="exact"/>
        <w:rPr>
          <w:sz w:val="20"/>
          <w:szCs w:val="20"/>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 fire, flood and other natural disasters;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or other theft;</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by computer viruses or hackers;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systems, internet, telecommunications or data network failure.</w:t>
      </w:r>
    </w:p>
    <w:p>
      <w:pPr>
        <w:spacing w:after="0" w:line="225"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our business depends upon market acceptance of our energy management products and services.</w:t>
      </w:r>
    </w:p>
    <w:p>
      <w:pPr>
        <w:spacing w:after="0" w:line="229"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Our future success depends upon the continued market acceptance of our energy management products and services and obtaining additional project management retrofit contracts, as well as customer orders for new and expanded products and services to supplement our contract with our current single largest customer. If we are unable to convince current and potential new customers of the advantages of our lighting systems and energy management products and services, or our expanded product and services offerings, then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increasingly rely on third-party manufacturers for the manufacture and development of our products and product components.</w:t>
      </w:r>
    </w:p>
    <w:p>
      <w:pPr>
        <w:spacing w:after="0" w:line="22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have increased our utilization of third-party manufacturers for the manufacture and development of our products and product components. Our results of operations, financial condition and cash flows could be materially adversely affected if our third-party manufacturers were to experience problems with product quality, credit or liquidity issues, or disruptions or delays in their manufacturing process or delivery of the finished products and components or the raw materials used to make such products and components.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Macroeconomic pressures in the markets in which we operate or anticipate operating in the future may adversely affect our financial results.</w:t>
      </w:r>
    </w:p>
    <w:p>
      <w:pPr>
        <w:spacing w:after="0" w:line="229"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Geopolitical issues around the world can impact macroeconomic conditions in where we operate and where we anticipate operating in the future and could have a material adverse impact on our financial results. For example, the ultimate impact of the conflict in Ukraine on fuel prices, inflation, the global supply chain and other macroeconomic conditions is unknown and could materially adversely affect global economic growth, disrupting discretionary spending habits and generally decreasing demand for our products and services, including our planned retrofit project in Germany in fiscal year 2023. While we do not purchase any of significant raw materials directly from Russia, it is a significant global producer of fuel, nickel, and copper. Disruptions in the markets for those inputs could negatively impact the macroeconomy. We cannot predict the extent or duration of sanctions in response to the conflict in Ukraine, nor can we predict the effects of legislative or other governmental actions or regulatory scrutiny of Russia and Belarus, Russia's other allies or other countries with which Russia has significant trade or financial ties, including China. The conflict in Ukraine may also exacerbate geopolitical tensions globally.</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industry and, if we are unable to compete successfully, our results of operations, financial condition and cash flows will likely be materially adversely affected.</w:t>
      </w:r>
    </w:p>
    <w:p>
      <w:pPr>
        <w:spacing w:after="0" w:line="15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face strong competition, primarily from manufacturers and distributors of energy management products and services, as well as from ESCOs and electrical contractors. We are also facing increased competition from manufacturers in low-cost countries. We compete primarily on the basis of customer relationships, price, quality, energy efficiency, customer service and marketing support. Our products are in direct competition with the expanding availability of LED products, as well as other technologies in the lighting systems retrofit market.</w:t>
      </w:r>
    </w:p>
    <w:p>
      <w:pPr>
        <w:spacing w:after="0" w:line="180"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Many of our competitors are better capitalized than we are and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or require us to lower our average selling prices in order to remain competitive, any of which could have a material adverse effect on our results of operations, financial condition and cash flows.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establish and maintain effective internal controls over financial reporting, our business and financial results could be harmed.</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consolidated financial statements or fraud. As of March 31, 2022, our Chief Executive Officer and Chief Financial Officer concluded that our internal controls for fiscal 2022 were designed and operating effectively. There can be no assurance that we will not experience a material weakness in our internal control over financial reporting in the future. A material weakness is defined as a deficiency, or a combination of deficiencies, in internal control over financial reporting, such that there is a reasonable possibility that a material misstatement of our annual or interim consolidated financial statements will not be prevented or detected on a timely basis. A failure to maintain an effective system of internal control over financial reporting could limit our ability to report our financial results accurately and in a timely manner or to detect and prevent fraud, could result in a restatement of our consolidated financial statements, and could also cause a loss of investor confidence and decline in the market price of our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3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do not have major sources of recurring revenue and we depend upon a limited number of customers in any given period to generate a substantial portion of our revenue. The loss of any significant customers or a major customer would likely have a materially adverse effect on our results of operations, financial condition and cash flows.</w:t>
      </w:r>
    </w:p>
    <w:p>
      <w:pPr>
        <w:spacing w:after="0" w:line="175"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We do not have any significant long-term contracts with our customers that provide us with recurring revenue from period to period. We currently generate a substantial portion of our revenue by securing large retrofit and multi-facility roll-out projects from new and existing customers. As a result, our dependence on individual key customers can vary from period to period due to the significant size of some of our retrofit and multi-facility roll-out projects. Our top 10 customers accounted for approximately 69.4%, 80% and 83% respectively, of our total revenue for fiscal 2022, 2021 and 2020. In fiscal 2020, one customer accounted for 74.1% of our total revenue compared to 56.0% in fiscal 2021. In fiscal 2022, this customer accounted for 49.1% of our total revenue. We expect that we will continue to experience significant customer concentration in fiscal 2022, although we expect this relative concentration level to diminish during fiscal 2022. The loss of this customer or our failure to satisfy its installation requirements could have a material adverse effect on our results of operations, financial condition and cash flows, as well as on our reputation and our ability to execute our business strategy. We expect large retrofit and rollout projects to continue to remain a significant component of our total revenue.</w:t>
      </w:r>
    </w:p>
    <w:p>
      <w:pPr>
        <w:spacing w:after="0" w:line="188"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multi-location master retrofit agreements we have entered into with several of our key customers (including our current largest customer) generally require that the customer issue individual facility location work orders or purchase orders before we may install our products at that location. These master agreements do not guarantee that our key customers will make individual facility location purchases from us and they also generally allow any individual location purchase order or work order to be terminated prior to shipment. As a result, the relative amount and concentration of our revenues may fluctuate year over year and period over period depending on the number of purchase orders or work orders issued by our key customers, which may fluctuate due to factors such as our customers’ capital expenditure budgets and general economic conditions. The loss of, or substantial reduction in sales to, any of our significant customers, or a major customer, or the termination or delay of a significant volume of purchase orders by one or more key customers, would likely have a material adverse effect on our results of operations, financial condition and cash flows in any given future period.</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Our net operating loss carry-forwards provide a future benefit only if we continue to be profitable and may be subject to limitation based upon ownership changes.</w:t>
      </w:r>
    </w:p>
    <w:p>
      <w:pPr>
        <w:spacing w:after="0" w:line="159"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We have significant federal net operating loss carry-forwards and state net operating loss carry-forwards. If we are unable to maintain our recent profitability, we may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could be subject to limitations in a particular year, which could potentially result in our increased future tax liability.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Until fiscal 2020, we had a history of losses and negative cash flow and we may be unable to sustain our recent profitability and positive cash flows in the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fiscal 2020, we experienced net losses and negative cash flows for the prior five fiscal years. There is no guarantee that we will be able to sustain our recent profitability and positive cash flows in the future. Our inability to successfully sustain our profitability and positive cash flows could materially and adversely affect our ability to pursue our evolving strategy and growth initiatives.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conditions in the global economy have negatively impacted, and could in the future negatively impact, our customers, suppliers and business.</w:t>
      </w:r>
    </w:p>
    <w:p>
      <w:pPr>
        <w:spacing w:after="0" w:line="15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operations and financial performance are impacted by worldwide economic conditions. Uncertainty about global economic conditions has contributed to customers postponing purchases of our products and services in response to tighter credit, unemployment, negative financial news and/or declines in income or asset values and other macroeconomic factors. The occurrence of these circumstances will likely have a material negative effect on demand for our products and services and, accordingly, on our results of operations, financial condition and cash flows. For example, any economic and political uncertainty caused by the United States tariffs imposed on other countries, and any corresponding tariffs from such other countries in response, may negatively impact demand and/or increase the cost for our products and components used in our products.</w:t>
      </w:r>
    </w:p>
    <w:p>
      <w:pPr>
        <w:spacing w:after="0" w:line="187"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new United States administration may pursue a wide range of monetary, regulatory and trade policies, including the continued imposition of the previous United States administration’s tariffs on certain imports. Certain sourced finished products and certain of the components used in our products are impacted by tariffs imposed on China imports. Our efforts to mitigate the impact of added costs resulting from these tariffs include a variety of activities, such as sourcing from non-tariff impacted countries and raising prices. If we are unable to successfully mitigate the impacts of these tariffs and other trade policies, our results of operations, financial condition and cash flows may be materially adversely affected.</w:t>
      </w:r>
    </w:p>
    <w:p>
      <w:pPr>
        <w:spacing w:after="0" w:line="183"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In addition, global economic and political uncertainty has led many customers to adopt strategies for conserving cash, including limits on capital spending. Our lighting systems are often purchased as capital assets and therefore are subject to our customers’ capital availability. Uncertainty around such availability has led customers to delay their purchase decisions, which has elongated the duration of our sales cycles. Weak economic conditions in the past have adversely affected our customers’ capital budgets, purchasing decisions and facilities managers and, as a result, have adversely affected our results of operations, financial condition and cash flows.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materially adversely impact our liquidity.</w:t>
      </w:r>
    </w:p>
    <w:p>
      <w:pPr>
        <w:spacing w:after="0" w:line="6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credit agreement contains provisions that limit our future borrowing availability and sets forth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17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negatively. Such perception could adversely affect the market price for our common stock and our ability to obtain financing in the future.</w:t>
      </w:r>
    </w:p>
    <w:p>
      <w:pPr>
        <w:spacing w:after="0" w:line="32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obtain equity capital or debt financing necessary to effectively pursue our evolving strategy and sustain our growth initiatives.</w:t>
      </w:r>
    </w:p>
    <w:p>
      <w:pPr>
        <w:spacing w:after="0" w:line="159"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Our existing liquidity and capital resources may not be sufficient to allow us to effectively pursue our evolving growth strategy, complete potential acquisitions or otherwise fund or sustain our growth initiatives. If we require additional capital resources, we may not be able to obtain sufficient equity capital and/or debt financing on acceptable terms or conditions, or at all. Factors affecting the availability to us of additional equity capital or debt financing on acceptable terms and conditions, or in sufficient amounts, include:</w:t>
      </w:r>
    </w:p>
    <w:p>
      <w:pPr>
        <w:spacing w:after="0" w:line="288" w:lineRule="exact"/>
        <w:rPr>
          <w:sz w:val="20"/>
          <w:szCs w:val="20"/>
          <w:color w:val="auto"/>
        </w:rPr>
      </w:pPr>
    </w:p>
    <w:p>
      <w:pPr>
        <w:ind w:left="860" w:hanging="366"/>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prior to our fiscal 2020;</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financial results and condition;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collateral availability;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customer concentration;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investors’ and lenders' view of our company, industry and products;</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in the equity and debt markets of our ability to execute and sustain our business plan or achieve our operating results expectations; and</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volatility and trading volume and history of our common stock.</w:t>
      </w:r>
    </w:p>
    <w:p>
      <w:pPr>
        <w:spacing w:after="0" w:line="225"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Our inability to obtain the equity capital or debt financing necessary to pursue our evolving growth strategy could force us to scale back our growth initiatives or abandon potential acquisitions. If we are unable to pursue our evolving growth strategy and growth initiatives, our results of operations, financial condition and cash flows could be materially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Risks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As we evolve our business strategy to increase our focus on new product and service offerings, including our comprehensive energy management and maintenance services and our IoT, “smart-building,” “connected ceilings” and other related technology, software and controls products and services, the nature of our business may be significantly changed, or transformed, and our results of operations, financial condition and cash flows may be materially adversely affected.</w:t>
      </w:r>
    </w:p>
    <w:p>
      <w:pPr>
        <w:spacing w:after="0" w:line="180"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Our future growth and profitability are tied in part to our ability to successfully bring to market new and innovative product and service offerings. We have begun to evolve our business strategy to focus on further expanding the nature and scope of our products and services offered to our customers. This further expansion of our products and services includes pursuing projects to develop recurring revenue streams, including beginning to offer lighting, electrical, heating and ventilation, and other energy maintenance services to large customers with numerous locations. Our expansion efforts also involve utilizing control sensor technology to collect data and assisting customers in the digitization of this data, along with other potential services. We have experienced recent success offering our comprehensive energy project management services to national account customers to retrofit their multiple locations. We also plan to pursue the expansion of our IoT “smart-building” and “connected ceiling” and other related technology, software and controls products and services we offer to our customers. We have invested, and plan to continue to invest, significant time, resources and capital into expanding our offerings in these areas with no expectation that they will provide material revenue in the near term and without any assurance they will succeed or be profitable. In fact, these efforts have reduced our profitability, and will likely continue to do so, at least in the near term. Moreover, as we continue to explore, develop and refine new offerings, we expect that market preferences will continue to evolve, our offerings may not generate sufficient interest by end-user customers and we may be unable to compete effectively with existing or new competitors, generate significant revenues or achieve or maintain acceptable levels of profitability.</w:t>
      </w:r>
    </w:p>
    <w:p>
      <w:pPr>
        <w:spacing w:after="0" w:line="18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If we are successful in introducing new product and services offerings, including expanded energy management and maintenance services and products with new technology, software and controls, the nature of our business may significantly change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be transformed away from being principally lighting products focused. Additionally, our experience providing energy maintenance services and technology, software and controls products and services is limited. If we do not successfully execute our strategy or anticipate the needs of our customers, our credibility as a provider of energy maintenance services and technology, software and controls products could be questioned and our prospects for future revenue growth and profitability may never materialize.</w:t>
      </w:r>
    </w:p>
    <w:p>
      <w:pPr>
        <w:spacing w:after="0" w:line="180"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As we expand our product and services offerings to new markets, the overall complexity of our business will likely increase at an accelerated rate and we may become subject to different market dynamics. The new markets into which we are expanding, or may expand, may have different characteristics from the markets in which we have historically competed. These different characteristics may include, among other things, rapidly changing technologies, different supply chains, different competitors and methods of competition, new product development rates, client concentrations and performance and compatibility requirements. Our failure to make the necessary adaptations to our business model to address these different characteristics, complexities and new market dynamics could adversely affect our operating results.</w:t>
      </w:r>
    </w:p>
    <w:p>
      <w:pPr>
        <w:spacing w:after="0" w:line="18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Accordingly, if we fail to successfully launch, manage and maintain our evolving business strategy, our future revenue growth and profitability would likely be limited and our results of operations, financial condition and cash flows would likely be materially adversely affected.</w:t>
      </w:r>
    </w:p>
    <w:p>
      <w:pPr>
        <w:spacing w:after="0" w:line="26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Our evolving business strategy includes actively exploring potential acquisitions, including potential acquisitions that could significantly change, or even transform, the nature of our business. These acquisitions could be unsuccessful or consume significant resources, which could materially adversely affect our results of operations, financial condition and cash flows.</w:t>
      </w:r>
    </w:p>
    <w:p>
      <w:pPr>
        <w:spacing w:after="0" w:line="175" w:lineRule="exact"/>
        <w:rPr>
          <w:sz w:val="20"/>
          <w:szCs w:val="20"/>
          <w:color w:val="auto"/>
        </w:rPr>
      </w:pPr>
    </w:p>
    <w:p>
      <w:pPr>
        <w:ind w:right="60" w:firstLine="494"/>
        <w:spacing w:after="0" w:line="254" w:lineRule="auto"/>
        <w:rPr>
          <w:sz w:val="20"/>
          <w:szCs w:val="20"/>
          <w:color w:val="auto"/>
        </w:rPr>
      </w:pPr>
      <w:r>
        <w:rPr>
          <w:rFonts w:ascii="Times New Roman" w:cs="Times New Roman" w:eastAsia="Times New Roman" w:hAnsi="Times New Roman"/>
          <w:sz w:val="18"/>
          <w:szCs w:val="18"/>
          <w:color w:val="auto"/>
        </w:rPr>
        <w:t>We are actively exploring potential business acquisitions which would more quickly add expanded and different capabilities to our product and services offerings, including potential acquisitions that could significantly change, or even transform, the nature of our business. There can be no assurance that we will identify or successfully complete transactions with suitable acquisition candidates in the future. Similarly, there can be no assurance that any completed acquisitions will be successful. Acquisitions may involve significant cash expenditures, debt incurrence, stock issuances, operating losses and expenses that would otherwise be directed to investments in our existing business and could have a material adverse effect on our financial condition, results of operations and cash flows. To pursue acquisitions and other strategic transactions, we may need to raise additional debt and/or equity capital in the future, which may not be available on acceptable terms, in sufficient amounts or at all. In addition, we may issue new shares of our common stock as consideration in such transactions, which may have a dilutive impact on our existing shareholders and may also result in a reduction in the market price of our shares once those newly issued shares are resold in the market. In addition, acquisitions involve numerous other risks, including:</w:t>
      </w:r>
    </w:p>
    <w:p>
      <w:pPr>
        <w:spacing w:after="0" w:line="296" w:lineRule="exact"/>
        <w:rPr>
          <w:sz w:val="20"/>
          <w:szCs w:val="20"/>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acquired business to achieve its revenue or profit forecasts;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culture of the acquired business may not match well with our culture;</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and focus may change in ways that adversely affect our results of operations;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product synergies, economies of scale and cost reductions from the acquisition may not occur as expected;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delays or conditions may result from the acquisition, including required regulatory approvals or consents;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may result to our management team and/or board of directors;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or assume unexpected liabilities or be subject to unexpected penalties or other enforcement actions or legal consequences;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assumptions may be made regarding the macroeconomic environment or the integration process that form a basis for the acquisition;</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delays and costs may arise in integrating the acquired business’s operations, processes and systems;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860" w:hanging="366"/>
        <w:spacing w:after="0" w:line="282"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investments may be required to implement necessary compliance processes and related systems, including information technology systems, accounting systems and internal controls over financial reporting;</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retain, motivate and integrate key management and other employees of the acquired business;</w:t>
      </w:r>
    </w:p>
    <w:p>
      <w:pPr>
        <w:spacing w:after="0" w:line="117" w:lineRule="exact"/>
        <w:rPr>
          <w:rFonts w:ascii="Times New Roman" w:cs="Times New Roman" w:eastAsia="Times New Roman" w:hAnsi="Times New Roman"/>
          <w:sz w:val="18"/>
          <w:szCs w:val="18"/>
          <w:color w:val="auto"/>
        </w:rPr>
      </w:pPr>
    </w:p>
    <w:p>
      <w:pPr>
        <w:ind w:left="860" w:right="20" w:hanging="366"/>
        <w:spacing w:after="0" w:line="282"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may arise due to unforeseen changes in tax, trade, environmental, labor, safety, payroll or pension policies in any jurisdiction in which the acquired business conducts its operations;</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adversely impact our sales channels and our sales channel partners;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problems in retaining customers and integrating customer bases.</w:t>
      </w:r>
    </w:p>
    <w:p>
      <w:pPr>
        <w:spacing w:after="0" w:line="333" w:lineRule="exact"/>
        <w:rPr>
          <w:sz w:val="20"/>
          <w:szCs w:val="20"/>
          <w:color w:val="auto"/>
        </w:rPr>
      </w:pPr>
    </w:p>
    <w:p>
      <w:pPr>
        <w:ind w:right="120" w:firstLine="494"/>
        <w:spacing w:after="0" w:line="266" w:lineRule="auto"/>
        <w:rPr>
          <w:sz w:val="20"/>
          <w:szCs w:val="20"/>
          <w:color w:val="auto"/>
        </w:rPr>
      </w:pPr>
      <w:r>
        <w:rPr>
          <w:rFonts w:ascii="Times New Roman" w:cs="Times New Roman" w:eastAsia="Times New Roman" w:hAnsi="Times New Roman"/>
          <w:sz w:val="18"/>
          <w:szCs w:val="18"/>
          <w:color w:val="auto"/>
        </w:rPr>
        <w:t>Many of these factors will be outside of our control and any one of them could result in increased costs and reduced profitability, decreases in the amount of expected revenues and diversion of our management’s time and attention. They may also delay, decrease or eliminate the realization of some or all of the benefits we anticipate when we enter into the transaction.</w:t>
      </w:r>
    </w:p>
    <w:p>
      <w:pPr>
        <w:spacing w:after="0" w:line="176" w:lineRule="exact"/>
        <w:rPr>
          <w:sz w:val="20"/>
          <w:szCs w:val="20"/>
          <w:color w:val="auto"/>
        </w:rPr>
      </w:pPr>
    </w:p>
    <w:p>
      <w:pPr>
        <w:ind w:right="200" w:firstLine="494"/>
        <w:spacing w:after="0" w:line="261" w:lineRule="auto"/>
        <w:rPr>
          <w:sz w:val="20"/>
          <w:szCs w:val="20"/>
          <w:color w:val="auto"/>
        </w:rPr>
      </w:pPr>
      <w:r>
        <w:rPr>
          <w:rFonts w:ascii="Times New Roman" w:cs="Times New Roman" w:eastAsia="Times New Roman" w:hAnsi="Times New Roman"/>
          <w:sz w:val="18"/>
          <w:szCs w:val="18"/>
          <w:color w:val="auto"/>
        </w:rPr>
        <w:t>Because we have historically only made one acquisition to date, our ability to do so again successfully is unproven. Moreover, our management team has limited experience in, and limited time to dedicate to, pursuing, negotiating or integrating acquisitions. If we do identify suitable candidates, we may not be able to negotiate or consummate such acquisitions on favorable terms or at all. Any acquisitions we complete may not achieve their initially intended results and benefits, and may be viewed negatively by investors and other stakeholders.</w:t>
      </w:r>
    </w:p>
    <w:p>
      <w:pPr>
        <w:spacing w:after="0" w:line="180" w:lineRule="exact"/>
        <w:rPr>
          <w:sz w:val="20"/>
          <w:szCs w:val="20"/>
          <w:color w:val="auto"/>
        </w:rPr>
      </w:pPr>
    </w:p>
    <w:p>
      <w:pPr>
        <w:jc w:val="both"/>
        <w:ind w:right="280" w:firstLine="494"/>
        <w:spacing w:after="0" w:line="266" w:lineRule="auto"/>
        <w:rPr>
          <w:sz w:val="20"/>
          <w:szCs w:val="20"/>
          <w:color w:val="auto"/>
        </w:rPr>
      </w:pPr>
      <w:r>
        <w:rPr>
          <w:rFonts w:ascii="Times New Roman" w:cs="Times New Roman" w:eastAsia="Times New Roman" w:hAnsi="Times New Roman"/>
          <w:sz w:val="18"/>
          <w:szCs w:val="18"/>
          <w:color w:val="auto"/>
        </w:rPr>
        <w:t>We may undertake acquisitions financed in part through public offerings or private placements of debt or equity securities, including through the new issuance of our common stock or debt securities as consideration in an acquisition transaction. Such acquisition financing could result in dilution to our current shareholders, a decrease in our earnings and/or adversely affect our financial condition, liquidity or other leverage measures.</w:t>
      </w:r>
    </w:p>
    <w:p>
      <w:pPr>
        <w:spacing w:after="0" w:line="176" w:lineRule="exact"/>
        <w:rPr>
          <w:sz w:val="20"/>
          <w:szCs w:val="20"/>
          <w:color w:val="auto"/>
        </w:rPr>
      </w:pPr>
    </w:p>
    <w:p>
      <w:pPr>
        <w:ind w:right="400" w:firstLine="494"/>
        <w:spacing w:after="0" w:line="261" w:lineRule="auto"/>
        <w:rPr>
          <w:sz w:val="20"/>
          <w:szCs w:val="20"/>
          <w:color w:val="auto"/>
        </w:rPr>
      </w:pPr>
      <w:r>
        <w:rPr>
          <w:rFonts w:ascii="Times New Roman" w:cs="Times New Roman" w:eastAsia="Times New Roman" w:hAnsi="Times New Roman"/>
          <w:sz w:val="18"/>
          <w:szCs w:val="18"/>
          <w:color w:val="auto"/>
        </w:rPr>
        <w:t>In addition to committing additional capital resources to complete any acquisitions, substantial additional capital may be required to operate the acquired businesses following their acquisition. Moreover, these acquisitions may result in significant financial losses if the intended objectives of the transactions are not achieved. Some of the businesses we may acquire may have significant operating and financial challenges, requiring significant additional capital commitments to overcome such challenges and adversely affecting our financial condition and liquidity.</w:t>
      </w:r>
    </w:p>
    <w:p>
      <w:pPr>
        <w:spacing w:after="0" w:line="180"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Failure to implement our acquisition strategy, including successfully integrating acquired businesses, could have a material adverse effect on our results of operations, financial condition and cash flows.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continued emphasis on indirect distribution channels to sell our products and services to supplement our direct distribution channels has had limited success to date. If we are unable to attract, incentivize and retain our third-party distributors and sales agents, or our distributors and sales agents do not sell our products and services at the levels expected, our revenues could decline and our costs could increase.</w:t>
      </w:r>
    </w:p>
    <w:p>
      <w:pPr>
        <w:spacing w:after="0" w:line="67"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utilize manufacturer representative sales agencies that sell our products through distributors. Many of these sales agents and distributors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 partnerships with sales agents and distributors, we are attempting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business depends upon our adaptation to the quickly changing market conditions in the lighting industry and on market acceptance of our lighting retrofit solutions using LED and control technologies.</w:t>
      </w:r>
    </w:p>
    <w:p>
      <w:pPr>
        <w:spacing w:after="0" w:line="15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market for lighting products has experienced a significant technology shift to LED lighting systems. In addition, we continue to explore utilizing our system platform as a “connected ceiling” or “smart ceiling”, or a framework or network that can support the installation and integration of other business technology or data information solutions on our lighting platform.</w:t>
      </w:r>
    </w:p>
    <w:p>
      <w:pPr>
        <w:spacing w:after="0" w:line="176"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As a result, our future success depends significantly upon the adoption rate of LED products within our primary markets, our ability to participate in this ongoing market trend and our ability to expand into complementary markets. To be an effective participant in the LED market, we must keep up with the evolution of LED and related technologies, which continue to move at a fast pace. We may be unable to successfully develop and market new products or services that keep pace with technological or industry changes, differentiate ourselves from our competition, satisfy changes in customer demands or comply with present or emerging government and industry regulations and technology standards. The development and introduction of new products and services may result in increased warranty expenses and other new product and services introduction expenses. In addition, we will likely continue to incur substantial costs to research and develop new products and services, which will increase our expenses, without guarantee that our new products and services will be commercially viable. We may also spend time and resources to develop and release new products and services only to discover that a competitor has also introduced similar new products and services with superior performance, at a lower price or on better delivery terms. Moreover, if new sources of lighting or lighting-based solutions are developed, our current products and technologies could become less competitive or obsolete, which could result in reduced revenue, reduced earnings or increased losses, and/or inventory and other impairment charges.</w:t>
      </w:r>
    </w:p>
    <w:p>
      <w:pPr>
        <w:spacing w:after="0" w:line="19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Finally, in connection with our historical primary focus on selling our LED products, we expect our results of operations to continue to fluctuate from quarter to quarter to the extent that customers delay purchasing decisions as they evaluate their return on investment from purchasing LED products compared to alternative lighting solutions, the pricing of LED products continues to fall and LED products continue to gain more widespread customer acceptance. Similarly, these circumstances have adversely impacted, and may continue to adversely impact, our product gross margins and our profitability from quarter to quarter.</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If we are unable to achieve market acceptance of our lighting retrofit solutions using LED technologies and our system platform as a “connected ceiling” or “smart ceiling” or realize the expected benefits from our focus on promoting new products and services, our results of operations, financial condition and cash flows will likely be materially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performance is dependent on our ability to achieve growth in our average selling price of our products.</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The gross margins of our products can vary significantly, with margins ranging from 10% to 50%. While we continue to implement our strategy of transitioning to higher-margin products and reducing the material cost of our products, a change in the total mix of our sales toward lower margin products, a decrease in the margins on our products as a result of competitive pressures driving down the average selling price of our products, lower sales volumes, and promotional programs to increase sales volumes could reduce our profitability and result in a material adverse effect on our results of operations, financial condition and cash flows. Furthermore, the average selling price of our products has been, and may be further, negatively impacted by market over-supply conditions, product feature cannibalization by competitors or component providers, low-cost non-traditional sales methods by new market entrants, and comparison of our retrofit fixture products with replacement lamp equivalents. While we recently implemented a general price increase applicable to many new product orders, there is no assurance that such price increase will be accepted by our customers or succeed in increasing the average selling price of our products. In our highly competitive lighting industry, we must be able to innovate and release new products on a regular basis with features and benefits that generate increases in our average selling price and average gross margin. There can be no assurance we will be successful in achieving these goals.</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success of our LED lighting retrofit solutions depends,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spacing w:after="0" w:line="1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retrofitting process frequently involves responsibility for the removal and disposal of components containing hazardous materials.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and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tariffs and other actions may adversely affect our business.</w:t>
      </w:r>
    </w:p>
    <w:p>
      <w:pPr>
        <w:spacing w:after="0" w:line="229" w:lineRule="exact"/>
        <w:rPr>
          <w:sz w:val="20"/>
          <w:szCs w:val="20"/>
          <w:color w:val="auto"/>
        </w:rPr>
      </w:pPr>
    </w:p>
    <w:p>
      <w:pPr>
        <w:ind w:right="220" w:firstLine="494"/>
        <w:spacing w:after="0" w:line="256" w:lineRule="auto"/>
        <w:rPr>
          <w:sz w:val="20"/>
          <w:szCs w:val="20"/>
          <w:color w:val="auto"/>
        </w:rPr>
      </w:pPr>
      <w:r>
        <w:rPr>
          <w:rFonts w:ascii="Times New Roman" w:cs="Times New Roman" w:eastAsia="Times New Roman" w:hAnsi="Times New Roman"/>
          <w:sz w:val="18"/>
          <w:szCs w:val="18"/>
          <w:color w:val="auto"/>
        </w:rPr>
        <w:t>The United States government has been implementing various monetary, regulatory, and trade importation restraints, penalties, and tariffs. Certain sourced finished products and certain of the components used in our products have been impacted by tariffs imposed on China imports. Our efforts to mitigate the impact of added costs resulting from these government actions include a variety of activities, such as sourcing from non-tariff impacted countries and raising prices. If we are unable to successfully mitigate the impacts of these tariffs and other trade policies (including any new or different tariffs or policies implemented by the new United States administration), our results of operations may be adversely affected. Any future policy changes that may be implemented by the new United States administration could have a negative consequence on our financial performance.</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affect on our results of operations, financial condition and cash flows.</w:t>
      </w:r>
    </w:p>
    <w:p>
      <w:pPr>
        <w:spacing w:after="0" w:line="6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Reductions in (including as a result of any budgetary constraints), or the elimination of, government investment and favorable energy policies designed to accelerate the adoption of LED lighting could result in decreased demand for our products and adversely affect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elimination of, or changes in, policies, incentives or rebates in certain states that encourage the use of solar power over other traditional power sources could cause the revenue from our sale of solar-related tax credits to third parties to decrease, which could have a material adverse effect on our results of operations, financial condition and cash flows.</w:t>
      </w:r>
    </w:p>
    <w:p>
      <w:pPr>
        <w:spacing w:after="0" w:line="6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have long-lived assets associated with our legacy solar business and recognize revenue from the sale to third parties of tax credits received from operating these solar assets. There is currently legislation pending which may decrease the future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the sale of these tax credits. Such a decrease could have a material adverse effect on our results of operations, financial condition and cash flows. Depending on the result of this pending legislation change, we may be required to record a non-cash impairment charge in a future period.</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government budget priorities and political gridlock, and future potential government shutdown, could negatively impact our results of operations, financial condition and cash flows.</w:t>
      </w:r>
    </w:p>
    <w:p>
      <w:pPr>
        <w:spacing w:after="0" w:line="2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and perceived changes in governmental budget priorities as a result of the new United States administration, and future potential government shutdowns, could adversely affect our results of operations, financial condition and cash flows. Certain government agencies purchase certain products and services directly from us. When the government changes budget priorities, such as in times of war, financial crisis, or a changed administration,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Funding reductions or delays, including delays caused by political gridlock, and future potential government shutdowns, could negatively impact demand and payment for our products and services. If any of these events occur, our results of operations, financial condition and cash flows could be materially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 claims could adversely affect our business, results of operations and financial condition.</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spacing w:after="0" w:line="15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results of operations, financial condition and cash flows.</w:t>
      </w:r>
    </w:p>
    <w:p>
      <w:pPr>
        <w:spacing w:after="0" w:line="17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8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8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addition, third parties may bring infringement and other claims that could be time-consuming and expensive to defend. Also, parties making infringement and other claims against us may be able to obtain injunctive or other equitable relief that could effectively block our ability to provide our products, services or business methods and could cause us to pay substantial damages. In the event of a successful claim of infringement against us,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cost of compliance with environmental laws and regulations and any related environmental liabilities could adversely affect our results of operations, financial condition and cash flows.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5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quarterly revenue and operating results have fluctuated in the past and will likely vary from quarter to quarter in the future. Our results for any particular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continue to depend, in part, on the research reports that securities or industry analysts publish about us and our peer group companies. If these analysts do not continue to provide adequate research coverage or if one or more of the analysts who covers us downgrades our stock, lowers our stock’s price target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has been, and may continue to be, volatile.</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The trading price of our common stock has ranged from $2.74 to $7.30 per share during the period from April 1, 2021 to March 31, 2022. The market price of our common stock could be impacted due to a variety of factors, including:</w:t>
      </w:r>
    </w:p>
    <w:p>
      <w:pPr>
        <w:spacing w:after="0" w:line="68" w:lineRule="exact"/>
        <w:rPr>
          <w:sz w:val="20"/>
          <w:szCs w:val="20"/>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or our competitors’ operating results;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growth rate of the general LED lighting industry, our growth rates or our competitors’ growth rates;</w:t>
      </w:r>
    </w:p>
    <w:p>
      <w:pPr>
        <w:spacing w:after="0" w:line="117" w:lineRule="exact"/>
        <w:rPr>
          <w:rFonts w:ascii="Times New Roman" w:cs="Times New Roman" w:eastAsia="Times New Roman" w:hAnsi="Times New Roman"/>
          <w:sz w:val="18"/>
          <w:szCs w:val="18"/>
          <w:color w:val="auto"/>
        </w:rPr>
      </w:pPr>
    </w:p>
    <w:p>
      <w:pPr>
        <w:ind w:left="860" w:right="20" w:hanging="366"/>
        <w:spacing w:after="0" w:line="282"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financial markets in general or changes in general economic conditions, including government efforts to mitigate the severe economic downturn resulting from the COVID-19 pandemic;</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and unforeseen market forces and trading strategies, such as the massive short squeeze rally caused by retail investors and social media activity affecting companies such as GameStop Corp.;</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governmental regulation, including taxation and tariff policies;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or currency exchange rate fluctuations;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or report accurate financial results;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 market analyst recommendations regarding our common stock, other comparable companies or our industry generally.</w:t>
      </w:r>
    </w:p>
    <w:p>
      <w:pPr>
        <w:spacing w:after="0" w:line="117"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could be adversely affected by future sales of our common stock in the public market by us or our executive officers and directors.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and our executive officers and directors may from time to time sell shares of our common stock in the public market or otherwise. On February 18, 2021, we reported that Michael W. Altschaefl, our Chief Executive Officer and Board Chair, and Scott A. Green, our Chief Operating Officer and Executive Vice President, had each adopted separate prearranged trading plans for a specified number of their shares of our common stock, in accordance with guidelines specified by Rule 10b5-1 under the Exchange Act and our policies regarding transactions by insiders in our common stock. We cannot predict the size or the effect, if any, that future sales of shares of our common stock by us or our executive officers and directors, or the perception of such sales, will have on the market price of our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We are not currently paying dividends on our common stock and will likely continue not paying dividends for the foreseeable future.</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continued development and expansion of our business, and we do not anticipate paying any cash dividends on our common stock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 The restrictions on, and decision not to, pay dividends on our common stock may impact our ability to attract certain investors and raise funds, if necessary, in the capital markets.</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80"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our then-current board of directors, including to delay or impede a merger, tender offer or proxy contest involving our company or result in a lower price per share paid to our shareholders.</w:t>
      </w:r>
    </w:p>
    <w:p>
      <w:pPr>
        <w:spacing w:after="0" w:line="189"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Each currently outstanding share of our common stock includes, and each newly issued share of our common stock will include, a common share purchase right. These rights are attached to, and trade with, the shares of our common stock and generally are not currently exercisable. These rights will become exercisable if a person or group acquires, or announces an intention to acquire, 20% or more of our outstanding common stock. These rights have some anti-takeover effects and generally will cause substantial dilution to a person or group that attempts to acquire control of us without conditioning the offer on either redemption of the rights or amendment of the rights to prevent this dilution. These rights could have the effect of delaying, deferring or preventing a change of control or result in a lower price per share paid to our shareholders.</w:t>
      </w:r>
    </w:p>
    <w:p>
      <w:pPr>
        <w:spacing w:after="0" w:line="18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(other than for our Chief Executive Officer).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lease our approximately 266,000 square foot manufacturing and distribution facility located in Manitowoc, Wisconsin. On January 31, 2020, we entered a new lease for the facility with a ten-year term, and an option to terminate after six years.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our approximately 70,000 square foot technology center and corporate headquarters adjacent to our leased Manitowoc manufacturing and distribution facility, of which we sub-lease a portion to third parties. We also lease approximately 10,500 square feet of office space in Jacksonville, Florida, and 9,180 square feet of office space in Pewaukee, Wisconsin.</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Manitowoc and Jacksonville facilities noted above are utilized by all our business segments, and the Pewaukee facility by our Orion Services Group Division.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both"/>
        <w:ind w:left="760" w:hanging="741"/>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Shares of our common stock are traded on the NASDAQ Capital Market under the symbol “OESX”.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May 31, 2022, there were approximately 159 record holders of the 31,098,938 outstanding shares of our common stock. The number of record holders does not include shareholders for whom shares are held in a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represents shares outstanding under our 2004 Stock and Incentive Awards Incentive Plan, and our 2016 Omnibus Incentive Plan as of March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13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20"/>
        </w:trPr>
        <w:tc>
          <w:tcPr>
            <w:tcW w:w="9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4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Under the 2016</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Vesting of</w:t>
            </w:r>
          </w:p>
        </w:tc>
        <w:tc>
          <w:tcPr>
            <w:tcW w:w="1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Omnibus Incentive</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5940" w:type="dxa"/>
            <w:vAlign w:val="bottom"/>
            <w:gridSpan w:val="3"/>
            <w:vMerge w:val="restart"/>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5940" w:type="dxa"/>
            <w:vAlign w:val="bottom"/>
            <w:gridSpan w:val="3"/>
            <w:vMerge w:val="continue"/>
          </w:tcPr>
          <w:p>
            <w:pPr>
              <w:spacing w:after="0"/>
              <w:rPr>
                <w:sz w:val="15"/>
                <w:szCs w:val="15"/>
                <w:color w:val="auto"/>
              </w:rPr>
            </w:pPr>
          </w:p>
        </w:tc>
        <w:tc>
          <w:tcPr>
            <w:tcW w:w="138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Plans (1)</w:t>
            </w:r>
          </w:p>
        </w:tc>
        <w:tc>
          <w:tcPr>
            <w:tcW w:w="0" w:type="dxa"/>
            <w:vAlign w:val="bottom"/>
          </w:tcPr>
          <w:p>
            <w:pPr>
              <w:spacing w:after="0"/>
              <w:rPr>
                <w:sz w:val="1"/>
                <w:szCs w:val="1"/>
                <w:color w:val="auto"/>
              </w:rPr>
            </w:pPr>
          </w:p>
        </w:tc>
      </w:tr>
      <w:tr>
        <w:trPr>
          <w:trHeight w:val="217"/>
        </w:trPr>
        <w:tc>
          <w:tcPr>
            <w:tcW w:w="664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592,886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1,387,612</w:t>
            </w:r>
          </w:p>
        </w:tc>
        <w:tc>
          <w:tcPr>
            <w:tcW w:w="0" w:type="dxa"/>
            <w:vAlign w:val="bottom"/>
          </w:tcPr>
          <w:p>
            <w:pPr>
              <w:spacing w:after="0"/>
              <w:rPr>
                <w:sz w:val="1"/>
                <w:szCs w:val="1"/>
                <w:color w:val="auto"/>
              </w:rPr>
            </w:pPr>
          </w:p>
        </w:tc>
      </w:tr>
      <w:tr>
        <w:trPr>
          <w:trHeight w:val="229"/>
        </w:trPr>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592,886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1,387,612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reflected in the column titled “Number of Shares to be Issued Upon Exercise of Outstanding Options and Vesting of Restricted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purchase shares of our common stock during the fiscal year ended March 31,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We did not make any unregistered sales of our common stock during the year ended March 31, 2022 that were not previously disclosed in a Quarterly Report on Form 10-Q or a current report on Form 8-K during such period.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2021. See also “Forward-Looking Statements” and Item 1A “Risk Factors”.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provide state-of-the-art light emitting diode (“LED”) lighting systems, wireless Internet of Things (“IoT”) enabled control solutions, project engineering, energy project management design and maintenance services.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Our services consist of turnkey installation and system maintenance. Virtually all of our sales occur within North America.</w:t>
      </w:r>
    </w:p>
    <w:p>
      <w:pPr>
        <w:spacing w:after="0" w:line="18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8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differentiate ourselves from our competitors through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 We completed the acquisition of Stay-Lite Lighting on January 1, 2022, which is intended to further expand our maintenance services capabilities.</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76"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In fiscal 2022, we continued to successfully capitalize on our capability of being a full service, turn-key provider of LED lighting and controls systems with design, build, installation and project management services, as we continued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 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like our acquisition of Stay-Lite Lighting, which would more quickly add these types of expanded and different capabilities to our product and services offerings. It is possible that one or more of such potential acquisitions, if successfully completed, could significantly change, and potentially transform, the nature and extent of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8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fiscal year ends on March 31. We refer to our just completed fiscal year, which ended on March 31, 2022, as "fiscal 2022", and our prior fiscal years which ended on March 31, 2021 and March 31, 2020 as "fiscal 2021" and “fiscal 2020”, respectively. Our fiscal first quarter of each fiscal year ends on June 30, our fiscal second quarter ends on September 30, our fiscal third quarter ends on December 31 and our fiscal fourth quarter ends on March 31.</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Services Group Division ("OSG"), and Orion Distribution Services Division ("ODS"), and Orion U.S. Markets Division (“USM”).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selected historical consolidated financial data are not necessarily indicative of future results.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56"/>
        </w:trPr>
        <w:tc>
          <w:tcPr>
            <w:tcW w:w="4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5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55"/>
        </w:trPr>
        <w:tc>
          <w:tcPr>
            <w:tcW w:w="4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gridSpan w:val="7"/>
          </w:tcPr>
          <w:p>
            <w:pPr>
              <w:jc w:val="center"/>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8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91,889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87,664</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113,352</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56,261</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55,595</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32,494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29,176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37,489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9,493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4,705</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124,383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116,840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150,841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65,754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60,300</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 (1) (2) (10)</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65,249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63,233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83,588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44,111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41,415</w:t>
            </w:r>
          </w:p>
        </w:tc>
      </w:tr>
      <w:tr>
        <w:trPr>
          <w:trHeight w:val="230"/>
        </w:trPr>
        <w:tc>
          <w:tcPr>
            <w:tcW w:w="4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service revenue (1) (3) (10)</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25,222</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23,483</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30,130</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7,091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4,213</w:t>
            </w: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90,471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86,716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113,718</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51,202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45,628</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30,124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14,672</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(1) (4) (10)</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11,262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11,184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10,231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13,159</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assets (5)</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710</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expenses (9)</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 (1) (6) (10)</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11,879</w:t>
            </w: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 (1) (7) (10)</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1,905</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 (8)</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4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26,134</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12,462</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(13,128)</w:t>
            </w:r>
          </w:p>
        </w:tc>
      </w:tr>
      <w:tr>
        <w:trPr>
          <w:trHeight w:val="188"/>
        </w:trPr>
        <w:tc>
          <w:tcPr>
            <w:tcW w:w="45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per share attributable to common</w:t>
            </w: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238"/>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0.85</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0.83</w:t>
            </w: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31,018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30,635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30,105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28,784</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9030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recognized under Financial Accounting Standards Board Accounting Standards Codification Topic 718, or ASC Topic 718, as follows:</w:t>
      </w: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660" w:type="dxa"/>
            <w:vAlign w:val="bottom"/>
            <w:tcBorders>
              <w:bottom w:val="single" w:sz="8" w:color="auto"/>
            </w:tcBorders>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5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55"/>
        </w:trPr>
        <w:tc>
          <w:tcPr>
            <w:tcW w:w="5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660" w:type="dxa"/>
            <w:vAlign w:val="bottom"/>
            <w:shd w:val="clear" w:color="auto" w:fill="CFF0FC"/>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66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929</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6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1,102</w:t>
            </w:r>
          </w:p>
        </w:tc>
      </w:tr>
      <w:tr>
        <w:trPr>
          <w:trHeight w:val="20"/>
        </w:trPr>
        <w:tc>
          <w:tcPr>
            <w:tcW w:w="5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2020 includes expenses of $0.1 million related to restructuring. Fiscal 2018 includes expenses of $34 thousand related to restructuring.</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2020 includes expenses of $0.1 million related to restructuring.</w:t>
      </w:r>
    </w:p>
    <w:p>
      <w:pPr>
        <w:spacing w:after="0" w:line="11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2020 includes expenses of $28 thousand related to restructuring. Fiscal 2018 includes $1.8 million of restructuring expense and $1.4 million benefit on the reversal of an accrual for a loss contingency.</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2018 includes an intangible asset impairment of $0.7 million.</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2020 includes expenses of $0.2 million related to restructuring. Fiscal 2018 includes expenses of $0.2 million related to restructuring.</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2018 includes expenses of $0.1 million related to restructuring.</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2021 includes tax benefit of $20.9 million related to the release of the valuation allowance on deferred tax assets.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2022 includes expenses of $0.5 million related to acquisition.</w:t>
      </w:r>
    </w:p>
    <w:p>
      <w:pPr>
        <w:spacing w:after="0" w:line="117"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2022 includes an offset to payroll expenses of $1.6 million related to the anticipated employee retention payroll tax credit (“payroll tax credit”), as expanded and extended by the American Rescue Plan Act of 2021, as follows:</w:t>
      </w:r>
    </w:p>
    <w:tbl>
      <w:tblPr>
        <w:tblLayout w:type="fixed"/>
        <w:tblInd w:w="0" w:type="dxa"/>
        <w:tblCellMar>
          <w:top w:w="0" w:type="dxa"/>
          <w:left w:w="0" w:type="dxa"/>
          <w:bottom w:w="0" w:type="dxa"/>
          <w:right w:w="0" w:type="dxa"/>
        </w:tblCellMar>
      </w:tblPr>
      <w:tr>
        <w:trPr>
          <w:trHeight w:val="137"/>
        </w:trPr>
        <w:tc>
          <w:tcPr>
            <w:tcW w:w="9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jc w:val="center"/>
              <w:ind w:right="116"/>
              <w:spacing w:after="0" w:line="137" w:lineRule="exact"/>
              <w:rPr>
                <w:sz w:val="20"/>
                <w:szCs w:val="20"/>
                <w:color w:val="auto"/>
              </w:rPr>
            </w:pPr>
            <w:r>
              <w:rPr>
                <w:rFonts w:ascii="Times New Roman" w:cs="Times New Roman" w:eastAsia="Times New Roman" w:hAnsi="Times New Roman"/>
                <w:sz w:val="14"/>
                <w:szCs w:val="14"/>
                <w:b w:val="1"/>
                <w:bCs w:val="1"/>
                <w:color w:val="auto"/>
              </w:rPr>
              <w:t>Fiscal Year Ended March</w:t>
            </w:r>
          </w:p>
        </w:tc>
      </w:tr>
      <w:tr>
        <w:trPr>
          <w:trHeight w:val="173"/>
        </w:trPr>
        <w:tc>
          <w:tcPr>
            <w:tcW w:w="9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156"/>
        </w:trPr>
        <w:tc>
          <w:tcPr>
            <w:tcW w:w="9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00" w:type="dxa"/>
            <w:vAlign w:val="bottom"/>
          </w:tcPr>
          <w:p>
            <w:pPr>
              <w:spacing w:after="0"/>
              <w:rPr>
                <w:sz w:val="19"/>
                <w:szCs w:val="19"/>
                <w:color w:val="auto"/>
              </w:rPr>
            </w:pPr>
          </w:p>
        </w:tc>
        <w:tc>
          <w:tcPr>
            <w:tcW w:w="1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tcPr>
          <w:p>
            <w:pPr>
              <w:spacing w:after="0"/>
              <w:rPr>
                <w:sz w:val="19"/>
                <w:szCs w:val="19"/>
                <w:color w:val="auto"/>
              </w:rPr>
            </w:pPr>
          </w:p>
        </w:tc>
        <w:tc>
          <w:tcPr>
            <w:tcW w:w="1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payroll tax credit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1,587</w:t>
            </w:r>
          </w:p>
        </w:tc>
      </w:tr>
      <w:tr>
        <w:trPr>
          <w:trHeight w:val="20"/>
        </w:trPr>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COVID-19 pandemic has disrupted business, trade, commerce, financial and credit markets, in the U.S. and globally. Our business was adversely impacted by measures taken by customers, suppliers, government entities and others to control the spread of the virus beginning in March 2020, the last few weeks of our 2020 fiscal year, and continuing most significantly into the second quarter of fiscal 2021. During the third quarter of fiscal 2021, we experienced a rebound in business as project installations resumed for our largest customer. However, potential future risks remain due to the COVID-19 pandemic.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 COVID-19 pandemic becomes more pronounced in our markets or experiences a resurgence in markets recovering from the spread of COVID-19, our results of operation would likely be materially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Outlook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fiscal 2023, we plan on focusing on the following initiatives:</w:t>
      </w:r>
    </w:p>
    <w:p>
      <w:pPr>
        <w:spacing w:after="0" w:line="223"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i w:val="1"/>
          <w:iCs w:val="1"/>
          <w:color w:val="auto"/>
        </w:rPr>
        <w:t>Executing and marketing our turnkey LED retrofit capabilities to large national account customers</w:t>
      </w:r>
      <w:r>
        <w:rPr>
          <w:rFonts w:ascii="Times New Roman" w:cs="Times New Roman" w:eastAsia="Times New Roman" w:hAnsi="Times New Roman"/>
          <w:sz w:val="18"/>
          <w:szCs w:val="18"/>
          <w:color w:val="auto"/>
        </w:rPr>
        <w:t>. We believe one of our competitive advantages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deliver full turnkey LED lighting project capabilities. These turnkey services were the principal reason we achieved significant recent revenue growth as we executed on our commitment to retrofit multiple locations for a major national account customer. Our success in the national account market segment centers on our turnkey design, engineering, manufacturing and project management capabilities, which represent a very clear competitive advantage for us among large enterprises seeking to benefit from the illumination benefits and energy savings of LED lighting across locations nationwide. We believe one of our competitive advantages is that we are organized to serve every step of a custom retrofit project in a comprehensive, non-disruptive and timely fashion, from custom fixture design and initial site surveys to final installations. We are also able to help customers deploy state-of-the-art control systems that provide even greater long-term value from their lighting system investments.</w:t>
      </w:r>
    </w:p>
    <w:p>
      <w:pPr>
        <w:spacing w:after="0" w:line="18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Looking forward, we are focused on continuing to successfully execute on existing national account opportunities while also actively pursuing new national account opportunities that leverage our customized, comprehensive turnkey project solutions,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expanding our addressable market with high-quality, basic lighting systems to meet the needs of value-oriented customer segments served by our other market channels. Given our compelling value proposition, capabilities and focus on customer service, we are optimistic about our business prospects and working to build sales momentum with existing and new customers.</w:t>
      </w:r>
    </w:p>
    <w:p>
      <w:pPr>
        <w:spacing w:after="0" w:line="174"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Continued Product Innovation. </w:t>
      </w:r>
      <w:r>
        <w:rPr>
          <w:rFonts w:ascii="Times New Roman" w:cs="Times New Roman" w:eastAsia="Times New Roman" w:hAnsi="Times New Roman"/>
          <w:sz w:val="18"/>
          <w:szCs w:val="18"/>
          <w:color w:val="auto"/>
        </w:rPr>
        <w:t>We continue to innovate, developing lighting fixtures and features that address specific customer requirements,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working to maintain a leadership position in energy efficiency, smart product design and installation benefits. For interior building applications, we recently expanded our product line to include a family of ceiling air movement solutions, some of which incorporate LED lighting and others which utilize ultraviolet C light waves to kill viruses, bacteria and germs. We also continue to deepen our capabilities in the integration of smart lighting controls. Our goal is to provide state-of-the-art lighting products with modular plug-and-play designs to enable lighting system customization from basic controls to advanced IoT capabilities.</w:t>
      </w:r>
    </w:p>
    <w:p>
      <w:pPr>
        <w:spacing w:after="0" w:line="18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Leverage of our Smart Lighting Systems to Support Internet of Things Applications. </w:t>
      </w:r>
      <w:r>
        <w:rPr>
          <w:rFonts w:ascii="Times New Roman" w:cs="Times New Roman" w:eastAsia="Times New Roman" w:hAnsi="Times New Roman"/>
          <w:sz w:val="18"/>
          <w:szCs w:val="18"/>
          <w:color w:val="auto"/>
        </w:rPr>
        <w:t>We believe we are ideally positioned to help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efficiently deploy new IoT controls and applications by leveraging the “Smart Ceiling” capabilities of their Orion solid state lighting system. IoT capabilities can include the management and tracking of facilities, personnel, resources and customer behavior, driving both sales and lowering costs. As a result, these added capabilities provide customers an even greater return on investment from their lighting system and make us an even more attractive partner. We plan to pursue the expansion of our IoT, “smart-building” and “connected ceiling” and other related technology, software and controls products and services that we offer to our customers. While we intend to pursue these expansion strategies organically, we also are actively exploring potential business acquisitions which would more quickly add these types of expanded and different capabilities to our product and services offerings.</w:t>
      </w:r>
    </w:p>
    <w:p>
      <w:pPr>
        <w:spacing w:after="0" w:line="183" w:lineRule="exact"/>
        <w:rPr>
          <w:sz w:val="20"/>
          <w:szCs w:val="20"/>
          <w:color w:val="auto"/>
        </w:rPr>
      </w:pPr>
    </w:p>
    <w:p>
      <w:pPr>
        <w:jc w:val="both"/>
        <w:ind w:firstLine="4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Increase our Maintenance Service Offerings. </w:t>
      </w:r>
      <w:r>
        <w:rPr>
          <w:rFonts w:ascii="Times New Roman" w:cs="Times New Roman" w:eastAsia="Times New Roman" w:hAnsi="Times New Roman"/>
          <w:sz w:val="18"/>
          <w:szCs w:val="18"/>
          <w:color w:val="auto"/>
        </w:rPr>
        <w:t>We believe we can leverage our construction management process expertise to develop a high-quality,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quick-response, multi-location maintenance service offering. Our experience with large national customers and our large installed base of fixtures positions us well to extend a maintenance offering to historical customers, as well as to new customers. Development of this recurring revenue stream is making progress and we believe there is significant market opportunity. In fiscal 2021, we began providing energy maintenance services, and, on January 1, 2022, we completed the acquisition of Stay-Lite Lighting. The acquisition of Stay-Lite Lighting is intended to further increase our energy maintenance services capabilities.</w:t>
      </w:r>
    </w:p>
    <w:p>
      <w:pPr>
        <w:spacing w:after="0" w:line="182" w:lineRule="exact"/>
        <w:rPr>
          <w:sz w:val="20"/>
          <w:szCs w:val="20"/>
          <w:color w:val="auto"/>
        </w:rPr>
      </w:pPr>
    </w:p>
    <w:p>
      <w:pPr>
        <w:jc w:val="both"/>
        <w:ind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Support success of our ESCO and agent-driven distribution sales channels. </w:t>
      </w:r>
      <w:r>
        <w:rPr>
          <w:rFonts w:ascii="Times New Roman" w:cs="Times New Roman" w:eastAsia="Times New Roman" w:hAnsi="Times New Roman"/>
          <w:sz w:val="18"/>
          <w:szCs w:val="18"/>
          <w:color w:val="auto"/>
        </w:rPr>
        <w:t>We continue to focus on building our relationships and product and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for our ESCO and agent driven distribution channels. These efforts include an array of product and sales training efforts as well as the development of new products to cater to the unique needs of these sales channels.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Developments in Fiscal 2022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Stay-Lite Lighting</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Effective on January 1, 2022, we acquired all of the issued and outstanding capital stock of Stay-Lite Lighting, a nationwide lighting and electrical maintenance service provider, for a cash purchase price of $4.0 million. In addition, depending upon the relative gross profit growth of Stay-Lite Lighting’s legacy business over the next two calendar years, Orion could pay up to an additional $0.7 million in earn out related purchase price. The acquisition was funded from existing cash resources. Stay-Lite Lighting will operate as Stay-Lite, an Orion Energy Systems business. The acquisition accelerates the growth of our maintenance services offerings through our Orion Services Group, which provides lighting and electrical services to customers.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Results of Operations: Fiscal 2022 versus Fiscal 2021</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3"/>
                <w:szCs w:val="13"/>
                <w:color w:val="auto"/>
              </w:rPr>
            </w:pPr>
          </w:p>
        </w:tc>
        <w:tc>
          <w:tcPr>
            <w:tcW w:w="1220" w:type="dxa"/>
            <w:vAlign w:val="bottom"/>
            <w:tcBorders>
              <w:bottom w:val="single" w:sz="8" w:color="auto"/>
            </w:tcBorders>
            <w:gridSpan w:val="2"/>
          </w:tcPr>
          <w:p>
            <w:pPr>
              <w:jc w:val="center"/>
              <w:ind w:right="16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35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28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5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5"/>
                <w:szCs w:val="15"/>
                <w:color w:val="auto"/>
              </w:rPr>
            </w:pPr>
          </w:p>
        </w:tc>
        <w:tc>
          <w:tcPr>
            <w:tcW w:w="11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91,889</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87,664</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32,494</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29,176</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124,383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116,840</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65,249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63,233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1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25,222</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23,483</w:t>
            </w: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90,471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86,716</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33,912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30,124</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11,262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10,341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5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8,250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6,518</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20" w:type="dxa"/>
            <w:vAlign w:val="bottom"/>
          </w:tcPr>
          <w:p>
            <w:pPr>
              <w:spacing w:after="0"/>
              <w:rPr>
                <w:sz w:val="19"/>
                <w:szCs w:val="19"/>
                <w:color w:val="auto"/>
              </w:rPr>
            </w:pPr>
          </w:p>
        </w:tc>
        <w:tc>
          <w:tcPr>
            <w:tcW w:w="15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26,134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NM = Not Meaningful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vMerge w:val="continue"/>
          </w:tcPr>
          <w:p>
            <w:pPr>
              <w:spacing w:after="0"/>
              <w:rPr>
                <w:sz w:val="17"/>
                <w:szCs w:val="17"/>
                <w:color w:val="auto"/>
              </w:rPr>
            </w:pPr>
          </w:p>
        </w:tc>
        <w:tc>
          <w:tcPr>
            <w:tcW w:w="4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Cost of Revenue and Gross Margin. </w:t>
      </w:r>
      <w:r>
        <w:rPr>
          <w:rFonts w:ascii="Times New Roman" w:cs="Times New Roman" w:eastAsia="Times New Roman" w:hAnsi="Times New Roman"/>
          <w:sz w:val="18"/>
          <w:szCs w:val="18"/>
          <w:color w:val="auto"/>
        </w:rPr>
        <w:t>Product revenue increased by 4.8%, or $4.2 million, for fiscal 2022 versus fiscal 2021.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increased by 11.4%, or $3.3 million, for fiscal 2022 versus fiscal 2021. The increase in product revenue was primarily due to multiple projects put on hold in the prior year as a result of COVID-19. The increase in service revenue was primarily due to the acquisition of Stay-Lite Lighting. Cost of product revenue increased by 3.2%, or $2.0 million, in fiscal 2022 versus the comparable period in fiscal 2021. Cost of service revenue increased by 7.4%, or $1.7 million, in fiscal 2022 versus fiscal 2021. The increase in product costs was primarily due to the increase in product revenue. Gross margin increased to 27.3% of revenue in fiscal 2022 from 25.8% in fiscal 2021, due primarily to cost management and a change in customer sales mix.</w:t>
      </w: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3.7%, or $0.4 million, in fiscal 2022 compared to fiscal 2021.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comparative increase was primarily due to the acquisition of Stay-Lite Lighting and lower employment costs in fiscal 2021 as a result of COVID-19 related actions, partially offset by the payroll tax credit.</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Acquisition Costs</w:t>
      </w:r>
      <w:r>
        <w:rPr>
          <w:rFonts w:ascii="Times New Roman" w:cs="Times New Roman" w:eastAsia="Times New Roman" w:hAnsi="Times New Roman"/>
          <w:sz w:val="18"/>
          <w:szCs w:val="18"/>
          <w:color w:val="auto"/>
        </w:rPr>
        <w:t>. In fiscal 2022, we incurred acquisition expenses of $0.5 million, relating to the acquisition of Stay-Lite Lighting.</w:t>
      </w:r>
    </w:p>
    <w:p>
      <w:pPr>
        <w:spacing w:after="0" w:line="225"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increased 12.4%, or $1.3 million, in fiscal 2022 compared to fiscal 2021.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commission expense on higher sales and an increase in travel, both a result of COVID-19 restrictions in fiscal 2021, as well as a result of the acquisition of Stay-Lite Lighting.</w:t>
      </w:r>
    </w:p>
    <w:p>
      <w:pPr>
        <w:spacing w:after="0" w:line="173"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were essentially flat in fiscal 2022 compared to fiscal 2021 and also remained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as a percentage of sales between years.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fiscal 2022 decreased by 37.0%, or $47 thousand, from fiscal 2021. The decrease in interest expense was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fewer sales of receivables.</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Loss on debt extinguishment in fiscal 2021 related to the write-off of fees incurred with respect to our prior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which was recognized upon execution of our new credit facility during the third quarter of fiscal 2021.</w:t>
      </w:r>
    </w:p>
    <w:p>
      <w:pPr>
        <w:spacing w:after="0" w:line="15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fiscal 2022, we recognized a tax expense of $2.2 million. In fiscal 2021, we recognized a tax benefit of $19.6 million. The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driven by the release of the valuation allowance on a significant portion of our deferred tax assets. This resulted in substantially and disproportionately increasing our reported net income and our earnings per share compared to our operating results. Historical and future comparisons to these amounts are not, and will not be, indicative of actual profitability trends for our business. Our fiscal 2022 income tax provision reflects a more normalized effective income tax rate; however, we do not expect to remit significant cash taxes for the next several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Fiscal 2021 versus Fiscal 2020</w:t>
      </w:r>
    </w:p>
    <w:p>
      <w:pPr>
        <w:spacing w:after="0" w:line="121" w:lineRule="exact"/>
        <w:rPr>
          <w:sz w:val="20"/>
          <w:szCs w:val="20"/>
          <w:color w:val="auto"/>
        </w:rPr>
      </w:pPr>
    </w:p>
    <w:p>
      <w:pPr>
        <w:jc w:val="both"/>
        <w:ind w:right="20" w:firstLine="499"/>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20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35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220" w:type="dxa"/>
            <w:vAlign w:val="bottom"/>
          </w:tcPr>
          <w:p>
            <w:pPr>
              <w:jc w:val="center"/>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5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87,664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113,352</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29,176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37,489</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116,840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150,841</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83,588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23,483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30,130</w:t>
            </w:r>
          </w:p>
        </w:tc>
        <w:tc>
          <w:tcPr>
            <w:tcW w:w="12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86,716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113,718</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30,124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37,123</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11,184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10,341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11,113</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13,110</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5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6,518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12,621</w:t>
            </w: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15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12,462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NM = Not Meaningful</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vMerge w:val="continue"/>
          </w:tcPr>
          <w:p>
            <w:pPr>
              <w:spacing w:after="0"/>
              <w:rPr>
                <w:sz w:val="17"/>
                <w:szCs w:val="17"/>
                <w:color w:val="auto"/>
              </w:rPr>
            </w:pPr>
          </w:p>
        </w:tc>
        <w:tc>
          <w:tcPr>
            <w:tcW w:w="4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decreased by 22.7%, or $25.7 million, for fiscal 2021 versus fiscal 2020. Service revenue decreased by 22.2%, or $8.3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fiscal 2021 versus fiscal 2020. The decrease in product and service revenue was primarily due to multiple projects put on hold during the first half of fiscal 2021 as a result of COVID-19, including the projects for one large national account customer which represented 56.0% of revenue in fiscal 2021, and 74.1% of revenue in fiscal 2020. The project installations for this large national account customer resumed during the second quarter of fiscal 2021. Total revenue decreased by 22.5%, or $34.0 million, due to the items discussed above.</w:t>
      </w:r>
    </w:p>
    <w:p>
      <w:pPr>
        <w:spacing w:after="0" w:line="183"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Cost of product revenue decreased by 24.4%, or $20.4 million, in fiscal 2021 versus the comparable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2020. Cost of service revenue decreased by 22.1%, or $6.6 million, in fiscal 2021 versus fiscal 2020.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decrease in product and service costs was primarily due to the decrease in revenue. Gross margin increased from 24.6% of revenue in fiscal 2020 to 25.8% in fiscal 2021, due primarily to cost management and a change in customer sales mix.</w:t>
      </w:r>
    </w:p>
    <w:p>
      <w:pPr>
        <w:spacing w:after="0" w:line="2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0.7%, or $0.1 million, in fiscal 2021 compared to fiscal 2020,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decrease in travel as a result of COVID-19 restrictions, offset by an increase in services and insurance costs.</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decreased 6.9%, or $0.8 million, in fiscal 2021 compared to fiscal 2020. The decrease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year was primarily due to a decrease in commission expense on lower sales and a decrease in travel, both a result of COVID-19 restrictions.</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by 1.8%, or $31 thousand in fiscal 2021 compared to fiscal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lower travel costs due to COVID-19 restrictions, partially offset by an increase in site testing.</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fiscal 2021 decreased by 54.5%, or $0.2 million, from fiscal 2020. The decrease in interest expense was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fewer sales of receivables.</w:t>
      </w:r>
    </w:p>
    <w:p>
      <w:pPr>
        <w:spacing w:after="0" w:line="158"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Loss on Debt Extinguishment</w:t>
      </w:r>
      <w:r>
        <w:rPr>
          <w:rFonts w:ascii="Times New Roman" w:cs="Times New Roman" w:eastAsia="Times New Roman" w:hAnsi="Times New Roman"/>
          <w:sz w:val="18"/>
          <w:szCs w:val="18"/>
          <w:color w:val="auto"/>
        </w:rPr>
        <w:t>. Loss on debt extinguishment in fiscal 2021 related to the write-off of fees incurred with respect to our prior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which was recognized upon execution of our new credit facility during the third quarter of fiscal 2021.</w:t>
      </w:r>
    </w:p>
    <w:p>
      <w:pPr>
        <w:spacing w:after="0" w:line="15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fiscal 2021, we recognized a tax benefit of $19.6 million. The benefit was driven by the release of the valuation allowance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portion of our deferred tax assets. This resulted in substantially and disproportionately increasing our reported net income and our earnings per share compared to our operating results. Historical and future comparisons to these amounts are not, and will not be, indicative of actual profitability trends for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Services Group Division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OSG segment (a) develops and sells lighting products and provides construction and engineering services for our commercial lighting and energy management systems and (b) provides retailers, distributors and other businesses with maintenance, repair and replacement services for the lighting and related electrical components deployed in their facilities. OSG provides engineering, design, lighting products and in many cases turnkey solutions for large national accounts, governments, municipalities, schools and other customers.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OSG segment operating results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55"/>
        </w:trPr>
        <w:tc>
          <w:tcPr>
            <w:tcW w:w="64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82,568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84,243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122,744</w:t>
            </w: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7,472</w:t>
            </w:r>
          </w:p>
        </w:tc>
        <w:tc>
          <w:tcPr>
            <w:tcW w:w="16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16,164</w:t>
            </w: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2022 Compared to Fiscal 2021</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OSG segment revenue decreased in fiscal 2022 by 2.0%, or $1.7 million, and operating income decreased by 13.5%, or $1.0 million, compared to fiscal 2021, due to an overall reduction in project volume performed for our largest customer, partially offset by the acquisition of Stay-Lite Lighting.</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Fiscal 2021 Compared to Fiscal 2020</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OSG segment revenue decreased in fiscal 2021 by 31.4%, or $38.5 million, compared to fiscal 2020, due to multiple projects put on hold as a result of COVID-19, including the projects to one large national account customer that represented 56.0% in fiscal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and 74.1% of total revenue in fiscal 2020. The project installations for this customer resumed during the second quarter of fiscal 2021. This sales decrease led to a corresponding decrease in operating income in this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ODS segment focuses on selling lighting products through manufacturer representative agencies and a network of North American broadline and electrical distributors and contractors.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ODS segment operating results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22,209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15,087</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14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6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19"/>
                <w:szCs w:val="19"/>
                <w:color w:val="auto"/>
              </w:rPr>
            </w:pPr>
          </w:p>
        </w:tc>
        <w:tc>
          <w:tcPr>
            <w:tcW w:w="3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(852)</w:t>
            </w: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2022 Compared to Fiscal 2021</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ODS segment revenue increased $1.1 million or 5.1% and operating income increased by $0.7 million or 28.1%, in fiscal 2022 compared to fiscal 2021 primarily due to sales to a more diversified customer base.</w:t>
      </w: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2021 Compared to Fiscal 2020</w:t>
      </w:r>
    </w:p>
    <w:p>
      <w:pPr>
        <w:spacing w:after="0" w:line="22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ODS segment revenue in fiscal 2021 increased 40.0%, or $6.0 million, compared to fiscal 2020, primarily due to sales to one customer who represented 5.9% of fiscal 2021 total consolidated revenue. This sales increase led to a corresponding increase in operating income in this segment based on operating leverage.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USM segment sells commercial lighting systems and energy management systems to the wholesale contractor markets. USM customers include ESCOs and contractors.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USM segment operating results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55"/>
        </w:trPr>
        <w:tc>
          <w:tcPr>
            <w:tcW w:w="64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Pr>
          <w:p>
            <w:pPr>
              <w:jc w:val="right"/>
              <w:ind w:right="7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3"/>
                <w:szCs w:val="13"/>
                <w:color w:val="auto"/>
              </w:rPr>
            </w:pPr>
          </w:p>
        </w:tc>
        <w:tc>
          <w:tcPr>
            <w:tcW w:w="1180" w:type="dxa"/>
            <w:vAlign w:val="bottom"/>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19,606</w:t>
            </w:r>
          </w:p>
        </w:tc>
        <w:tc>
          <w:tcPr>
            <w:tcW w:w="5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rPr>
              <w:t>11,475</w:t>
            </w:r>
          </w:p>
        </w:tc>
        <w:tc>
          <w:tcPr>
            <w:tcW w:w="3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13,010</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5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1,683</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2,447</w:t>
            </w:r>
          </w:p>
        </w:tc>
      </w:tr>
      <w:tr>
        <w:trPr>
          <w:trHeight w:val="22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8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rPr>
              <w:t>20.2%</w:t>
            </w:r>
          </w:p>
        </w:tc>
        <w:tc>
          <w:tcPr>
            <w:tcW w:w="13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3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Fiscal 2022 Compared to Fiscal 2021</w:t>
      </w:r>
    </w:p>
    <w:p>
      <w:pPr>
        <w:spacing w:after="0" w:line="22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USM segment revenue increase $8.1 million, or 70.9% and operating income increased by $2.3 million or 135.5%, in fiscal 2022 compared to fiscal 2021, primarily due to the impact of COVID-19 on fiscal 2021 and an increased focus on sales opportunities in this segment.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Fiscal 2021 Compared to Fiscal 2020</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USM segment revenue in fiscal 2021 decreased 11.8%, or $1.5 million, from fiscal 2020, primarily due to the impact of COVID-19, and resulted in a corresponding decrease in operating income in this segment based on operating leverage.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We had $14.5 million in cash and cash equivalents as of March 31, 2022, compared to $19.4 million at March 31, 2021. Our cash position decreased primarily as a result of the funding of our acquisition of Stay-Lite Lighting and the results of our operations offset by an overall use of working capital during the year.</w:t>
      </w:r>
    </w:p>
    <w:p>
      <w:pPr>
        <w:spacing w:after="0" w:line="17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On December 29, 2020, we entered into a new Loan and Security Agreement (the “Credit Agreement”) with Bank of America, N.A., as lender (the “Lender”). The Credit Agreement provides for a five-year $25.0 million revolving credit facility (the “Credit Facility”) that matures on December 29, 2025. The Credit Agreement replaced our existing $20.15 million secured revolving credit and security agreement dated as of October 26, 2018, as amended, with Western Alliance Bank, National Association, as lender (the “Prior Credit Agreement”). The replacement of the existing credit agreement with the Credit Agreement provides us with increased financing capacity and liquidity to fund our operations and implement our strategic plans.</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2022, the borrowing base supported $21.5 million of availability of the Credit Facility. As of March 31, 2022, no amounts were borrowed under the Credit Facility.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on our Credit Agreement can be found in the “Indebtedness” section located below.</w:t>
      </w:r>
    </w:p>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March 2020, we filed a universal shelf registration statement with the Securities and Exchange Commission. Under our shelf registration statement, we currently have the flexibility to publicly offer and sell from time to time up to $100.0 million of debt and/or equity securities.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March 2021, we entered into an At Market Issuance Sales Agreement to undertake an “at the market” (ATM) public equity capital raising program pursuant to which we may offer and sell shares of our common stock, having an aggregate offering price of up to $50 million from time to time through or to the Agent, acting as sales agent or principal. No share sales were effected pursuant to the ATM program through March 31, 2022.</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also are exploring various alternative sources of liquidity to help ensure that we will have the best allocation of investing capital to satisfy our working capital needs.</w:t>
      </w:r>
    </w:p>
    <w:p>
      <w:pPr>
        <w:spacing w:after="0" w:line="1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future liquidity needs and forecasted cash flows are dependent upon many factors, including our relative revenue, gross margins, cash management practices, cost containment, working capital management, capital expenditures. While we believe that we will likely have adequate available cash and equivalents and credit availability under our Credit Agreement to satisfy our currently anticipated working capital and liquidity requirements during the next 12 months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our fiscal 2022, fiscal 2021 and fiscal 2020:</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66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9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55"/>
        </w:trPr>
        <w:tc>
          <w:tcPr>
            <w:tcW w:w="6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1,729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20,343</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615</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20,022</w:t>
            </w:r>
          </w:p>
        </w:tc>
      </w:tr>
      <w:tr>
        <w:trPr>
          <w:trHeight w:val="20"/>
        </w:trPr>
        <w:tc>
          <w:tcPr>
            <w:tcW w:w="6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provided by (used in) operating activities primarily consists of net income adjusted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items, including depreciation, amortization of intangible assets, stock-based compensation, amortization of debt issue costs, provisions for reserves, and the effect of changes in working capital and other activities.</w:t>
      </w:r>
    </w:p>
    <w:p>
      <w:pPr>
        <w:spacing w:after="0" w:line="1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fiscal 2022 was $0.1 million and consisted of a net income of $6.1 million adjusted for non-cash expense items of $5.0 million and offset by net cash used by changes in operating assets and liabilities of $11.2 million. Cash used by changes in operating assets and liabilities consisted primarily of decreases in accounts payable of $8.1 million and accrued liabilities of $6.9 million, partially offset by cash provided by a decrease in accounts receivable of $4.4 million, all caused by changes in business volume late in fiscal 2022 compared to late fiscal 2021.</w:t>
      </w:r>
    </w:p>
    <w:p>
      <w:pPr>
        <w:spacing w:after="0" w:line="180"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fiscal 2021 was $1.7 million and consisted of a net income adjusted for non-cash expense items of $9.1 million and net cash used by changes in operating assets and liabilities of $7.4 million. Cash used by changes in operating assets and liabilities consisted primarily of an increase in inventory of $5.3 million due to the release of new product lines and pre-ordering due to supply chain delays as a result of COVID-19, a decrease in accounts payable of $2.6 million due to the timing of payments, an increase in accounts receivable of $2.4 million due to the timing of billing and customer collections, and an increase in Revenue earned but not billed of $2.4 million due to timing on revenue recognition compared to invoicing. Cash provided by changes in operating assets and liabilities included an increase in accrued expenses of $5.8 million due to the timing of project completions and the receipt of invoices.</w:t>
      </w:r>
    </w:p>
    <w:p>
      <w:pPr>
        <w:spacing w:after="0" w:line="18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fiscal 2020 was $20.3 million and consisted of a net income adjusted for non-cash expense items of $15.2 million and net cash provided by changes in operating assets and liabilities of $5.2 million. Cash used by changes in operating assets and liabilities consisted primarily of an increase in inventory of $1.3 million due to delayed shipments at the end of the fiscal year as a result of COVID-19. Cash provided by changes in operating assets and liabilities included a decrease in accounts receivable of $3.6 million due to the timing of billing and customer collections, a decrease in revenue earned but not billed of $3.2 million due to timing on revenue recognition compared to invoicing.</w:t>
      </w:r>
    </w:p>
    <w:p>
      <w:pPr>
        <w:spacing w:after="0" w:line="181"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Investing Activities. </w:t>
      </w:r>
      <w:r>
        <w:rPr>
          <w:rFonts w:ascii="Times New Roman" w:cs="Times New Roman" w:eastAsia="Times New Roman" w:hAnsi="Times New Roman"/>
          <w:sz w:val="18"/>
          <w:szCs w:val="18"/>
          <w:color w:val="auto"/>
        </w:rPr>
        <w:t>Cash used in investing activities in fiscal 2022 was $4.9 million and consisted primarily of the $4.0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acquisition of Stay-Lite Lighting, the $0.5 million investment in ndustrial.io and purchases of property and equipment.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investing activities in fiscal 2021 was $0.9 million and consisted primarily of purchases of property and equipment.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investing activities in fiscal 2020 was $0.9 million and consisted primarily of purchases of property and equipment of $0.8 million.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provided by financing activities in fiscal 2022 was $0.1 million.</w:t>
      </w:r>
    </w:p>
    <w:p>
      <w:pPr>
        <w:spacing w:after="0" w:line="227"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fiscal 2021 was $10.1 million. This cash used consisted primarily of a net payment of $10.0 million under our Credit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in fiscal 2020 was $0.6 million. This cash provided consisted primarily of net proceeds of $0.8 million from our Credit Facility, offset by $0.1 million in debt issue costs due to the Credit Facility and $0.1 million of payment of long-term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net working capital as of March 31, 2022 was $32.9 million, consisting of $51.2 million in current assets and $18.4 million in current liabilities. Our net working capital as of March 31, 2021 was $26.2 million, consisting of $56.5 million in current assets and $30.4 million in current liabilities. The increase in our working capital from the fiscal 2021 year-end was primarily due to an overall reduction in project volume performed for our largest customer and partially offset by the acquisition of Stay-Lite Lighting.</w:t>
      </w:r>
    </w:p>
    <w:p>
      <w:pPr>
        <w:spacing w:after="0" w:line="180"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March 31, 2022, the borrowing base supports approximately $21 million of availability of the Credit Facility. As of March 31, 2022, no amounts were borrowed under the Credit Facility.</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our assets.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LIBOR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16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18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did not incur any early termination fees in connection with the termination of the Prior Credit Agreement, but did recognize a loss on debt extinguishment of $0.1 million on the write-off of unamortized debt issue costs related to the Prior Credit Agreement. The Prior Credit Agreement was scheduled to mature on October 26,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capital expenditures are primarily for general corporate purposes for our corporate headquarters and technology center, production equipment and tooling and for information technology systems. Our capital expenditures totaled $0.5 million in fiscal 2022, $0.9 million in fiscal 2021, and $0.8 million in fiscal 2020. Our capital spending plans predominantly consist of investments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related to maintenance fleet vehicles, new product development tooling and equipment and information technology systems, exclusive of any capital spending for potential acquisitions. We expect to finance these capital expenditures primarily through our existing cash, equipment secured loans and leases, to the extent needed, long-term debt financing, or by using our Credit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have experienced increases in various input costs including labor, components and transportation in the past year. In response, we have 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87"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generate revenue primarily by selling manufactured or sourced commercial lighting fixtures and components, installing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fixtures in our customer’s facilities, and providing maintenance services including repairs and replacements for the lighting and related electrical components in our customer’s facilities. We recognize revenue in accordance with the guidance in “Revenue from Contracts with Customers” (Topic 606) (“ASC 606”) when control of the goods or services being provided (which we refer to as a performance obligation) is transferred to a customer at an amount that reflects the consideration we expect to receive in exchange for those goods or services. Prices are generally fixed at the time of order confirmation, either for the contract as a whole or for the hourly rates that will be charged for the type of maintenance services delivered.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9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transaction price per GAAP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an expected cost-plus margin per GAAP approach when one is not available. The expected cost-plus margin per GAAP approach is used to determine the stand-alone selling price for the installation performance obligation and is based on average historical installation margin.</w:t>
      </w:r>
    </w:p>
    <w:p>
      <w:pPr>
        <w:spacing w:after="0" w:line="183"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Revenue derived from customer contracts which include only performance obligation(s) for the sale of lighting fixtures and components we manufacture, or source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Orion manufactured or sourced fixtures and the installation of such fixtures (which we refer to as a turnkey project) is allocated between each lighting fixture and the installation performance obligation based on relative standalone selling prices.</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determined separately for each customer contract based upon the terms of the contract and the nature and extent of our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93" w:lineRule="exact"/>
        <w:rPr>
          <w:sz w:val="20"/>
          <w:szCs w:val="20"/>
          <w:color w:val="auto"/>
        </w:rPr>
      </w:pPr>
    </w:p>
    <w:p>
      <w:pPr>
        <w:ind w:left="860" w:hanging="36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a legal transfer of ownership;</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obtains physical possession of the products;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starts to receive the benefit of the products;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duration of physical control that we maintain on the products after they are shipped to, and received at, the customer’s facility;</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to maintain insurance on the lighting fixtures when they are in transit and after they are delivered to the customer’s facility;</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each light fixture is physically installed and working correctly;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formally accepts the product;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receive payment from the customer for the light fixtures.</w:t>
      </w:r>
    </w:p>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removed and installed as of the measurement date in comparison to the total number of light fixtures to be removed and installed under the contract.</w:t>
      </w:r>
    </w:p>
    <w:p>
      <w:pPr>
        <w:spacing w:after="0" w:line="18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Revenue from a customer contract that includes maintenance services and delivery of lighting fixtures and / or related components that were not manufactured or sourced by Orion classified as Services revenue in the Consolidated Statement of Operations. The revenue for the actual labor service is recorded as the time the service is provided based on the hours incurred multiplied by the agreed upon contractual rate. The revenue for fixtures or other tangible components is recorded at the completion of the project as this is when management believes the customer has obtained control of these components.</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offer a financing program, called an Orion Throughput Agreement, or OTA, for a customer’s lease of our energy management systems. The OTA is structured as a sales-type lease and upon successful installation of the system and customer acknowledgment that the system is operating as specified, revenue is recognized at our net investment in the lease, which typically is the net present value of the future cash flows.</w:t>
      </w:r>
    </w:p>
    <w:p>
      <w:pPr>
        <w:spacing w:after="0" w:line="17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also record revenue in conjunction with several limited power purchase agreements (“PPAs”) still outstanding. Those PPAs are supply-side agreements for the generation of electricity. Our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 606. We also recognize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87"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and include raw materials, work in process and finished goods.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removed 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obsolescence. If the net realizable value, which is based upon the estimated selling price, less estimated costs of completion, disposal, and transportation, falls below cost, then the inventory value is reduced to its net realizable value. Our inventory obsolescence reserves at March 31, 2022 were $2.1 million, or 9.5% of gross inventory, and $1.9 million, or 8.9% of gross inventory, at March 31, 2021.</w:t>
      </w:r>
    </w:p>
    <w:p>
      <w:pPr>
        <w:spacing w:after="0" w:line="174"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We perform ongoing evaluations of our customers and continuously monitor collections and payments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an 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eight thousand dollars, or 0.1% of gross receivables, at March 31, 2022 and eleven thousand dollars, or 0.1% of gross receivables, at March 31, 2021.</w:t>
      </w:r>
    </w:p>
    <w:p>
      <w:pPr>
        <w:spacing w:after="0" w:line="183"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Recoverability of Long-Lived Assets. </w:t>
      </w:r>
      <w:r>
        <w:rPr>
          <w:rFonts w:ascii="Times New Roman" w:cs="Times New Roman" w:eastAsia="Times New Roman" w:hAnsi="Times New Roman"/>
          <w:sz w:val="18"/>
          <w:szCs w:val="18"/>
          <w:color w:val="auto"/>
        </w:rPr>
        <w:t>We evaluate long-lived assets such as property, equipment and definite lived intangible assets, such as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or a significant change in the macroeconomic environment, such as the impact of the COVID-19 pandemic.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determine if the total estimated future cash flows on an undiscounted basis are less than the carrying amounts of the asset or assets. If so, an impairment loss is measured and recognized.</w:t>
      </w:r>
    </w:p>
    <w:p>
      <w:pPr>
        <w:spacing w:after="0" w:line="190"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60"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Indefinite Lived Intangible Assets. </w:t>
      </w:r>
      <w:r>
        <w:rPr>
          <w:rFonts w:ascii="Times New Roman" w:cs="Times New Roman" w:eastAsia="Times New Roman" w:hAnsi="Times New Roman"/>
          <w:sz w:val="18"/>
          <w:szCs w:val="18"/>
          <w:color w:val="auto"/>
        </w:rPr>
        <w:t>We test indefinite lived intangible assets for impairment at least annually on the first day of our fiscal 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or when indications of 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8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performed a qualitative assessment in conjunction with our annual impairment test of our indefinite lived intangible assets as of January 1, 2022. This qualitative assessment considered our operating results for the first nine months of fiscal 2022 in comparison to prior years as well as its anticipated fourth quarter results and fiscal 2023 plan. As a result of the conditions that existed as of the assessment date, an asset impairment was not deemed to be more likely than not and a quantitative analysis was not required.</w:t>
      </w:r>
    </w:p>
    <w:p>
      <w:pPr>
        <w:spacing w:after="0" w:line="17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currently issue restricted stock awards to our employees, executive officers and directors. Prior to fiscal 2015,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also issued stock options to these individuals. We apply the provisions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 these restricted stock and stock option awards which requires us to expense the estimated fair value of the awards based on the fair value of the award on the date of grant. Compensation costs for equity incentives are recognized in earnings, on a straight-line basis over the requisite service period.</w:t>
      </w:r>
    </w:p>
    <w:p>
      <w:pPr>
        <w:spacing w:after="0" w:line="180"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 part of the process of preparing our consolidated financial statements, we are required to determine our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in each of the jurisdictions in which we operate. This process involves estimating our actual current tax</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8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2020 we recorded a full valuation allowance against our net federal and net state deferred tax assets due to our cumulative three-year taxable losses. During fiscal 2021, we reduced our valuation allowance on the basis of our reassessment of the amount of our deferred tax assets that are more likely than not to be realized. In making these determinations, we considered all available positive and negative evidence, including projected future taxable income, tax planning strategies, recent financial performance and ownership changes. During fiscal 2022, further positive evidence provided support that no material change to the valuation allowance is required.</w:t>
      </w:r>
    </w:p>
    <w:p>
      <w:pPr>
        <w:spacing w:after="0" w:line="18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2022, we had net operating loss carryforwards of approximately $69.4 million for federal tax purposes, $61.8 million for state tax purposes, and $0.8 million for foreign tax purposes. As of the prior fiscal year, this amount is inclusive of the entire loss carryforward on the filed returns.</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also had federal tax credit carryforwards of $1.3 million and state tax credit carryforwards of $0.8 million, which are partially reserved for as part of our valuation allowance. Of these tax attributes, $8.4 million of the federal and state net operating loss carryforwards are not subject to time restrictions on use but may only be used to offset 80% of future adjusted taxable income. The $123.6 million net operating loss and tax credit carryforwards will begin to expire in varying amounts between 2022 and 2040.</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recognize penalties and interest related to uncertain tax liabilities in income tax expense. Penalties and interest were immaterial as of the date of adoption and are included in unrecognized tax benefits.</w:t>
      </w:r>
    </w:p>
    <w:p>
      <w:pPr>
        <w:spacing w:after="0" w:line="162"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2022, the balance of gross unrecognized tax benefits was approximately $0.2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See Note 3 –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60"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have experienced increases in various input costs including labor, components and transportation in the past year. In response,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173" w:lineRule="exact"/>
        <w:rPr>
          <w:sz w:val="20"/>
          <w:szCs w:val="20"/>
          <w:color w:val="auto"/>
        </w:rPr>
      </w:pPr>
    </w:p>
    <w:p>
      <w:pPr>
        <w:jc w:val="both"/>
        <w:ind w:right="20"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Exchange Risk. </w:t>
      </w:r>
      <w:r>
        <w:rPr>
          <w:rFonts w:ascii="Times New Roman" w:cs="Times New Roman" w:eastAsia="Times New Roman" w:hAnsi="Times New Roman"/>
          <w:sz w:val="18"/>
          <w:szCs w:val="18"/>
          <w:color w:val="auto"/>
        </w:rPr>
        <w:t>We face minimal exposure to adverse movements in foreign currency exchange rates. Our foreign currency losses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have been nominal.</w:t>
      </w:r>
    </w:p>
    <w:p>
      <w:pPr>
        <w:spacing w:after="0" w:line="15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investments consist primarily of investments in money market funds. While the instruments we hold are subject to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we had no outstanding debt with floating interest rates.</w:t>
      </w:r>
    </w:p>
    <w:p>
      <w:pPr>
        <w:spacing w:after="0" w:line="223"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are exposed to certain commodity price risks associated with our purchases of raw materials, most significantly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aluminum purchases. During fiscal 2022, we have experienced commodity price increases; however, as of the date of this report, we are not able to predict the future impact of on this risk. A hypothetical additional 20% increase in aluminum prices would have had a negative impact of $0.8 million on our net income in fiscal 2022.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1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14"/>
        </w:trPr>
        <w:tc>
          <w:tcPr>
            <w:tcW w:w="60" w:type="dxa"/>
            <w:vAlign w:val="bottom"/>
          </w:tcPr>
          <w:p>
            <w:pPr>
              <w:spacing w:after="0"/>
              <w:rPr>
                <w:sz w:val="18"/>
                <w:szCs w:val="18"/>
                <w:color w:val="auto"/>
              </w:rPr>
            </w:pP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(BDO USA, LLP; Milwaukee, WI; PCAOB ID#243)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3"/>
        </w:trPr>
        <w:tc>
          <w:tcPr>
            <w:tcW w:w="60" w:type="dxa"/>
            <w:vAlign w:val="bottom"/>
          </w:tcPr>
          <w:p>
            <w:pPr>
              <w:spacing w:after="0"/>
              <w:rPr>
                <w:sz w:val="22"/>
                <w:szCs w:val="22"/>
                <w:color w:val="auto"/>
              </w:rPr>
            </w:pPr>
          </w:p>
        </w:tc>
        <w:tc>
          <w:tcPr>
            <w:tcW w:w="2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2180" w:type="dxa"/>
            <w:vAlign w:val="bottom"/>
            <w:tcBorders>
              <w:top w:val="single" w:sz="8" w:color="0000EE"/>
            </w:tcBorders>
            <w:gridSpan w:val="5"/>
          </w:tcPr>
          <w:p>
            <w:pPr>
              <w:spacing w:after="0"/>
              <w:rPr>
                <w:sz w:val="22"/>
                <w:szCs w:val="22"/>
                <w:color w:val="auto"/>
              </w:rPr>
            </w:pPr>
          </w:p>
        </w:tc>
        <w:tc>
          <w:tcPr>
            <w:tcW w:w="57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63"/>
        </w:trPr>
        <w:tc>
          <w:tcPr>
            <w:tcW w:w="60" w:type="dxa"/>
            <w:vAlign w:val="bottom"/>
          </w:tcPr>
          <w:p>
            <w:pPr>
              <w:spacing w:after="0"/>
              <w:rPr>
                <w:sz w:val="22"/>
                <w:szCs w:val="22"/>
                <w:color w:val="auto"/>
              </w:rPr>
            </w:pPr>
          </w:p>
        </w:tc>
        <w:tc>
          <w:tcPr>
            <w:tcW w:w="2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7240" w:type="dxa"/>
            <w:vAlign w:val="bottom"/>
            <w:gridSpan w:val="5"/>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3"/>
        </w:trPr>
        <w:tc>
          <w:tcPr>
            <w:tcW w:w="60" w:type="dxa"/>
            <w:vAlign w:val="bottom"/>
          </w:tcPr>
          <w:p>
            <w:pPr>
              <w:spacing w:after="0"/>
              <w:rPr>
                <w:sz w:val="22"/>
                <w:szCs w:val="22"/>
                <w:color w:val="auto"/>
              </w:rPr>
            </w:pPr>
          </w:p>
        </w:tc>
        <w:tc>
          <w:tcPr>
            <w:tcW w:w="100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64"/>
        </w:trPr>
        <w:tc>
          <w:tcPr>
            <w:tcW w:w="60" w:type="dxa"/>
            <w:vAlign w:val="bottom"/>
          </w:tcPr>
          <w:p>
            <w:pPr>
              <w:spacing w:after="0"/>
              <w:rPr>
                <w:sz w:val="22"/>
                <w:szCs w:val="22"/>
                <w:color w:val="auto"/>
              </w:rPr>
            </w:pPr>
          </w:p>
        </w:tc>
        <w:tc>
          <w:tcPr>
            <w:tcW w:w="2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60" w:type="dxa"/>
            <w:vAlign w:val="bottom"/>
            <w:tcBorders>
              <w:top w:val="single" w:sz="8" w:color="0000EE"/>
            </w:tcBorders>
            <w:gridSpan w:val="2"/>
          </w:tcPr>
          <w:p>
            <w:pPr>
              <w:spacing w:after="0"/>
              <w:rPr>
                <w:sz w:val="22"/>
                <w:szCs w:val="22"/>
                <w:color w:val="auto"/>
              </w:rPr>
            </w:pPr>
          </w:p>
        </w:tc>
        <w:tc>
          <w:tcPr>
            <w:tcW w:w="6520" w:type="dxa"/>
            <w:vAlign w:val="bottom"/>
            <w:gridSpan w:val="2"/>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4"/>
        </w:trPr>
        <w:tc>
          <w:tcPr>
            <w:tcW w:w="60" w:type="dxa"/>
            <w:vAlign w:val="bottom"/>
          </w:tcPr>
          <w:p>
            <w:pPr>
              <w:spacing w:after="0"/>
              <w:rPr>
                <w:sz w:val="22"/>
                <w:szCs w:val="22"/>
                <w:color w:val="auto"/>
              </w:rPr>
            </w:pPr>
          </w:p>
        </w:tc>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900" w:type="dxa"/>
            <w:vAlign w:val="bottom"/>
            <w:gridSpan w:val="3"/>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79"/>
        </w:trPr>
        <w:tc>
          <w:tcPr>
            <w:tcW w:w="10120" w:type="dxa"/>
            <w:vAlign w:val="bottom"/>
            <w:gridSpan w:val="8"/>
          </w:tcPr>
          <w:p>
            <w:pPr>
              <w:jc w:val="right"/>
              <w:ind w:right="440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Manitowoc, Wisconsin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Orion Energy systems, Inc. (the “Company”) as of March 31, 2022 and 2021, the related consolidated statements of income, stockholders’ equity, and cash flows for each of the three years in the period ended March 31, 2022, and the related notes (collectively referred to as the “consolidated financial statements”). In our opinion, the consolidated financial statements present fairly, in all material respects, the financial position of the Company at March 31, 2022 and 2021, and the results of its operations and its cash flows for each of the three years in the period ended March 31, 2022, in conformity with accounting principles generally accepted in the United States of America.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31, 2022, based on criteria established in Internal Control – Integrated Framework (2013) issued by the Committee of Sponsoring Organizations of the Treadway Commission (“COSO”) and our report dated June 10, 2022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Standalone selling price estimations on turnkey contracts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the Company generates revenue by selling commercial lighting fixtures and components, installing these fixtures, and providing maintenance services. For contracts that contain multiple performance obligations, the contract’s total transaction price is allocated to the individual performance obligations based on their relative standalone selling prices. For contracts which include both the sale and installation of fixtures, the standalone selling price for installation service is estimated using an expected cost-plus a margin approach.</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identified the estimation of the standalone selling price of installation service in turnkey contracts as a critical audit matter. Under the expected cost-plus a margin approach, management estimates the cost of services and applies an estimated margin. The margin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ind w:right="20"/>
        <w:spacing w:after="0" w:line="282" w:lineRule="auto"/>
        <w:rPr>
          <w:sz w:val="20"/>
          <w:szCs w:val="20"/>
          <w:color w:val="auto"/>
        </w:rPr>
      </w:pPr>
      <w:r>
        <w:rPr>
          <w:rFonts w:ascii="Times New Roman" w:cs="Times New Roman" w:eastAsia="Times New Roman" w:hAnsi="Times New Roman"/>
          <w:sz w:val="18"/>
          <w:szCs w:val="18"/>
          <w:color w:val="auto"/>
        </w:rPr>
        <w:t>estimate requires significant management judgment and is based on average historical installation margins. Auditing this estimate involved subjective and complex auditor judgment.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740" w:hanging="368"/>
        <w:spacing w:after="0" w:line="227" w:lineRule="auto"/>
        <w:tabs>
          <w:tab w:leader="none" w:pos="7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Testing the design and operating effectiveness of internal controls over revenue recognition; specifically, inspecting the Company’s controls over estimation of the margin, including their review of a sample of completed turnkey contracts to compare the actual margins achieved to the estimated margin.</w:t>
      </w:r>
    </w:p>
    <w:p>
      <w:pPr>
        <w:spacing w:after="0" w:line="92" w:lineRule="exact"/>
        <w:rPr>
          <w:rFonts w:ascii="Times New Roman" w:cs="Times New Roman" w:eastAsia="Times New Roman" w:hAnsi="Times New Roman"/>
          <w:sz w:val="25"/>
          <w:szCs w:val="25"/>
          <w:color w:val="auto"/>
          <w:vertAlign w:val="superscript"/>
        </w:rPr>
      </w:pPr>
    </w:p>
    <w:p>
      <w:pPr>
        <w:jc w:val="both"/>
        <w:ind w:left="740" w:hanging="368"/>
        <w:spacing w:after="0" w:line="233" w:lineRule="auto"/>
        <w:tabs>
          <w:tab w:leader="none" w:pos="7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Evaluating the reasonableness of assumptions used by management in estimating standalone selling price for installation services by (i) examining a sample of turnkey contracts and assessing the reasonableness of historical experience; and (ii) examining the most significant contract on a disaggregated level and comparing management’s assumptions to our independently-developed assumptions and evaluating the reasons for significant differences.</w:t>
      </w:r>
    </w:p>
    <w:p>
      <w:pPr>
        <w:spacing w:after="0" w:line="90" w:lineRule="exact"/>
        <w:rPr>
          <w:rFonts w:ascii="Times New Roman" w:cs="Times New Roman" w:eastAsia="Times New Roman" w:hAnsi="Times New Roman"/>
          <w:sz w:val="25"/>
          <w:szCs w:val="25"/>
          <w:color w:val="auto"/>
          <w:vertAlign w:val="superscript"/>
        </w:rPr>
      </w:pPr>
    </w:p>
    <w:p>
      <w:pPr>
        <w:jc w:val="both"/>
        <w:ind w:left="740" w:hanging="368"/>
        <w:spacing w:after="0" w:line="227" w:lineRule="auto"/>
        <w:tabs>
          <w:tab w:leader="none" w:pos="7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Testing that the estimated margin is applied consistently and calculated accurately by testing the calculation for a sample of turnkey contracts and vouching the historical cost inputs incurred for installation services and verifying the estimated margin fell within a reasonable range of historical margins.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Manitowoc, Wisconsin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Orion Energy Systems, Inc.’s (the “Company’s”) internal control over financial reporting as of March 31, 2022,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March 31, 2022, based on the COSO criteria.</w:t>
      </w:r>
    </w:p>
    <w:p>
      <w:pPr>
        <w:spacing w:after="0" w:line="7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March 31, 2022 and 2021, the related consolidated statements of income, stockholders’ equity, and cash flows for each of the three years in the period ended March 31, 2022, and the related notes and our report dated June 10, 2022 expressed an unqualified opinion thereon.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14,466</w:t>
            </w:r>
          </w:p>
        </w:tc>
        <w:tc>
          <w:tcPr>
            <w:tcW w:w="1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19,393</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11,899</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13,572</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19,832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19,554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2,631</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51,249</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56,531</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11,466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11,369</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17,805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19,785</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3,543</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86,817</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92,821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36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9,855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17,045</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8,427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13,226</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18,374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30,372</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2,760</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21,717</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34,747</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shares</w:t>
            </w:r>
          </w:p>
        </w:tc>
        <w:tc>
          <w:tcPr>
            <w:tcW w:w="2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March 31, 2022 and 2021; no shares issued and outstanding at</w:t>
            </w:r>
          </w:p>
        </w:tc>
        <w:tc>
          <w:tcPr>
            <w:tcW w:w="2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2022 and 2021</w:t>
            </w:r>
          </w:p>
        </w:tc>
        <w:tc>
          <w:tcPr>
            <w:tcW w:w="2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w:t>
            </w: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2022 and 2021; shares issued: 40,570,909 and</w:t>
            </w: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40,279,050 at March 31, 2022 and 2021; shares outstanding:</w:t>
            </w: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31,097,872 and 30,805,300 at March 31, 2022 and 2021</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9"/>
              </w:rPr>
              <w:t>158,419</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157,485</w:t>
            </w:r>
          </w:p>
        </w:tc>
        <w:tc>
          <w:tcPr>
            <w:tcW w:w="0" w:type="dxa"/>
            <w:vAlign w:val="bottom"/>
          </w:tcPr>
          <w:p>
            <w:pPr>
              <w:spacing w:after="0"/>
              <w:rPr>
                <w:sz w:val="1"/>
                <w:szCs w:val="1"/>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9,473,037 and 9,473,750 common shares at</w:t>
            </w:r>
          </w:p>
        </w:tc>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2022 and 2021</w:t>
            </w:r>
          </w:p>
        </w:tc>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deficit</w:t>
            </w:r>
          </w:p>
        </w:tc>
        <w:tc>
          <w:tcPr>
            <w:tcW w:w="24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(57,080)</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(63,171)</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65,100</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58,074</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86,817</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92,821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508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91,889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87,664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113,352</w:t>
            </w:r>
          </w:p>
        </w:tc>
      </w:tr>
      <w:tr>
        <w:trPr>
          <w:trHeight w:val="229"/>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32,494</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29,176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37,489</w:t>
            </w:r>
          </w:p>
        </w:tc>
      </w:tr>
      <w:tr>
        <w:trPr>
          <w:trHeight w:val="223"/>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124,383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116,840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150,841</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63,233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83,588</w:t>
            </w: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25,222</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23,483</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30,130</w:t>
            </w:r>
          </w:p>
        </w:tc>
      </w:tr>
      <w:tr>
        <w:trPr>
          <w:trHeight w:val="223"/>
        </w:trPr>
        <w:tc>
          <w:tcPr>
            <w:tcW w:w="5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cost of revenue</w:t>
            </w:r>
          </w:p>
        </w:tc>
        <w:tc>
          <w:tcPr>
            <w:tcW w:w="1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90,471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86,716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113,718</w:t>
            </w:r>
          </w:p>
        </w:tc>
      </w:tr>
      <w:tr>
        <w:trPr>
          <w:trHeight w:val="223"/>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33,912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30,124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37,123</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11,262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11,184</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11,628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10,341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11,113</w:t>
            </w:r>
          </w:p>
        </w:tc>
      </w:tr>
      <w:tr>
        <w:trPr>
          <w:trHeight w:val="229"/>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1,716</w:t>
            </w:r>
          </w:p>
        </w:tc>
      </w:tr>
      <w:tr>
        <w:trPr>
          <w:trHeight w:val="223"/>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25,521</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23,288</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24,013</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6,836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13,110</w:t>
            </w: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0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expense</w:t>
            </w:r>
          </w:p>
        </w:tc>
        <w:tc>
          <w:tcPr>
            <w:tcW w:w="15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8,250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12,621</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2,159</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r>
      <w:tr>
        <w:trPr>
          <w:trHeight w:val="263"/>
        </w:trPr>
        <w:tc>
          <w:tcPr>
            <w:tcW w:w="5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6,091</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26,134</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12,462</w:t>
            </w: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common shareholders</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31,018,356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30,634,553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30,104,552</w:t>
            </w: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0.83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0.40</w:t>
            </w: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and share equivalents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31,294,573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31,303,727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30,964,777</w:t>
            </w:r>
          </w:p>
        </w:tc>
      </w:tr>
      <w:tr>
        <w:trPr>
          <w:trHeight w:val="675"/>
        </w:trPr>
        <w:tc>
          <w:tcPr>
            <w:tcW w:w="5080" w:type="dxa"/>
            <w:vAlign w:val="bottom"/>
          </w:tcPr>
          <w:p>
            <w:pPr>
              <w:spacing w:after="0"/>
              <w:rPr>
                <w:sz w:val="24"/>
                <w:szCs w:val="24"/>
                <w:color w:val="auto"/>
              </w:rPr>
            </w:pPr>
          </w:p>
        </w:tc>
        <w:tc>
          <w:tcPr>
            <w:tcW w:w="15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732"/>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120" w:type="dxa"/>
            <w:vAlign w:val="bottom"/>
            <w:vMerge w:val="restart"/>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332"/>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12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1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29,600,158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155,828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(101,767)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17,970</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669,238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12,462</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2020</w:t>
            </w:r>
          </w:p>
        </w:tc>
        <w:tc>
          <w:tcPr>
            <w:tcW w:w="11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30,265,997</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156,503</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(36,163)</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31,035</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450,481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26,134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26,134</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2021</w:t>
            </w:r>
          </w:p>
        </w:tc>
        <w:tc>
          <w:tcPr>
            <w:tcW w:w="11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30,805,300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157,485</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(63,171)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58,074</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for cash</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tax withholdings on stock-based</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6,091</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March 31, 2022</w:t>
            </w:r>
          </w:p>
        </w:tc>
        <w:tc>
          <w:tcPr>
            <w:tcW w:w="11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31,097,872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158,419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65,100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60" w:type="dxa"/>
            <w:vAlign w:val="bottom"/>
          </w:tcPr>
          <w:p>
            <w:pPr>
              <w:spacing w:after="0"/>
              <w:rPr>
                <w:sz w:val="24"/>
                <w:szCs w:val="24"/>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26,134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12,462</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bad debts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20,343</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acquisition</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investment</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8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long-term debt</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74,100</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(73,289)</w:t>
            </w: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to settle employee tax withholdings on stock-based</w:t>
            </w:r>
          </w:p>
        </w:tc>
        <w:tc>
          <w:tcPr>
            <w:tcW w:w="8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compensation</w:t>
            </w:r>
          </w:p>
        </w:tc>
        <w:tc>
          <w:tcPr>
            <w:tcW w:w="8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issue costs</w:t>
            </w: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proceeds from employee equity exercises</w:t>
            </w:r>
          </w:p>
        </w:tc>
        <w:tc>
          <w:tcPr>
            <w:tcW w:w="8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20,022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19,393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28,751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20" w:type="dxa"/>
            <w:vAlign w:val="bottom"/>
            <w:tcBorders>
              <w:bottom w:val="single" w:sz="8" w:color="auto"/>
            </w:tcBorders>
            <w:shd w:val="clear" w:color="auto" w:fill="CFF0FC"/>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14,466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19,393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28,751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820" w:type="dxa"/>
            <w:vAlign w:val="bottom"/>
            <w:shd w:val="clear" w:color="auto" w:fill="CFF0FC"/>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670"/>
        </w:trPr>
        <w:tc>
          <w:tcPr>
            <w:tcW w:w="66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58</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provides state-of-the-art light emitting diode lighting systems, wireless Internet of Things enabled control solutions, project engineering, energy project management design and maintenance services to commercial and industrial businesses, and federal and local governments, predominantly in North America.</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also leases office space in Jacksonville, Florida and Pewaukee, Wisconsin.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IMPACT OF COVID-19</w:t>
      </w:r>
    </w:p>
    <w:p>
      <w:pPr>
        <w:spacing w:after="0" w:line="337"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COVID-19 pandemic has disrupted business, trade, commerce, financial and credit markets, in the U.S. and globally. Orion’s business was adversely impacted by measures taken by customers, suppliers, government entities and others to control the spread of the virus beginning in March 2020, the last few weeks of Orion’s 2020 fiscal year, and continuing most significantly into the second quarter of fiscal 2021. During the third quarter of fiscal 2021, Orion experienced a rebound in business as project installations resumed for its largest customer. However, potential future risks remain due to the COVID-19 pandemic. It is not possible to predict the overall impact the COVID-19 pandemic will have on Orion’s business, liquidity, capital resources or financial results, although the economic and regulatory impacts of COVID-19 significantly reduced Orion’s revenue and profitability in the first half of fiscal 2021. If the COVID-19 pandemic becomes more pronounced in Orion’s markets or experiences a resurgence in markets recovering from the spread of COVID-19, Orion’s results of operation would likely be materially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considers all highly liquid, short-term investments with original maturities of three months or less to be cash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Orion’s financial instruments consist of cash and cash equivalents,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performs ongoing evaluations of its customers and continuously monitors collections and payments. Orion estimates an allowance for doubtful accounts based upon the aging of the underlying receivables, historical experience with write-offs and specific customer collection issues that have been identified. See Note 5 – Accounts Receivable for further discussion of the allowance for doubtful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Orion’s compensation committee approved an Executive Annual Cash Incentive Program. Based upon the results for the fiscal years ended March 31, 2022, 2021, and 2020, Orion accrued approximately $0.1 million, $0.7 million, and $0.8 million expense related to this plan,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99"/>
        <w:spacing w:after="0" w:line="272" w:lineRule="auto"/>
        <w:rPr>
          <w:sz w:val="20"/>
          <w:szCs w:val="20"/>
          <w:color w:val="auto"/>
        </w:rPr>
      </w:pPr>
      <w:r>
        <w:rPr>
          <w:rFonts w:ascii="Times New Roman" w:cs="Times New Roman" w:eastAsia="Times New Roman" w:hAnsi="Times New Roman"/>
          <w:sz w:val="17"/>
          <w:szCs w:val="17"/>
          <w:color w:val="auto"/>
        </w:rPr>
        <w:t>Orion generates revenues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either for the contact as a whole or for the hourly rates that will be charged for the type of maintenance services delivered. The amount of expected consideration includes estimated deductions and early payment discounts calculated based on historical experience, customer rebates based on agreed upon terms applied to actual and projected sales levels over the rebate period, and any amounts paid to customers in conjunction with fulfilling a performance obligation.</w:t>
      </w:r>
    </w:p>
    <w:p>
      <w:pPr>
        <w:spacing w:after="0" w:line="1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If there are multiple performance obligations in a single contract, the contract’s total transaction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an expected cost-plus margin approach when one is not available. The expected cost-plus margin approach is used to determine the estimated stand-alone selling price for the installation performance obligation and is based on average historical installation margin.</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Revenue derived from customer contracts which include only performance obligation(s) for the sale of Orion manufactured or sourced lighting fixtures and components is classified as Product revenue in the Consolidated Statements of Operations. The revenue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Revenue from a customer contract which includes both the sale of Orion manufactured or sourced fixtures and the installation of such fixtures (which Orion refers to as a turnkey project) is allocated between each lighting fixture and the installation performance obligation based on relative standalone selling prices.</w:t>
      </w:r>
    </w:p>
    <w:p>
      <w:pPr>
        <w:spacing w:after="0" w:line="17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w:t>
      </w:r>
    </w:p>
    <w:p>
      <w:pPr>
        <w:spacing w:after="0" w:line="3" w:lineRule="exact"/>
        <w:rPr>
          <w:sz w:val="20"/>
          <w:szCs w:val="20"/>
          <w:color w:val="auto"/>
        </w:rPr>
      </w:pPr>
    </w:p>
    <w:p>
      <w:pPr>
        <w:jc w:val="both"/>
        <w:ind w:firstLine="8"/>
        <w:spacing w:after="0" w:line="253" w:lineRule="auto"/>
        <w:tabs>
          <w:tab w:leader="none" w:pos="2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individual light fixture is installed and working correctly, or (d) when the customer acknowledges that the entire installation project is substantially complete. Determining the point in time when a customer obtains control of the lighting fixtures in a turnkey project can be a complex judgment and is applied separately for each individual light fixture included in a contract. In making this judgment, management considers the timing of various factors, including, but not limited to, those detailed below:</w:t>
      </w:r>
    </w:p>
    <w:p>
      <w:pPr>
        <w:spacing w:after="0" w:line="94"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there is a legal transfer of ownership;</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obtains physical possession of the products;</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starts to receive the benefit of the products;</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duration of physical control that Orion maintains on the products after they are shipped to, and received at, the customer’s facility;</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Orion is required to maintain insurance on the lighting fixtures when they are in transit and after they are delivered to the customer’s facility;</w:t>
      </w:r>
    </w:p>
    <w:p>
      <w:pPr>
        <w:spacing w:after="0" w:line="53"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each light fixture is physically installed and working correctly;</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customer formally accepts the product; and</w:t>
      </w:r>
    </w:p>
    <w:p>
      <w:pPr>
        <w:spacing w:after="0" w:line="11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Orion receives payment from the customer for the light fixtures.</w:t>
      </w:r>
    </w:p>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and installed under the contract.</w:t>
      </w:r>
    </w:p>
    <w:p>
      <w:pPr>
        <w:spacing w:after="0" w:line="180"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Revenue from a customer contract that includes maintenance services and delivery of lighting fixtures and / or related components that were not manufactured or sourced by Orion classified as Services revenue in the Consolidated Statement of Operations. The revenue for the actual labor service is recorded as the time the service is provided based on the hours incurred multiplied by the agreed upon contractual rate. The revenue for fixtures or other tangible components is recorded at the completion of the project as this is when management believes the customer has obtained control of these components.</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also records revenue in conjunction with several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amount of electricity generated each month. This approach is in accordance with the “right to invoice” practical expedient provided for in ASC 606. 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 606.</w:t>
      </w:r>
    </w:p>
    <w:p>
      <w:pPr>
        <w:spacing w:after="0" w:line="1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See Note 11 – Accrued Expenses and Other for a discussion of Orion’s accounting for the warranty it provides to customers for its products and services.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collected from customers and remitted to governmental authorities are accounted for on a net (excluded from revenues)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records costs incurred in connection with shipping and handling of products as cost of product revenue. Amounts billed to customers in connection with these costs are included in product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Orion expenses research and development costs as incurred. Amounts are included in the Statement of Operations on the line item Research and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2022, Orion decreased its valuation allowance by $30 thousand due to the decrease in its deferred tax balance.</w:t>
      </w:r>
    </w:p>
    <w:p>
      <w:pPr>
        <w:spacing w:after="0" w:line="18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Orion’s share-based payments to employees are measured at fair value and are recognized against earnings, on a straight-line basis over the requisite service period.</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17 – Stock Options and Restricted Shares, Orion currently awards non-vested restricted stock (and in some cases, in conjunction with associated cash award accounted for as a liability) to employees, executive officers and directors.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has not paid dividends in the past and does not plan to pay any dividends in the foreseeable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cash is primarily deposited with one financial institution.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ballasts, lamps and LED components, from multiple suppliers. For fiscal 2022 and 2021, no supplier accounted for more than 10% of total cost of revenue. For fiscal 2020, one supplier accounted for 11.8% of total cost of revenue.</w:t>
      </w:r>
    </w:p>
    <w:p>
      <w:pPr>
        <w:spacing w:after="0" w:line="176"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In fiscal 2022, one customer accounted for 49.1% of revenue. In fiscal 2021, one customer accounted for 56.0% of total revenue. In fiscal 2020, one customer accounted for 74.1% of total revenue.</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2022, two customers accounted for 11.8% and 10.4% of accounts receivable. As of March 31, 2021, three customers accounted for 33.9%, 16.4% and 10.1% of accounts receivable,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337"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3 – Summary of Significant Accounting Policies for a discussion of Orion’s accounting policies related to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Fulfillment Costs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Costs associated with product sales are accumulated in inventory as the fixtures are manufactured and are transferred to Cost of product revenue at the time revenue is recorded. See Note 6 – Inventories. Costs associated with installation sales are expensed as incurred.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Orion’s Product revenue includes revenue from contracts with customers accounted for under the scope of ASC 606 and revenue which is accounted for under other guidance. For fiscal year 2022, Product revenue included $1.2 million derived from sales-type leases for light fixtures, $0.2 million derived from the sale of tax credits generated from Orion’s legacy operation for distributing solar energy, and $0.1 million derived from the amortization of federal grants received in 2010 and 2011 as reimbursement for a portion of the costs to construct the legacy solar facilities which are not under the scope of ASC</w:t>
      </w:r>
    </w:p>
    <w:p>
      <w:pPr>
        <w:spacing w:after="0" w:line="3" w:lineRule="exact"/>
        <w:rPr>
          <w:sz w:val="20"/>
          <w:szCs w:val="20"/>
          <w:color w:val="auto"/>
        </w:rPr>
      </w:pPr>
    </w:p>
    <w:p>
      <w:pPr>
        <w:ind w:left="5540" w:right="2040" w:hanging="5532"/>
        <w:spacing w:after="0" w:line="511" w:lineRule="auto"/>
        <w:tabs>
          <w:tab w:leader="none" w:pos="3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remaining Product revenue, and all Service revenue, are derived from contracts with customers as defined in ASC 606.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ind w:left="500"/>
        <w:spacing w:after="0"/>
        <w:rPr>
          <w:sz w:val="20"/>
          <w:szCs w:val="20"/>
          <w:color w:val="auto"/>
        </w:rPr>
      </w:pPr>
      <w:r>
        <w:rPr>
          <w:rFonts w:ascii="Times New Roman" w:cs="Times New Roman" w:eastAsia="Times New Roman" w:hAnsi="Times New Roman"/>
          <w:sz w:val="18"/>
          <w:szCs w:val="18"/>
          <w:color w:val="auto"/>
        </w:rPr>
        <w:t>The primary end-users of Orion’s lighting products and services are (a) the federal government, and (b) commercial or industrial companies.</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Engineered Systems Division segment.</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 dependent on the sales channel.</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Footnote 18 - Segment Data, for additional discussion concerning Orion’s reportable segments.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 of Orion’s total revenues for the year ended March 31, 2022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March 31, 2022</w:t>
            </w:r>
          </w:p>
        </w:tc>
        <w:tc>
          <w:tcPr>
            <w:tcW w:w="120" w:type="dxa"/>
            <w:vAlign w:val="bottom"/>
          </w:tcPr>
          <w:p>
            <w:pPr>
              <w:spacing w:after="0"/>
              <w:rPr>
                <w:sz w:val="15"/>
                <w:szCs w:val="15"/>
                <w:color w:val="auto"/>
              </w:rPr>
            </w:pPr>
          </w:p>
        </w:tc>
        <w:tc>
          <w:tcPr>
            <w:tcW w:w="254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March 31, 2021</w:t>
            </w:r>
          </w:p>
        </w:tc>
        <w:tc>
          <w:tcPr>
            <w:tcW w:w="80" w:type="dxa"/>
            <w:vAlign w:val="bottom"/>
          </w:tcPr>
          <w:p>
            <w:pPr>
              <w:spacing w:after="0"/>
              <w:rPr>
                <w:sz w:val="15"/>
                <w:szCs w:val="15"/>
                <w:color w:val="auto"/>
              </w:rPr>
            </w:pPr>
          </w:p>
        </w:tc>
        <w:tc>
          <w:tcPr>
            <w:tcW w:w="2480" w:type="dxa"/>
            <w:vAlign w:val="bottom"/>
            <w:gridSpan w:val="7"/>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Year Ended March 31, 2020</w:t>
            </w:r>
          </w:p>
        </w:tc>
      </w:tr>
      <w:tr>
        <w:trPr>
          <w:trHeight w:val="155"/>
        </w:trPr>
        <w:tc>
          <w:tcPr>
            <w:tcW w:w="3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top w:val="single" w:sz="8" w:color="auto"/>
            </w:tcBorders>
            <w:gridSpan w:val="2"/>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880" w:type="dxa"/>
            <w:vAlign w:val="bottom"/>
            <w:tcBorders>
              <w:top w:val="single" w:sz="8" w:color="auto"/>
            </w:tcBorders>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860" w:type="dxa"/>
            <w:vAlign w:val="bottom"/>
            <w:tcBorders>
              <w:top w:val="single" w:sz="8" w:color="auto"/>
            </w:tcBorders>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Product</w:t>
            </w:r>
          </w:p>
        </w:tc>
        <w:tc>
          <w:tcPr>
            <w:tcW w:w="860" w:type="dxa"/>
            <w:vAlign w:val="bottom"/>
            <w:tcBorders>
              <w:top w:val="single" w:sz="8" w:color="auto"/>
            </w:tcBorders>
            <w:gridSpan w:val="3"/>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Lighting revenues, by end user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3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Federal government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30"/>
        </w:trPr>
        <w:tc>
          <w:tcPr>
            <w:tcW w:w="3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89,480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31,124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9"/>
              </w:rPr>
              <w:t>120,604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83,963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28,211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5"/>
              </w:rPr>
              <w:t>112,174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99"/>
              </w:rPr>
              <w:t>110,742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37,110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147,852</w:t>
            </w:r>
          </w:p>
        </w:tc>
      </w:tr>
      <w:tr>
        <w:trPr>
          <w:trHeight w:val="223"/>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lighting</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90,400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122,894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84,659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29,176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5"/>
              </w:rPr>
              <w:t>113,835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99"/>
              </w:rPr>
              <w:t>111,664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37,489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149,153</w:t>
            </w:r>
          </w:p>
        </w:tc>
      </w:tr>
      <w:tr>
        <w:trPr>
          <w:trHeight w:val="230"/>
        </w:trPr>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Solar energy related revenues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5"/>
        </w:trPr>
        <w:tc>
          <w:tcPr>
            <w:tcW w:w="33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revenues from contracts with</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r>
      <w:tr>
        <w:trPr>
          <w:trHeight w:val="234"/>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customers</w:t>
            </w:r>
          </w:p>
        </w:tc>
        <w:tc>
          <w:tcPr>
            <w:tcW w:w="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90,442</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32,494</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122,936</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84,716</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29,176</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5"/>
              </w:rPr>
              <w:t>113,892</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99"/>
              </w:rPr>
              <w:t>111,720</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37,489</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149,209</w:t>
            </w:r>
          </w:p>
        </w:tc>
      </w:tr>
      <w:tr>
        <w:trPr>
          <w:trHeight w:val="223"/>
        </w:trPr>
        <w:tc>
          <w:tcPr>
            <w:tcW w:w="3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 accounted for under other guidance</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3"/>
        </w:trPr>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91,889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32,494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124,383</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87,664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29,176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5"/>
              </w:rPr>
              <w:t>116,840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99"/>
              </w:rPr>
              <w:t>113,352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37,489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150,841</w:t>
            </w:r>
          </w:p>
        </w:tc>
      </w:tr>
      <w:tr>
        <w:trPr>
          <w:trHeight w:val="20"/>
        </w:trPr>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Considerations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Customer payments for material only orders are due shortly after shipment.</w:t>
      </w:r>
    </w:p>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Turnkey projects and repair services provided to commercial or industrial companies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76"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62"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18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payments associated with these transactions that are due during the twelve months subsequent to March 31, 2022 are included in Accounts receivable, net in Orion’s Consolidated Balance Sheets. The remaining amounts due that are associated with these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are included in Long-term accounts receivable in Orion’s Consolidated Balance Sheets. As of March 31, 2022, there were no such transactions included in Long-term accounts receivable.</w:t>
      </w:r>
    </w:p>
    <w:p>
      <w:pPr>
        <w:spacing w:after="0" w:line="162" w:lineRule="exact"/>
        <w:rPr>
          <w:sz w:val="20"/>
          <w:szCs w:val="20"/>
          <w:color w:val="auto"/>
        </w:rPr>
      </w:pPr>
    </w:p>
    <w:p>
      <w:pPr>
        <w:jc w:val="both"/>
        <w:ind w:firstLine="499"/>
        <w:spacing w:after="0" w:line="277" w:lineRule="auto"/>
        <w:rPr>
          <w:sz w:val="20"/>
          <w:szCs w:val="20"/>
          <w:color w:val="auto"/>
        </w:rPr>
      </w:pPr>
      <w:r>
        <w:rPr>
          <w:rFonts w:ascii="Times New Roman" w:cs="Times New Roman" w:eastAsia="Times New Roman" w:hAnsi="Times New Roman"/>
          <w:sz w:val="17"/>
          <w:szCs w:val="17"/>
          <w:color w:val="auto"/>
        </w:rPr>
        <w:t>The customer’s monthly payment obligation commences after completion of the turnkey project. Orion generally sells the receivable from the customer to an independent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1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total amount received from the sales of these receivables during the twelve months ended March 31, 2022, 2021, and 2020 was $2.8 million, $5.1 million, and $4.4 million, respectively. Orion’s losses on these sales aggregated to $13 thousand, $0.1 million, and $0.1 million for the twelve months ended March 31, 2022, 2021, and 2020, respectively, and are included in Interest expense in the Consolidated Statements of Operations.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19"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performance obligations related to lighting fixtures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6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Revenue earned but not billed represents revenue that has been recognized in advance of billing the customer, which is a common practice in Orion contracts for turnkey installations and repairs / replacement services. Once Orion has an unconditional right to consideration under these contracts, Orion typically bills the customer accordingly and reclassifies the amount to Accounts receivable, net. Revenue earned but not billed as of March 31, 2022 and March 31, 2021 includes $0.5 million and $0.6 million, respectively, which was not derived from contracts with customers and therefore not classified as a contract asset as defined by the new standards.</w:t>
      </w:r>
    </w:p>
    <w:p>
      <w:pPr>
        <w:spacing w:after="0" w:line="18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Deferred revenue, current as of March 31, 2022, includes no contract liabilities which represent consideration received from customers prior to the point that Orion has fulfilled the promises included in a performance obligation and recorded revenue.</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Deferred revenue, long-term consists of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the new standards.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ind w:left="500"/>
        <w:spacing w:after="0"/>
        <w:rPr>
          <w:sz w:val="20"/>
          <w:szCs w:val="20"/>
          <w:color w:val="auto"/>
        </w:rPr>
      </w:pPr>
      <w:r>
        <w:rPr>
          <w:rFonts w:ascii="Times New Roman" w:cs="Times New Roman" w:eastAsia="Times New Roman" w:hAnsi="Times New Roman"/>
          <w:sz w:val="18"/>
          <w:szCs w:val="18"/>
          <w:color w:val="auto"/>
        </w:rPr>
        <w:t>The following chart shows the balance of Orion’s receivables arising from contracts with customers, contract assets and contract liabilities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March 31, 2021 (dollars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2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11,899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13,572</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1,966</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2,367</w:t>
            </w: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ACCOUNTS RECEIVABLE</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6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11,907</w:t>
            </w: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13,583</w:t>
            </w:r>
          </w:p>
        </w:tc>
      </w:tr>
      <w:tr>
        <w:trPr>
          <w:trHeight w:val="230"/>
        </w:trPr>
        <w:tc>
          <w:tcPr>
            <w:tcW w:w="5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11,899</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13,572</w:t>
            </w:r>
          </w:p>
        </w:tc>
      </w:tr>
      <w:tr>
        <w:trPr>
          <w:trHeight w:val="20"/>
        </w:trPr>
        <w:tc>
          <w:tcPr>
            <w:tcW w:w="50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Orion reduces the carrying value of its inventories for differences between the cost and estimated net realizable value, taking into consideration usage in the preceding 9 to 12 months, expected demand, and other information indicating obsolescence. Orion records, as a charge to cost of product revenue, the amount required to reduce the carrying value of inventory to net realizable value. As of March 31, 2022 and 2021, Orion's inventory balances were as follows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Obsolescence</w:t>
            </w:r>
          </w:p>
        </w:tc>
        <w:tc>
          <w:tcPr>
            <w:tcW w:w="320" w:type="dxa"/>
            <w:vAlign w:val="bottom"/>
          </w:tcPr>
          <w:p>
            <w:pPr>
              <w:spacing w:after="0"/>
              <w:rPr>
                <w:sz w:val="12"/>
                <w:szCs w:val="12"/>
                <w:color w:val="auto"/>
              </w:rPr>
            </w:pPr>
          </w:p>
        </w:tc>
        <w:tc>
          <w:tcPr>
            <w:tcW w:w="112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3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March 31, 2022</w:t>
            </w:r>
          </w:p>
        </w:tc>
        <w:tc>
          <w:tcPr>
            <w:tcW w:w="20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10,781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9,641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Work in process</w:t>
            </w:r>
          </w:p>
        </w:tc>
        <w:tc>
          <w:tcPr>
            <w:tcW w:w="2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Finished goods</w:t>
            </w:r>
          </w:p>
        </w:tc>
        <w:tc>
          <w:tcPr>
            <w:tcW w:w="20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9,593</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8,929</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21,903</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19,832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March 31, 2021</w:t>
            </w:r>
          </w:p>
        </w:tc>
        <w:tc>
          <w:tcPr>
            <w:tcW w:w="2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8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12,410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11,443</w:t>
            </w: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Work in process</w:t>
            </w: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Finished goods</w:t>
            </w:r>
          </w:p>
        </w:tc>
        <w:tc>
          <w:tcPr>
            <w:tcW w:w="20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8,295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7,709</w:t>
            </w:r>
          </w:p>
        </w:tc>
        <w:tc>
          <w:tcPr>
            <w:tcW w:w="0" w:type="dxa"/>
            <w:vAlign w:val="bottom"/>
          </w:tcPr>
          <w:p>
            <w:pPr>
              <w:spacing w:after="0"/>
              <w:rPr>
                <w:sz w:val="1"/>
                <w:szCs w:val="1"/>
                <w:color w:val="auto"/>
              </w:rPr>
            </w:pPr>
          </w:p>
        </w:tc>
      </w:tr>
      <w:tr>
        <w:trPr>
          <w:trHeight w:val="223"/>
        </w:trPr>
        <w:tc>
          <w:tcPr>
            <w:tcW w:w="4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Pr>
          <w:p>
            <w:pPr>
              <w:spacing w:after="0"/>
              <w:rPr>
                <w:sz w:val="19"/>
                <w:szCs w:val="19"/>
                <w:color w:val="auto"/>
              </w:rPr>
            </w:pPr>
          </w:p>
        </w:tc>
        <w:tc>
          <w:tcPr>
            <w:tcW w:w="8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21,463</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19,554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Costs associated with the procurement and warehousing of inventories, such as inbound freight charges and purchasing and receiving costs, are also included in cost of product revenue.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NOTE 7 — PREPAID EXPENSES AND OTHER CURRENT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and March 31, 2021, prepaid expenses and other current assets include the following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tax credit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1,587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1,082</w:t>
            </w:r>
          </w:p>
        </w:tc>
      </w:tr>
      <w:tr>
        <w:trPr>
          <w:trHeight w:val="223"/>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2,631</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1,082</w:t>
            </w: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2021, Orion recorded a $1.6 million current asset for the anticipated employee retention payroll tax credit (“payroll tax credit”), as expanded and extended by the American Rescue Plan Act of 2021. The credit was recorded as an offset to payroll expense, in accordance with IAS 20, in the following income statement categories: $0.7 million in cost of product revenue, $0.1 million in cost of service revenue, $0.3 million in general and administrative, $0.4 million in sales and marketing, and $0.1 million in research and development expenses. The timing of the refundable portion of the payroll tax credit is subject to Internal Revenue Service processing times.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5"/>
                <w:szCs w:val="15"/>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9,491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9,477</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7,650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7,372</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4,997</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12,451</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r>
      <w:tr>
        <w:trPr>
          <w:trHeight w:val="223"/>
        </w:trPr>
        <w:tc>
          <w:tcPr>
            <w:tcW w:w="7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34,990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35,205</w:t>
            </w: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(23,836)</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11,466</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11,369</w:t>
            </w: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Depreciation is recognized over the estimated useful lives of the respective assets, using the straight-line method. Orion recorded depreciation expense of $1.3 million, $1.2 million and $1.2 million for the years ended March 31, 2022, 2021 and 2020,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Depreciable lives by asset category are as follows:</w:t>
            </w:r>
          </w:p>
        </w:tc>
        <w:tc>
          <w:tcPr>
            <w:tcW w:w="6060" w:type="dxa"/>
            <w:vAlign w:val="bottom"/>
          </w:tcPr>
          <w:p>
            <w:pPr>
              <w:spacing w:after="0"/>
              <w:rPr>
                <w:sz w:val="20"/>
                <w:szCs w:val="20"/>
                <w:color w:val="auto"/>
              </w:rPr>
            </w:pPr>
          </w:p>
        </w:tc>
      </w:tr>
      <w:tr>
        <w:trPr>
          <w:trHeight w:val="243"/>
        </w:trPr>
        <w:tc>
          <w:tcPr>
            <w:tcW w:w="5180" w:type="dxa"/>
            <w:vAlign w:val="bottom"/>
          </w:tcPr>
          <w:p>
            <w:pPr>
              <w:spacing w:after="0"/>
              <w:rPr>
                <w:sz w:val="21"/>
                <w:szCs w:val="21"/>
                <w:color w:val="auto"/>
              </w:rPr>
            </w:pPr>
          </w:p>
        </w:tc>
        <w:tc>
          <w:tcPr>
            <w:tcW w:w="6060" w:type="dxa"/>
            <w:vAlign w:val="bottom"/>
          </w:tcPr>
          <w:p>
            <w:pPr>
              <w:spacing w:after="0"/>
              <w:rPr>
                <w:sz w:val="21"/>
                <w:szCs w:val="2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6060" w:type="dxa"/>
            <w:vAlign w:val="bottom"/>
            <w:shd w:val="clear" w:color="auto" w:fill="CFF0FC"/>
          </w:tcPr>
          <w:p>
            <w:pPr>
              <w:ind w:left="2720"/>
              <w:spacing w:after="0"/>
              <w:rPr>
                <w:sz w:val="20"/>
                <w:szCs w:val="20"/>
                <w:color w:val="auto"/>
              </w:rPr>
            </w:pPr>
            <w:r>
              <w:rPr>
                <w:rFonts w:ascii="Times New Roman" w:cs="Times New Roman" w:eastAsia="Times New Roman" w:hAnsi="Times New Roman"/>
                <w:sz w:val="18"/>
                <w:szCs w:val="18"/>
                <w:color w:val="auto"/>
              </w:rPr>
              <w:t>10-15 years</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6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10-39 years</w:t>
            </w: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6060" w:type="dxa"/>
            <w:vAlign w:val="bottom"/>
            <w:shd w:val="clear" w:color="auto" w:fill="CFF0FC"/>
          </w:tcPr>
          <w:p>
            <w:pPr>
              <w:ind w:left="2720"/>
              <w:spacing w:after="0"/>
              <w:rPr>
                <w:sz w:val="20"/>
                <w:szCs w:val="20"/>
                <w:color w:val="auto"/>
              </w:rPr>
            </w:pPr>
            <w:r>
              <w:rPr>
                <w:rFonts w:ascii="Times New Roman" w:cs="Times New Roman" w:eastAsia="Times New Roman" w:hAnsi="Times New Roman"/>
                <w:sz w:val="18"/>
                <w:szCs w:val="18"/>
                <w:color w:val="auto"/>
              </w:rPr>
              <w:t>2-10 years</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Shorter of asset life or life of lease</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leased to customers under Power Purchase Agreements</w:t>
            </w:r>
          </w:p>
        </w:tc>
        <w:tc>
          <w:tcPr>
            <w:tcW w:w="6060" w:type="dxa"/>
            <w:vAlign w:val="bottom"/>
            <w:shd w:val="clear" w:color="auto" w:fill="CFF0FC"/>
          </w:tcPr>
          <w:p>
            <w:pPr>
              <w:ind w:left="2720"/>
              <w:spacing w:after="0"/>
              <w:rPr>
                <w:sz w:val="20"/>
                <w:szCs w:val="20"/>
                <w:color w:val="auto"/>
              </w:rPr>
            </w:pPr>
            <w:r>
              <w:rPr>
                <w:rFonts w:ascii="Times New Roman" w:cs="Times New Roman" w:eastAsia="Times New Roman" w:hAnsi="Times New Roman"/>
                <w:sz w:val="18"/>
                <w:szCs w:val="18"/>
                <w:color w:val="auto"/>
              </w:rPr>
              <w:t>20 years</w:t>
            </w: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6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3-10 years</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w:t>
            </w:r>
          </w:p>
        </w:tc>
        <w:tc>
          <w:tcPr>
            <w:tcW w:w="6060" w:type="dxa"/>
            <w:vAlign w:val="bottom"/>
            <w:shd w:val="clear" w:color="auto" w:fill="CFF0FC"/>
          </w:tcPr>
          <w:p>
            <w:pPr>
              <w:ind w:left="2720"/>
              <w:spacing w:after="0"/>
              <w:rPr>
                <w:sz w:val="20"/>
                <w:szCs w:val="20"/>
                <w:color w:val="auto"/>
              </w:rPr>
            </w:pPr>
            <w:r>
              <w:rPr>
                <w:rFonts w:ascii="Times New Roman" w:cs="Times New Roman" w:eastAsia="Times New Roman" w:hAnsi="Times New Roman"/>
                <w:sz w:val="18"/>
                <w:szCs w:val="18"/>
                <w:color w:val="auto"/>
              </w:rPr>
              <w:t>5-7 years</w:t>
            </w:r>
          </w:p>
        </w:tc>
      </w:tr>
      <w:tr>
        <w:trPr>
          <w:trHeight w:val="432"/>
        </w:trPr>
        <w:tc>
          <w:tcPr>
            <w:tcW w:w="5180" w:type="dxa"/>
            <w:vAlign w:val="bottom"/>
          </w:tcPr>
          <w:p>
            <w:pPr>
              <w:spacing w:after="0"/>
              <w:rPr>
                <w:sz w:val="24"/>
                <w:szCs w:val="24"/>
                <w:color w:val="auto"/>
              </w:rPr>
            </w:pPr>
          </w:p>
        </w:tc>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r>
      <w:tr>
        <w:trPr>
          <w:trHeight w:val="115"/>
        </w:trPr>
        <w:tc>
          <w:tcPr>
            <w:tcW w:w="5180" w:type="dxa"/>
            <w:vAlign w:val="bottom"/>
            <w:tcBorders>
              <w:bottom w:val="single" w:sz="8" w:color="9A9A9A"/>
            </w:tcBorders>
          </w:tcPr>
          <w:p>
            <w:pPr>
              <w:spacing w:after="0"/>
              <w:rPr>
                <w:sz w:val="10"/>
                <w:szCs w:val="10"/>
                <w:color w:val="auto"/>
              </w:rPr>
            </w:pPr>
          </w:p>
        </w:tc>
        <w:tc>
          <w:tcPr>
            <w:tcW w:w="6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ind w:left="500"/>
        <w:spacing w:after="0"/>
        <w:rPr>
          <w:sz w:val="20"/>
          <w:szCs w:val="20"/>
          <w:color w:val="auto"/>
        </w:rPr>
      </w:pPr>
      <w:r>
        <w:rPr>
          <w:rFonts w:ascii="Times New Roman" w:cs="Times New Roman" w:eastAsia="Times New Roman" w:hAnsi="Times New Roman"/>
          <w:sz w:val="18"/>
          <w:szCs w:val="18"/>
          <w:color w:val="auto"/>
        </w:rPr>
        <w:t>No interest was capitalized for construction in progress during fiscal 2022 or fiscal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75"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From time to time, Orion leases assets from third parties. Orion also leases certain assets to third parties. Effective April 1, 2019, leases are accounted for, and reported upon, following the requirements of ASC 842, Leases.</w:t>
      </w:r>
    </w:p>
    <w:p>
      <w:pPr>
        <w:spacing w:after="0" w:line="10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judgement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judgement are the lease term when the agreement includes renewal or termination options and the interest rate used when initially determining the ROU asset and lease liability.</w:t>
      </w:r>
    </w:p>
    <w:p>
      <w:pPr>
        <w:spacing w:after="0" w:line="133"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line of credit,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38" w:lineRule="exact"/>
        <w:rPr>
          <w:sz w:val="20"/>
          <w:szCs w:val="20"/>
          <w:color w:val="auto"/>
        </w:rPr>
      </w:pPr>
    </w:p>
    <w:p>
      <w:pPr>
        <w:jc w:val="both"/>
        <w:ind w:right="20" w:firstLine="464"/>
        <w:spacing w:after="0" w:line="282" w:lineRule="auto"/>
        <w:rPr>
          <w:sz w:val="20"/>
          <w:szCs w:val="20"/>
          <w:color w:val="auto"/>
        </w:rPr>
      </w:pPr>
      <w:r>
        <w:rPr>
          <w:rFonts w:ascii="Times New Roman" w:cs="Times New Roman" w:eastAsia="Times New Roman" w:hAnsi="Times New Roman"/>
          <w:sz w:val="18"/>
          <w:szCs w:val="18"/>
          <w:color w:val="auto"/>
        </w:rPr>
        <w:t>Orion recognizes lease expense for leases with an initial term of 12 months or less, referred to as short term leases, on a straight-line basis over the lease term.</w:t>
      </w:r>
    </w:p>
    <w:p>
      <w:pPr>
        <w:spacing w:after="0" w:line="108"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8"/>
          <w:szCs w:val="18"/>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The total transaction price in these contracts is allocated between the lease and non-lease components in the same manner as the total transaction price of other turnkey projects containing lighting fixtures and installation services.</w:t>
      </w:r>
    </w:p>
    <w:p>
      <w:pPr>
        <w:spacing w:after="0" w:line="133"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Orion leases portions of its corporate headquarters to third parties; all such agreements have been, and continue to be, classified as operating leases under the applicable authoritative accounting guidance. The assets being leased continue to be included in Property and equipment, net. Lease payments earned are recorded as a reduction in administrative expenses.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from Other Parties</w:t>
      </w:r>
    </w:p>
    <w:p>
      <w:pPr>
        <w:spacing w:after="0" w:line="175"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On January 31, 2020, Orion entered into the current lease for its approximately 266,000 square foot primary manufacturing and distribution facility in Manitowoc, WI. The lease has a 10-year term, with the option to terminate after six years. Orion is responsible for the costs of insurance and utilities for the facility. These costs are considered variable lease costs. The agreement is classified as an operating lease.</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prior lease agreement for this facility provided the lessor the right to terminate the lease agreement at any time with 12 months’ notice to Orion.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agreement was previously classified as a short-term lease.</w:t>
      </w:r>
    </w:p>
    <w:p>
      <w:pPr>
        <w:spacing w:after="0" w:line="153"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In February 2014, Orion entered into a multi-year lease agreement for use of approximately 10,500 square feet of office space in a multi-use office building in Jacksonville, Florida. The lease has since been extended, most recently during the first quarter of fiscal 2021, and presently terminates on June 30, 2023. The agreement is classified as an operating lease.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ind w:left="480"/>
        <w:spacing w:after="0"/>
        <w:rPr>
          <w:sz w:val="20"/>
          <w:szCs w:val="20"/>
          <w:color w:val="auto"/>
        </w:rPr>
      </w:pPr>
      <w:r>
        <w:rPr>
          <w:rFonts w:ascii="Times New Roman" w:cs="Times New Roman" w:eastAsia="Times New Roman" w:hAnsi="Times New Roman"/>
          <w:sz w:val="18"/>
          <w:szCs w:val="18"/>
          <w:color w:val="auto"/>
        </w:rPr>
        <w:t>We also lease approximately 9,180 square feet of office space in Pewaukee, Wisconsin. The lease presently terminates in December, 2026.</w:t>
      </w:r>
    </w:p>
    <w:p>
      <w:pPr>
        <w:spacing w:after="0" w:line="171" w:lineRule="exact"/>
        <w:rPr>
          <w:sz w:val="20"/>
          <w:szCs w:val="20"/>
          <w:color w:val="auto"/>
        </w:rPr>
      </w:pPr>
    </w:p>
    <w:p>
      <w:pPr>
        <w:jc w:val="both"/>
        <w:ind w:firstLine="464"/>
        <w:spacing w:after="0" w:line="282" w:lineRule="auto"/>
        <w:rPr>
          <w:sz w:val="20"/>
          <w:szCs w:val="20"/>
          <w:color w:val="auto"/>
        </w:rPr>
      </w:pPr>
      <w:r>
        <w:rPr>
          <w:rFonts w:ascii="Times New Roman" w:cs="Times New Roman" w:eastAsia="Times New Roman" w:hAnsi="Times New Roman"/>
          <w:sz w:val="18"/>
          <w:szCs w:val="18"/>
          <w:color w:val="auto"/>
        </w:rPr>
        <w:t>Orion has leased other assets from third parties, principally office and production equipment. The terms of our other leases vary from contract to contract and expire at various dates in the next five years.</w:t>
      </w:r>
    </w:p>
    <w:p>
      <w:pPr>
        <w:spacing w:after="0" w:line="108" w:lineRule="exact"/>
        <w:rPr>
          <w:sz w:val="20"/>
          <w:szCs w:val="20"/>
          <w:color w:val="auto"/>
        </w:rPr>
      </w:pPr>
    </w:p>
    <w:p>
      <w:pPr>
        <w:jc w:val="both"/>
        <w:ind w:right="20" w:firstLine="464"/>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for Orion’s lease obligations as of March 31, 2022 is 5.3%. The weighted average remaining lease term as of March 31, 2022 is 3.8 years.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Orion’s assets leased from third parties follows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2,440</w:t>
            </w:r>
          </w:p>
        </w:tc>
        <w:tc>
          <w:tcPr>
            <w:tcW w:w="200" w:type="dxa"/>
            <w:vAlign w:val="bottom"/>
          </w:tcPr>
          <w:p>
            <w:pPr>
              <w:spacing w:after="0"/>
              <w:rPr>
                <w:sz w:val="19"/>
                <w:szCs w:val="19"/>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2,585</w:t>
            </w: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2,271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2,642</w:t>
            </w:r>
          </w:p>
        </w:tc>
      </w:tr>
      <w:tr>
        <w:trPr>
          <w:trHeight w:val="223"/>
        </w:trPr>
        <w:tc>
          <w:tcPr>
            <w:tcW w:w="3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3,039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3,289</w:t>
            </w:r>
          </w:p>
        </w:tc>
      </w:tr>
      <w:tr>
        <w:trPr>
          <w:trHeight w:val="20"/>
        </w:trPr>
        <w:tc>
          <w:tcPr>
            <w:tcW w:w="3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Orion had operating lease costs of $1.1 million for the year ended March 31, 2022. This includes short-term leases and variable lease costs, which are immaterial.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estimated maturity of lease liabilities for each of the next five years is shown below (dollars in thousands):</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8"/>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00" w:type="dxa"/>
            <w:vAlign w:val="bottom"/>
          </w:tcPr>
          <w:p>
            <w:pPr>
              <w:spacing w:after="0"/>
              <w:rPr>
                <w:sz w:val="20"/>
                <w:szCs w:val="20"/>
                <w:color w:val="auto"/>
              </w:rPr>
            </w:pPr>
          </w:p>
        </w:tc>
      </w:tr>
      <w:tr>
        <w:trPr>
          <w:trHeight w:val="229"/>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939</w:t>
            </w:r>
          </w:p>
        </w:tc>
      </w:tr>
      <w:tr>
        <w:trPr>
          <w:trHeight w:val="229"/>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838</w:t>
            </w:r>
          </w:p>
        </w:tc>
      </w:tr>
      <w:tr>
        <w:trPr>
          <w:trHeight w:val="230"/>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828</w:t>
            </w:r>
          </w:p>
        </w:tc>
      </w:tr>
      <w:tr>
        <w:trPr>
          <w:trHeight w:val="229"/>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9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3,398</w:t>
            </w:r>
          </w:p>
        </w:tc>
      </w:tr>
      <w:tr>
        <w:trPr>
          <w:trHeight w:val="223"/>
        </w:trPr>
        <w:tc>
          <w:tcPr>
            <w:tcW w:w="9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3,039</w:t>
            </w: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Orion Leases to Other Parties</w:t>
      </w:r>
    </w:p>
    <w:p>
      <w:pPr>
        <w:spacing w:after="0" w:line="175"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29"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122"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8"/>
          <w:szCs w:val="18"/>
          <w:color w:val="auto"/>
        </w:rPr>
        <w:t>Revenues, and production and acquisition costs, associated with sales-type leases are included in Product revenue and Costs of product revenues in the Consolidated Statement of Operations. These amounts are recorded for each fixture separately based on the customer’s monthly acknowledgment that specified fixtures have been installed and are operating as specified. The execution of the acknowledgement is considered the commencement date as defined in ASC 842.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8" w:name="page69"/>
    <w:bookmarkEnd w:id="68"/>
    <w:p>
      <w:pPr>
        <w:ind w:firstLine="468"/>
        <w:spacing w:after="0" w:line="282" w:lineRule="auto"/>
        <w:rPr>
          <w:sz w:val="20"/>
          <w:szCs w:val="20"/>
          <w:color w:val="auto"/>
        </w:rPr>
      </w:pPr>
      <w:r>
        <w:rPr>
          <w:rFonts w:ascii="Times New Roman" w:cs="Times New Roman" w:eastAsia="Times New Roman" w:hAnsi="Times New Roman"/>
          <w:sz w:val="18"/>
          <w:szCs w:val="18"/>
          <w:color w:val="auto"/>
        </w:rPr>
        <w:t>The following chart shows the amount of revenue and cost of sales arising from sales-type leases during the year ended March 31, 2022, 2021 and 2020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 2020</w:t>
            </w:r>
          </w:p>
        </w:tc>
      </w:tr>
      <w:tr>
        <w:trPr>
          <w:trHeight w:val="25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302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1,169</w:t>
            </w:r>
          </w:p>
        </w:tc>
        <w:tc>
          <w:tcPr>
            <w:tcW w:w="162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2,758</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1,362</w:t>
            </w:r>
          </w:p>
        </w:tc>
      </w:tr>
      <w:tr>
        <w:trPr>
          <w:trHeight w:val="25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02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620" w:type="dxa"/>
            <w:vAlign w:val="bottom"/>
          </w:tcPr>
          <w:p>
            <w:pPr>
              <w:spacing w:after="0"/>
              <w:rPr>
                <w:sz w:val="22"/>
                <w:szCs w:val="22"/>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2,512</w:t>
            </w:r>
          </w:p>
        </w:tc>
        <w:tc>
          <w:tcPr>
            <w:tcW w:w="420" w:type="dxa"/>
            <w:vAlign w:val="bottom"/>
          </w:tcPr>
          <w:p>
            <w:pPr>
              <w:spacing w:after="0"/>
              <w:rPr>
                <w:sz w:val="22"/>
                <w:szCs w:val="22"/>
                <w:color w:val="auto"/>
              </w:rPr>
            </w:pPr>
          </w:p>
        </w:tc>
        <w:tc>
          <w:tcPr>
            <w:tcW w:w="1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1,208</w:t>
            </w:r>
          </w:p>
        </w:tc>
      </w:tr>
    </w:tbl>
    <w:p>
      <w:pPr>
        <w:spacing w:after="0" w:line="198"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The Consolidated Balance Sheet as of March 31, 2022 does not include a net investment in sales-type leases as all amounts due from the customer associated with lighting fixtures that were acknowledged to be installed and working correctly prior to period end were transferred to the financing institution prior to the respective balance sheet dates.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Agreements where Orion is the Lessor</w:t>
      </w:r>
    </w:p>
    <w:p>
      <w:pPr>
        <w:spacing w:after="0" w:line="175"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years ended March 31, 2022, 2021 and 2020. Orion accounts for these transactions as operating leases.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OTHER INTANGIBLE ASSETS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Orion recorded goodwill of $0.4 million and intangibles of $0.7 million related to its purchase of Stay-Lite Lighting during fiscal 2022. The goodwill is assigned to the Orion Services Group reporting unit. See Note 20 – Acquisition for further discussion of the Stay-Lite Lighting acquisition.</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costs of specifically identifiable intangible assets that do not have an indefinite life are amortized over their estimated useful lives. Goodwill and intangible assets with indefinite lives are not amortized.</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Amortizable intangible assets are amortized over their estimated economic useful life to reflect the pattern of economic benefits consumed based upon the following lives and methods: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w:t>
            </w:r>
          </w:p>
        </w:tc>
        <w:tc>
          <w:tcPr>
            <w:tcW w:w="23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10-17 years</w:t>
            </w:r>
          </w:p>
        </w:tc>
        <w:tc>
          <w:tcPr>
            <w:tcW w:w="6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Straight-line</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7-13 years</w:t>
            </w:r>
          </w:p>
        </w:tc>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Straight-line</w:t>
            </w:r>
          </w:p>
        </w:tc>
      </w:tr>
      <w:tr>
        <w:trPr>
          <w:trHeight w:val="211"/>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3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5-8 years</w:t>
            </w:r>
          </w:p>
        </w:tc>
        <w:tc>
          <w:tcPr>
            <w:tcW w:w="6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34"/>
        </w:trPr>
        <w:tc>
          <w:tcPr>
            <w:tcW w:w="2620" w:type="dxa"/>
            <w:vAlign w:val="bottom"/>
            <w:shd w:val="clear" w:color="auto" w:fill="CFF0FC"/>
          </w:tcPr>
          <w:p>
            <w:pPr>
              <w:spacing w:after="0"/>
              <w:rPr>
                <w:sz w:val="20"/>
                <w:szCs w:val="20"/>
                <w:color w:val="auto"/>
              </w:rPr>
            </w:pPr>
          </w:p>
        </w:tc>
        <w:tc>
          <w:tcPr>
            <w:tcW w:w="2300" w:type="dxa"/>
            <w:vAlign w:val="bottom"/>
            <w:shd w:val="clear" w:color="auto" w:fill="CFF0FC"/>
          </w:tcPr>
          <w:p>
            <w:pPr>
              <w:spacing w:after="0"/>
              <w:rPr>
                <w:sz w:val="20"/>
                <w:szCs w:val="20"/>
                <w:color w:val="auto"/>
              </w:rPr>
            </w:pPr>
          </w:p>
        </w:tc>
        <w:tc>
          <w:tcPr>
            <w:tcW w:w="6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consumed</w:t>
            </w:r>
          </w:p>
        </w:tc>
      </w:tr>
      <w:tr>
        <w:trPr>
          <w:trHeight w:val="21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3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 years</w:t>
            </w:r>
          </w:p>
        </w:tc>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Accelerated based upon the pattern of economic benefits</w:t>
            </w:r>
          </w:p>
        </w:tc>
      </w:tr>
      <w:tr>
        <w:trPr>
          <w:trHeight w:val="234"/>
        </w:trPr>
        <w:tc>
          <w:tcPr>
            <w:tcW w:w="26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consumed</w:t>
            </w:r>
          </w:p>
        </w:tc>
      </w:tr>
      <w:tr>
        <w:trPr>
          <w:trHeight w:val="23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23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5-10 years</w:t>
            </w:r>
          </w:p>
        </w:tc>
        <w:tc>
          <w:tcPr>
            <w:tcW w:w="6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Straight-line</w:t>
            </w:r>
          </w:p>
        </w:tc>
      </w:tr>
    </w:tbl>
    <w:p>
      <w:pPr>
        <w:spacing w:after="0" w:line="22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Goodwill and 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80"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Indefinite lived intangible assets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9" w:name="page70"/>
    <w:bookmarkEnd w:id="69"/>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performed a qualitative assessment in conjunction with its annual impairment test of its indefinite lived intangible assets as of January 1, 2022. This qualitative assessment considered Orion’s operating results for the first nine months of fiscal 2022 in comparison to prior years as well as its anticipated fourth quarter results and fiscal 2023 plan. As a result of the conditions that existed as of the assessment date, an asset impairment was not deemed to be more likely than not and a quantitative analysis was not required.</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and changes in, the carrying amount of other intangible assets were as follows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20" w:type="dxa"/>
            <w:vAlign w:val="bottom"/>
          </w:tcPr>
          <w:p>
            <w:pPr>
              <w:spacing w:after="0"/>
              <w:rPr>
                <w:sz w:val="15"/>
                <w:szCs w:val="15"/>
                <w:color w:val="auto"/>
              </w:rPr>
            </w:pPr>
          </w:p>
        </w:tc>
        <w:tc>
          <w:tcPr>
            <w:tcW w:w="8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2,652</w:t>
            </w:r>
          </w:p>
        </w:tc>
        <w:tc>
          <w:tcPr>
            <w:tcW w:w="3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2,796</w:t>
            </w:r>
          </w:p>
        </w:tc>
        <w:tc>
          <w:tcPr>
            <w:tcW w:w="3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7,906</w:t>
            </w:r>
          </w:p>
        </w:tc>
        <w:tc>
          <w:tcPr>
            <w:tcW w:w="120" w:type="dxa"/>
            <w:vAlign w:val="bottom"/>
          </w:tcPr>
          <w:p>
            <w:pPr>
              <w:spacing w:after="0"/>
              <w:rPr>
                <w:sz w:val="19"/>
                <w:szCs w:val="19"/>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0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7,354</w:t>
            </w:r>
          </w:p>
        </w:tc>
        <w:tc>
          <w:tcPr>
            <w:tcW w:w="120" w:type="dxa"/>
            <w:vAlign w:val="bottom"/>
          </w:tcPr>
          <w:p>
            <w:pPr>
              <w:spacing w:after="0"/>
              <w:rPr>
                <w:sz w:val="19"/>
                <w:szCs w:val="19"/>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1,011</w:t>
            </w:r>
          </w:p>
        </w:tc>
        <w:tc>
          <w:tcPr>
            <w:tcW w:w="3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3"/>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8,365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2022, the weighted average useful life of definite life intangible assets was 8.0 years. The estimated amortization expense for each of the next five years is shown below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Amortization expense is set forth in the following table (dollars in thousands):</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3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included in cost of sales: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5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gridSpan w:val="3"/>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Statements of Operations. In fiscal years 2022, 2021, and 2020, write-offs were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NOTE 11 — ACCRUED EXPENSES AND OTHER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and March 31, 2021, Accrued expenses and other included the following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5"/>
                <w:szCs w:val="15"/>
                <w:color w:val="auto"/>
              </w:rPr>
            </w:pP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30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1,730</w:t>
            </w: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5,010</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2,851</w:t>
            </w: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Credits due to customers</w:t>
            </w: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2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Sales tax</w:t>
            </w:r>
          </w:p>
        </w:tc>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1,318</w:t>
            </w: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returns reserve</w:t>
            </w:r>
          </w:p>
        </w:tc>
        <w:tc>
          <w:tcPr>
            <w:tcW w:w="2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4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8,427</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13,226</w:t>
            </w:r>
          </w:p>
        </w:tc>
      </w:tr>
      <w:tr>
        <w:trPr>
          <w:trHeight w:val="20"/>
        </w:trPr>
        <w:tc>
          <w:tcPr>
            <w:tcW w:w="48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generally offers a limited warranty of one to 10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2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1,069</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2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claims (net of vendor reimbursements)</w:t>
            </w:r>
          </w:p>
        </w:tc>
        <w:tc>
          <w:tcPr>
            <w:tcW w:w="21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100" w:type="dxa"/>
            <w:vAlign w:val="bottom"/>
          </w:tcPr>
          <w:p>
            <w:pPr>
              <w:spacing w:after="0"/>
              <w:rPr>
                <w:sz w:val="19"/>
                <w:szCs w:val="19"/>
                <w:color w:val="auto"/>
              </w:rPr>
            </w:pPr>
          </w:p>
        </w:tc>
        <w:tc>
          <w:tcPr>
            <w:tcW w:w="102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1,009</w:t>
            </w:r>
          </w:p>
        </w:tc>
      </w:tr>
      <w:tr>
        <w:trPr>
          <w:trHeight w:val="20"/>
        </w:trPr>
        <w:tc>
          <w:tcPr>
            <w:tcW w:w="5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INCOME (LOSS) PER COMMON SHARE</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Diluted net income (loss) per common share reflects the dilution that would occur if stock options were exercised and restricted shares vested. In the computation of diluted net income (loss) per common share, Orion uses the treasury stock method for outstanding options and restricted shares. Net income (loss) per common share is calculated based upon the following shares: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5"/>
        </w:trPr>
        <w:tc>
          <w:tcPr>
            <w:tcW w:w="63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(dollars in thousands)</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26,134</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12,462</w:t>
            </w:r>
          </w:p>
        </w:tc>
      </w:tr>
      <w:tr>
        <w:trPr>
          <w:trHeight w:val="23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31,018,356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30,634,553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30,104,552</w:t>
            </w:r>
          </w:p>
        </w:tc>
      </w:tr>
      <w:tr>
        <w:trPr>
          <w:trHeight w:val="23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effect of assumed conversion of stock options and restricted stock</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276,217</w:t>
            </w: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669,174</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860,225</w:t>
            </w:r>
          </w:p>
        </w:tc>
      </w:tr>
      <w:tr>
        <w:trPr>
          <w:trHeight w:val="263"/>
        </w:trPr>
        <w:tc>
          <w:tcPr>
            <w:tcW w:w="6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and share equivalents outstanding</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31,294,573</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31,303,727</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30,964,777</w:t>
            </w: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0.41</w:t>
            </w:r>
          </w:p>
        </w:tc>
      </w:tr>
      <w:tr>
        <w:trPr>
          <w:trHeight w:val="230"/>
        </w:trPr>
        <w:tc>
          <w:tcPr>
            <w:tcW w:w="6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0.83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0.40</w:t>
            </w:r>
          </w:p>
        </w:tc>
      </w:tr>
      <w:tr>
        <w:trPr>
          <w:trHeight w:val="675"/>
        </w:trPr>
        <w:tc>
          <w:tcPr>
            <w:tcW w:w="63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6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income (loss) per common share because their inclusion would have been anti-dilutive. The number of shares is as of the end of each period: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164,072</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4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17,803</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17,803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3"/>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164,072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2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Long-term debt as of March 31, 2022 and 2021 consisted of the following (dollars in thousands):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63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ind w:right="6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20" w:type="dxa"/>
            <w:vAlign w:val="bottom"/>
            <w:gridSpan w:val="2"/>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Equipment debt obligations</w:t>
            </w:r>
          </w:p>
        </w:tc>
        <w:tc>
          <w:tcPr>
            <w:tcW w:w="10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0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0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On December 29, 2020, Orion entered into a new Loan and Security Agreement with Bank of America, N.A., as lender (the “Credit Agreement”). The Credit Agreement replaced Orion’s prior $20.15 million secured revolving credit and security agreement dated as of October 26, 2018, as amended, by and among Orion and Western Alliance Bank, National Association, as lender (the “Prior Credit Agreement”). The replacement of the Prior Credit Agreement with the Credit Agreement provides Orion with increased financing capacity and liquidity to fund its operations and implement its strategic plans.</w:t>
      </w:r>
    </w:p>
    <w:p>
      <w:pPr>
        <w:spacing w:after="0" w:line="7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March 31, 2022, the borrowing base supports $21.5 million availability of the Credit Facility. As of March 31, 2022, no amounts were borrowed under the Credit Facility.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 is secured by a first lien security interest in substantially all of Orion’s assets.</w:t>
      </w:r>
    </w:p>
    <w:p>
      <w:pPr>
        <w:spacing w:after="0" w:line="117"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Borrowings under the Credit Agreement are permitted in the form of LIBOR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spacing w:after="0" w:line="68"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w:t>
      </w:r>
    </w:p>
    <w:p>
      <w:pPr>
        <w:spacing w:after="0" w:line="54"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2" w:name="page73"/>
    <w:bookmarkEnd w:id="72"/>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Orion did not incur any early termination fees in connection with the termination of the Prior Credit Agreement, but did recognize a loss on debt extinguishment of $0.1 million on the write-off of unamortized debt issue costs related to the Prior Credit Agreement. The Prior Credit Agreement was scheduled to mature on October 26, 2021.</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Orion is in compliance with all debt covenants.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Debt Obligation</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February 2019, Orion entered into additional debt agreements with a financing company in the principal amount of $44 thousand and $30 thousand fund certain equipment. The debts are secured by the related equipment. The debts bear interest at a rate of 6.43% and 8.77% respectively and both debts mature in January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Maturities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March 31, 2022, aggregate maturities of long-term debt were as follows (dollars in thousands):</w:t>
            </w: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9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8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2025</w:t>
            </w:r>
          </w:p>
        </w:tc>
        <w:tc>
          <w:tcPr>
            <w:tcW w:w="8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24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provision (benefit) for income taxes consists of the following for the fiscal years ended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5"/>
        </w:trPr>
        <w:tc>
          <w:tcPr>
            <w:tcW w:w="66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2"/>
        </w:trPr>
        <w:tc>
          <w:tcPr>
            <w:tcW w:w="6640" w:type="dxa"/>
            <w:vAlign w:val="bottom"/>
            <w:tcBorders>
              <w:bottom w:val="single" w:sz="8" w:color="CFF0FC"/>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Current</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Federal, Deferred</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Federal</w:t>
            </w: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State, Current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Deferred</w:t>
            </w: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State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and effective income tax rate is as follows:</w:t>
      </w:r>
    </w:p>
    <w:p>
      <w:pPr>
        <w:spacing w:after="0" w:line="3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8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8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tax contingency reserve</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cancellations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7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return to provision</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6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74</w:t>
            </w: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3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ind w:left="500"/>
        <w:spacing w:after="0"/>
        <w:rPr>
          <w:sz w:val="20"/>
          <w:szCs w:val="20"/>
          <w:color w:val="auto"/>
        </w:rPr>
      </w:pPr>
      <w:r>
        <w:rPr>
          <w:rFonts w:ascii="Times New Roman" w:cs="Times New Roman" w:eastAsia="Times New Roman" w:hAnsi="Times New Roman"/>
          <w:sz w:val="18"/>
          <w:szCs w:val="18"/>
          <w:color w:val="auto"/>
        </w:rPr>
        <w:t>The net deferred tax assets reported in the accompanying consolidated financial statements include the following components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5"/>
                <w:szCs w:val="15"/>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accruals and reserves</w:t>
            </w:r>
          </w:p>
        </w:tc>
        <w:tc>
          <w:tcPr>
            <w:tcW w:w="98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and state operating loss carry-forwards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16,485</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18,313</w:t>
            </w: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8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1,916</w:t>
            </w:r>
          </w:p>
        </w:tc>
      </w:tr>
      <w:tr>
        <w:trPr>
          <w:trHeight w:val="229"/>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9"/>
                <w:szCs w:val="19"/>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853</w:t>
            </w:r>
          </w:p>
        </w:tc>
      </w:tr>
      <w:tr>
        <w:trPr>
          <w:trHeight w:val="230"/>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20,318</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22,584</w:t>
            </w:r>
          </w:p>
        </w:tc>
      </w:tr>
      <w:tr>
        <w:trPr>
          <w:trHeight w:val="230"/>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19,069</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21,305</w:t>
            </w:r>
          </w:p>
        </w:tc>
      </w:tr>
      <w:tr>
        <w:trPr>
          <w:trHeight w:val="223"/>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ROU asset</w:t>
            </w: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29"/>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23"/>
        </w:trPr>
        <w:tc>
          <w:tcPr>
            <w:tcW w:w="7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17,805</w:t>
            </w:r>
          </w:p>
        </w:tc>
        <w:tc>
          <w:tcPr>
            <w:tcW w:w="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19,785</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For fiscal year ended March 31, 2022, Orion’s deferred tax assets were primarily the result of U.S. NOL and tax credit carryforwards. Orion recorded a valuation allowance of $1.2 million and $1.3 million against its net deferred tax asset balance as of March 31, 2022 and March 31, 2021, respectively, due to the uncertainty of its realization value in the future. For the year ended March 31, 2022, Orion recorded no material change in the valuation allowance on the basis of management’s continued reassessment of the amount of its deferred tax assets that are more likely than not to be realized. For the year ended March 31, 2021, Orion recorded a net valuation allowance release of $20.9 million on the basis of management’s reassessment of the amount of its deferred tax assets that are more likely than not to be realized.</w:t>
      </w:r>
    </w:p>
    <w:p>
      <w:pPr>
        <w:spacing w:after="0" w:line="18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As of March 31, 2021, in part because Orion achieved its second full year of pretax income and three years of cumulative pretax income in the U.S. federal tax jurisdiction, management determined there was sufficient positive evidence to conclude that it is more likely than not that deferred taxes assets of $20.9 are realizable. It therefore reduced the valuation allowance accordingly.</w:t>
      </w:r>
    </w:p>
    <w:p>
      <w:pPr>
        <w:spacing w:after="0" w:line="183"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As of March 31, 2022, Orion has federal NOL carryforwards of approximately $61.8 million, state NOL carryforwards of approximately $56.7 million, and foreign NOL carryforwards of approximately $0.8 million. Orion also had federal tax credit carryforwards of approximately $1.3 million and state tax credits of $0.7 million. All of Orion's tax credit carryforwards and $111.0 million of its NOL carryforwards will begin to expire in varying amounts between 2023 and 2033. The remaining $8.3 million of its federal and state NOL carryforwards are not subject to time restrictions but may only be used to offset 80% of adjusted taxable income. Orion believes it is more likely than not that the benefit from its state credit carryforwards, foreign NOL carryforwards, a portion of its federal credit carryforwards, and certain state loss carryforwards will not be realized. In recognition of this risk, Orion has provided a valuation allowance of $1.2 million on the deferred tax assets related to these carryforwards.</w:t>
      </w:r>
    </w:p>
    <w:p>
      <w:pPr>
        <w:spacing w:after="0" w:line="18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NOL carryforwards that occurred for fiscal 2022, fiscal 2021, or fiscal 2020.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8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files income tax returns in the United States federal jurisdiction and in several state jurisdictions. The Company's federal tax returns for tax years beginning April 1, 2018 or later are open. For states in which Orion files state income tax returns, the statute of limitations is generally open for tax years beginning April 1, 2018 or later.</w:t>
      </w:r>
    </w:p>
    <w:p>
      <w:pPr>
        <w:spacing w:after="0" w:line="176"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As of March 31, 2022, the balance of gross unrecognized tax benefits was approximately $0.2 million, all of which would affect Orion’s effective tax rate if recognized.</w:t>
      </w:r>
    </w:p>
    <w:p>
      <w:pPr>
        <w:spacing w:after="0" w:line="16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Accrued interest and penalties for such unrecognized tax benefits as of March 31, 2022 and 2021 were $0.1 million. Orion had the following unrecognized tax benefit activity (dollars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5"/>
        </w:trPr>
        <w:tc>
          <w:tcPr>
            <w:tcW w:w="58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as of beginning of fiscal year</w:t>
            </w:r>
          </w:p>
        </w:tc>
        <w:tc>
          <w:tcPr>
            <w:tcW w:w="7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 positions</w:t>
            </w: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Additions/(reductions) for tax positions of prior years</w:t>
            </w:r>
          </w:p>
        </w:tc>
        <w:tc>
          <w:tcPr>
            <w:tcW w:w="7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as of end of fiscal year</w:t>
            </w:r>
          </w:p>
        </w:tc>
        <w:tc>
          <w:tcPr>
            <w:tcW w:w="780" w:type="dxa"/>
            <w:vAlign w:val="bottom"/>
          </w:tcPr>
          <w:p>
            <w:pPr>
              <w:spacing w:after="0"/>
              <w:rPr>
                <w:sz w:val="19"/>
                <w:szCs w:val="19"/>
                <w:color w:val="auto"/>
              </w:rPr>
            </w:pPr>
          </w:p>
        </w:tc>
        <w:tc>
          <w:tcPr>
            <w:tcW w:w="8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5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enters into non-cancellable purchase commitments for certain inventory items in order to secure better pricing and ensure materials on hand.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Orion had entered into $7.8 million of purchase commitments related primarily to inventory purchases.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2022, Orion made matching contributions of $0.1 million. In both fiscal 2021 and 2020, Orion made matching contributions of approximately $0.1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As of the date of this report, Orion does not believe that the final resolution of any of such claims or legal proceedings would have a material adverse effect on its future results of operations. In addition to ordinary-course litigation, Orion was or is a party to the proceedings described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Tax Assessment</w:t>
      </w:r>
    </w:p>
    <w:p>
      <w:pPr>
        <w:spacing w:after="0" w:line="22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During fiscal year 2018, Orion was notified of a pending sales and use tax audit by the Wisconsin Department of Revenue for the period covering April 1, 2013 through March 31, 2017. Although the final resolution of the Company’s sales and use tax audit is uncertain, based on current information, in the opinion of the Company’s management, the ultimate disposition of these matters will not have a material adverse effect on the Company’s consolidated balance sheet, statements of operations, or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 and Treasury Stock</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In 2011 and 2012, Orion’s Board approved several share repurchase programs authorizing Orion to repurchase in aggregate up to a maximum of $7.5 million of Orion's outstanding common stock. As of March 31, 2022, Orion had repurchased 3,022,349 shares of common stock at a cost of $6.8 million under these programs. Orion did not repurchase any shares in fiscal 2022, fiscal 2021 or fiscal 2020 and currently does not intend to repurchase any additional common stock under this program in the near-term.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Plan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On January 3, 2019, Orion entered into Amendment No. 1 to the Rights Agreement, which amended the Rights Agreement dated as of January 7, 2009 and extended its terms by three years to January 7, 2022. In December 2021, Orion’s Board of Directors announced that it had decided to allow the Rights Agreement to terminate and expire by its terms on January 7,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 Orion had the following shares issued from treasury during fiscal 2022 and fiscal 2021: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1535"/>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0" w:type="dxa"/>
            <w:vAlign w:val="bottom"/>
          </w:tcPr>
          <w:p>
            <w:pPr>
              <w:spacing w:after="0"/>
              <w:rPr>
                <w:sz w:val="1"/>
                <w:szCs w:val="1"/>
                <w:color w:val="auto"/>
              </w:rPr>
            </w:pPr>
          </w:p>
        </w:tc>
      </w:tr>
      <w:tr>
        <w:trPr>
          <w:trHeight w:val="131"/>
        </w:trPr>
        <w:tc>
          <w:tcPr>
            <w:tcW w:w="6820" w:type="dxa"/>
            <w:vAlign w:val="bottom"/>
          </w:tcPr>
          <w:p>
            <w:pPr>
              <w:spacing w:after="0"/>
              <w:rPr>
                <w:sz w:val="11"/>
                <w:szCs w:val="11"/>
                <w:color w:val="auto"/>
              </w:rPr>
            </w:pPr>
          </w:p>
        </w:tc>
        <w:tc>
          <w:tcPr>
            <w:tcW w:w="1440" w:type="dxa"/>
            <w:vAlign w:val="bottom"/>
          </w:tcPr>
          <w:p>
            <w:pPr>
              <w:jc w:val="center"/>
              <w:ind w:left="408"/>
              <w:spacing w:after="0" w:line="131"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vMerge w:val="restart"/>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44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Under ESPP</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March 31, 2022</w:t>
            </w: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December 31, 2021</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September 30, 2021</w:t>
            </w: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June 30, 2021</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3"/>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1,617</w:t>
            </w:r>
          </w:p>
        </w:tc>
        <w:tc>
          <w:tcPr>
            <w:tcW w:w="540" w:type="dxa"/>
            <w:vAlign w:val="bottom"/>
            <w:tcBorders>
              <w:top w:val="single" w:sz="8" w:color="CFF0FC"/>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CFF0FC"/>
              <w:bottom w:val="single" w:sz="8" w:color="CFF0FC"/>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2.80 - 5.73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1535"/>
              <w:spacing w:after="0"/>
              <w:rPr>
                <w:sz w:val="20"/>
                <w:szCs w:val="20"/>
                <w:color w:val="auto"/>
              </w:rPr>
            </w:pPr>
            <w:r>
              <w:rPr>
                <w:rFonts w:ascii="Times New Roman" w:cs="Times New Roman" w:eastAsia="Times New Roman" w:hAnsi="Times New Roman"/>
                <w:sz w:val="14"/>
                <w:szCs w:val="14"/>
                <w:b w:val="1"/>
                <w:bCs w:val="1"/>
                <w:color w:val="auto"/>
              </w:rPr>
              <w:t>As of March 31, 2021</w:t>
            </w:r>
          </w:p>
        </w:tc>
        <w:tc>
          <w:tcPr>
            <w:tcW w:w="0" w:type="dxa"/>
            <w:vAlign w:val="bottom"/>
          </w:tcPr>
          <w:p>
            <w:pPr>
              <w:spacing w:after="0"/>
              <w:rPr>
                <w:sz w:val="1"/>
                <w:szCs w:val="1"/>
                <w:color w:val="auto"/>
              </w:rPr>
            </w:pPr>
          </w:p>
        </w:tc>
      </w:tr>
      <w:tr>
        <w:trPr>
          <w:trHeight w:val="131"/>
        </w:trPr>
        <w:tc>
          <w:tcPr>
            <w:tcW w:w="6820" w:type="dxa"/>
            <w:vAlign w:val="bottom"/>
          </w:tcPr>
          <w:p>
            <w:pPr>
              <w:spacing w:after="0"/>
              <w:rPr>
                <w:sz w:val="11"/>
                <w:szCs w:val="11"/>
                <w:color w:val="auto"/>
              </w:rPr>
            </w:pPr>
          </w:p>
        </w:tc>
        <w:tc>
          <w:tcPr>
            <w:tcW w:w="1440" w:type="dxa"/>
            <w:vAlign w:val="bottom"/>
          </w:tcPr>
          <w:p>
            <w:pPr>
              <w:jc w:val="center"/>
              <w:ind w:left="408"/>
              <w:spacing w:after="0" w:line="131"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vMerge w:val="restart"/>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44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Under ESPP</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2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March 31, 2021</w:t>
            </w:r>
          </w:p>
        </w:tc>
        <w:tc>
          <w:tcPr>
            <w:tcW w:w="14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December 31, 2020</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178</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Quarter Ended September 30, 2020</w:t>
            </w: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151</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9"/>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June 30, 2020</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458</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1,146</w:t>
            </w:r>
          </w:p>
        </w:tc>
        <w:tc>
          <w:tcPr>
            <w:tcW w:w="540" w:type="dxa"/>
            <w:vAlign w:val="bottom"/>
            <w:tcBorders>
              <w:top w:val="single" w:sz="8" w:color="CFF0FC"/>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CFF0FC"/>
              <w:bottom w:val="single" w:sz="8" w:color="CFF0FC"/>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3.46 - 9.87</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77</w:t>
            </w: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2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shares</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In March 2020, Orion filed a universal shelf registration statement with the Securities and Exchange Commission. Under the shelf registration statement, Orion currently has the flexibility to publicly offer and sell from time to time up to $100.0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March 2021, Orion entered into an At Market Issuance Sales Agreement to undertake an “at the market” (ATM) public equity capital raising program pursuant to which Orion may offer and sell shares of common stock, having an aggregate offering price of up to $50 million from time to time through or to the Agent, acting as sales agent or principal. No share sales have been effected pursuant to the ATM program through March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STOCK OPTIONS AND RESTRICTED SHARES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At Orion’s 2019 annual meeting of shareholders held on August 7, 2019, Orion’s shareholders approved the Orion Energy Systems, Inc. 2016 Omnibus Incentive Plan, as amended and restated (the “Amended 2016 Plan”). Approval of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 As of March 31, 2022, the number of shares available for grant under the Amended 2016 Plan was 1,387,612.</w:t>
      </w:r>
    </w:p>
    <w:p>
      <w:pPr>
        <w:spacing w:after="0" w:line="187"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76"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Prior to the 2016 Omnibus Incentive Plan, the Company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w:t>
      </w:r>
    </w:p>
    <w:p>
      <w:pPr>
        <w:spacing w:after="0" w:line="18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Certain non-employee directors have elected to receive stock awards in lieu of cash compensation pursuant to elections made under Orion’s non-employee director compensation program. The Amended 2016 Plan and the 2004 Plan also permit accelerated vesting in the event of certain changes of control of Orion as well as under other special circumstances.</w:t>
      </w:r>
    </w:p>
    <w:p>
      <w:pPr>
        <w:spacing w:after="0" w:line="176"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Orion historically granted stock options and restricted stock under the 2004 Plan. Orion has not issued stock options since fiscal 2014 and instead has issued restricted stock.</w:t>
      </w:r>
    </w:p>
    <w:p>
      <w:pPr>
        <w:spacing w:after="0" w:line="16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ind w:left="500"/>
        <w:spacing w:after="0"/>
        <w:rPr>
          <w:sz w:val="20"/>
          <w:szCs w:val="20"/>
          <w:color w:val="auto"/>
        </w:rPr>
      </w:pPr>
      <w:r>
        <w:rPr>
          <w:rFonts w:ascii="Times New Roman" w:cs="Times New Roman" w:eastAsia="Times New Roman" w:hAnsi="Times New Roman"/>
          <w:sz w:val="18"/>
          <w:szCs w:val="18"/>
          <w:color w:val="auto"/>
        </w:rPr>
        <w:t>The following amounts of stock-based compensation expense for restricted shares and options were recorded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tcPr>
          <w:p>
            <w:pPr>
              <w:spacing w:after="0"/>
              <w:rPr>
                <w:sz w:val="13"/>
                <w:szCs w:val="13"/>
                <w:color w:val="auto"/>
              </w:rPr>
            </w:pPr>
          </w:p>
        </w:tc>
        <w:tc>
          <w:tcPr>
            <w:tcW w:w="22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5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outstanding stock options: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43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45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440" w:type="dxa"/>
            <w:vAlign w:val="bottom"/>
            <w:tcBorders>
              <w:bottom w:val="single" w:sz="8" w:color="CFF0FC"/>
            </w:tcBorders>
          </w:tcPr>
          <w:p>
            <w:pPr>
              <w:spacing w:after="0"/>
              <w:rPr>
                <w:sz w:val="15"/>
                <w:szCs w:val="15"/>
                <w:color w:val="auto"/>
              </w:rPr>
            </w:pPr>
          </w:p>
        </w:tc>
        <w:tc>
          <w:tcPr>
            <w:tcW w:w="2200" w:type="dxa"/>
            <w:vAlign w:val="bottom"/>
            <w:tcBorders>
              <w:bottom w:val="single" w:sz="8" w:color="CFF0FC"/>
            </w:tcBorders>
          </w:tcPr>
          <w:p>
            <w:pPr>
              <w:spacing w:after="0"/>
              <w:rPr>
                <w:sz w:val="15"/>
                <w:szCs w:val="15"/>
                <w:color w:val="auto"/>
              </w:rPr>
            </w:pPr>
          </w:p>
        </w:tc>
        <w:tc>
          <w:tcPr>
            <w:tcW w:w="90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2019</w:t>
            </w:r>
          </w:p>
        </w:tc>
        <w:tc>
          <w:tcPr>
            <w:tcW w:w="2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467,836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2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(22,362)</w:t>
            </w:r>
          </w:p>
        </w:tc>
        <w:tc>
          <w:tcPr>
            <w:tcW w:w="4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2020</w:t>
            </w:r>
          </w:p>
        </w:tc>
        <w:tc>
          <w:tcPr>
            <w:tcW w:w="2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396,300</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2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4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(100,982)</w:t>
            </w: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2021</w:t>
            </w:r>
          </w:p>
        </w:tc>
        <w:tc>
          <w:tcPr>
            <w:tcW w:w="2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196,318</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2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(31,845)</w:t>
            </w:r>
          </w:p>
        </w:tc>
        <w:tc>
          <w:tcPr>
            <w:tcW w:w="4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4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2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142,428</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2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range of exercise prices on outstanding stock options at March 31, 2022: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1"/>
                <w:szCs w:val="11"/>
                <w:color w:val="auto"/>
              </w:rPr>
            </w:pPr>
          </w:p>
        </w:tc>
        <w:tc>
          <w:tcPr>
            <w:tcW w:w="1200" w:type="dxa"/>
            <w:vAlign w:val="bottom"/>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42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Outstanding and</w:t>
            </w: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0" w:type="dxa"/>
            <w:vAlign w:val="bottom"/>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0" w:type="dxa"/>
            <w:vAlign w:val="bottom"/>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4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6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120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jc w:val="right"/>
              <w:ind w:right="5670"/>
              <w:spacing w:after="0"/>
              <w:rPr>
                <w:sz w:val="20"/>
                <w:szCs w:val="20"/>
                <w:color w:val="auto"/>
              </w:rPr>
            </w:pPr>
            <w:r>
              <w:rPr>
                <w:rFonts w:ascii="Times New Roman" w:cs="Times New Roman" w:eastAsia="Times New Roman" w:hAnsi="Times New Roman"/>
                <w:sz w:val="18"/>
                <w:szCs w:val="18"/>
                <w:color w:val="auto"/>
                <w:w w:val="98"/>
              </w:rPr>
              <w:t>$2.00 - 2.03</w:t>
            </w:r>
          </w:p>
        </w:tc>
        <w:tc>
          <w:tcPr>
            <w:tcW w:w="14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57,292</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jc w:val="right"/>
              <w:ind w:right="5670"/>
              <w:spacing w:after="0"/>
              <w:rPr>
                <w:sz w:val="20"/>
                <w:szCs w:val="20"/>
                <w:color w:val="auto"/>
              </w:rPr>
            </w:pPr>
            <w:r>
              <w:rPr>
                <w:rFonts w:ascii="Times New Roman" w:cs="Times New Roman" w:eastAsia="Times New Roman" w:hAnsi="Times New Roman"/>
                <w:sz w:val="18"/>
                <w:szCs w:val="18"/>
                <w:color w:val="auto"/>
                <w:w w:val="98"/>
              </w:rPr>
              <w:t>$2.41 - 2.75</w:t>
            </w: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85,136</w:t>
            </w:r>
          </w:p>
        </w:tc>
        <w:tc>
          <w:tcPr>
            <w:tcW w:w="1580" w:type="dxa"/>
            <w:vAlign w:val="bottom"/>
            <w:tcBorders>
              <w:bottom w:val="single" w:sz="8" w:color="CFF0FC"/>
            </w:tcBorders>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142,428</w:t>
            </w:r>
          </w:p>
        </w:tc>
        <w:tc>
          <w:tcPr>
            <w:tcW w:w="1580" w:type="dxa"/>
            <w:vAlign w:val="bottom"/>
            <w:tcBorders>
              <w:bottom w:val="single" w:sz="8" w:color="CFF0FC"/>
            </w:tcBorders>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restricted shares activity: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160" w:type="dxa"/>
            <w:vAlign w:val="bottom"/>
            <w:tcBorders>
              <w:bottom w:val="single" w:sz="8" w:color="auto"/>
            </w:tcBorders>
            <w:gridSpan w:val="4"/>
          </w:tcPr>
          <w:p>
            <w:pPr>
              <w:ind w:left="13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440" w:type="dxa"/>
            <w:vAlign w:val="bottom"/>
            <w:tcBorders>
              <w:bottom w:val="single" w:sz="8" w:color="auto"/>
            </w:tcBorders>
          </w:tcPr>
          <w:p>
            <w:pPr>
              <w:spacing w:after="0"/>
              <w:rPr>
                <w:sz w:val="15"/>
                <w:szCs w:val="15"/>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469,639</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772,720</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1,312,593</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240,833</w:t>
            </w:r>
          </w:p>
        </w:tc>
        <w:tc>
          <w:tcPr>
            <w:tcW w:w="16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287,998</w:t>
            </w:r>
          </w:p>
        </w:tc>
        <w:tc>
          <w:tcPr>
            <w:tcW w:w="16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279,468</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(260,014)</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(450,481)</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(669,238)</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Shares forfeited</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(150,103)</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at March 31, 2022</w:t>
            </w:r>
          </w:p>
        </w:tc>
        <w:tc>
          <w:tcPr>
            <w:tcW w:w="14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450,458</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469,639</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772,720</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$3.62 - 5.98</w:t>
            </w:r>
          </w:p>
        </w:tc>
        <w:tc>
          <w:tcPr>
            <w:tcW w:w="16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$3.92 - 10.01</w:t>
            </w: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$2.69 - 3.03</w:t>
            </w:r>
          </w:p>
        </w:tc>
      </w:tr>
    </w:tbl>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2022, Orion recognized $0.8 million of stock-based compensation expense related to restricted shares.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ind w:left="500"/>
        <w:spacing w:after="0"/>
        <w:rPr>
          <w:sz w:val="20"/>
          <w:szCs w:val="20"/>
          <w:color w:val="auto"/>
        </w:rPr>
      </w:pPr>
      <w:r>
        <w:rPr>
          <w:rFonts w:ascii="Times New Roman" w:cs="Times New Roman" w:eastAsia="Times New Roman" w:hAnsi="Times New Roman"/>
          <w:sz w:val="18"/>
          <w:szCs w:val="18"/>
          <w:color w:val="auto"/>
        </w:rPr>
        <w:t>As of March 31, 2022, the weighted average grant-date fair value of restricted shares granted was $5.55.</w:t>
      </w:r>
    </w:p>
    <w:p>
      <w:pPr>
        <w:spacing w:after="0" w:line="22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non-vested common stock-based compensation as of March 31, 2022 is expected to be recognized as follows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2023</w:t>
            </w:r>
          </w:p>
        </w:tc>
        <w:tc>
          <w:tcPr>
            <w:tcW w:w="368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799</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3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532</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2025</w:t>
            </w:r>
          </w:p>
        </w:tc>
        <w:tc>
          <w:tcPr>
            <w:tcW w:w="3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3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1,464</w:t>
            </w: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weighted average expected term</w:t>
            </w:r>
          </w:p>
        </w:tc>
        <w:tc>
          <w:tcPr>
            <w:tcW w:w="3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DATA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 has the following business segments: Orion Services Group Division (“OSG”), Orion Distribution Services Division (“ODS”), and Orion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Division (“USM”). The accounting policies are the same for each business segment as they are on a consolidated basis.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Services Group Division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OSG segment (a) develops and sells lighting products and provides construction and engineering services for Orion's commercial lighting and energy management systems and (b) provides retailers, distributors and other businesses with maintenance, repair and replacement services for the lighting and related electrical components deployed in their facilities. OSG provides engineering, design, lighting products and in many cases turnkey solutions for large national accounts, governments, municipalities, schools and other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Distribution Services Division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ODS segment sells lighting products through manufacturer representative agencies and a network of North American broadline electrical distributors and contractors.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U.S. Markets Division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USM segment sells commercial lighting systems and energy management systems to the wholesale contractor markets. USM customers include ESCOs and contractors.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Orion’s segments and adjustments to reconcile to consolidated results (dollars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2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Services Group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82,568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84,243</w:t>
            </w:r>
          </w:p>
        </w:tc>
        <w:tc>
          <w:tcPr>
            <w:tcW w:w="3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122,744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6,462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7,472</w:t>
            </w:r>
          </w:p>
        </w:tc>
        <w:tc>
          <w:tcPr>
            <w:tcW w:w="12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Services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22,209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21,122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15,087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U.S. Markets</w:t>
            </w:r>
          </w:p>
        </w:tc>
        <w:tc>
          <w:tcPr>
            <w:tcW w:w="2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19,606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3,963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124,383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116,840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150,841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13,110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6"/>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20" w:type="dxa"/>
            <w:vAlign w:val="bottom"/>
            <w:gridSpan w:val="8"/>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880" w:type="dxa"/>
            <w:vAlign w:val="bottom"/>
          </w:tcPr>
          <w:p>
            <w:pPr>
              <w:spacing w:after="0"/>
              <w:rPr>
                <w:sz w:val="13"/>
                <w:szCs w:val="13"/>
                <w:color w:val="auto"/>
              </w:rPr>
            </w:pPr>
          </w:p>
        </w:tc>
      </w:tr>
      <w:tr>
        <w:trPr>
          <w:trHeight w:val="173"/>
        </w:trPr>
        <w:tc>
          <w:tcPr>
            <w:tcW w:w="3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9"/>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880" w:type="dxa"/>
            <w:vAlign w:val="bottom"/>
            <w:tcBorders>
              <w:bottom w:val="single" w:sz="8" w:color="auto"/>
            </w:tcBorders>
          </w:tcPr>
          <w:p>
            <w:pPr>
              <w:spacing w:after="0"/>
              <w:rPr>
                <w:sz w:val="15"/>
                <w:szCs w:val="15"/>
                <w:color w:val="auto"/>
              </w:rPr>
            </w:pPr>
          </w:p>
        </w:tc>
      </w:tr>
      <w:tr>
        <w:trPr>
          <w:trHeight w:val="156"/>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9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27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gridSpan w:val="4"/>
          </w:tcPr>
          <w:p>
            <w:pPr>
              <w:jc w:val="center"/>
              <w:ind w:left="3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Services Group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913</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76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5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Services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U.S. Markets</w:t>
            </w:r>
          </w:p>
        </w:tc>
        <w:tc>
          <w:tcPr>
            <w:tcW w:w="2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38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814</w:t>
            </w:r>
          </w:p>
        </w:tc>
      </w:tr>
      <w:tr>
        <w:trPr>
          <w:trHeight w:val="20"/>
        </w:trPr>
        <w:tc>
          <w:tcPr>
            <w:tcW w:w="3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53"/>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55"/>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3"/>
                <w:szCs w:val="13"/>
                <w:color w:val="auto"/>
              </w:rPr>
            </w:pPr>
          </w:p>
        </w:tc>
        <w:tc>
          <w:tcPr>
            <w:tcW w:w="1380" w:type="dxa"/>
            <w:vAlign w:val="bottom"/>
            <w:gridSpan w:val="4"/>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Segments:</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Services Group</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76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26,642</w:t>
            </w:r>
          </w:p>
        </w:tc>
        <w:tc>
          <w:tcPr>
            <w:tcW w:w="1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29,856</w:t>
            </w: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Services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6,723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6,530</w:t>
            </w: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U.S. Markets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8,017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6,057</w:t>
            </w: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45,435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50,378</w:t>
            </w:r>
          </w:p>
        </w:tc>
      </w:tr>
      <w:tr>
        <w:trPr>
          <w:trHeight w:val="223"/>
        </w:trPr>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86,817</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92,821</w:t>
            </w: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Orion’s revenue outside the United States is insignificant and Orion has no long-lived assets outside the United States.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2022 Operating Income above includes a payroll tax credit, in accordance with IAS 20.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RESTRUCTURING EXPENSE</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2020, as part of Orion’s response to the impacts of the COVID-19 pandemic, Orion entered into separation agreements with multiple employees, and recognized $0.4 million of expense. Orion’s restructuring expense for the 12 months ended March 31, 2022, 2021 and 2020 is reflected within its consolidated statements of operations as follows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6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2"/>
        </w:trPr>
        <w:tc>
          <w:tcPr>
            <w:tcW w:w="4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4300" w:type="dxa"/>
            <w:vAlign w:val="bottom"/>
          </w:tcPr>
          <w:p>
            <w:pPr>
              <w:spacing w:after="0"/>
              <w:rPr>
                <w:sz w:val="15"/>
                <w:szCs w:val="15"/>
                <w:color w:val="auto"/>
              </w:rPr>
            </w:pPr>
          </w:p>
        </w:tc>
        <w:tc>
          <w:tcPr>
            <w:tcW w:w="3400" w:type="dxa"/>
            <w:vAlign w:val="bottom"/>
            <w:gridSpan w:val="2"/>
          </w:tcPr>
          <w:p>
            <w:pPr>
              <w:jc w:val="center"/>
              <w:ind w:left="24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3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service</w:t>
            </w: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4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restructuring expense by segment was recorded as follows (dollars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6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2"/>
        </w:trPr>
        <w:tc>
          <w:tcPr>
            <w:tcW w:w="4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4320" w:type="dxa"/>
            <w:vAlign w:val="bottom"/>
          </w:tcPr>
          <w:p>
            <w:pPr>
              <w:spacing w:after="0"/>
              <w:rPr>
                <w:sz w:val="15"/>
                <w:szCs w:val="15"/>
                <w:color w:val="auto"/>
              </w:rPr>
            </w:pPr>
          </w:p>
        </w:tc>
        <w:tc>
          <w:tcPr>
            <w:tcW w:w="3380" w:type="dxa"/>
            <w:vAlign w:val="bottom"/>
            <w:gridSpan w:val="2"/>
          </w:tcPr>
          <w:p>
            <w:pPr>
              <w:jc w:val="center"/>
              <w:ind w:left="24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left="1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Orion Services Group</w:t>
            </w:r>
          </w:p>
        </w:tc>
        <w:tc>
          <w:tcPr>
            <w:tcW w:w="3380" w:type="dxa"/>
            <w:vAlign w:val="bottom"/>
            <w:gridSpan w:val="2"/>
            <w:shd w:val="clear" w:color="auto" w:fill="CFF0FC"/>
          </w:tcPr>
          <w:p>
            <w:pPr>
              <w:jc w:val="right"/>
              <w:ind w:right="90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Orion Distribution Systems</w:t>
            </w:r>
          </w:p>
        </w:tc>
        <w:tc>
          <w:tcPr>
            <w:tcW w:w="2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4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ACQUISITION</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Effective on January 1, 2022, Orion acquired all of the issued and outstanding capital stock of Stay-Lite Lighting, Inc. (“Stay-Lite Lighting”), a nationwide lighting and electrical maintenance service provider, for $4.3 million (the “Stay-Lite Acquisition”). Stay-Lite Lighting will operate as Stay-Lite Lighting, an Orion Energy Systems business. The acquisition accelerates the growth of Orion's maintenance services offerings through its Orion Services Group, which provides lighting and electrical services to customers.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80" w:name="page81"/>
    <w:bookmarkEnd w:id="80"/>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Orion has accounted for this transaction as a business combination. Orion has preliminarily allocated the purchase price of approximately $4.3 million, which includes an estimate of the earn-out liability of $0.2 million and a receivable of $0.1 million for the working capital adjustment received subsequent to year-end, to the assets acquired and liabilities assumed at estimated fair values, and the excess of the purchase price over the aggregate fair values is recorded as goodwill. Orion could pay up to $0.7 million in earnout related purchase price, which is based on the gross profit of the legacy business over the next two calendar years. Orion is in the process of finalizing third party valuations of property and equipment and intangible assets.</w:t>
      </w:r>
    </w:p>
    <w:p>
      <w:pPr>
        <w:spacing w:after="0" w:line="75"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preliminary allocation of the purchase consideration to the fair value of the assets acquired and liabilities assumed as of January 1, 2022, is as follows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90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2,690</w:t>
            </w: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earned but not billed</w:t>
            </w:r>
          </w:p>
        </w:tc>
        <w:tc>
          <w:tcPr>
            <w:tcW w:w="3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3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6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1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purchase consideration</w:t>
            </w:r>
          </w:p>
        </w:tc>
        <w:tc>
          <w:tcPr>
            <w:tcW w:w="3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4,286</w:t>
            </w:r>
          </w:p>
        </w:tc>
      </w:tr>
      <w:tr>
        <w:trPr>
          <w:trHeight w:val="20"/>
        </w:trPr>
        <w:tc>
          <w:tcPr>
            <w:tcW w:w="6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Goodwill recorded from the acquisition of Stay-Lite Lighting is attributable to the expected synergies from the business combination. The goodwill resulting from the acquisition is deductible for tax purposes. The intangible assets include amounts recognized for the fair value of the trade name and customer relationships. The fair value of the intangible assets was determined based upon the income (discounted cash flow) approach.</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details of the intangible assets acquired at the date of acquisition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2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480" w:type="dxa"/>
            <w:vAlign w:val="bottom"/>
          </w:tcPr>
          <w:p>
            <w:pPr>
              <w:spacing w:after="0"/>
              <w:rPr>
                <w:sz w:val="13"/>
                <w:szCs w:val="13"/>
                <w:color w:val="auto"/>
              </w:rPr>
            </w:pPr>
          </w:p>
        </w:tc>
        <w:tc>
          <w:tcPr>
            <w:tcW w:w="17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3"/>
        </w:trPr>
        <w:tc>
          <w:tcPr>
            <w:tcW w:w="786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120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r>
    </w:tbl>
    <w:p>
      <w:pPr>
        <w:spacing w:after="0" w:line="30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acquisition totaled $0.5 million in fiscal 2022 and are recorded in acquisition costs in the consolidated statements of operations.</w:t>
      </w:r>
    </w:p>
    <w:p>
      <w:pPr>
        <w:spacing w:after="0" w:line="54"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Stay-Lite Lighting’s post-acquisition results of operations for the period from January 1, 2022, through March 31, 2022, are included in the Orion’s Consolidated Statements of Operations. Since the acquisition date, net sales of Stay-Lite Lighting for the period were $2.7 million and operating income was $0.2 million. The operating results of Stay-Lite Lighting are included in the Orion Services Group segment.</w:t>
      </w:r>
    </w:p>
    <w:p>
      <w:pPr>
        <w:spacing w:after="0" w:line="68"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unaudited pro forma revenue for the year ended March 31, 2022 and 2021, assuming the acquisition had occurred on April 1, 2020 was $131.3 million and $125.4 million respectively.</w:t>
      </w:r>
    </w:p>
    <w:p>
      <w:pPr>
        <w:spacing w:after="0" w:line="54"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unaudited pro forma information was determined based on the historical results of Orion and unaudited financial results from Stay-Lite Lighting. The unaudited pro forma results have been prepared for comparative purposes only and are not necessarily indicative of what would have occurred had the business combination been completed at the beginning of the period or the results that may occur in the future. Furthermore, the unaudited pro forma financial information does not reflect the impact of any synergies resulting from the acquisition of Stay-Lite Lighting.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spacing w:after="0" w:line="282" w:lineRule="auto"/>
        <w:rPr>
          <w:sz w:val="20"/>
          <w:szCs w:val="20"/>
          <w:color w:val="auto"/>
        </w:rPr>
      </w:pPr>
      <w:r>
        <w:rPr>
          <w:rFonts w:ascii="Times New Roman" w:cs="Times New Roman" w:eastAsia="Times New Roman" w:hAnsi="Times New Roman"/>
          <w:sz w:val="18"/>
          <w:szCs w:val="18"/>
          <w:color w:val="auto"/>
        </w:rPr>
        <w:t>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QUARTERLY FINANCIAL DATA (UNAUDITED)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Summary quarterly results for the years ended March 31, 2022 and March 31, 2021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55"/>
        </w:trPr>
        <w:tc>
          <w:tcPr>
            <w:tcW w:w="4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Jun 30, 2021</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Sep 30, 2021</w:t>
            </w: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Dec 31, 2021</w:t>
            </w:r>
          </w:p>
        </w:tc>
        <w:tc>
          <w:tcPr>
            <w:tcW w:w="1240" w:type="dxa"/>
            <w:vAlign w:val="bottom"/>
            <w:tcBorders>
              <w:bottom w:val="single" w:sz="8" w:color="auto"/>
            </w:tcBorders>
            <w:gridSpan w:val="2"/>
          </w:tcPr>
          <w:p>
            <w:pPr>
              <w:jc w:val="right"/>
              <w:ind w:right="71"/>
              <w:spacing w:after="0" w:line="155"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60" w:type="dxa"/>
            <w:vAlign w:val="bottom"/>
            <w:gridSpan w:val="5"/>
          </w:tcPr>
          <w:p>
            <w:pPr>
              <w:jc w:val="center"/>
              <w:ind w:left="89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35,101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36,510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30,714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22,058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124,383</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10,230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10,788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7,641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5,253</w:t>
            </w:r>
          </w:p>
        </w:tc>
        <w:tc>
          <w:tcPr>
            <w:tcW w:w="1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33,912</w:t>
            </w: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2,510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3,659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1,102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6,091</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basic per share calculation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30,860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31,031</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31,085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31,018</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diluted per share calculation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31,290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31,288</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31,235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31,295</w:t>
            </w:r>
          </w:p>
        </w:tc>
      </w:tr>
      <w:tr>
        <w:trPr>
          <w:trHeight w:val="473"/>
        </w:trPr>
        <w:tc>
          <w:tcPr>
            <w:tcW w:w="4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5"/>
        </w:trPr>
        <w:tc>
          <w:tcPr>
            <w:tcW w:w="4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Jun 30, 2020</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w w:val="99"/>
              </w:rPr>
              <w:t>Sep 30, 2020</w:t>
            </w: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Dec 31, 2020</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31"/>
              <w:spacing w:after="0" w:line="155" w:lineRule="exact"/>
              <w:rPr>
                <w:sz w:val="20"/>
                <w:szCs w:val="20"/>
                <w:color w:val="auto"/>
              </w:rPr>
            </w:pPr>
            <w:r>
              <w:rPr>
                <w:rFonts w:ascii="Times New Roman" w:cs="Times New Roman" w:eastAsia="Times New Roman" w:hAnsi="Times New Roman"/>
                <w:sz w:val="14"/>
                <w:szCs w:val="14"/>
                <w:b w:val="1"/>
                <w:bCs w:val="1"/>
                <w:color w:val="auto"/>
              </w:rPr>
              <w:t>Mar 31, 2021</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60" w:type="dxa"/>
            <w:vAlign w:val="bottom"/>
            <w:gridSpan w:val="5"/>
          </w:tcPr>
          <w:p>
            <w:pPr>
              <w:jc w:val="center"/>
              <w:ind w:left="89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10,811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26,281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44,251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116,840</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2,635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11,006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9,220</w:t>
            </w:r>
          </w:p>
        </w:tc>
        <w:tc>
          <w:tcPr>
            <w:tcW w:w="1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30,124</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15"/>
                <w:szCs w:val="15"/>
                <w:color w:val="auto"/>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1,914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4,315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22,124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26,134</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Basic net income (loss) per share </w:t>
            </w: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0.85</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basic per share calculation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30,352</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30,669</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30,736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30,782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30,635</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Diluted net income (loss) per share </w:t>
            </w:r>
            <w:r>
              <w:rPr>
                <w:rFonts w:ascii="Times New Roman" w:cs="Times New Roman" w:eastAsia="Times New Roman" w:hAnsi="Times New Roman"/>
                <w:sz w:val="15"/>
                <w:szCs w:val="15"/>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0.83</w:t>
            </w:r>
          </w:p>
        </w:tc>
      </w:tr>
      <w:tr>
        <w:trPr>
          <w:trHeight w:val="22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diluted per share calculation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30,352</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31,170</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31,320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31,304</w:t>
            </w:r>
          </w:p>
        </w:tc>
      </w:tr>
    </w:tbl>
    <w:p>
      <w:pPr>
        <w:spacing w:after="0" w:line="225" w:lineRule="exact"/>
        <w:rPr>
          <w:sz w:val="20"/>
          <w:szCs w:val="20"/>
          <w:color w:val="auto"/>
        </w:rPr>
      </w:pPr>
    </w:p>
    <w:p>
      <w:pPr>
        <w:ind w:left="760" w:right="20" w:hanging="752"/>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$20.9 million of tax benefit related to the release of the valuation allowance on deferred tax assets during the three months ended March 31, 2021.</w:t>
      </w:r>
    </w:p>
    <w:p>
      <w:pPr>
        <w:spacing w:after="0" w:line="16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four quarters for net earnings per share may not add to the total year because of differences in the weighted average number of shares outstanding during the quarters and the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2" w:name="page83"/>
    <w:bookmarkEnd w:id="82"/>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2022, pursuant to Exchange Act Rule 13a-15(b) and 15d-15. Based on that evaluation, our Chief Executive Officer and our Chief Financial Officer have concluded that our disclosure controls and procedures were effective at a level of reasonable assurance as of March 31, 2022.</w:t>
      </w:r>
    </w:p>
    <w:p>
      <w:pPr>
        <w:spacing w:after="0" w:line="180"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GAAP.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5" w:lineRule="exact"/>
        <w:rPr>
          <w:sz w:val="20"/>
          <w:szCs w:val="20"/>
          <w:color w:val="auto"/>
        </w:rPr>
      </w:pPr>
    </w:p>
    <w:p>
      <w:pPr>
        <w:ind w:left="860" w:hanging="366"/>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53" w:lineRule="exact"/>
        <w:rPr>
          <w:rFonts w:ascii="Times New Roman" w:cs="Times New Roman" w:eastAsia="Times New Roman" w:hAnsi="Times New Roman"/>
          <w:sz w:val="18"/>
          <w:szCs w:val="18"/>
          <w:color w:val="auto"/>
        </w:rPr>
      </w:pPr>
    </w:p>
    <w:p>
      <w:pPr>
        <w:ind w:left="860" w:hanging="36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our assessment, management believes that, as of March 31, 2022, our internal control over financial reporting was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attestation report required under this Item 9A is contained in Item 8. Financial Statements and Supplementary Data of this Annual Report on Form 10-K under the heading Report of Independent Registered Public Accounting Firm.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ITEM 9C.DISCLOSURE REGARDING FOREIGN JURISDICTIONS THAT PREVENT INSPECTIONS</w:t>
      </w:r>
    </w:p>
    <w:p>
      <w:pPr>
        <w:sectPr>
          <w:pgSz w:w="11900" w:h="16838" w:orient="portrait"/>
          <w:cols w:equalWidth="0" w:num="1">
            <w:col w:w="10139"/>
          </w:cols>
          <w:pgMar w:left="320" w:top="657" w:right="1440" w:bottom="1440" w:gutter="0" w:footer="0" w:header="0"/>
        </w:sect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10.DIRECTORS, EXECUTIVE OFFICERS AND CORPORATE GOVERNANCE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executive officers and corporate governance is incorporated by reference to our Proxy Statement for our 2022 Annual Meeting of Shareholders to be filed with the SEC within 120 days after the end of the fiscal year ended March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11.EXECUTIVE COMPENSATION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2022 Annual Meeting of Shareholders to be filed with the SEC within 120 days after the end of the fiscal year ended March 31, 2022.</w:t>
      </w:r>
    </w:p>
    <w:p>
      <w:pPr>
        <w:spacing w:after="0" w:line="266" w:lineRule="exact"/>
        <w:rPr>
          <w:sz w:val="20"/>
          <w:szCs w:val="20"/>
          <w:color w:val="auto"/>
        </w:rPr>
      </w:pPr>
    </w:p>
    <w:p>
      <w:pPr>
        <w:jc w:val="both"/>
        <w:ind w:left="760" w:hanging="755"/>
        <w:spacing w:after="0" w:line="286" w:lineRule="auto"/>
        <w:rPr>
          <w:sz w:val="20"/>
          <w:szCs w:val="20"/>
          <w:color w:val="auto"/>
        </w:rPr>
      </w:pPr>
      <w:r>
        <w:rPr>
          <w:rFonts w:ascii="Times New Roman" w:cs="Times New Roman" w:eastAsia="Times New Roman" w:hAnsi="Times New Roman"/>
          <w:sz w:val="18"/>
          <w:szCs w:val="18"/>
          <w:b w:val="1"/>
          <w:bCs w:val="1"/>
          <w:color w:val="auto"/>
        </w:rPr>
        <w:t>ITEM 12.SECURITY OWNERSHIP OF CERTAIN BENEFICIAL OWNERS AND MANAGEMENT AND RELATED SHAREHOLDER MATTERS</w:t>
      </w:r>
    </w:p>
    <w:p>
      <w:pPr>
        <w:spacing w:after="0" w:line="4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See Item 5, </w:t>
      </w:r>
      <w:r>
        <w:rPr>
          <w:rFonts w:ascii="Times New Roman" w:cs="Times New Roman" w:eastAsia="Times New Roman" w:hAnsi="Times New Roman"/>
          <w:sz w:val="18"/>
          <w:szCs w:val="18"/>
          <w:i w:val="1"/>
          <w:iCs w:val="1"/>
          <w:color w:val="auto"/>
        </w:rPr>
        <w:t>Market for Registrant’s Common Equity, Related Shareholder Matters and Issuer Purchaser of Securities</w:t>
      </w:r>
      <w:r>
        <w:rPr>
          <w:rFonts w:ascii="Times New Roman" w:cs="Times New Roman" w:eastAsia="Times New Roman" w:hAnsi="Times New Roman"/>
          <w:sz w:val="18"/>
          <w:szCs w:val="18"/>
          <w:color w:val="auto"/>
        </w:rPr>
        <w:t>, under the heading “Equity Compensation Plan Information” for information regarding our securities authorized for issuance under equity compensation plans. The additional information required by this item is incorporated by reference to our Proxy Statement for its 2022 Annual Meeting of Shareholders to be filed with the SEC within 120 days after the end of the fiscal year ended March 31,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13.CERTAIN RELATIONSHIPS AND RELATED TRANSACTIONS AND DIRECTOR INDEPENDENCE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2022 Annual Meeting of Shareholders to be filed with the SEC within 120 days after the end of the fiscal year ended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14.PRINCIPAL ACCOUNTANT FEES AND SERVICES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2022 Annual Meeting of Shareholders to be filed with the SEC within 120 days after the end of the fiscal year ended March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ind w:left="526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117" w:lineRule="exact"/>
        <w:rPr>
          <w:sz w:val="20"/>
          <w:szCs w:val="20"/>
          <w:color w:val="auto"/>
        </w:rPr>
      </w:pPr>
    </w:p>
    <w:p>
      <w:pPr>
        <w:ind w:left="50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(a)</w:t>
        <w:tab/>
        <w:t>Financial Statements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statements are set forth in Item 8 of this Form 10-K.</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86" w:name="page87"/>
    <w:bookmarkEnd w:id="86"/>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 Title</w:t>
      </w:r>
    </w:p>
    <w:p>
      <w:pPr>
        <w:spacing w:after="0" w:line="115" w:lineRule="exact"/>
        <w:rPr>
          <w:sz w:val="20"/>
          <w:szCs w:val="20"/>
          <w:color w:val="auto"/>
        </w:rPr>
      </w:pPr>
    </w:p>
    <w:p>
      <w:pPr>
        <w:jc w:val="both"/>
        <w:ind w:left="860" w:hanging="699"/>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17">
        <w:r>
          <w:rPr>
            <w:rFonts w:ascii="Times New Roman" w:cs="Times New Roman" w:eastAsia="Times New Roman" w:hAnsi="Times New Roman"/>
            <w:sz w:val="18"/>
            <w:szCs w:val="18"/>
            <w:u w:val="single" w:color="auto"/>
            <w:color w:val="0000EE"/>
          </w:rPr>
          <w:t>Amended and Restated Articles of Incorporation of Orion Energy Systems, Inc., filed as Exhibit 3.3 to the Registrant’s Form S-1 filed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August 20, 2007, is hereby incorporated by reference.</w:t>
        </w:r>
      </w:hyperlink>
    </w:p>
    <w:p>
      <w:pPr>
        <w:spacing w:after="0" w:line="67" w:lineRule="exact"/>
        <w:rPr>
          <w:sz w:val="20"/>
          <w:szCs w:val="20"/>
          <w:color w:val="auto"/>
        </w:rPr>
      </w:pPr>
    </w:p>
    <w:p>
      <w:pPr>
        <w:jc w:val="both"/>
        <w:ind w:left="860" w:right="20" w:hanging="699"/>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18">
        <w:r>
          <w:rPr>
            <w:rFonts w:ascii="Times New Roman" w:cs="Times New Roman" w:eastAsia="Times New Roman" w:hAnsi="Times New Roman"/>
            <w:sz w:val="18"/>
            <w:szCs w:val="18"/>
            <w:u w:val="single" w:color="auto"/>
            <w:color w:val="0000EE"/>
          </w:rPr>
          <w:t>Amended and Restated Bylaws of Orion Energy Systems, Inc., filed as Exhibit 3.1 to the Registrant’s Form 8-K filed May 22, 2020, is hereby</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incorporated by reference.</w:t>
        </w:r>
      </w:hyperlink>
    </w:p>
    <w:p>
      <w:pPr>
        <w:spacing w:after="0" w:line="67" w:lineRule="exact"/>
        <w:rPr>
          <w:sz w:val="20"/>
          <w:szCs w:val="20"/>
          <w:color w:val="auto"/>
        </w:rPr>
      </w:pPr>
    </w:p>
    <w:p>
      <w:pPr>
        <w:jc w:val="both"/>
        <w:ind w:left="860" w:hanging="699"/>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19">
        <w:r>
          <w:rPr>
            <w:rFonts w:ascii="Times New Roman" w:cs="Times New Roman" w:eastAsia="Times New Roman" w:hAnsi="Times New Roman"/>
            <w:sz w:val="18"/>
            <w:szCs w:val="18"/>
            <w:u w:val="single" w:color="auto"/>
            <w:color w:val="0000EE"/>
          </w:rPr>
          <w:t>Rights Agreement, dated as of January 7, 2009, between Orion Energy Systems, Inc. and Wells Fargo Bank, N.A., which includes as Exhibit A</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thereto the Form of Right Certificate and as Exhibit B thereto the Summary of Common Share Purchase Rights, filed as Exhibit 4.1 to the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Registrant’s Form 8-A filed January 8, 2009, is hereby incorporated by reference.</w:t>
        </w:r>
      </w:hyperlink>
    </w:p>
    <w:p>
      <w:pPr>
        <w:spacing w:after="0" w:line="81" w:lineRule="exact"/>
        <w:rPr>
          <w:rFonts w:ascii="Times New Roman" w:cs="Times New Roman" w:eastAsia="Times New Roman" w:hAnsi="Times New Roman"/>
          <w:sz w:val="18"/>
          <w:szCs w:val="18"/>
          <w:u w:val="single" w:color="auto"/>
          <w:color w:val="0000EE"/>
        </w:rPr>
      </w:pPr>
    </w:p>
    <w:p>
      <w:pPr>
        <w:jc w:val="both"/>
        <w:ind w:left="860" w:hanging="699"/>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20">
        <w:r>
          <w:rPr>
            <w:rFonts w:ascii="Times New Roman" w:cs="Times New Roman" w:eastAsia="Times New Roman" w:hAnsi="Times New Roman"/>
            <w:sz w:val="18"/>
            <w:szCs w:val="18"/>
            <w:u w:val="single" w:color="auto"/>
            <w:color w:val="0000EE"/>
          </w:rPr>
          <w:t>Amendment No. 1 to the Rights Agreement, dated as of January 3, 2019, between the Company and Equiniti Trust Company (as successor to</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Wells Fargo Bank, N.A.), as Rights Agent, filed as Exhibit 4.1 to the Registrants Form 8-K filed January 3, 2019, is hereby incorporated by</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reference.</w:t>
        </w:r>
      </w:hyperlink>
    </w:p>
    <w:p>
      <w:pPr>
        <w:spacing w:after="0" w:line="81" w:lineRule="exact"/>
        <w:rPr>
          <w:rFonts w:ascii="Times New Roman" w:cs="Times New Roman" w:eastAsia="Times New Roman" w:hAnsi="Times New Roman"/>
          <w:sz w:val="18"/>
          <w:szCs w:val="18"/>
          <w:u w:val="single" w:color="auto"/>
          <w:color w:val="0000EE"/>
        </w:rPr>
      </w:pPr>
    </w:p>
    <w:p>
      <w:pPr>
        <w:jc w:val="both"/>
        <w:ind w:left="860" w:right="20" w:hanging="699"/>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21">
        <w:r>
          <w:rPr>
            <w:rFonts w:ascii="Times New Roman" w:cs="Times New Roman" w:eastAsia="Times New Roman" w:hAnsi="Times New Roman"/>
            <w:sz w:val="18"/>
            <w:szCs w:val="18"/>
            <w:u w:val="single" w:color="auto"/>
            <w:color w:val="0000EE"/>
          </w:rPr>
          <w:t>Description of Orion Energy Systems, Inc. Capital Stock, filed as Exhibit 4.3 to the Registrant’s Form 10-K filed on June 5, 2019 is hereby</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incorporated by reference.</w:t>
        </w:r>
      </w:hyperlink>
    </w:p>
    <w:p>
      <w:pPr>
        <w:spacing w:after="0" w:line="67" w:lineRule="exact"/>
        <w:rPr>
          <w:sz w:val="20"/>
          <w:szCs w:val="20"/>
          <w:color w:val="auto"/>
        </w:rPr>
      </w:pPr>
    </w:p>
    <w:p>
      <w:pPr>
        <w:jc w:val="both"/>
        <w:ind w:left="860" w:hanging="744"/>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22">
        <w:r>
          <w:rPr>
            <w:rFonts w:ascii="Times New Roman" w:cs="Times New Roman" w:eastAsia="Times New Roman" w:hAnsi="Times New Roman"/>
            <w:sz w:val="18"/>
            <w:szCs w:val="18"/>
            <w:u w:val="single" w:color="auto"/>
            <w:color w:val="0000EE"/>
          </w:rPr>
          <w:t>Loan and Security Agreement dated as of December 29, 2020 among Orion Energy Systems, Inc., Bank of America, N.A., as lender, and the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subsidiary borrowers party thereto, filed as Exhibit 10.1 to Registrant’s Form 8-K filed on January 5, 2021, is hereby incorporated by</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reference.</w:t>
        </w:r>
      </w:hyperlink>
    </w:p>
    <w:p>
      <w:pPr>
        <w:spacing w:after="0" w:line="81" w:lineRule="exact"/>
        <w:rPr>
          <w:rFonts w:ascii="Times New Roman" w:cs="Times New Roman" w:eastAsia="Times New Roman" w:hAnsi="Times New Roman"/>
          <w:sz w:val="18"/>
          <w:szCs w:val="18"/>
          <w:u w:val="single" w:color="auto"/>
          <w:color w:val="0000EE"/>
        </w:rPr>
      </w:pPr>
    </w:p>
    <w:p>
      <w:pPr>
        <w:jc w:val="both"/>
        <w:ind w:left="860" w:right="20" w:hanging="744"/>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23">
        <w:r>
          <w:rPr>
            <w:rFonts w:ascii="Times New Roman" w:cs="Times New Roman" w:eastAsia="Times New Roman" w:hAnsi="Times New Roman"/>
            <w:sz w:val="18"/>
            <w:szCs w:val="18"/>
            <w:u w:val="single" w:color="auto"/>
            <w:color w:val="0000EE"/>
          </w:rPr>
          <w:t>Orion Energy Systems, Inc. 2004 Stock and Incentive Awards Plan, filed as Exhibit 10.9 to the Registrant’s Form S-1 filed August 20, 2007, is</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hereby incorporated by reference.*</w:t>
        </w:r>
      </w:hyperlink>
    </w:p>
    <w:p>
      <w:pPr>
        <w:spacing w:after="0" w:line="67" w:lineRule="exact"/>
        <w:rPr>
          <w:sz w:val="20"/>
          <w:szCs w:val="20"/>
          <w:color w:val="auto"/>
        </w:rPr>
      </w:pPr>
    </w:p>
    <w:p>
      <w:pPr>
        <w:ind w:left="860" w:right="80" w:hanging="744"/>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24">
        <w:r>
          <w:rPr>
            <w:rFonts w:ascii="Times New Roman" w:cs="Times New Roman" w:eastAsia="Times New Roman" w:hAnsi="Times New Roman"/>
            <w:sz w:val="18"/>
            <w:szCs w:val="18"/>
            <w:u w:val="single" w:color="auto"/>
            <w:color w:val="0000EE"/>
          </w:rPr>
          <w:t>Amendment to Orion Energy Systems, Inc. 2004 Stock and Incentive Awards Plan, filed September 9, 2011 as Appendix A to the Registrant’s</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definitive proxy statement is hereby incorporated by reference.*</w:t>
        </w:r>
      </w:hyperlink>
    </w:p>
    <w:p>
      <w:pPr>
        <w:spacing w:after="0" w:line="67" w:lineRule="exact"/>
        <w:rPr>
          <w:sz w:val="20"/>
          <w:szCs w:val="20"/>
          <w:color w:val="auto"/>
        </w:rPr>
      </w:pPr>
    </w:p>
    <w:p>
      <w:pPr>
        <w:ind w:left="860" w:right="20" w:hanging="744"/>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25">
        <w:r>
          <w:rPr>
            <w:rFonts w:ascii="Times New Roman" w:cs="Times New Roman" w:eastAsia="Times New Roman" w:hAnsi="Times New Roman"/>
            <w:sz w:val="18"/>
            <w:szCs w:val="18"/>
            <w:u w:val="single" w:color="auto"/>
            <w:color w:val="0000EE"/>
          </w:rPr>
          <w:t>Form of Stock Option Agreement under the Orion Energy Systems, Inc. 2004 Equity Incentive Plan, filed as Exhibit 10.10 to the Registrant’s</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Form S-1 filed August 20, 2007, is hereby incorporated by reference.*</w:t>
        </w:r>
      </w:hyperlink>
    </w:p>
    <w:p>
      <w:pPr>
        <w:spacing w:after="0" w:line="67" w:lineRule="exact"/>
        <w:rPr>
          <w:sz w:val="20"/>
          <w:szCs w:val="20"/>
          <w:color w:val="auto"/>
        </w:rPr>
      </w:pPr>
    </w:p>
    <w:p>
      <w:pPr>
        <w:ind w:left="860" w:right="240" w:hanging="744"/>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26">
        <w:r>
          <w:rPr>
            <w:rFonts w:ascii="Times New Roman" w:cs="Times New Roman" w:eastAsia="Times New Roman" w:hAnsi="Times New Roman"/>
            <w:sz w:val="18"/>
            <w:szCs w:val="18"/>
            <w:u w:val="single" w:color="auto"/>
            <w:color w:val="0000EE"/>
          </w:rPr>
          <w:t>Form of Stock Option Agreement as of May 14, 2013 under the Orion Energy Systems, Inc. 2004 Stock and Incentive Awards Plan, filed as</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Exhibit 10.7 to the Registrant’s Form 10-K filed on June 13, 2014, is hereby incorporated by reference.*</w:t>
        </w:r>
      </w:hyperlink>
    </w:p>
    <w:p>
      <w:pPr>
        <w:spacing w:after="0" w:line="67" w:lineRule="exact"/>
        <w:rPr>
          <w:sz w:val="20"/>
          <w:szCs w:val="20"/>
          <w:color w:val="auto"/>
        </w:rPr>
      </w:pPr>
    </w:p>
    <w:p>
      <w:pPr>
        <w:ind w:left="860" w:right="360" w:hanging="744"/>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27">
        <w:r>
          <w:rPr>
            <w:rFonts w:ascii="Times New Roman" w:cs="Times New Roman" w:eastAsia="Times New Roman" w:hAnsi="Times New Roman"/>
            <w:sz w:val="18"/>
            <w:szCs w:val="18"/>
            <w:u w:val="single" w:color="auto"/>
            <w:color w:val="0000EE"/>
          </w:rPr>
          <w:t>Orion Energy Systems, Inc. 2016 Omnibus Incentive Plan, as amended and restated, filed as Annex A to the Registrant’s Definitive Proxy</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Statement on Schedule 14A filed on June 21, 2019, is hereby incorporated by reference.*</w:t>
        </w:r>
      </w:hyperlink>
    </w:p>
    <w:p>
      <w:pPr>
        <w:spacing w:after="0" w:line="67" w:lineRule="exact"/>
        <w:rPr>
          <w:sz w:val="20"/>
          <w:szCs w:val="20"/>
          <w:color w:val="auto"/>
        </w:rPr>
      </w:pPr>
    </w:p>
    <w:p>
      <w:pPr>
        <w:ind w:left="860" w:right="140" w:hanging="744"/>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28">
        <w:r>
          <w:rPr>
            <w:rFonts w:ascii="Times New Roman" w:cs="Times New Roman" w:eastAsia="Times New Roman" w:hAnsi="Times New Roman"/>
            <w:sz w:val="18"/>
            <w:szCs w:val="18"/>
            <w:u w:val="single" w:color="auto"/>
            <w:color w:val="0000EE"/>
          </w:rPr>
          <w:t>Form of Non-Employee Director Tandem Restricted Stock and Cash Award Agreement under the Orion Energy Systems, Inc. 2016 Omnibus</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Incentive Plan, filed as Exhibit 4.5 to the Registrant’s Form S-8 filed August 10, 2016, is hereby incorporated by reference.*</w:t>
        </w:r>
      </w:hyperlink>
    </w:p>
    <w:p>
      <w:pPr>
        <w:spacing w:after="0" w:line="67" w:lineRule="exact"/>
        <w:rPr>
          <w:sz w:val="20"/>
          <w:szCs w:val="20"/>
          <w:color w:val="auto"/>
        </w:rPr>
      </w:pPr>
    </w:p>
    <w:p>
      <w:pPr>
        <w:ind w:left="860" w:right="360" w:hanging="744"/>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29">
        <w:r>
          <w:rPr>
            <w:rFonts w:ascii="Times New Roman" w:cs="Times New Roman" w:eastAsia="Times New Roman" w:hAnsi="Times New Roman"/>
            <w:sz w:val="18"/>
            <w:szCs w:val="18"/>
            <w:u w:val="single" w:color="auto"/>
            <w:color w:val="0000EE"/>
          </w:rPr>
          <w:t>Form of Non-Employee Director Restricted Stock Award Agreement under the Orion Energy Systems, Inc. 2016 Omnibus Incentive Plan,</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filed as Exhibit 4.6 to the Registrant’s Form S-8 filed August 10, 2016, is hereby incorporated by reference.*</w:t>
        </w:r>
      </w:hyperlink>
    </w:p>
    <w:p>
      <w:pPr>
        <w:spacing w:after="0" w:line="67" w:lineRule="exact"/>
        <w:rPr>
          <w:sz w:val="20"/>
          <w:szCs w:val="20"/>
          <w:color w:val="auto"/>
        </w:rPr>
      </w:pPr>
    </w:p>
    <w:p>
      <w:pPr>
        <w:ind w:left="860" w:right="40" w:hanging="744"/>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30">
        <w:r>
          <w:rPr>
            <w:rFonts w:ascii="Times New Roman" w:cs="Times New Roman" w:eastAsia="Times New Roman" w:hAnsi="Times New Roman"/>
            <w:sz w:val="18"/>
            <w:szCs w:val="18"/>
            <w:u w:val="single" w:color="auto"/>
            <w:color w:val="0000EE"/>
          </w:rPr>
          <w:t>Form of Executive Tandem Restricted Stock and Cash Award Agreement under the Orion Energy Systems, Inc. 2016 Omnibus Incentive Plan,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filed as Exhibit 4.7 to the Registrant’s Form S-8 filed August 10, 2016, is hereby incorporated by reference.*</w:t>
        </w:r>
      </w:hyperlink>
    </w:p>
    <w:p>
      <w:pPr>
        <w:spacing w:after="0" w:line="67" w:lineRule="exact"/>
        <w:rPr>
          <w:sz w:val="20"/>
          <w:szCs w:val="20"/>
          <w:color w:val="auto"/>
        </w:rPr>
      </w:pPr>
    </w:p>
    <w:p>
      <w:pPr>
        <w:ind w:left="6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31">
        <w:r>
          <w:rPr>
            <w:rFonts w:ascii="Times New Roman" w:cs="Times New Roman" w:eastAsia="Times New Roman" w:hAnsi="Times New Roman"/>
            <w:sz w:val="17"/>
            <w:szCs w:val="17"/>
            <w:u w:val="single" w:color="auto"/>
            <w:color w:val="0000EE"/>
          </w:rPr>
          <w:t>Form of Executive Restricted Stock Award Agreement under the Orion Energy Systems, Inc. 2016 Omnibus Incentive Plan, filed as Exhibit</w:t>
        </w:r>
      </w:hyperlink>
    </w:p>
    <w:p>
      <w:pPr>
        <w:spacing w:after="0" w:line="27" w:lineRule="exact"/>
        <w:rPr>
          <w:sz w:val="20"/>
          <w:szCs w:val="20"/>
          <w:color w:val="auto"/>
        </w:rPr>
      </w:pPr>
    </w:p>
    <w:p>
      <w:pPr>
        <w:ind w:left="860"/>
        <w:spacing w:after="0"/>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18"/>
            <w:szCs w:val="18"/>
            <w:u w:val="single" w:color="auto"/>
            <w:color w:val="0000EE"/>
          </w:rPr>
          <w:t>4.8 to the Registrant’s Form S-8 filed August 10, 2016, is hereby incorporated by reference.*</w:t>
        </w:r>
      </w:hyperlink>
    </w:p>
    <w:p>
      <w:pPr>
        <w:spacing w:after="0" w:line="112" w:lineRule="exact"/>
        <w:rPr>
          <w:sz w:val="20"/>
          <w:szCs w:val="20"/>
          <w:color w:val="auto"/>
        </w:rPr>
      </w:pPr>
    </w:p>
    <w:p>
      <w:pPr>
        <w:ind w:left="860" w:right="20" w:hanging="786"/>
        <w:spacing w:after="0" w:line="282" w:lineRule="auto"/>
        <w:tabs>
          <w:tab w:leader="none" w:pos="8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10.11</w:t>
      </w:r>
      <w:r>
        <w:rPr>
          <w:sz w:val="20"/>
          <w:szCs w:val="20"/>
          <w:color w:val="auto"/>
        </w:rPr>
        <w:tab/>
      </w:r>
      <w:hyperlink r:id="rId132">
        <w:r>
          <w:rPr>
            <w:rFonts w:ascii="Times New Roman" w:cs="Times New Roman" w:eastAsia="Times New Roman" w:hAnsi="Times New Roman"/>
            <w:sz w:val="18"/>
            <w:szCs w:val="18"/>
            <w:u w:val="single" w:color="auto"/>
            <w:color w:val="0000EE"/>
          </w:rPr>
          <w:t>Orion Energy Systems, Inc. Non-Employee Director Compensation Plan, updated and effective as of February 7, 2020, filed as Exhibit 10.14</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to the Registrant’s Form 10-K filed on June 5, 2020, is hereby incorporated by reference.*</w:t>
        </w:r>
        <w:r>
          <w:rPr>
            <w:rFonts w:ascii="Times New Roman" w:cs="Times New Roman" w:eastAsia="Times New Roman" w:hAnsi="Times New Roman"/>
            <w:sz w:val="18"/>
            <w:szCs w:val="18"/>
            <w:color w:val="0000FF"/>
          </w:rPr>
          <w:t>v</w:t>
        </w:r>
      </w:hyperlink>
    </w:p>
    <w:p>
      <w:pPr>
        <w:spacing w:after="0" w:line="67" w:lineRule="exact"/>
        <w:rPr>
          <w:sz w:val="20"/>
          <w:szCs w:val="20"/>
          <w:color w:val="auto"/>
        </w:rPr>
      </w:pPr>
    </w:p>
    <w:p>
      <w:pPr>
        <w:ind w:left="860" w:right="200" w:hanging="789"/>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33">
        <w:r>
          <w:rPr>
            <w:rFonts w:ascii="Times New Roman" w:cs="Times New Roman" w:eastAsia="Times New Roman" w:hAnsi="Times New Roman"/>
            <w:sz w:val="18"/>
            <w:szCs w:val="18"/>
            <w:u w:val="single" w:color="auto"/>
            <w:color w:val="0000EE"/>
          </w:rPr>
          <w:t>Amended and Restated Executive Employment and Severance Agreement, dated as of June 1, 2020, by and between Orion Energy Systems,</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Inc. and Michael W. Altschaefl, filed as Exhibit 10.15 to the Registrant’s Form 10-K filed on June 5, 2020, is hereby incorporated by</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reference.*</w:t>
        </w:r>
      </w:hyperlink>
    </w:p>
    <w:p>
      <w:pPr>
        <w:spacing w:after="0" w:line="81" w:lineRule="exact"/>
        <w:rPr>
          <w:rFonts w:ascii="Times New Roman" w:cs="Times New Roman" w:eastAsia="Times New Roman" w:hAnsi="Times New Roman"/>
          <w:sz w:val="18"/>
          <w:szCs w:val="18"/>
          <w:u w:val="single" w:color="auto"/>
          <w:color w:val="0000EE"/>
        </w:rPr>
      </w:pPr>
    </w:p>
    <w:p>
      <w:pPr>
        <w:ind w:left="860" w:right="200" w:hanging="789"/>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34">
        <w:r>
          <w:rPr>
            <w:rFonts w:ascii="Times New Roman" w:cs="Times New Roman" w:eastAsia="Times New Roman" w:hAnsi="Times New Roman"/>
            <w:sz w:val="18"/>
            <w:szCs w:val="18"/>
            <w:u w:val="single" w:color="auto"/>
            <w:color w:val="0000EE"/>
          </w:rPr>
          <w:t>Executive Employment and Severance Agreement, effective as of October 19, 2020, between Orion Energy Systems, Inc. and J. Per Brodin,</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filed as Exhibit 10.1 to the Registrant's Form 8-K filed on October 15, 2020, is hereby incorporated by reference.*</w:t>
        </w:r>
      </w:hyperlink>
    </w:p>
    <w:p>
      <w:pPr>
        <w:spacing w:after="0" w:line="67" w:lineRule="exact"/>
        <w:rPr>
          <w:sz w:val="20"/>
          <w:szCs w:val="20"/>
          <w:color w:val="auto"/>
        </w:rPr>
      </w:pPr>
    </w:p>
    <w:p>
      <w:pPr>
        <w:ind w:left="860" w:right="20" w:hanging="789"/>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35">
        <w:r>
          <w:rPr>
            <w:rFonts w:ascii="Times New Roman" w:cs="Times New Roman" w:eastAsia="Times New Roman" w:hAnsi="Times New Roman"/>
            <w:sz w:val="18"/>
            <w:szCs w:val="18"/>
            <w:u w:val="single" w:color="auto"/>
            <w:color w:val="0000EE"/>
          </w:rPr>
          <w:t>Amended and Restated Executive Employment and Severance Agreement, dated as of June 1, 2020, by and between Orion Energy Systems,</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Inc. and Scott A. Green, filed as Exhibit 10.17 to the Registrant's Form 10-K filed on June 1, 2021, is hereby incorporated by reference.*</w:t>
        </w:r>
      </w:hyperlink>
    </w:p>
    <w:p>
      <w:pPr>
        <w:spacing w:after="0" w:line="2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60" w:top="549" w:right="279" w:bottom="1440" w:gutter="0" w:footer="0" w:header="0"/>
        </w:sectPr>
      </w:pPr>
    </w:p>
    <w:bookmarkStart w:id="87" w:name="page88"/>
    <w:bookmarkEnd w:id="87"/>
    <w:p>
      <w:pPr>
        <w:ind w:left="1040" w:right="560" w:hanging="843"/>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37">
        <w:r>
          <w:rPr>
            <w:rFonts w:ascii="Times New Roman" w:cs="Times New Roman" w:eastAsia="Times New Roman" w:hAnsi="Times New Roman"/>
            <w:sz w:val="18"/>
            <w:szCs w:val="18"/>
            <w:u w:val="single" w:color="auto"/>
            <w:color w:val="0000EE"/>
          </w:rPr>
          <w:t>At Market Issuance Sales Agreement between Orion Energy Systems, Inc. and B. Riley Securities, Inc., dated March 26, 2021, filed as</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Exhibit 10.1 to the Registrant's Form 8-K filed on March 26, 2021, is hereby incorporated by reference.</w:t>
        </w:r>
      </w:hyperlink>
    </w:p>
    <w:p>
      <w:pPr>
        <w:spacing w:after="0" w:line="67" w:lineRule="exact"/>
        <w:rPr>
          <w:sz w:val="20"/>
          <w:szCs w:val="20"/>
          <w:color w:val="auto"/>
        </w:rPr>
      </w:pPr>
    </w:p>
    <w:p>
      <w:pPr>
        <w:ind w:left="1040" w:right="20" w:hanging="843"/>
        <w:spacing w:after="0" w:line="282"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38">
        <w:r>
          <w:rPr>
            <w:rFonts w:ascii="Times New Roman" w:cs="Times New Roman" w:eastAsia="Times New Roman" w:hAnsi="Times New Roman"/>
            <w:sz w:val="18"/>
            <w:szCs w:val="18"/>
            <w:u w:val="single" w:color="auto"/>
            <w:color w:val="0000EE"/>
          </w:rPr>
          <w:t>Executive Employment and Severance Agreement, effective as of November 11, 2021, between Orion Energy Systems, Inc. and Michael H.</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Jenkins, filed as Exhibit 10.1 to the Registrant's Form 8-K filed on November 4, 2021, is hereby incorporated by reference.*</w:t>
        </w:r>
      </w:hyperlink>
    </w:p>
    <w:p>
      <w:pPr>
        <w:spacing w:after="0" w:line="67" w:lineRule="exact"/>
        <w:rPr>
          <w:sz w:val="20"/>
          <w:szCs w:val="20"/>
          <w:color w:val="auto"/>
        </w:rPr>
      </w:pPr>
    </w:p>
    <w:p>
      <w:pPr>
        <w:ind w:left="1040" w:right="40" w:hanging="843"/>
        <w:spacing w:after="0" w:line="26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39">
        <w:r>
          <w:rPr>
            <w:rFonts w:ascii="Times New Roman" w:cs="Times New Roman" w:eastAsia="Times New Roman" w:hAnsi="Times New Roman"/>
            <w:sz w:val="18"/>
            <w:szCs w:val="18"/>
            <w:u w:val="single" w:color="auto"/>
            <w:color w:val="0000EE"/>
          </w:rPr>
          <w:t>Amendment to Executive Employment and Severance Agreement, effective as of the third business day after the Company publicly</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announces its financial results for its fiscal 2022 fourth quarter and year-end, between Orion Energy Systems, Inc. and Michael W. Altschaefl,</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filed as Exhibit 10.1 to the Registrant's Form 8-K filed on February 22, 2022, is hereby incorporated by reference.*</w:t>
        </w:r>
      </w:hyperlink>
    </w:p>
    <w:p>
      <w:pPr>
        <w:spacing w:after="0" w:line="81" w:lineRule="exact"/>
        <w:rPr>
          <w:rFonts w:ascii="Times New Roman" w:cs="Times New Roman" w:eastAsia="Times New Roman" w:hAnsi="Times New Roman"/>
          <w:sz w:val="18"/>
          <w:szCs w:val="18"/>
          <w:u w:val="single" w:color="auto"/>
          <w:color w:val="0000EE"/>
        </w:rPr>
      </w:pPr>
    </w:p>
    <w:p>
      <w:pPr>
        <w:jc w:val="both"/>
        <w:ind w:left="1040" w:hanging="843"/>
        <w:spacing w:after="0" w:line="266" w:lineRule="auto"/>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40">
        <w:r>
          <w:rPr>
            <w:rFonts w:ascii="Times New Roman" w:cs="Times New Roman" w:eastAsia="Times New Roman" w:hAnsi="Times New Roman"/>
            <w:sz w:val="18"/>
            <w:szCs w:val="18"/>
            <w:u w:val="single" w:color="auto"/>
            <w:color w:val="0000EE"/>
          </w:rPr>
          <w:t>Restricted Stock Award Agreement, effective as of the third business day after the Company publicly announces its financial results for its</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fiscal 2022 fourth quarter and year-end, between Orion Energy Systems, Inc. and Michael W. Altschaefl, filed as Exhibit 10.3 to the</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Registrant's Form 8-K filed on February 22, 2022, is hereby incorporated by reference.*</w:t>
        </w:r>
      </w:hyperlink>
    </w:p>
    <w:p>
      <w:pPr>
        <w:spacing w:after="0" w:line="81" w:lineRule="exact"/>
        <w:rPr>
          <w:rFonts w:ascii="Times New Roman" w:cs="Times New Roman" w:eastAsia="Times New Roman" w:hAnsi="Times New Roman"/>
          <w:sz w:val="18"/>
          <w:szCs w:val="18"/>
          <w:u w:val="single" w:color="auto"/>
          <w:color w:val="0000EE"/>
        </w:rPr>
      </w:pPr>
    </w:p>
    <w:p>
      <w:pPr>
        <w:ind w:left="180"/>
        <w:spacing w:after="0"/>
        <w:tabs>
          <w:tab w:leader="none" w:pos="102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7"/>
          <w:szCs w:val="17"/>
          <w:u w:val="single" w:color="auto"/>
          <w:color w:val="0000EE"/>
        </w:rPr>
        <w:t>Form of Executive Performance Share Award Agreement under the Orion Energy Systems, Inc. 2016 Omnibus Incentive Plan.* +</w:t>
      </w:r>
    </w:p>
    <w:p>
      <w:pPr>
        <w:spacing w:after="0" w:line="131" w:lineRule="exact"/>
        <w:rPr>
          <w:rFonts w:ascii="Times New Roman" w:cs="Times New Roman" w:eastAsia="Times New Roman" w:hAnsi="Times New Roman"/>
          <w:sz w:val="18"/>
          <w:szCs w:val="18"/>
          <w:u w:val="single" w:color="auto"/>
          <w:color w:val="0000EE"/>
        </w:rPr>
      </w:pPr>
    </w:p>
    <w:p>
      <w:pPr>
        <w:ind w:left="180"/>
        <w:spacing w:after="0"/>
        <w:tabs>
          <w:tab w:leader="none" w:pos="102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7"/>
          <w:szCs w:val="17"/>
          <w:u w:val="single" w:color="auto"/>
          <w:color w:val="0000EE"/>
        </w:rPr>
        <w:t>Form of Non-Employee Director Restricted Stock Award Agreement under the Orion Energy Systems, Inc. 2016 Omnibus Incentive Plan. * +</w:t>
      </w:r>
    </w:p>
    <w:p>
      <w:pPr>
        <w:spacing w:after="0" w:line="131" w:lineRule="exact"/>
        <w:rPr>
          <w:rFonts w:ascii="Times New Roman" w:cs="Times New Roman" w:eastAsia="Times New Roman" w:hAnsi="Times New Roman"/>
          <w:sz w:val="18"/>
          <w:szCs w:val="18"/>
          <w:u w:val="single" w:color="auto"/>
          <w:color w:val="0000EE"/>
        </w:rPr>
      </w:pPr>
    </w:p>
    <w:p>
      <w:pPr>
        <w:jc w:val="both"/>
        <w:ind w:left="1040" w:hanging="843"/>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u w:val="single" w:color="auto"/>
          <w:color w:val="0000EE"/>
        </w:rPr>
        <w:t>Form of Executive Tandem Restricted Stock and Cash Award Agreement under the Orion Energy Systems, Inc. 2016 Omnibus Incentive Plan. * +</w:t>
      </w:r>
    </w:p>
    <w:p>
      <w:pPr>
        <w:spacing w:after="0" w:line="67" w:lineRule="exact"/>
        <w:rPr>
          <w:rFonts w:ascii="Times New Roman" w:cs="Times New Roman" w:eastAsia="Times New Roman" w:hAnsi="Times New Roman"/>
          <w:sz w:val="18"/>
          <w:szCs w:val="18"/>
          <w:u w:val="single" w:color="auto"/>
          <w:color w:val="0000EE"/>
        </w:rPr>
      </w:pPr>
    </w:p>
    <w:p>
      <w:pPr>
        <w:jc w:val="both"/>
        <w:ind w:left="1040" w:right="20" w:hanging="843"/>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u w:val="single" w:color="auto"/>
          <w:color w:val="0000EE"/>
        </w:rPr>
        <w:t>Form of Non-Employee Director Tandem Restricted Stock and Cash Award Agreement under the Orion Energy Systems, Inc. 2016 Omnibus Incentive Plan. * +</w:t>
      </w:r>
    </w:p>
    <w:p>
      <w:pPr>
        <w:spacing w:after="0" w:line="67" w:lineRule="exact"/>
        <w:rPr>
          <w:rFonts w:ascii="Times New Roman" w:cs="Times New Roman" w:eastAsia="Times New Roman" w:hAnsi="Times New Roman"/>
          <w:sz w:val="18"/>
          <w:szCs w:val="18"/>
          <w:u w:val="single" w:color="auto"/>
          <w:color w:val="0000EE"/>
        </w:rPr>
      </w:pPr>
    </w:p>
    <w:p>
      <w:pPr>
        <w:ind w:left="180"/>
        <w:spacing w:after="0"/>
        <w:tabs>
          <w:tab w:leader="none" w:pos="102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7"/>
          <w:szCs w:val="17"/>
          <w:u w:val="single" w:color="auto"/>
          <w:color w:val="0000EE"/>
        </w:rPr>
        <w:t>Form of Executive Restricted Stock Award Agreement under the Orion Energy Systems, Inc. 2016 Omnibus Incentive Plan. * +</w:t>
      </w:r>
    </w:p>
    <w:p>
      <w:pPr>
        <w:spacing w:after="0" w:line="131" w:lineRule="exact"/>
        <w:rPr>
          <w:rFonts w:ascii="Times New Roman" w:cs="Times New Roman" w:eastAsia="Times New Roman" w:hAnsi="Times New Roman"/>
          <w:sz w:val="18"/>
          <w:szCs w:val="18"/>
          <w:u w:val="single" w:color="auto"/>
          <w:color w:val="0000EE"/>
        </w:rPr>
      </w:pPr>
    </w:p>
    <w:p>
      <w:pPr>
        <w:ind w:left="240"/>
        <w:spacing w:after="0"/>
        <w:tabs>
          <w:tab w:leader="none" w:pos="10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Subsidiaries of Orion Energy Systems, Inc.+</w:t>
      </w:r>
    </w:p>
    <w:p>
      <w:pPr>
        <w:spacing w:after="0" w:line="131" w:lineRule="exact"/>
        <w:rPr>
          <w:rFonts w:ascii="Times New Roman" w:cs="Times New Roman" w:eastAsia="Times New Roman" w:hAnsi="Times New Roman"/>
          <w:sz w:val="18"/>
          <w:szCs w:val="18"/>
          <w:u w:val="single" w:color="auto"/>
          <w:color w:val="0000EE"/>
        </w:rPr>
      </w:pPr>
    </w:p>
    <w:p>
      <w:pPr>
        <w:ind w:left="240"/>
        <w:spacing w:after="0"/>
        <w:tabs>
          <w:tab w:leader="none" w:pos="10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 +</w:t>
      </w:r>
    </w:p>
    <w:p>
      <w:pPr>
        <w:spacing w:after="0" w:line="131" w:lineRule="exact"/>
        <w:rPr>
          <w:rFonts w:ascii="Times New Roman" w:cs="Times New Roman" w:eastAsia="Times New Roman" w:hAnsi="Times New Roman"/>
          <w:sz w:val="18"/>
          <w:szCs w:val="18"/>
          <w:u w:val="single" w:color="auto"/>
          <w:color w:val="0000EE"/>
        </w:rPr>
      </w:pPr>
    </w:p>
    <w:p>
      <w:pPr>
        <w:jc w:val="both"/>
        <w:ind w:left="1040" w:right="20" w:hanging="798"/>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of Orion Energy Systems, Inc. pursuant to Rule 13a-14(a) or Rule 15d-14(a) promulgated under the Securities Exchange Act of 1934, as amended. +</w:t>
      </w:r>
    </w:p>
    <w:p>
      <w:pPr>
        <w:spacing w:after="0" w:line="67" w:lineRule="exact"/>
        <w:rPr>
          <w:rFonts w:ascii="Times New Roman" w:cs="Times New Roman" w:eastAsia="Times New Roman" w:hAnsi="Times New Roman"/>
          <w:sz w:val="18"/>
          <w:szCs w:val="18"/>
          <w:u w:val="single" w:color="auto"/>
          <w:color w:val="0000EE"/>
        </w:rPr>
      </w:pPr>
    </w:p>
    <w:p>
      <w:pPr>
        <w:jc w:val="both"/>
        <w:ind w:left="1040" w:hanging="798"/>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of Orion Energy Systems, Inc. pursuant to Rule 13a-14(a) or Rule 15d-14(a) promulgated under the Securities Exchange Act of 1934, as amended. +</w:t>
      </w:r>
    </w:p>
    <w:p>
      <w:pPr>
        <w:spacing w:after="0" w:line="67" w:lineRule="exact"/>
        <w:rPr>
          <w:rFonts w:ascii="Times New Roman" w:cs="Times New Roman" w:eastAsia="Times New Roman" w:hAnsi="Times New Roman"/>
          <w:sz w:val="18"/>
          <w:szCs w:val="18"/>
          <w:u w:val="single" w:color="auto"/>
          <w:color w:val="0000EE"/>
        </w:rPr>
      </w:pPr>
    </w:p>
    <w:p>
      <w:pPr>
        <w:jc w:val="both"/>
        <w:ind w:left="1040" w:hanging="798"/>
        <w:spacing w:after="0" w:line="266" w:lineRule="auto"/>
        <w:tabs>
          <w:tab w:leader="none" w:pos="10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 +</w:t>
      </w:r>
    </w:p>
    <w:p>
      <w:pPr>
        <w:spacing w:after="0" w:line="81" w:lineRule="exact"/>
        <w:rPr>
          <w:rFonts w:ascii="Times New Roman" w:cs="Times New Roman" w:eastAsia="Times New Roman" w:hAnsi="Times New Roman"/>
          <w:sz w:val="18"/>
          <w:szCs w:val="18"/>
          <w:u w:val="single" w:color="auto"/>
          <w:color w:val="0000EE"/>
        </w:rPr>
      </w:pPr>
    </w:p>
    <w:p>
      <w:pPr>
        <w:ind w:left="1040" w:hanging="776"/>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 Inline XBRL Instance Document+</w:t>
      </w:r>
    </w:p>
    <w:p>
      <w:pPr>
        <w:spacing w:after="0" w:line="130"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 Inline XBRL Taxonomy extension schema document+</w:t>
      </w:r>
    </w:p>
    <w:p>
      <w:pPr>
        <w:spacing w:after="0" w:line="130"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130"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130"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 Inline XBRL Taxonomy extension label linkbase document+</w:t>
      </w:r>
    </w:p>
    <w:p>
      <w:pPr>
        <w:spacing w:after="0" w:line="130"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131" w:lineRule="exact"/>
        <w:rPr>
          <w:rFonts w:ascii="Times New Roman" w:cs="Times New Roman" w:eastAsia="Times New Roman" w:hAnsi="Times New Roman"/>
          <w:sz w:val="18"/>
          <w:szCs w:val="18"/>
          <w:u w:val="single" w:color="auto"/>
          <w:color w:val="0000EE"/>
        </w:rPr>
      </w:pPr>
    </w:p>
    <w:p>
      <w:pPr>
        <w:ind w:left="1040" w:hanging="80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fiscal year ended March 31, 2022, has been formatted in Inline</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34" w:lineRule="exact"/>
        <w:rPr>
          <w:rFonts w:ascii="Times New Roman" w:cs="Times New Roman" w:eastAsia="Times New Roman" w:hAnsi="Times New Roman"/>
          <w:sz w:val="18"/>
          <w:szCs w:val="18"/>
          <w:u w:val="single" w:color="auto"/>
          <w:color w:val="0000EE"/>
        </w:rPr>
      </w:pPr>
    </w:p>
    <w:p>
      <w:pPr>
        <w:ind w:left="500"/>
        <w:spacing w:after="0"/>
        <w:rPr>
          <w:sz w:val="20"/>
          <w:szCs w:val="20"/>
          <w:color w:val="auto"/>
        </w:rPr>
      </w:pPr>
      <w:r>
        <w:rPr>
          <w:rFonts w:ascii="Times New Roman" w:cs="Times New Roman" w:eastAsia="Times New Roman" w:hAnsi="Times New Roman"/>
          <w:sz w:val="18"/>
          <w:szCs w:val="18"/>
          <w:color w:val="auto"/>
        </w:rPr>
        <w:t>Documents incorporated by reference by Orion Energy Systems, Inc. are filed with the Securities and Exchange Commission under File No. 001-</w:t>
      </w:r>
    </w:p>
    <w:p>
      <w:pPr>
        <w:spacing w:after="0" w:line="2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33887.</w:t>
      </w:r>
    </w:p>
    <w:p>
      <w:pPr>
        <w:spacing w:after="0" w:line="153" w:lineRule="exact"/>
        <w:rPr>
          <w:rFonts w:ascii="Times New Roman" w:cs="Times New Roman" w:eastAsia="Times New Roman" w:hAnsi="Times New Roman"/>
          <w:sz w:val="18"/>
          <w:szCs w:val="18"/>
          <w:u w:val="single" w:color="auto"/>
          <w:color w:val="0000EE"/>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31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121" w:lineRule="exact"/>
        <w:rPr>
          <w:rFonts w:ascii="Times New Roman" w:cs="Times New Roman" w:eastAsia="Times New Roman" w:hAnsi="Times New Roman"/>
          <w:sz w:val="18"/>
          <w:szCs w:val="18"/>
          <w:u w:val="single" w:color="auto"/>
          <w:color w:val="0000EE"/>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u w:val="single" w:color="auto"/>
          <w:color w:val="0000EE"/>
        </w:rPr>
      </w:pPr>
    </w:p>
    <w:p>
      <w:pPr>
        <w:jc w:val="center"/>
        <w:ind w:right="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June 10,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 ALTSCHAEFL</w:t>
            </w:r>
          </w:p>
        </w:tc>
      </w:tr>
      <w:tr>
        <w:trPr>
          <w:trHeight w:val="191"/>
        </w:trPr>
        <w:tc>
          <w:tcPr>
            <w:tcW w:w="620" w:type="dxa"/>
            <w:vAlign w:val="bottom"/>
          </w:tcPr>
          <w:p>
            <w:pPr>
              <w:spacing w:after="0"/>
              <w:rPr>
                <w:sz w:val="16"/>
                <w:szCs w:val="16"/>
                <w:color w:val="auto"/>
              </w:rPr>
            </w:pPr>
          </w:p>
        </w:tc>
        <w:tc>
          <w:tcPr>
            <w:tcW w:w="3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W. Altschaefl</w:t>
            </w:r>
          </w:p>
        </w:tc>
      </w:tr>
      <w:tr>
        <w:trPr>
          <w:trHeight w:val="234"/>
        </w:trPr>
        <w:tc>
          <w:tcPr>
            <w:tcW w:w="6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Board Chair</w:t>
            </w:r>
          </w:p>
        </w:tc>
      </w:tr>
    </w:tbl>
    <w:p>
      <w:pPr>
        <w:spacing w:after="0" w:line="225"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on behalf of the Registrant in the capacities indicated on June 10,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550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31"/>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W. Altschaefl</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 and Board Chair (Principal</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W. Altschaefl</w:t>
            </w: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319"/>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 Per Brodin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Chief Accounting Officer and</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 Per Brodin</w:t>
            </w:r>
          </w:p>
        </w:tc>
        <w:tc>
          <w:tcPr>
            <w:tcW w:w="220" w:type="dxa"/>
            <w:vAlign w:val="bottom"/>
          </w:tcPr>
          <w:p>
            <w:pPr>
              <w:spacing w:after="0"/>
              <w:rPr>
                <w:sz w:val="19"/>
                <w:szCs w:val="19"/>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 (Principal Financial Officer)</w:t>
            </w:r>
          </w:p>
        </w:tc>
      </w:tr>
      <w:tr>
        <w:trPr>
          <w:trHeight w:val="319"/>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Anthony L. Otten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Anthony L. Otten</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19"/>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B. Howe</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Alan B. Howe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19"/>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Ellen B. Richstone</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Ellen B. Richstone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319"/>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Mark C. Williamson</w:t>
            </w:r>
          </w:p>
        </w:tc>
        <w:tc>
          <w:tcPr>
            <w:tcW w:w="220" w:type="dxa"/>
            <w:vAlign w:val="bottom"/>
          </w:tcPr>
          <w:p>
            <w:pPr>
              <w:spacing w:after="0"/>
              <w:rPr>
                <w:sz w:val="24"/>
                <w:szCs w:val="24"/>
                <w:color w:val="auto"/>
              </w:rPr>
            </w:pPr>
          </w:p>
        </w:tc>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C. Williamson</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55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90</w:t>
            </w:r>
          </w:p>
        </w:tc>
        <w:tc>
          <w:tcPr>
            <w:tcW w:w="550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9" w:name="page90"/>
    <w:bookmarkEnd w:id="89"/>
    <w:p>
      <w:pPr>
        <w:ind w:left="10220"/>
        <w:spacing w:after="0"/>
        <w:rPr>
          <w:sz w:val="20"/>
          <w:szCs w:val="20"/>
          <w:color w:val="auto"/>
        </w:rPr>
      </w:pPr>
      <w:r>
        <w:rPr>
          <w:rFonts w:ascii="Times New Roman" w:cs="Times New Roman" w:eastAsia="Times New Roman" w:hAnsi="Times New Roman"/>
          <w:sz w:val="17"/>
          <w:szCs w:val="17"/>
          <w:b w:val="1"/>
          <w:bCs w:val="1"/>
          <w:color w:val="auto"/>
        </w:rPr>
        <w:t>Exhibit 10.19</w:t>
      </w:r>
    </w:p>
    <w:p>
      <w:pPr>
        <w:spacing w:after="0" w:line="24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Grantee:</w:t>
      </w:r>
    </w:p>
    <w:p>
      <w:pPr>
        <w:spacing w:after="0" w:line="4"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Grant Date:</w:t>
      </w:r>
    </w:p>
    <w:p>
      <w:pPr>
        <w:jc w:val="right"/>
        <w:ind w:right="760"/>
        <w:spacing w:after="0"/>
        <w:rPr>
          <w:sz w:val="20"/>
          <w:szCs w:val="20"/>
          <w:color w:val="auto"/>
        </w:rPr>
      </w:pPr>
      <w:r>
        <w:rPr>
          <w:rFonts w:ascii="Times New Roman" w:cs="Times New Roman" w:eastAsia="Times New Roman" w:hAnsi="Times New Roman"/>
          <w:sz w:val="22"/>
          <w:szCs w:val="22"/>
          <w:color w:val="auto"/>
        </w:rPr>
        <w:t>No. of Performance Shares:</w:t>
      </w:r>
    </w:p>
    <w:p>
      <w:pPr>
        <w:spacing w:after="0" w:line="35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SHARE AWARD AGREEMENT</w:t>
      </w:r>
    </w:p>
    <w:p>
      <w:pPr>
        <w:spacing w:after="0" w:line="224"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has been selected by the Administrator to receive a Performance Share Award under the Plan; and</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WHEREAS, as a condition to the receipt by Grantee of this Performance Share Award, Grantee reaffirms and agrees to be bound by the confidentiality, inventions, non-solicitation and non-competition provisions set forth in prior agreements between the Grantee and the Company, which are incorporated by reference herein, in consideration for receipt of the Performance Share Award pursuant hereto, continued employment, and other good and valuable consideration.</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860" w:hanging="852"/>
        <w:spacing w:after="0"/>
        <w:tabs>
          <w:tab w:leader="none" w:pos="8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Award of Performance Shares</w:t>
      </w:r>
    </w:p>
    <w:p>
      <w:pPr>
        <w:spacing w:after="0" w:line="21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1.1 Effective as of the Grant Date, the Company hereby grants to Grantee an award of the number of performance shares of the Company specified above (“Performance Shares”), subject to, and in accordance with, the restrictions, terms and conditions set forth in the Plan and this Agreement. Each Performance Share represents the potential right to receive a Share subject to, and in accordance with, the restrictions, terms and conditions set forth in the Plan and this Agreement.</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1.3 This Performance Share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1"/>
          <w:szCs w:val="21"/>
          <w:color w:val="auto"/>
        </w:rPr>
        <w:t>timely accepted by execution or by such electronic means, this Performance Share Award may be cancelled by the Administrator.</w:t>
      </w:r>
    </w:p>
    <w:p>
      <w:pPr>
        <w:spacing w:after="0" w:line="214" w:lineRule="exact"/>
        <w:rPr>
          <w:sz w:val="20"/>
          <w:szCs w:val="20"/>
          <w:color w:val="auto"/>
        </w:rPr>
      </w:pPr>
    </w:p>
    <w:p>
      <w:pPr>
        <w:ind w:left="860" w:hanging="852"/>
        <w:spacing w:after="0"/>
        <w:tabs>
          <w:tab w:leader="none" w:pos="8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Performance Goals; Settlement</w:t>
      </w:r>
    </w:p>
    <w:p>
      <w:pPr>
        <w:spacing w:after="0" w:line="210"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 xml:space="preserve">2.1 Subject to the terms of the Plan and this Agreement, if Grantee remains employed by the Company through the date (the “Vesting Date”) on which the Administrator determines the level of achievement of the performance goals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during the applicable performance period indicated therein, the percentage of the Performance Shares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vest on the Vesting Date. The Administrator will determine the level of the performance goals achieved in its sole and absolute discretion following the end of the applicable performance period. Except as otherwise expressly provided herein, upon any termination of Grantee’s employment or service with the Company or a Subsidiary prior to the Vesting Date, the Performance Shares will be immediately and automatically forfeited without consideration. For purposes of this Agreement, employment with a Subsidiary of the Company or service as a member of the Board of Directors of the Company shall be considered employment or service with the Company. To the extent Performance Shares do not vest following the end of the applicable performance period based on the Administrator’s determination of the level of the performance goal achieved, such Performance Shares shall be immediately and automatically forfeited without consideration on the Vesting Date.</w:t>
      </w:r>
    </w:p>
    <w:p>
      <w:pPr>
        <w:spacing w:after="0" w:line="187"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1"/>
          <w:szCs w:val="21"/>
          <w:color w:val="auto"/>
        </w:rPr>
        <w:t>2.2 As soon as reasonably practicable (and in no event later than thirty (30) days) following the vesting of the Performance Shares hereunder, the Company will issue to the Grantee one Share for each Performance Share that has vested. The Grantee will have no further rights with regard to a Performance Share, and such Performance Share will be deemed extinguished, once the Share related to such Performance Share has been issued (or such Performance Share has been forfeited).</w:t>
      </w:r>
    </w:p>
    <w:p>
      <w:pPr>
        <w:spacing w:after="0" w:line="162"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2.3 In the event, prior to vesting, (i) Grantee dies while actively employed by the Company, or (ii) Grantee has his or her employment terminated by reason of disability (within the meaning of Section 22(e)(3) of the Internal Revenue Code of 1986, as amended (the “Code”)) (“Disability”), the Performance Shares shall become fully vested and nonforfeitable as of the date of Grantee’s death or Disability.</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2.4 In exchange for receipt of consideration in the form of this Performance Share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73"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2.5 Except for death or Disability as provided in Section 2.3, or except as otherwise provided in a severance agreement with Grantee, if Grantee terminates his or her employment or if the Company terminates Grantee’s employment prior to vesting, the Performance Shares shall cease to be eligible to vest, all of the unvested Performance Shares shall be immediately forfeited and cancelled, and Grantee shall only be entitled to the Performance Shares that have vested as of his or her date of termination.</w:t>
      </w:r>
    </w:p>
    <w:p>
      <w:pPr>
        <w:spacing w:after="0" w:line="177"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2.6 In the event of a Change of Control prior to vesting, the provisions of Section 17(c) of the Plan as in effect on the date hereof shall apply.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1" w:name="page92"/>
    <w:bookmarkEnd w:id="91"/>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2.7 The Performance Shares may not be sold, assigned, transferred, pledged, or otherwise encumbered,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6" w:lineRule="exact"/>
        <w:rPr>
          <w:sz w:val="20"/>
          <w:szCs w:val="20"/>
          <w:color w:val="auto"/>
        </w:rPr>
      </w:pPr>
    </w:p>
    <w:p>
      <w:pPr>
        <w:ind w:left="860" w:hanging="852"/>
        <w:spacing w:after="0"/>
        <w:tabs>
          <w:tab w:leader="none" w:pos="8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No Dividends; No Voting</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3.1 The Company reserves the right to place a legend on any stock certificate(s), or an appropriate stop-transfer order in the case of book-entry registration, restricting the transferability of any Shares issued following the vesting of the Performance Shares and referring to the terms and conditions (including forfeiture) of this Agreement and the Plan.</w:t>
      </w:r>
    </w:p>
    <w:p>
      <w:pPr>
        <w:spacing w:after="0" w:line="173"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3.2 Prior to the vesting of the Performance Shares in accordance with Section 2.1, the Plan and this Agreement, and the issuance of Shares hereunder, the Grantee shall have no rights as a shareholder with respect to the Performance Shares. Prior to the settlement of the Performance Shares, the Grantee shall not be entitled to receive any dividends or similar distributions declared on the Shares subject to the Performance Shares, and Grantee shall not be entitled to vote any Shares subject to the Performance Shares.</w:t>
      </w:r>
    </w:p>
    <w:p>
      <w:pPr>
        <w:spacing w:after="0" w:line="177"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3.3 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69" w:lineRule="exact"/>
        <w:rPr>
          <w:sz w:val="20"/>
          <w:szCs w:val="20"/>
          <w:color w:val="auto"/>
        </w:rPr>
      </w:pPr>
    </w:p>
    <w:p>
      <w:pPr>
        <w:ind w:left="860" w:hanging="852"/>
        <w:spacing w:after="0"/>
        <w:tabs>
          <w:tab w:leader="none" w:pos="8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73" w:lineRule="exact"/>
        <w:rPr>
          <w:sz w:val="20"/>
          <w:szCs w:val="20"/>
          <w:color w:val="auto"/>
        </w:rPr>
      </w:pPr>
    </w:p>
    <w:p>
      <w:pPr>
        <w:ind w:left="860" w:hanging="852"/>
        <w:spacing w:after="0"/>
        <w:tabs>
          <w:tab w:leader="none" w:pos="8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Performance Share Award. In the event the Company or one of its Affiliates is required to withhold any Federal, state or local taxes or other amounts in respect of any income recognized by Grantee as a result of the grant, vesting, payment or settlement of, or other event relating to, this Performance Share Award or the issuance or disposition of any Shares acquired under this Performance Share Award, the Company may deduct (or require an Affiliate to deduct) from any payments of any kind otherwise due Grantee cash, or with the consent of the Administrator, Shares otherwise deliverable or vesting under this Performance Share Award, to satisfy such tax or other obligations. Alternatively, the Company or its Affiliate may require Grantee to pay to the Company or its Affiliate, in cash, promptly on demand, or make other arrangements satisfactory to the Company or its Affiliate regarding the payment to the Company or its Affiliate of, the aggregate amount of any such taxes and other amounts.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2" w:name="page93"/>
    <w:bookmarkEnd w:id="92"/>
    <w:p>
      <w:pPr>
        <w:ind w:left="860" w:hanging="852"/>
        <w:spacing w:after="0"/>
        <w:tabs>
          <w:tab w:leader="none" w:pos="8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60" w:hanging="852"/>
        <w:spacing w:after="0"/>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860" w:hanging="852"/>
        <w:spacing w:after="0"/>
        <w:tabs>
          <w:tab w:leader="none" w:pos="8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10"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4" w:lineRule="exact"/>
        <w:rPr>
          <w:sz w:val="20"/>
          <w:szCs w:val="20"/>
          <w:color w:val="auto"/>
        </w:rPr>
      </w:pPr>
    </w:p>
    <w:p>
      <w:pPr>
        <w:ind w:left="860" w:hanging="852"/>
        <w:spacing w:after="0"/>
        <w:tabs>
          <w:tab w:leader="none" w:pos="8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860" w:hanging="852"/>
        <w:spacing w:after="0"/>
        <w:tabs>
          <w:tab w:leader="none" w:pos="8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31" w:lineRule="exact"/>
        <w:rPr>
          <w:sz w:val="20"/>
          <w:szCs w:val="20"/>
          <w:color w:val="auto"/>
        </w:rPr>
      </w:pPr>
    </w:p>
    <w:p>
      <w:pPr>
        <w:ind w:left="860" w:hanging="852"/>
        <w:spacing w:after="0"/>
        <w:tabs>
          <w:tab w:leader="none" w:pos="8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58" w:lineRule="exact"/>
        <w:rPr>
          <w:sz w:val="20"/>
          <w:szCs w:val="20"/>
          <w:color w:val="auto"/>
        </w:rPr>
      </w:pPr>
    </w:p>
    <w:p>
      <w:pPr>
        <w:ind w:left="860" w:hanging="852"/>
        <w:spacing w:after="0"/>
        <w:tabs>
          <w:tab w:leader="none" w:pos="8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9" w:lineRule="exact"/>
        <w:rPr>
          <w:sz w:val="20"/>
          <w:szCs w:val="20"/>
          <w:color w:val="auto"/>
        </w:rPr>
      </w:pPr>
    </w:p>
    <w:p>
      <w:pPr>
        <w:ind w:left="860" w:hanging="852"/>
        <w:spacing w:after="0"/>
        <w:tabs>
          <w:tab w:leader="none" w:pos="8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3" w:name="page94"/>
    <w:bookmarkEnd w:id="93"/>
    <w:p>
      <w:pPr>
        <w:jc w:val="right"/>
        <w:ind w:right="153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sectPr>
      </w:pPr>
    </w:p>
    <w:bookmarkStart w:id="94" w:name="page95"/>
    <w:bookmarkEnd w:id="94"/>
    <w:p>
      <w:pPr>
        <w:ind w:left="88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___________________________________</w:t>
      </w:r>
    </w:p>
    <w:p>
      <w:pPr>
        <w:sectPr>
          <w:pgSz w:w="11900" w:h="16838" w:orient="portrait"/>
          <w:cols w:equalWidth="0" w:num="1">
            <w:col w:w="11240"/>
          </w:cols>
          <w:pgMar w:left="320" w:top="558" w:right="339" w:bottom="1440" w:gutter="0" w:footer="0" w:header="0"/>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tabs>
          <w:tab w:leader="none" w:pos="3220" w:val="left"/>
        </w:tabs>
        <w:rPr>
          <w:sz w:val="20"/>
          <w:szCs w:val="20"/>
          <w:color w:val="auto"/>
        </w:rPr>
      </w:pPr>
      <w:r>
        <w:rPr>
          <w:rFonts w:ascii="Times New Roman" w:cs="Times New Roman" w:eastAsia="Times New Roman" w:hAnsi="Times New Roman"/>
          <w:sz w:val="22"/>
          <w:szCs w:val="22"/>
          <w:color w:val="auto"/>
        </w:rPr>
        <w:t>________________________</w:t>
      </w:r>
      <w:r>
        <w:rPr>
          <w:sz w:val="20"/>
          <w:szCs w:val="20"/>
          <w:color w:val="auto"/>
        </w:rPr>
        <w:tab/>
      </w:r>
      <w:r>
        <w:rPr>
          <w:rFonts w:ascii="Times New Roman" w:cs="Times New Roman" w:eastAsia="Times New Roman" w:hAnsi="Times New Roman"/>
          <w:sz w:val="22"/>
          <w:szCs w:val="22"/>
          <w:color w:val="auto"/>
        </w:rPr>
        <w:t>Grantee</w:t>
      </w:r>
    </w:p>
    <w:p>
      <w:pPr>
        <w:spacing w:after="0" w:line="69" w:lineRule="exact"/>
        <w:rPr>
          <w:sz w:val="20"/>
          <w:szCs w:val="20"/>
          <w:color w:val="auto"/>
        </w:rPr>
      </w:pPr>
    </w:p>
    <w:p>
      <w:pPr>
        <w:sectPr>
          <w:pgSz w:w="11900" w:h="16838" w:orient="portrait"/>
          <w:cols w:equalWidth="0" w:num="2">
            <w:col w:w="320" w:space="100"/>
            <w:col w:w="10820"/>
          </w:cols>
          <w:pgMar w:left="320" w:top="55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Title: _______________________</w:t>
      </w:r>
    </w:p>
    <w:p>
      <w:pPr>
        <w:sectPr>
          <w:pgSz w:w="11900" w:h="16838" w:orient="portrait"/>
          <w:cols w:equalWidth="0" w:num="1">
            <w:col w:w="11240"/>
          </w:cols>
          <w:pgMar w:left="320" w:top="55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Goals</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Grantee remains employed by the Company through the date on which the Administrator determines the level of cumulative revenue growth rate (“Revenue Growth”) achieved over fiscal years 2023-2025, the following percentage of the Performance Shares shall vest to the extent the Administrator determines the applicable level of Revenue Growth has been achieved following the end of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2084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582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22"/>
                <w:szCs w:val="22"/>
                <w:b w:val="1"/>
                <w:bCs w:val="1"/>
                <w:color w:val="auto"/>
              </w:rPr>
              <w:t>Fiscal Year 2023-2025 Cumulative Revenue Growth Rate</w:t>
            </w:r>
          </w:p>
        </w:tc>
        <w:tc>
          <w:tcPr>
            <w:tcW w:w="54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22"/>
                <w:szCs w:val="22"/>
                <w:b w:val="1"/>
                <w:bCs w:val="1"/>
                <w:color w:val="auto"/>
              </w:rPr>
              <w:t>Percentage of Total Performance Shares Vesting</w:t>
            </w:r>
          </w:p>
        </w:tc>
      </w:tr>
      <w:tr>
        <w:trPr>
          <w:trHeight w:val="173"/>
        </w:trPr>
        <w:tc>
          <w:tcPr>
            <w:tcW w:w="2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spacing w:after="0"/>
              <w:rPr>
                <w:sz w:val="15"/>
                <w:szCs w:val="15"/>
                <w:color w:val="auto"/>
              </w:rPr>
            </w:pPr>
          </w:p>
        </w:tc>
      </w:tr>
      <w:tr>
        <w:trPr>
          <w:trHeight w:val="276"/>
        </w:trPr>
        <w:tc>
          <w:tcPr>
            <w:tcW w:w="582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color w:val="auto"/>
                <w:w w:val="99"/>
              </w:rPr>
              <w:t>25%</w:t>
            </w:r>
          </w:p>
        </w:tc>
        <w:tc>
          <w:tcPr>
            <w:tcW w:w="542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9"/>
              </w:rPr>
              <w:t>33%</w:t>
            </w:r>
          </w:p>
        </w:tc>
      </w:tr>
      <w:tr>
        <w:trPr>
          <w:trHeight w:val="177"/>
        </w:trPr>
        <w:tc>
          <w:tcPr>
            <w:tcW w:w="2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spacing w:after="0"/>
              <w:rPr>
                <w:sz w:val="15"/>
                <w:szCs w:val="15"/>
                <w:color w:val="auto"/>
              </w:rPr>
            </w:pPr>
          </w:p>
        </w:tc>
      </w:tr>
      <w:tr>
        <w:trPr>
          <w:trHeight w:val="276"/>
        </w:trPr>
        <w:tc>
          <w:tcPr>
            <w:tcW w:w="582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color w:val="auto"/>
                <w:w w:val="99"/>
              </w:rPr>
              <w:t>33%</w:t>
            </w:r>
          </w:p>
        </w:tc>
        <w:tc>
          <w:tcPr>
            <w:tcW w:w="542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9"/>
              </w:rPr>
              <w:t>66%</w:t>
            </w:r>
          </w:p>
        </w:tc>
      </w:tr>
      <w:tr>
        <w:trPr>
          <w:trHeight w:val="177"/>
        </w:trPr>
        <w:tc>
          <w:tcPr>
            <w:tcW w:w="2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spacing w:after="0"/>
              <w:rPr>
                <w:sz w:val="15"/>
                <w:szCs w:val="15"/>
                <w:color w:val="auto"/>
              </w:rPr>
            </w:pPr>
          </w:p>
        </w:tc>
      </w:tr>
      <w:tr>
        <w:trPr>
          <w:trHeight w:val="196"/>
        </w:trPr>
        <w:tc>
          <w:tcPr>
            <w:tcW w:w="5820" w:type="dxa"/>
            <w:vAlign w:val="bottom"/>
            <w:gridSpan w:val="3"/>
          </w:tcPr>
          <w:p>
            <w:pPr>
              <w:jc w:val="center"/>
              <w:ind w:right="180"/>
              <w:spacing w:after="0" w:line="196" w:lineRule="exact"/>
              <w:rPr>
                <w:sz w:val="20"/>
                <w:szCs w:val="20"/>
                <w:color w:val="auto"/>
              </w:rPr>
            </w:pPr>
            <w:r>
              <w:rPr>
                <w:rFonts w:ascii="Times New Roman" w:cs="Times New Roman" w:eastAsia="Times New Roman" w:hAnsi="Times New Roman"/>
                <w:sz w:val="22"/>
                <w:szCs w:val="22"/>
                <w:color w:val="auto"/>
                <w:w w:val="98"/>
              </w:rPr>
              <w:t>&gt;40%</w:t>
            </w:r>
          </w:p>
        </w:tc>
        <w:tc>
          <w:tcPr>
            <w:tcW w:w="5420" w:type="dxa"/>
            <w:vAlign w:val="bottom"/>
          </w:tcPr>
          <w:p>
            <w:pPr>
              <w:jc w:val="center"/>
              <w:ind w:right="92"/>
              <w:spacing w:after="0" w:line="196" w:lineRule="exact"/>
              <w:rPr>
                <w:sz w:val="20"/>
                <w:szCs w:val="20"/>
                <w:color w:val="auto"/>
              </w:rPr>
            </w:pPr>
            <w:r>
              <w:rPr>
                <w:rFonts w:ascii="Times New Roman" w:cs="Times New Roman" w:eastAsia="Times New Roman" w:hAnsi="Times New Roman"/>
                <w:sz w:val="22"/>
                <w:szCs w:val="22"/>
                <w:color w:val="auto"/>
                <w:w w:val="97"/>
              </w:rPr>
              <w:t>100%</w:t>
            </w:r>
          </w:p>
        </w:tc>
      </w:tr>
      <w:tr>
        <w:trPr>
          <w:trHeight w:val="20"/>
        </w:trPr>
        <w:tc>
          <w:tcPr>
            <w:tcW w:w="2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number of Performance Shares vesting will be interpolated for Revenue Growth between 25% and 33%, or between 33% and 40%. The Administrator will include acquired revenue in its determination of Revenue Growth, and will otherwise determine the Revenue Growth achieved in its sole and absolute discretion following the end of fiscal year 2025.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24" w:lineRule="exact"/>
        <w:rPr>
          <w:sz w:val="20"/>
          <w:szCs w:val="20"/>
          <w:color w:val="auto"/>
        </w:rPr>
      </w:pPr>
    </w:p>
    <w:p>
      <w:pPr>
        <w:jc w:val="both"/>
        <w:ind w:firstLine="1735"/>
        <w:spacing w:after="0" w:line="232" w:lineRule="auto"/>
        <w:tabs>
          <w:tab w:leader="none" w:pos="258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735"/>
        <w:spacing w:after="0" w:line="235" w:lineRule="auto"/>
        <w:tabs>
          <w:tab w:leader="none" w:pos="257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7" w:name="page98"/>
    <w:bookmarkEnd w:id="97"/>
    <w:p>
      <w:pPr>
        <w:jc w:val="both"/>
        <w:spacing w:after="0" w:line="244" w:lineRule="auto"/>
        <w:rPr>
          <w:sz w:val="20"/>
          <w:szCs w:val="20"/>
          <w:color w:val="auto"/>
        </w:rPr>
      </w:pPr>
      <w:r>
        <w:rPr>
          <w:rFonts w:ascii="Times New Roman" w:cs="Times New Roman" w:eastAsia="Times New Roman" w:hAnsi="Times New Roman"/>
          <w:sz w:val="22"/>
          <w:szCs w:val="22"/>
          <w:color w:val="auto"/>
        </w:rPr>
        <w:t>solicitation; or (iii) the solicitation (or employment as a result of the solicitation) of any Company management employees through (a) public advertisements or general solicitations that are not specifically targeted at such person(s); or (b) recruiting or search firms not targeting the Company’s management employees.</w:t>
      </w:r>
    </w:p>
    <w:p>
      <w:pPr>
        <w:spacing w:after="0" w:line="173" w:lineRule="exact"/>
        <w:rPr>
          <w:sz w:val="20"/>
          <w:szCs w:val="20"/>
          <w:color w:val="auto"/>
        </w:rPr>
      </w:pPr>
    </w:p>
    <w:p>
      <w:pPr>
        <w:jc w:val="both"/>
        <w:ind w:firstLine="1735"/>
        <w:spacing w:after="0" w:line="244" w:lineRule="auto"/>
        <w:tabs>
          <w:tab w:leader="none" w:pos="257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735"/>
        <w:spacing w:after="0" w:line="235" w:lineRule="auto"/>
        <w:tabs>
          <w:tab w:leader="none" w:pos="258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6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4895-8223-0302.3</w:t>
      </w:r>
    </w:p>
    <w:p>
      <w:pPr>
        <w:sectPr>
          <w:pgSz w:w="11900" w:h="16838" w:orient="portrait"/>
          <w:cols w:equalWidth="0" w:num="1">
            <w:col w:w="11240"/>
          </w:cols>
          <w:pgMar w:left="320" w:top="342" w:right="339" w:bottom="1440" w:gutter="0" w:footer="0" w:header="0"/>
        </w:sectPr>
      </w:pPr>
    </w:p>
    <w:bookmarkStart w:id="98" w:name="page99"/>
    <w:bookmarkEnd w:id="98"/>
    <w:p>
      <w:pPr>
        <w:ind w:left="10220"/>
        <w:spacing w:after="0"/>
        <w:rPr>
          <w:sz w:val="20"/>
          <w:szCs w:val="20"/>
          <w:color w:val="auto"/>
        </w:rPr>
      </w:pPr>
      <w:r>
        <w:rPr>
          <w:rFonts w:ascii="Times New Roman" w:cs="Times New Roman" w:eastAsia="Times New Roman" w:hAnsi="Times New Roman"/>
          <w:sz w:val="17"/>
          <w:szCs w:val="17"/>
          <w:b w:val="1"/>
          <w:bCs w:val="1"/>
          <w:color w:val="auto"/>
        </w:rPr>
        <w:t>Exhibit 10.20</w:t>
      </w:r>
    </w:p>
    <w:p>
      <w:pPr>
        <w:spacing w:after="0" w:line="24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Non-Employee Director Grantee:</w:t>
      </w:r>
    </w:p>
    <w:p>
      <w:pPr>
        <w:spacing w:after="0" w:line="4"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Grant Date:</w:t>
      </w:r>
    </w:p>
    <w:p>
      <w:pPr>
        <w:jc w:val="right"/>
        <w:ind w:right="760"/>
        <w:spacing w:after="0"/>
        <w:rPr>
          <w:sz w:val="20"/>
          <w:szCs w:val="20"/>
          <w:color w:val="auto"/>
        </w:rPr>
      </w:pPr>
      <w:r>
        <w:rPr>
          <w:rFonts w:ascii="Times New Roman" w:cs="Times New Roman" w:eastAsia="Times New Roman" w:hAnsi="Times New Roman"/>
          <w:sz w:val="22"/>
          <w:szCs w:val="22"/>
          <w:color w:val="auto"/>
        </w:rPr>
        <w:t>No. of Restricted Shares:</w:t>
      </w:r>
    </w:p>
    <w:p>
      <w:pPr>
        <w:spacing w:after="0" w:line="35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AWARD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(100% Restricted Stock)</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Members of the Board of Directors)</w:t>
      </w:r>
    </w:p>
    <w:p>
      <w:pPr>
        <w:spacing w:after="0" w:line="224"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Non-Employee Director Grantee specified above (“Grantee”).</w:t>
      </w:r>
    </w:p>
    <w:p>
      <w:pPr>
        <w:spacing w:after="0" w:line="173"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is receiving this Restricted Stock Award under the Plan as part of the Grantee’s annual retainer for services as a non-employee member of the Board of Directors of the Company.</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880" w:hanging="872"/>
        <w:spacing w:after="0"/>
        <w:tabs>
          <w:tab w:leader="none" w:pos="8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Award of Restricted Stock</w:t>
      </w:r>
    </w:p>
    <w:p>
      <w:pPr>
        <w:spacing w:after="0" w:line="210"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1.1 Effective as of the Grant Date, the Company hereby grants to Grantee an award of the number of shares of restricted Stock of the Company specified above (“Restricted Stock”), subject to, and in accordance with, the restrictions, terms and conditions set forth in the Plan and this Agreement.</w:t>
      </w:r>
    </w:p>
    <w:p>
      <w:pPr>
        <w:spacing w:after="0" w:line="173"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3" w:lineRule="exact"/>
        <w:rPr>
          <w:sz w:val="20"/>
          <w:szCs w:val="20"/>
          <w:color w:val="auto"/>
        </w:rPr>
      </w:pPr>
    </w:p>
    <w:p>
      <w:pPr>
        <w:jc w:val="both"/>
        <w:ind w:firstLine="873"/>
        <w:spacing w:after="0" w:line="239" w:lineRule="auto"/>
        <w:rPr>
          <w:sz w:val="20"/>
          <w:szCs w:val="20"/>
          <w:color w:val="auto"/>
        </w:rPr>
      </w:pPr>
      <w:r>
        <w:rPr>
          <w:rFonts w:ascii="Times New Roman" w:cs="Times New Roman" w:eastAsia="Times New Roman" w:hAnsi="Times New Roman"/>
          <w:sz w:val="22"/>
          <w:szCs w:val="22"/>
          <w:color w:val="auto"/>
        </w:rPr>
        <w:t>1.3 This Restricted Stock Award is conditioned upon Grantee’s acceptance of the terms of this Agreement, as evidenced by Grantee’s execution of this Agreement or by Grantee’s electronic acceptance of the Agreement in a manner and during the time period allowed by the Company. If the terms of this Agreement are not timely accepted by execution or by such electronic means, this Restricted Stock Award may be cancelled.</w:t>
      </w:r>
    </w:p>
    <w:p>
      <w:pPr>
        <w:spacing w:after="0" w:line="176" w:lineRule="exact"/>
        <w:rPr>
          <w:sz w:val="20"/>
          <w:szCs w:val="20"/>
          <w:color w:val="auto"/>
        </w:rPr>
      </w:pPr>
    </w:p>
    <w:p>
      <w:pPr>
        <w:ind w:left="880" w:hanging="872"/>
        <w:spacing w:after="0"/>
        <w:tabs>
          <w:tab w:leader="none" w:pos="8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10" w:lineRule="exact"/>
        <w:rPr>
          <w:sz w:val="20"/>
          <w:szCs w:val="20"/>
          <w:color w:val="auto"/>
        </w:rPr>
      </w:pPr>
    </w:p>
    <w:p>
      <w:pPr>
        <w:jc w:val="both"/>
        <w:ind w:right="20" w:firstLine="873"/>
        <w:spacing w:after="0" w:line="244" w:lineRule="auto"/>
        <w:rPr>
          <w:sz w:val="20"/>
          <w:szCs w:val="20"/>
          <w:color w:val="auto"/>
        </w:rPr>
      </w:pPr>
      <w:r>
        <w:rPr>
          <w:rFonts w:ascii="Times New Roman" w:cs="Times New Roman" w:eastAsia="Times New Roman" w:hAnsi="Times New Roman"/>
          <w:sz w:val="22"/>
          <w:szCs w:val="22"/>
          <w:color w:val="auto"/>
        </w:rPr>
        <w:t>2.1 Subject to the terms of the Plan and this Agreement, if the Grantee remains a member of the Board of Directors of the Company as of the applicable vesting date, the Restricted Stock shall vest one-third (1/3) per year on each of the first three (3) anniversaries of the Grant Date set forth herein.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4833-8062-6229.4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both"/>
        <w:ind w:firstLine="873"/>
        <w:spacing w:after="0" w:line="239" w:lineRule="auto"/>
        <w:rPr>
          <w:sz w:val="20"/>
          <w:szCs w:val="20"/>
          <w:color w:val="auto"/>
        </w:rPr>
      </w:pPr>
      <w:r>
        <w:rPr>
          <w:rFonts w:ascii="Times New Roman" w:cs="Times New Roman" w:eastAsia="Times New Roman" w:hAnsi="Times New Roman"/>
          <w:sz w:val="22"/>
          <w:szCs w:val="22"/>
          <w:color w:val="auto"/>
        </w:rPr>
        <w:t>2.2 Subject to vesting in accordance with Section 2.1, the terms of the Plan and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w:t>
      </w:r>
    </w:p>
    <w:p>
      <w:pPr>
        <w:spacing w:after="0" w:line="180" w:lineRule="exact"/>
        <w:rPr>
          <w:sz w:val="20"/>
          <w:szCs w:val="20"/>
          <w:color w:val="auto"/>
        </w:rPr>
      </w:pPr>
    </w:p>
    <w:p>
      <w:pPr>
        <w:jc w:val="both"/>
        <w:ind w:firstLine="873"/>
        <w:spacing w:after="0" w:line="236" w:lineRule="auto"/>
        <w:rPr>
          <w:sz w:val="20"/>
          <w:szCs w:val="20"/>
          <w:color w:val="auto"/>
        </w:rPr>
      </w:pPr>
      <w:r>
        <w:rPr>
          <w:rFonts w:ascii="Times New Roman" w:cs="Times New Roman" w:eastAsia="Times New Roman" w:hAnsi="Times New Roman"/>
          <w:sz w:val="22"/>
          <w:szCs w:val="22"/>
          <w:color w:val="auto"/>
        </w:rPr>
        <w:t>2.3 In the event, prior to vesting, (i) Grantee dies while serving as a member of the Board of Directors of the Company, or (ii) Grantee has his or her directorship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181" w:lineRule="exact"/>
        <w:rPr>
          <w:sz w:val="20"/>
          <w:szCs w:val="20"/>
          <w:color w:val="auto"/>
        </w:rPr>
      </w:pPr>
    </w:p>
    <w:p>
      <w:pPr>
        <w:jc w:val="both"/>
        <w:ind w:firstLine="873"/>
        <w:spacing w:after="0" w:line="234" w:lineRule="auto"/>
        <w:rPr>
          <w:sz w:val="20"/>
          <w:szCs w:val="20"/>
          <w:color w:val="auto"/>
        </w:rPr>
      </w:pPr>
      <w:r>
        <w:rPr>
          <w:rFonts w:ascii="Times New Roman" w:cs="Times New Roman" w:eastAsia="Times New Roman" w:hAnsi="Times New Roman"/>
          <w:sz w:val="22"/>
          <w:szCs w:val="22"/>
          <w:color w:val="auto"/>
        </w:rPr>
        <w:t>2.4 Except for death or Disability as provided in Section 2.3, if Grantee’s status as a member of the Board of Directors of the Company terminates prior to vesting for any reason, the Restricted Stock shall cease to vest further, all of the unvested Restricted Stock shall be immediately forfeited and cancelled, and Grantee shall only be entitled to the Restricted Stock that has vested as of his or her date of termination as a director; provided, however, if Grantee’s status as a member of the Board of Directors of the Company terminates prior to vesting for any reason (except for death or Disability as provided in Section 2.3), the Administrator, in its absolute discretion and in lieu of the forfeiture and cancellation of unvested Restricted Stock provided for in this Section 2.4, decide to: (i) accelerate the vesting of all or a portion of the unvested Restricted Stock and/or (ii) allow all or a portion of the unvested Restricted Stock to continue to vest on the same or a revised schedule; in each instance, subject to any additional terms and conditions the Administrator determines appropriate.</w:t>
      </w:r>
    </w:p>
    <w:p>
      <w:pPr>
        <w:spacing w:after="0" w:line="183" w:lineRule="exact"/>
        <w:rPr>
          <w:sz w:val="20"/>
          <w:szCs w:val="20"/>
          <w:color w:val="auto"/>
        </w:rPr>
      </w:pPr>
    </w:p>
    <w:p>
      <w:pPr>
        <w:jc w:val="both"/>
        <w:ind w:firstLine="873"/>
        <w:spacing w:after="0" w:line="238" w:lineRule="auto"/>
        <w:rPr>
          <w:sz w:val="20"/>
          <w:szCs w:val="20"/>
          <w:color w:val="auto"/>
        </w:rPr>
      </w:pPr>
      <w:r>
        <w:rPr>
          <w:rFonts w:ascii="Times New Roman" w:cs="Times New Roman" w:eastAsia="Times New Roman" w:hAnsi="Times New Roman"/>
          <w:sz w:val="22"/>
          <w:szCs w:val="22"/>
          <w:color w:val="auto"/>
        </w:rPr>
        <w:t>2.5 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7" w:lineRule="exact"/>
        <w:rPr>
          <w:sz w:val="20"/>
          <w:szCs w:val="20"/>
          <w:color w:val="auto"/>
        </w:rPr>
      </w:pPr>
    </w:p>
    <w:p>
      <w:pPr>
        <w:ind w:right="20" w:firstLine="873"/>
        <w:spacing w:after="0" w:line="239" w:lineRule="auto"/>
        <w:rPr>
          <w:sz w:val="20"/>
          <w:szCs w:val="20"/>
          <w:color w:val="auto"/>
        </w:rPr>
      </w:pPr>
      <w:r>
        <w:rPr>
          <w:rFonts w:ascii="Times New Roman" w:cs="Times New Roman" w:eastAsia="Times New Roman" w:hAnsi="Times New Roman"/>
          <w:sz w:val="22"/>
          <w:szCs w:val="22"/>
          <w:color w:val="auto"/>
        </w:rPr>
        <w:t>2.6 Notwithstanding the other provisions of this Agreement, in the event of a Change of Control prior to vesting, all otherwise unvested Restricted Stock shall become fully vested and nonforfeitable as of the date of the Change of Control. The Company shall transfer the Restricted Stock that vests pursuant to this Section 2.6 to an unrestricted account in the name of Grantee as soon as practical after the date of the Change of Control.</w:t>
      </w:r>
    </w:p>
    <w:p>
      <w:pPr>
        <w:spacing w:after="0" w:line="176" w:lineRule="exact"/>
        <w:rPr>
          <w:sz w:val="20"/>
          <w:szCs w:val="20"/>
          <w:color w:val="auto"/>
        </w:rPr>
      </w:pPr>
    </w:p>
    <w:p>
      <w:pPr>
        <w:ind w:left="880" w:hanging="872"/>
        <w:spacing w:after="0"/>
        <w:tabs>
          <w:tab w:leader="none" w:pos="8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w:t>
      </w:r>
    </w:p>
    <w:p>
      <w:pPr>
        <w:spacing w:after="0" w:line="210" w:lineRule="exact"/>
        <w:rPr>
          <w:sz w:val="20"/>
          <w:szCs w:val="20"/>
          <w:color w:val="auto"/>
        </w:rPr>
      </w:pPr>
    </w:p>
    <w:p>
      <w:pPr>
        <w:jc w:val="both"/>
        <w:ind w:firstLine="873"/>
        <w:spacing w:after="0" w:line="238" w:lineRule="auto"/>
        <w:rPr>
          <w:sz w:val="20"/>
          <w:szCs w:val="20"/>
          <w:color w:val="auto"/>
        </w:rPr>
      </w:pPr>
      <w:r>
        <w:rPr>
          <w:rFonts w:ascii="Times New Roman" w:cs="Times New Roman" w:eastAsia="Times New Roman" w:hAnsi="Times New Roman"/>
          <w:sz w:val="22"/>
          <w:szCs w:val="22"/>
          <w:color w:val="auto"/>
        </w:rPr>
        <w:t>3.1 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4833-8062-6229.4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0" w:name="page101"/>
    <w:bookmarkEnd w:id="100"/>
    <w:p>
      <w:pPr>
        <w:jc w:val="both"/>
        <w:spacing w:after="0" w:line="244" w:lineRule="auto"/>
        <w:rPr>
          <w:sz w:val="20"/>
          <w:szCs w:val="20"/>
          <w:color w:val="auto"/>
        </w:rPr>
      </w:pPr>
      <w:r>
        <w:rPr>
          <w:rFonts w:ascii="Times New Roman" w:cs="Times New Roman" w:eastAsia="Times New Roman" w:hAnsi="Times New Roman"/>
          <w:sz w:val="22"/>
          <w:szCs w:val="22"/>
          <w:color w:val="auto"/>
        </w:rPr>
        <w:t>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73"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3.2 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3"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3.3 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69" w:lineRule="exact"/>
        <w:rPr>
          <w:sz w:val="20"/>
          <w:szCs w:val="20"/>
          <w:color w:val="auto"/>
        </w:rPr>
      </w:pPr>
    </w:p>
    <w:p>
      <w:pPr>
        <w:ind w:left="880" w:hanging="872"/>
        <w:spacing w:after="0"/>
        <w:tabs>
          <w:tab w:leader="none" w:pos="8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Service or Additional Grants</w:t>
      </w:r>
    </w:p>
    <w:p>
      <w:pPr>
        <w:spacing w:after="0" w:line="210" w:lineRule="exact"/>
        <w:rPr>
          <w:sz w:val="20"/>
          <w:szCs w:val="20"/>
          <w:color w:val="auto"/>
        </w:rPr>
      </w:pPr>
    </w:p>
    <w:p>
      <w:pPr>
        <w:jc w:val="both"/>
        <w:ind w:firstLine="873"/>
        <w:spacing w:after="0" w:line="238"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service as a member of the Board of Directors of the Company, nor shall this Agreement or the Plan interfere in any way with the right of the Company to terminate Grantee’s service at any time or for any reason in accordance with the Company’s Articles of Incorporation and By-Laws. The Plan may be terminated at any time, and, even if the Plan is not terminated, Grantee shall not be entitled to any additional awards under the Plan.</w:t>
      </w:r>
    </w:p>
    <w:p>
      <w:pPr>
        <w:spacing w:after="0" w:line="173" w:lineRule="exact"/>
        <w:rPr>
          <w:sz w:val="20"/>
          <w:szCs w:val="20"/>
          <w:color w:val="auto"/>
        </w:rPr>
      </w:pPr>
    </w:p>
    <w:p>
      <w:pPr>
        <w:ind w:left="880" w:hanging="872"/>
        <w:spacing w:after="0"/>
        <w:tabs>
          <w:tab w:leader="none" w:pos="8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873"/>
        <w:spacing w:after="0" w:line="233"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award of Restricted Stock and dividends or other distributions paid on such Restricted Stock. Grantee shall have the right to make such elections under the Code as are available in connection with this Restricted Stock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 the right to retain and withhold from any payment of Restricted Stock or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4833-8062-6229.4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1" w:name="page102"/>
    <w:bookmarkEnd w:id="101"/>
    <w:p>
      <w:pPr>
        <w:ind w:left="880" w:hanging="872"/>
        <w:spacing w:after="0"/>
        <w:tabs>
          <w:tab w:leader="none" w:pos="8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873"/>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80" w:hanging="872"/>
        <w:spacing w:after="0"/>
        <w:tabs>
          <w:tab w:leader="none" w:pos="8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10" w:lineRule="exact"/>
        <w:rPr>
          <w:sz w:val="20"/>
          <w:szCs w:val="20"/>
          <w:color w:val="auto"/>
        </w:rPr>
      </w:pPr>
    </w:p>
    <w:p>
      <w:pPr>
        <w:ind w:right="20" w:firstLine="873"/>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880" w:hanging="872"/>
        <w:spacing w:after="0"/>
        <w:tabs>
          <w:tab w:leader="none" w:pos="8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10" w:lineRule="exact"/>
        <w:rPr>
          <w:sz w:val="20"/>
          <w:szCs w:val="20"/>
          <w:color w:val="auto"/>
        </w:rPr>
      </w:pPr>
    </w:p>
    <w:p>
      <w:pPr>
        <w:ind w:firstLine="873"/>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4" w:lineRule="exact"/>
        <w:rPr>
          <w:sz w:val="20"/>
          <w:szCs w:val="20"/>
          <w:color w:val="auto"/>
        </w:rPr>
      </w:pPr>
    </w:p>
    <w:p>
      <w:pPr>
        <w:ind w:left="880" w:hanging="872"/>
        <w:spacing w:after="0"/>
        <w:tabs>
          <w:tab w:leader="none" w:pos="8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right="20" w:firstLine="873"/>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880" w:hanging="872"/>
        <w:spacing w:after="0"/>
        <w:tabs>
          <w:tab w:leader="none" w:pos="8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873"/>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31" w:lineRule="exact"/>
        <w:rPr>
          <w:sz w:val="20"/>
          <w:szCs w:val="20"/>
          <w:color w:val="auto"/>
        </w:rPr>
      </w:pPr>
    </w:p>
    <w:p>
      <w:pPr>
        <w:ind w:left="880" w:hanging="872"/>
        <w:spacing w:after="0"/>
        <w:tabs>
          <w:tab w:leader="none" w:pos="8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873"/>
        <w:spacing w:after="0" w:line="238" w:lineRule="auto"/>
        <w:rPr>
          <w:sz w:val="20"/>
          <w:szCs w:val="20"/>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73" w:lineRule="exact"/>
        <w:rPr>
          <w:sz w:val="20"/>
          <w:szCs w:val="20"/>
          <w:color w:val="auto"/>
        </w:rPr>
      </w:pPr>
    </w:p>
    <w:p>
      <w:pPr>
        <w:ind w:left="880" w:hanging="872"/>
        <w:spacing w:after="0"/>
        <w:tabs>
          <w:tab w:leader="none" w:pos="8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9" w:lineRule="exact"/>
        <w:rPr>
          <w:sz w:val="20"/>
          <w:szCs w:val="20"/>
          <w:color w:val="auto"/>
        </w:rPr>
      </w:pPr>
    </w:p>
    <w:p>
      <w:pPr>
        <w:ind w:left="880" w:hanging="872"/>
        <w:spacing w:after="0"/>
        <w:tabs>
          <w:tab w:leader="none" w:pos="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firstLine="873"/>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4833-8062-6229.4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2" w:name="page103"/>
    <w:bookmarkEnd w:id="102"/>
    <w:p>
      <w:pPr>
        <w:jc w:val="right"/>
        <w:ind w:right="153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4833-8062-6229.4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8" w:right="1440" w:bottom="1440" w:gutter="0" w:footer="0" w:header="0"/>
        </w:sectPr>
      </w:pPr>
    </w:p>
    <w:bookmarkStart w:id="103" w:name="page104"/>
    <w:bookmarkEnd w:id="103"/>
    <w:p>
      <w:pPr>
        <w:ind w:left="88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2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2"/>
          <w:szCs w:val="22"/>
          <w:color w:val="auto"/>
        </w:rPr>
        <w:t>By: ________________________</w:t>
      </w:r>
      <w:r>
        <w:rPr>
          <w:sz w:val="20"/>
          <w:szCs w:val="20"/>
          <w:color w:val="auto"/>
        </w:rPr>
        <w:tab/>
      </w:r>
      <w:r>
        <w:rPr>
          <w:rFonts w:ascii="Times New Roman" w:cs="Times New Roman" w:eastAsia="Times New Roman" w:hAnsi="Times New Roman"/>
          <w:sz w:val="22"/>
          <w:szCs w:val="22"/>
          <w:color w:val="auto"/>
        </w:rPr>
        <w:t>Grantee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_______________________</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4833-8062-6229.4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24" w:lineRule="exact"/>
        <w:rPr>
          <w:sz w:val="20"/>
          <w:szCs w:val="20"/>
          <w:color w:val="auto"/>
        </w:rPr>
      </w:pPr>
    </w:p>
    <w:p>
      <w:pPr>
        <w:jc w:val="both"/>
        <w:ind w:firstLine="1752"/>
        <w:spacing w:after="0" w:line="232" w:lineRule="auto"/>
        <w:tabs>
          <w:tab w:leader="none" w:pos="260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752"/>
        <w:spacing w:after="0" w:line="235" w:lineRule="auto"/>
        <w:tabs>
          <w:tab w:leader="none" w:pos="259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4833-8062-6229.4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5" w:name="page106"/>
    <w:bookmarkEnd w:id="105"/>
    <w:p>
      <w:pPr>
        <w:jc w:val="both"/>
        <w:spacing w:after="0" w:line="244" w:lineRule="auto"/>
        <w:rPr>
          <w:sz w:val="20"/>
          <w:szCs w:val="20"/>
          <w:color w:val="auto"/>
        </w:rPr>
      </w:pPr>
      <w:r>
        <w:rPr>
          <w:rFonts w:ascii="Times New Roman" w:cs="Times New Roman" w:eastAsia="Times New Roman" w:hAnsi="Times New Roman"/>
          <w:sz w:val="22"/>
          <w:szCs w:val="22"/>
          <w:color w:val="auto"/>
        </w:rPr>
        <w:t>solicitation; or (iii) the solicitation (or employment as a result of the solicitation) of any Company management employees through (a) public advertisements or general solicitations that are not specifically targeted at such person(s); or (b) recruiting or search firms not targeting the Company’s management employees.</w:t>
      </w:r>
    </w:p>
    <w:p>
      <w:pPr>
        <w:spacing w:after="0" w:line="173" w:lineRule="exact"/>
        <w:rPr>
          <w:sz w:val="20"/>
          <w:szCs w:val="20"/>
          <w:color w:val="auto"/>
        </w:rPr>
      </w:pPr>
    </w:p>
    <w:p>
      <w:pPr>
        <w:jc w:val="both"/>
        <w:ind w:firstLine="1752"/>
        <w:spacing w:after="0" w:line="244" w:lineRule="auto"/>
        <w:tabs>
          <w:tab w:leader="none" w:pos="259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752"/>
        <w:spacing w:after="0" w:line="235" w:lineRule="auto"/>
        <w:tabs>
          <w:tab w:leader="none" w:pos="260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752"/>
        <w:spacing w:after="0" w:line="244" w:lineRule="auto"/>
        <w:tabs>
          <w:tab w:leader="none" w:pos="257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4833-8062-6229.4</w:t>
      </w:r>
    </w:p>
    <w:p>
      <w:pPr>
        <w:sectPr>
          <w:pgSz w:w="11900" w:h="16838" w:orient="portrait"/>
          <w:cols w:equalWidth="0" w:num="1">
            <w:col w:w="11240"/>
          </w:cols>
          <w:pgMar w:left="320" w:top="342"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33"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21"/>
          <w:szCs w:val="21"/>
          <w:color w:val="auto"/>
        </w:rPr>
        <w:t xml:space="preserve">Grantee: </w:t>
      </w:r>
      <w:r>
        <w:rPr>
          <w:rFonts w:ascii="Times New Roman" w:cs="Times New Roman" w:eastAsia="Times New Roman" w:hAnsi="Times New Roman"/>
          <w:sz w:val="21"/>
          <w:szCs w:val="21"/>
          <w:u w:val="single" w:color="auto"/>
          <w:color w:val="auto"/>
        </w:rPr>
        <w:t>________</w:t>
      </w:r>
    </w:p>
    <w:p>
      <w:pPr>
        <w:spacing w:after="0" w:line="1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22"/>
          <w:szCs w:val="22"/>
          <w:color w:val="auto"/>
        </w:rPr>
        <w:t>Grant Date: _______</w:t>
      </w:r>
    </w:p>
    <w:p>
      <w:pPr>
        <w:ind w:left="8320"/>
        <w:spacing w:after="0" w:line="230" w:lineRule="auto"/>
        <w:rPr>
          <w:sz w:val="20"/>
          <w:szCs w:val="20"/>
          <w:color w:val="auto"/>
        </w:rPr>
      </w:pPr>
      <w:r>
        <w:rPr>
          <w:rFonts w:ascii="Times New Roman" w:cs="Times New Roman" w:eastAsia="Times New Roman" w:hAnsi="Times New Roman"/>
          <w:sz w:val="22"/>
          <w:szCs w:val="22"/>
          <w:color w:val="auto"/>
        </w:rPr>
        <w:t>No. of Restricted Shares:</w:t>
      </w:r>
    </w:p>
    <w:p>
      <w:pPr>
        <w:spacing w:after="0" w:line="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21"/>
          <w:szCs w:val="21"/>
          <w:color w:val="auto"/>
        </w:rPr>
        <w:t xml:space="preserve">Amount of Restricted Cash: </w:t>
      </w:r>
      <w:r>
        <w:rPr>
          <w:rFonts w:ascii="Times New Roman" w:cs="Times New Roman" w:eastAsia="Times New Roman" w:hAnsi="Times New Roman"/>
          <w:sz w:val="21"/>
          <w:szCs w:val="21"/>
          <w:u w:val="single" w:color="auto"/>
          <w:color w:val="auto"/>
        </w:rPr>
        <w:t>$________</w:t>
      </w:r>
    </w:p>
    <w:p>
      <w:pPr>
        <w:spacing w:after="0" w:line="36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TANDEM RESTRICTED STOCK AND CASH AWARD AGREEMENT</w:t>
      </w:r>
    </w:p>
    <w:p>
      <w:pPr>
        <w:spacing w:after="0" w:line="224"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has been selected by the Administrator to receive a Tandem Restricted Stock and Cash Award under the Plan; and</w:t>
      </w:r>
    </w:p>
    <w:p>
      <w:pPr>
        <w:spacing w:after="0" w:line="158"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WHEREAS, as a condition to the receipt by Grantee of this Tandem Restricted Stock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Restricted Stock and Cash Award pursuant hereto, continued employment, and other good and valuable consideration.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860" w:hanging="852"/>
        <w:spacing w:after="0"/>
        <w:tabs>
          <w:tab w:leader="none" w:pos="8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Tandem Award of Restricted Stock and Restricted Cash</w:t>
      </w:r>
    </w:p>
    <w:p>
      <w:pPr>
        <w:spacing w:after="0" w:line="21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1.1 Effective as of the Grant Date, the Company hereby grants to Grantee a tandem and coupled award of (i) the number of shares of restricted Stock of the Company specified above (“Restricted Stock”) and (ii) the amount of restricted cash specified above (“Restricted Cash”), in each instance, subject to, and in accordance with, the restrictions, terms and conditions set forth in the Plan and this Agreement.</w:t>
      </w:r>
    </w:p>
    <w:p>
      <w:pPr>
        <w:spacing w:after="0" w:line="18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1.3 This Tandem Restricted Stock and Cash Award is conditioned upon Grantee’s acceptance of the terms of this Agreement and any other agreement incorporated herein, as evidenced by Grantee’s execution of this Agreement or by Grantee’s electronic acceptance of the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4815-9821-0869.3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both"/>
        <w:spacing w:after="0" w:line="244" w:lineRule="auto"/>
        <w:rPr>
          <w:sz w:val="20"/>
          <w:szCs w:val="20"/>
          <w:color w:val="auto"/>
        </w:rPr>
      </w:pPr>
      <w:r>
        <w:rPr>
          <w:rFonts w:ascii="Times New Roman" w:cs="Times New Roman" w:eastAsia="Times New Roman" w:hAnsi="Times New Roman"/>
          <w:sz w:val="22"/>
          <w:szCs w:val="22"/>
          <w:color w:val="auto"/>
        </w:rPr>
        <w:t>Agreement in a manner and during the time period allowed by the Company. If the terms of this Agreement are not timely accepted by execution or by such electronic means, this Tandem Restricted Stock and Cash Award may be cancelled by the Administrator.</w:t>
      </w:r>
    </w:p>
    <w:p>
      <w:pPr>
        <w:spacing w:after="0" w:line="169" w:lineRule="exact"/>
        <w:rPr>
          <w:sz w:val="20"/>
          <w:szCs w:val="20"/>
          <w:color w:val="auto"/>
        </w:rPr>
      </w:pPr>
    </w:p>
    <w:p>
      <w:pPr>
        <w:ind w:left="860" w:hanging="852"/>
        <w:spacing w:after="0"/>
        <w:tabs>
          <w:tab w:leader="none" w:pos="8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2.1 Subject to the terms of the Plan and this Agreement, if the Grantee remains employed by the Company as of the applicable vesting date, the Restricted Stock and the Restricted Cash shall each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177" w:lineRule="exact"/>
        <w:rPr>
          <w:sz w:val="20"/>
          <w:szCs w:val="20"/>
          <w:color w:val="auto"/>
        </w:rPr>
      </w:pPr>
    </w:p>
    <w:p>
      <w:pPr>
        <w:ind w:right="20" w:firstLine="864"/>
        <w:spacing w:after="0" w:line="248" w:lineRule="auto"/>
        <w:rPr>
          <w:sz w:val="20"/>
          <w:szCs w:val="20"/>
          <w:color w:val="auto"/>
        </w:rPr>
      </w:pPr>
      <w:r>
        <w:rPr>
          <w:rFonts w:ascii="Times New Roman" w:cs="Times New Roman" w:eastAsia="Times New Roman" w:hAnsi="Times New Roman"/>
          <w:sz w:val="21"/>
          <w:szCs w:val="21"/>
          <w:color w:val="auto"/>
        </w:rPr>
        <w:t>2.2 Subject to vesting in accordance with Section 2.1, the terms of the Plan and this Agreement, Grantee shall own the vested Restricted Stock and the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payroll practices, in each event as soon as practical after each applicable anniversary of the Grant Date on which the Grantee remains employed by the Company (provided that the vested Restricted Cash shall in no event be paid later than two and one-half (2 ½) months after the end of the year in which the Restricted Cash vests).</w:t>
      </w:r>
    </w:p>
    <w:p>
      <w:pPr>
        <w:spacing w:after="0" w:line="170"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2.3 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81"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2.4 In exchange for receipt of consideration in the form of this Tandem Restricted Stock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8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2.5 Except for death or Disability as provided in Section 2.3, or except as otherwise provided in a severance agreement with Grantee, if Grantee terminates his or her employment or if the Company terminates Grantee’s employment prior to vesting, the Restricted Stock and the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w:t>
      </w:r>
    </w:p>
    <w:p>
      <w:pPr>
        <w:spacing w:after="0" w:line="177"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21"/>
          <w:szCs w:val="21"/>
          <w:color w:val="auto"/>
        </w:rPr>
        <w:t>2.6 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4815-9821-0869.3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Grantee as soon as practical after the date of the Change of Control in accordance with Section 2.2.</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2.7 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3" w:lineRule="exact"/>
        <w:rPr>
          <w:sz w:val="20"/>
          <w:szCs w:val="20"/>
          <w:color w:val="auto"/>
        </w:rPr>
      </w:pPr>
    </w:p>
    <w:p>
      <w:pPr>
        <w:ind w:left="860" w:hanging="852"/>
        <w:spacing w:after="0"/>
        <w:tabs>
          <w:tab w:leader="none" w:pos="8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 Interest</w:t>
      </w:r>
    </w:p>
    <w:p>
      <w:pPr>
        <w:spacing w:after="0" w:line="210"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2"/>
          <w:szCs w:val="22"/>
          <w:color w:val="auto"/>
        </w:rPr>
        <w:t>3.1 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38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3.2 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3.3 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73"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3.4 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others rights as a creditor of the Company with respect to the Restricted Cash.</w:t>
      </w:r>
    </w:p>
    <w:p>
      <w:pPr>
        <w:spacing w:after="0" w:line="176" w:lineRule="exact"/>
        <w:rPr>
          <w:sz w:val="20"/>
          <w:szCs w:val="20"/>
          <w:color w:val="auto"/>
        </w:rPr>
      </w:pPr>
    </w:p>
    <w:p>
      <w:pPr>
        <w:ind w:left="860" w:hanging="852"/>
        <w:spacing w:after="0"/>
        <w:tabs>
          <w:tab w:leader="none" w:pos="8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4815-9821-0869.3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09" w:name="page110"/>
    <w:bookmarkEnd w:id="109"/>
    <w:p>
      <w:pPr>
        <w:ind w:left="860" w:hanging="852"/>
        <w:spacing w:after="0"/>
        <w:tabs>
          <w:tab w:leader="none" w:pos="8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864"/>
        <w:spacing w:after="0" w:line="233"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Restricted 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73" w:lineRule="exact"/>
        <w:rPr>
          <w:sz w:val="20"/>
          <w:szCs w:val="20"/>
          <w:color w:val="auto"/>
        </w:rPr>
      </w:pPr>
    </w:p>
    <w:p>
      <w:pPr>
        <w:ind w:left="860" w:hanging="852"/>
        <w:spacing w:after="0"/>
        <w:tabs>
          <w:tab w:leader="none" w:pos="8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60" w:hanging="852"/>
        <w:spacing w:after="0"/>
        <w:tabs>
          <w:tab w:leader="none" w:pos="8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860" w:hanging="852"/>
        <w:spacing w:after="0"/>
        <w:tabs>
          <w:tab w:leader="none" w:pos="8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10"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4" w:lineRule="exact"/>
        <w:rPr>
          <w:sz w:val="20"/>
          <w:szCs w:val="20"/>
          <w:color w:val="auto"/>
        </w:rPr>
      </w:pPr>
    </w:p>
    <w:p>
      <w:pPr>
        <w:ind w:left="860" w:hanging="852"/>
        <w:spacing w:after="0"/>
        <w:tabs>
          <w:tab w:leader="none" w:pos="8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860" w:hanging="852"/>
        <w:spacing w:after="0"/>
        <w:tabs>
          <w:tab w:leader="none" w:pos="8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4815-9821-0869.3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0" w:name="page111"/>
    <w:bookmarkEnd w:id="110"/>
    <w:p>
      <w:pPr>
        <w:ind w:left="860" w:hanging="852"/>
        <w:spacing w:after="0"/>
        <w:tabs>
          <w:tab w:leader="none" w:pos="8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58" w:lineRule="exact"/>
        <w:rPr>
          <w:sz w:val="20"/>
          <w:szCs w:val="20"/>
          <w:color w:val="auto"/>
        </w:rPr>
      </w:pPr>
    </w:p>
    <w:p>
      <w:pPr>
        <w:ind w:left="860" w:hanging="852"/>
        <w:spacing w:after="0"/>
        <w:tabs>
          <w:tab w:leader="none" w:pos="8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9" w:lineRule="exact"/>
        <w:rPr>
          <w:sz w:val="20"/>
          <w:szCs w:val="20"/>
          <w:color w:val="auto"/>
        </w:rPr>
      </w:pPr>
    </w:p>
    <w:p>
      <w:pPr>
        <w:ind w:left="860" w:hanging="852"/>
        <w:spacing w:after="0"/>
        <w:tabs>
          <w:tab w:leader="none" w:pos="8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4815-9821-0869.3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1" w:name="page112"/>
    <w:bookmarkEnd w:id="111"/>
    <w:p>
      <w:pPr>
        <w:ind w:left="88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_______________________________</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___________________________________</w:t>
            </w:r>
          </w:p>
        </w:tc>
      </w:tr>
      <w:tr>
        <w:trPr>
          <w:trHeight w:val="230"/>
        </w:trPr>
        <w:tc>
          <w:tcPr>
            <w:tcW w:w="15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auto"/>
              </w:rPr>
              <w:t>By: __________</w:t>
            </w:r>
          </w:p>
        </w:tc>
        <w:tc>
          <w:tcPr>
            <w:tcW w:w="6280" w:type="dxa"/>
            <w:vAlign w:val="bottom"/>
            <w:gridSpan w:val="4"/>
          </w:tcPr>
          <w:p>
            <w:pPr>
              <w:jc w:val="right"/>
              <w:ind w:right="3260"/>
              <w:spacing w:after="0" w:line="230" w:lineRule="exact"/>
              <w:rPr>
                <w:sz w:val="20"/>
                <w:szCs w:val="20"/>
                <w:color w:val="auto"/>
              </w:rPr>
            </w:pPr>
            <w:r>
              <w:rPr>
                <w:rFonts w:ascii="Times New Roman" w:cs="Times New Roman" w:eastAsia="Times New Roman" w:hAnsi="Times New Roman"/>
                <w:sz w:val="22"/>
                <w:szCs w:val="22"/>
                <w:color w:val="auto"/>
              </w:rPr>
              <w:t>Grantee: ______________</w:t>
            </w:r>
          </w:p>
        </w:tc>
      </w:tr>
      <w:tr>
        <w:trPr>
          <w:trHeight w:val="20"/>
        </w:trPr>
        <w:tc>
          <w:tcPr>
            <w:tcW w:w="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4815-9821-0869.3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24" w:lineRule="exact"/>
        <w:rPr>
          <w:sz w:val="20"/>
          <w:szCs w:val="20"/>
          <w:color w:val="auto"/>
        </w:rPr>
      </w:pPr>
    </w:p>
    <w:p>
      <w:pPr>
        <w:jc w:val="both"/>
        <w:ind w:firstLine="1735"/>
        <w:spacing w:after="0" w:line="232" w:lineRule="auto"/>
        <w:tabs>
          <w:tab w:leader="none" w:pos="258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735"/>
        <w:spacing w:after="0" w:line="235" w:lineRule="auto"/>
        <w:tabs>
          <w:tab w:leader="none" w:pos="257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4815-9821-0869.3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3" w:name="page114"/>
    <w:bookmarkEnd w:id="113"/>
    <w:p>
      <w:pPr>
        <w:jc w:val="both"/>
        <w:spacing w:after="0" w:line="244" w:lineRule="auto"/>
        <w:rPr>
          <w:sz w:val="20"/>
          <w:szCs w:val="20"/>
          <w:color w:val="auto"/>
        </w:rPr>
      </w:pPr>
      <w:r>
        <w:rPr>
          <w:rFonts w:ascii="Times New Roman" w:cs="Times New Roman" w:eastAsia="Times New Roman" w:hAnsi="Times New Roman"/>
          <w:sz w:val="22"/>
          <w:szCs w:val="22"/>
          <w:color w:val="auto"/>
        </w:rPr>
        <w:t>solicitation; or (iii) the solicitation (or employment as a result of the solicitation) of any Company management employees through (a) public advertisements or general solicitations that are not specifically targeted at such person(s); or (b) recruiting or search firms not targeting the Company’s management employees.</w:t>
      </w:r>
    </w:p>
    <w:p>
      <w:pPr>
        <w:spacing w:after="0" w:line="173" w:lineRule="exact"/>
        <w:rPr>
          <w:sz w:val="20"/>
          <w:szCs w:val="20"/>
          <w:color w:val="auto"/>
        </w:rPr>
      </w:pPr>
    </w:p>
    <w:p>
      <w:pPr>
        <w:jc w:val="both"/>
        <w:ind w:firstLine="1735"/>
        <w:spacing w:after="0" w:line="244" w:lineRule="auto"/>
        <w:tabs>
          <w:tab w:leader="none" w:pos="257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735"/>
        <w:spacing w:after="0" w:line="235" w:lineRule="auto"/>
        <w:tabs>
          <w:tab w:leader="none" w:pos="258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6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4815-9821-0869.3</w:t>
      </w:r>
    </w:p>
    <w:p>
      <w:pPr>
        <w:sectPr>
          <w:pgSz w:w="11900" w:h="16838" w:orient="portrait"/>
          <w:cols w:equalWidth="0" w:num="1">
            <w:col w:w="11240"/>
          </w:cols>
          <w:pgMar w:left="320" w:top="342" w:right="339" w:bottom="1440" w:gutter="0" w:footer="0" w:header="0"/>
        </w:sectPr>
      </w:pPr>
    </w:p>
    <w:bookmarkStart w:id="114" w:name="page115"/>
    <w:bookmarkEnd w:id="114"/>
    <w:p>
      <w:pPr>
        <w:ind w:left="10220"/>
        <w:spacing w:after="0"/>
        <w:rPr>
          <w:sz w:val="20"/>
          <w:szCs w:val="20"/>
          <w:color w:val="auto"/>
        </w:rPr>
      </w:pPr>
      <w:r>
        <w:rPr>
          <w:rFonts w:ascii="Times New Roman" w:cs="Times New Roman" w:eastAsia="Times New Roman" w:hAnsi="Times New Roman"/>
          <w:sz w:val="17"/>
          <w:szCs w:val="17"/>
          <w:b w:val="1"/>
          <w:bCs w:val="1"/>
          <w:color w:val="auto"/>
        </w:rPr>
        <w:t>Exhibit 10.22</w:t>
      </w:r>
    </w:p>
    <w:p>
      <w:pPr>
        <w:spacing w:after="0" w:line="24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Non-Employee Director Grantee:</w:t>
      </w:r>
    </w:p>
    <w:p>
      <w:pPr>
        <w:spacing w:after="0" w:line="4"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Grant Date:</w:t>
      </w:r>
    </w:p>
    <w:p>
      <w:pPr>
        <w:jc w:val="right"/>
        <w:ind w:right="760"/>
        <w:spacing w:after="0" w:line="230" w:lineRule="auto"/>
        <w:rPr>
          <w:sz w:val="20"/>
          <w:szCs w:val="20"/>
          <w:color w:val="auto"/>
        </w:rPr>
      </w:pPr>
      <w:r>
        <w:rPr>
          <w:rFonts w:ascii="Times New Roman" w:cs="Times New Roman" w:eastAsia="Times New Roman" w:hAnsi="Times New Roman"/>
          <w:sz w:val="22"/>
          <w:szCs w:val="22"/>
          <w:color w:val="auto"/>
        </w:rPr>
        <w:t>No. of Restricted Shares:</w:t>
      </w:r>
    </w:p>
    <w:p>
      <w:pPr>
        <w:spacing w:after="0" w:line="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2"/>
          <w:szCs w:val="22"/>
          <w:color w:val="auto"/>
        </w:rPr>
        <w:t>Amount of Restricted Cash: $</w:t>
      </w:r>
    </w:p>
    <w:p>
      <w:pPr>
        <w:spacing w:after="0" w:line="35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TANDEM RESTRICTED STOCK AND CASH AWARD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Members of the Board of Directors)</w:t>
      </w:r>
    </w:p>
    <w:p>
      <w:pPr>
        <w:spacing w:after="0" w:line="224"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Non-Employee Director Grantee specified above (“Grantee”).</w:t>
      </w:r>
    </w:p>
    <w:p>
      <w:pPr>
        <w:spacing w:after="0" w:line="173"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is receiving this Tandem Restricted Stock and Cash Award under the Plan as part of the Grantee’s annual retainer for services as a non-employee member of the Board of Directors of the Company.</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880" w:hanging="872"/>
        <w:spacing w:after="0"/>
        <w:tabs>
          <w:tab w:leader="none" w:pos="8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Tandem Award of Restricted Stock and Restricted Cash</w:t>
      </w:r>
    </w:p>
    <w:p>
      <w:pPr>
        <w:spacing w:after="0" w:line="210" w:lineRule="exact"/>
        <w:rPr>
          <w:sz w:val="20"/>
          <w:szCs w:val="20"/>
          <w:color w:val="auto"/>
        </w:rPr>
      </w:pPr>
    </w:p>
    <w:p>
      <w:pPr>
        <w:jc w:val="both"/>
        <w:ind w:firstLine="873"/>
        <w:spacing w:after="0" w:line="239" w:lineRule="auto"/>
        <w:rPr>
          <w:sz w:val="20"/>
          <w:szCs w:val="20"/>
          <w:color w:val="auto"/>
        </w:rPr>
      </w:pPr>
      <w:r>
        <w:rPr>
          <w:rFonts w:ascii="Times New Roman" w:cs="Times New Roman" w:eastAsia="Times New Roman" w:hAnsi="Times New Roman"/>
          <w:sz w:val="22"/>
          <w:szCs w:val="22"/>
          <w:color w:val="auto"/>
        </w:rPr>
        <w:t>1.1 Effective as of the Grant Date, the Company hereby grants to Grantee a tandem and coupled award of (i) the number of shares of restricted Stock of the Company specified above (“Restricted Stock”) and (ii) the amount of restricted cash specified above (“Restricted Cash”), subject to, and in accordance with, the restrictions, terms and conditions set forth in the Plan and this Agreement.</w:t>
      </w:r>
    </w:p>
    <w:p>
      <w:pPr>
        <w:spacing w:after="0" w:line="180"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3" w:lineRule="exact"/>
        <w:rPr>
          <w:sz w:val="20"/>
          <w:szCs w:val="20"/>
          <w:color w:val="auto"/>
        </w:rPr>
      </w:pPr>
    </w:p>
    <w:p>
      <w:pPr>
        <w:jc w:val="both"/>
        <w:ind w:firstLine="873"/>
        <w:spacing w:after="0" w:line="239" w:lineRule="auto"/>
        <w:rPr>
          <w:sz w:val="20"/>
          <w:szCs w:val="20"/>
          <w:color w:val="auto"/>
        </w:rPr>
      </w:pPr>
      <w:r>
        <w:rPr>
          <w:rFonts w:ascii="Times New Roman" w:cs="Times New Roman" w:eastAsia="Times New Roman" w:hAnsi="Times New Roman"/>
          <w:sz w:val="22"/>
          <w:szCs w:val="22"/>
          <w:color w:val="auto"/>
        </w:rPr>
        <w:t>1.3 This Tandem Restricted Stock and Cash Award is conditioned upon Grantee’s acceptance of the terms of this Agreement,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w:t>
      </w:r>
    </w:p>
    <w:p>
      <w:pPr>
        <w:spacing w:after="0" w:line="176" w:lineRule="exact"/>
        <w:rPr>
          <w:sz w:val="20"/>
          <w:szCs w:val="20"/>
          <w:color w:val="auto"/>
        </w:rPr>
      </w:pPr>
    </w:p>
    <w:p>
      <w:pPr>
        <w:ind w:left="880" w:hanging="872"/>
        <w:spacing w:after="0"/>
        <w:tabs>
          <w:tab w:leader="none" w:pos="8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10" w:lineRule="exact"/>
        <w:rPr>
          <w:sz w:val="20"/>
          <w:szCs w:val="20"/>
          <w:color w:val="auto"/>
        </w:rPr>
      </w:pPr>
    </w:p>
    <w:p>
      <w:pPr>
        <w:ind w:right="20" w:firstLine="873"/>
        <w:spacing w:after="0" w:line="258" w:lineRule="auto"/>
        <w:rPr>
          <w:sz w:val="20"/>
          <w:szCs w:val="20"/>
          <w:color w:val="auto"/>
        </w:rPr>
      </w:pPr>
      <w:r>
        <w:rPr>
          <w:rFonts w:ascii="Times New Roman" w:cs="Times New Roman" w:eastAsia="Times New Roman" w:hAnsi="Times New Roman"/>
          <w:sz w:val="22"/>
          <w:szCs w:val="22"/>
          <w:color w:val="auto"/>
        </w:rPr>
        <w:t>2.1 Subject to the terms of the Plan and this Agreement, if the Grantee remains a member of the Board of Directors of the Company as of the applicable vesting date, the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4826-9485-7013.4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Restricted Stock and Restricted Cash shall each vest one-third (1/3) per year on each of the first three (3) anniversaries of the Grant Date set forth herein.</w:t>
      </w:r>
    </w:p>
    <w:p>
      <w:pPr>
        <w:spacing w:after="0" w:line="158" w:lineRule="exact"/>
        <w:rPr>
          <w:sz w:val="20"/>
          <w:szCs w:val="20"/>
          <w:color w:val="auto"/>
        </w:rPr>
      </w:pPr>
    </w:p>
    <w:p>
      <w:pPr>
        <w:jc w:val="both"/>
        <w:ind w:firstLine="873"/>
        <w:spacing w:after="0" w:line="235" w:lineRule="auto"/>
        <w:rPr>
          <w:sz w:val="20"/>
          <w:szCs w:val="20"/>
          <w:color w:val="auto"/>
        </w:rPr>
      </w:pPr>
      <w:r>
        <w:rPr>
          <w:rFonts w:ascii="Times New Roman" w:cs="Times New Roman" w:eastAsia="Times New Roman" w:hAnsi="Times New Roman"/>
          <w:sz w:val="22"/>
          <w:szCs w:val="22"/>
          <w:color w:val="auto"/>
        </w:rPr>
        <w:t>2.2 Subject to vesting in accordance with Section 2.1, the terms of the Plan and this Agreement, Grantee shall own the vested Restricted Stock and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practices, in each event as soon as practical after each applicable anniversary of the Grant Date (provided that the vested Restricted Cash shall in no event be paid later than two and one-half (2 ½) months after the end of the year in which the Restricted Cash vests).</w:t>
      </w:r>
    </w:p>
    <w:p>
      <w:pPr>
        <w:spacing w:after="0" w:line="183" w:lineRule="exact"/>
        <w:rPr>
          <w:sz w:val="20"/>
          <w:szCs w:val="20"/>
          <w:color w:val="auto"/>
        </w:rPr>
      </w:pPr>
    </w:p>
    <w:p>
      <w:pPr>
        <w:jc w:val="both"/>
        <w:ind w:firstLine="873"/>
        <w:spacing w:after="0" w:line="235" w:lineRule="auto"/>
        <w:rPr>
          <w:sz w:val="20"/>
          <w:szCs w:val="20"/>
          <w:color w:val="auto"/>
        </w:rPr>
      </w:pPr>
      <w:r>
        <w:rPr>
          <w:rFonts w:ascii="Times New Roman" w:cs="Times New Roman" w:eastAsia="Times New Roman" w:hAnsi="Times New Roman"/>
          <w:sz w:val="22"/>
          <w:szCs w:val="22"/>
          <w:color w:val="auto"/>
        </w:rPr>
        <w:t>2.3 In the event, prior to vesting, (i) Grantee dies while serving as a member of the Board of Directors of the Company, or (ii) Grantee has his or her directorship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83" w:lineRule="exact"/>
        <w:rPr>
          <w:sz w:val="20"/>
          <w:szCs w:val="20"/>
          <w:color w:val="auto"/>
        </w:rPr>
      </w:pPr>
    </w:p>
    <w:p>
      <w:pPr>
        <w:jc w:val="both"/>
        <w:ind w:firstLine="873"/>
        <w:spacing w:after="0" w:line="234" w:lineRule="auto"/>
        <w:rPr>
          <w:sz w:val="20"/>
          <w:szCs w:val="20"/>
          <w:color w:val="auto"/>
        </w:rPr>
      </w:pPr>
      <w:r>
        <w:rPr>
          <w:rFonts w:ascii="Times New Roman" w:cs="Times New Roman" w:eastAsia="Times New Roman" w:hAnsi="Times New Roman"/>
          <w:sz w:val="22"/>
          <w:szCs w:val="22"/>
          <w:color w:val="auto"/>
        </w:rPr>
        <w:t>2.4 Except for death or Disability as provided in Section 2.3, if Grantee’s status as a member of the Board of Directors of the Company terminates prior to vesting for any reason, the Restricted Stock and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 as a director; provided, however, if Grantee’s status as a member of the Board of Directors of the Company terminates prior to vesting for any reason (except for death or Disability as provided in Section 2.3), the Administrator may, in its absolute discretion and in lieu of the forfeiture and cancellation of unvested Restricted Stock and Restricted Cash provided for in this Section 2.4, decide to: (i) accelerate the vesting of all or a portion of the unvested Restricted Stock and/or Restricted Cash or (ii) allow all or a portion of the unvested Restricted Stock to continue to vest on the same or a revised schedule; in each instance, subject to any additional terms and conditions the Administrator determines appropriate.</w:t>
      </w:r>
    </w:p>
    <w:p>
      <w:pPr>
        <w:spacing w:after="0" w:line="179" w:lineRule="exact"/>
        <w:rPr>
          <w:sz w:val="20"/>
          <w:szCs w:val="20"/>
          <w:color w:val="auto"/>
        </w:rPr>
      </w:pPr>
    </w:p>
    <w:p>
      <w:pPr>
        <w:jc w:val="both"/>
        <w:ind w:firstLine="873"/>
        <w:spacing w:after="0" w:line="238" w:lineRule="auto"/>
        <w:rPr>
          <w:sz w:val="20"/>
          <w:szCs w:val="20"/>
          <w:color w:val="auto"/>
        </w:rPr>
      </w:pPr>
      <w:r>
        <w:rPr>
          <w:rFonts w:ascii="Times New Roman" w:cs="Times New Roman" w:eastAsia="Times New Roman" w:hAnsi="Times New Roman"/>
          <w:sz w:val="22"/>
          <w:szCs w:val="22"/>
          <w:color w:val="auto"/>
        </w:rPr>
        <w:t>2.5 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77" w:lineRule="exact"/>
        <w:rPr>
          <w:sz w:val="20"/>
          <w:szCs w:val="20"/>
          <w:color w:val="auto"/>
        </w:rPr>
      </w:pPr>
    </w:p>
    <w:p>
      <w:pPr>
        <w:ind w:right="20" w:firstLine="873"/>
        <w:spacing w:after="0" w:line="261" w:lineRule="auto"/>
        <w:rPr>
          <w:sz w:val="20"/>
          <w:szCs w:val="20"/>
          <w:color w:val="auto"/>
        </w:rPr>
      </w:pPr>
      <w:r>
        <w:rPr>
          <w:rFonts w:ascii="Times New Roman" w:cs="Times New Roman" w:eastAsia="Times New Roman" w:hAnsi="Times New Roman"/>
          <w:sz w:val="21"/>
          <w:szCs w:val="21"/>
          <w:color w:val="auto"/>
        </w:rPr>
        <w:t>2.6 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4826-9485-7013.4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Grantee as soon as practical after the date of the Change of Control in accordance with Section 2.2.</w:t>
      </w:r>
    </w:p>
    <w:p>
      <w:pPr>
        <w:spacing w:after="0" w:line="202" w:lineRule="exact"/>
        <w:rPr>
          <w:sz w:val="20"/>
          <w:szCs w:val="20"/>
          <w:color w:val="auto"/>
        </w:rPr>
      </w:pPr>
    </w:p>
    <w:p>
      <w:pPr>
        <w:ind w:left="880" w:hanging="872"/>
        <w:spacing w:after="0"/>
        <w:tabs>
          <w:tab w:leader="none" w:pos="8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 Interest</w:t>
      </w:r>
    </w:p>
    <w:p>
      <w:pPr>
        <w:spacing w:after="0" w:line="210" w:lineRule="exact"/>
        <w:rPr>
          <w:sz w:val="20"/>
          <w:szCs w:val="20"/>
          <w:color w:val="auto"/>
        </w:rPr>
      </w:pPr>
    </w:p>
    <w:p>
      <w:pPr>
        <w:jc w:val="both"/>
        <w:ind w:firstLine="873"/>
        <w:spacing w:after="0"/>
        <w:rPr>
          <w:sz w:val="20"/>
          <w:szCs w:val="20"/>
          <w:color w:val="auto"/>
        </w:rPr>
      </w:pPr>
      <w:r>
        <w:rPr>
          <w:rFonts w:ascii="Times New Roman" w:cs="Times New Roman" w:eastAsia="Times New Roman" w:hAnsi="Times New Roman"/>
          <w:sz w:val="22"/>
          <w:szCs w:val="22"/>
          <w:color w:val="auto"/>
        </w:rPr>
        <w:t>3.1 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389"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3.2 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3"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3.3 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73" w:lineRule="exact"/>
        <w:rPr>
          <w:sz w:val="20"/>
          <w:szCs w:val="20"/>
          <w:color w:val="auto"/>
        </w:rPr>
      </w:pPr>
    </w:p>
    <w:p>
      <w:pPr>
        <w:jc w:val="both"/>
        <w:ind w:firstLine="873"/>
        <w:spacing w:after="0" w:line="239" w:lineRule="auto"/>
        <w:rPr>
          <w:sz w:val="20"/>
          <w:szCs w:val="20"/>
          <w:color w:val="auto"/>
        </w:rPr>
      </w:pPr>
      <w:r>
        <w:rPr>
          <w:rFonts w:ascii="Times New Roman" w:cs="Times New Roman" w:eastAsia="Times New Roman" w:hAnsi="Times New Roman"/>
          <w:sz w:val="22"/>
          <w:szCs w:val="22"/>
          <w:color w:val="auto"/>
        </w:rPr>
        <w:t>3.4 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 rights as a creditor of the Company with respect to the Restricted Cash.</w:t>
      </w:r>
    </w:p>
    <w:p>
      <w:pPr>
        <w:spacing w:after="0" w:line="176" w:lineRule="exact"/>
        <w:rPr>
          <w:sz w:val="20"/>
          <w:szCs w:val="20"/>
          <w:color w:val="auto"/>
        </w:rPr>
      </w:pPr>
    </w:p>
    <w:p>
      <w:pPr>
        <w:ind w:left="880" w:hanging="872"/>
        <w:spacing w:after="0"/>
        <w:tabs>
          <w:tab w:leader="none" w:pos="8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Service or Additional Grants</w:t>
      </w:r>
    </w:p>
    <w:p>
      <w:pPr>
        <w:spacing w:after="0" w:line="210" w:lineRule="exact"/>
        <w:rPr>
          <w:sz w:val="20"/>
          <w:szCs w:val="20"/>
          <w:color w:val="auto"/>
        </w:rPr>
      </w:pPr>
    </w:p>
    <w:p>
      <w:pPr>
        <w:jc w:val="both"/>
        <w:ind w:firstLine="873"/>
        <w:spacing w:after="0" w:line="238"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service as a member of the Board of Directors of the Company, nor shall this Agreement or the Plan interfere in any way with the right of the Company to terminate Grantee’s service at any time or for any reason in accordance with the Company’s Articles of Incorporation and By-Laws. The Plan may be terminated at any time, and, even if the Plan is not terminated, Grantee shall not be entitled to any additional awards under the Plan.</w:t>
      </w:r>
    </w:p>
    <w:p>
      <w:pPr>
        <w:spacing w:after="0" w:line="173" w:lineRule="exact"/>
        <w:rPr>
          <w:sz w:val="20"/>
          <w:szCs w:val="20"/>
          <w:color w:val="auto"/>
        </w:rPr>
      </w:pPr>
    </w:p>
    <w:p>
      <w:pPr>
        <w:ind w:left="880" w:hanging="872"/>
        <w:spacing w:after="0"/>
        <w:tabs>
          <w:tab w:leader="none" w:pos="8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873"/>
        <w:spacing w:after="0" w:line="238"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Restricted 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4826-9485-7013.4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7" w:name="page118"/>
    <w:bookmarkEnd w:id="117"/>
    <w:p>
      <w:pPr>
        <w:jc w:val="both"/>
        <w:spacing w:after="0" w:line="233" w:lineRule="auto"/>
        <w:rPr>
          <w:sz w:val="20"/>
          <w:szCs w:val="20"/>
          <w:color w:val="auto"/>
        </w:rPr>
      </w:pPr>
      <w:r>
        <w:rPr>
          <w:rFonts w:ascii="Times New Roman" w:cs="Times New Roman" w:eastAsia="Times New Roman" w:hAnsi="Times New Roman"/>
          <w:sz w:val="22"/>
          <w:szCs w:val="22"/>
          <w:color w:val="auto"/>
        </w:rPr>
        <w:t>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83" w:lineRule="exact"/>
        <w:rPr>
          <w:sz w:val="20"/>
          <w:szCs w:val="20"/>
          <w:color w:val="auto"/>
        </w:rPr>
      </w:pPr>
    </w:p>
    <w:p>
      <w:pPr>
        <w:ind w:left="880" w:hanging="872"/>
        <w:spacing w:after="0"/>
        <w:tabs>
          <w:tab w:leader="none" w:pos="8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873"/>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80" w:hanging="872"/>
        <w:spacing w:after="0"/>
        <w:tabs>
          <w:tab w:leader="none" w:pos="8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10" w:lineRule="exact"/>
        <w:rPr>
          <w:sz w:val="20"/>
          <w:szCs w:val="20"/>
          <w:color w:val="auto"/>
        </w:rPr>
      </w:pPr>
    </w:p>
    <w:p>
      <w:pPr>
        <w:ind w:right="20" w:firstLine="873"/>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880" w:hanging="872"/>
        <w:spacing w:after="0"/>
        <w:tabs>
          <w:tab w:leader="none" w:pos="8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10" w:lineRule="exact"/>
        <w:rPr>
          <w:sz w:val="20"/>
          <w:szCs w:val="20"/>
          <w:color w:val="auto"/>
        </w:rPr>
      </w:pPr>
    </w:p>
    <w:p>
      <w:pPr>
        <w:ind w:firstLine="873"/>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4" w:lineRule="exact"/>
        <w:rPr>
          <w:sz w:val="20"/>
          <w:szCs w:val="20"/>
          <w:color w:val="auto"/>
        </w:rPr>
      </w:pPr>
    </w:p>
    <w:p>
      <w:pPr>
        <w:ind w:left="880" w:hanging="872"/>
        <w:spacing w:after="0"/>
        <w:tabs>
          <w:tab w:leader="none" w:pos="8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right="20" w:firstLine="873"/>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880" w:hanging="872"/>
        <w:spacing w:after="0"/>
        <w:tabs>
          <w:tab w:leader="none" w:pos="8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873"/>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31" w:lineRule="exact"/>
        <w:rPr>
          <w:sz w:val="20"/>
          <w:szCs w:val="20"/>
          <w:color w:val="auto"/>
        </w:rPr>
      </w:pPr>
    </w:p>
    <w:p>
      <w:pPr>
        <w:ind w:left="880" w:hanging="872"/>
        <w:spacing w:after="0"/>
        <w:tabs>
          <w:tab w:leader="none" w:pos="8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873"/>
        <w:spacing w:after="0" w:line="239" w:lineRule="auto"/>
        <w:rPr>
          <w:sz w:val="20"/>
          <w:szCs w:val="20"/>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4826-9485-7013.4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8" w:name="page119"/>
    <w:bookmarkEnd w:id="118"/>
    <w:p>
      <w:pPr>
        <w:spacing w:after="0" w:line="258" w:lineRule="auto"/>
        <w:rPr>
          <w:sz w:val="20"/>
          <w:szCs w:val="20"/>
          <w:color w:val="auto"/>
        </w:rPr>
      </w:pPr>
      <w:r>
        <w:rPr>
          <w:rFonts w:ascii="Times New Roman" w:cs="Times New Roman" w:eastAsia="Times New Roman" w:hAnsi="Times New Roman"/>
          <w:sz w:val="22"/>
          <w:szCs w:val="22"/>
          <w:color w:val="auto"/>
        </w:rPr>
        <w:t>shall be final, binding, and conclusive upon Grantee’s heirs, executors, administrators, legal representatives, guardians and successors.</w:t>
      </w:r>
    </w:p>
    <w:p>
      <w:pPr>
        <w:spacing w:after="0" w:line="154" w:lineRule="exact"/>
        <w:rPr>
          <w:sz w:val="20"/>
          <w:szCs w:val="20"/>
          <w:color w:val="auto"/>
        </w:rPr>
      </w:pPr>
    </w:p>
    <w:p>
      <w:pPr>
        <w:ind w:left="880" w:hanging="872"/>
        <w:spacing w:after="0"/>
        <w:tabs>
          <w:tab w:leader="none" w:pos="8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firstLine="873"/>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69" w:lineRule="exact"/>
        <w:rPr>
          <w:sz w:val="20"/>
          <w:szCs w:val="20"/>
          <w:color w:val="auto"/>
        </w:rPr>
      </w:pPr>
    </w:p>
    <w:p>
      <w:pPr>
        <w:ind w:left="880" w:hanging="872"/>
        <w:spacing w:after="0"/>
        <w:tabs>
          <w:tab w:leader="none" w:pos="8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firstLine="873"/>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4826-9485-7013.4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9" w:name="page120"/>
    <w:bookmarkEnd w:id="119"/>
    <w:p>
      <w:pPr>
        <w:ind w:left="88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2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2"/>
          <w:szCs w:val="22"/>
          <w:color w:val="auto"/>
        </w:rPr>
        <w:t>By: ________________________</w:t>
      </w:r>
      <w:r>
        <w:rPr>
          <w:sz w:val="20"/>
          <w:szCs w:val="20"/>
          <w:color w:val="auto"/>
        </w:rPr>
        <w:tab/>
      </w:r>
      <w:r>
        <w:rPr>
          <w:rFonts w:ascii="Times New Roman" w:cs="Times New Roman" w:eastAsia="Times New Roman" w:hAnsi="Times New Roman"/>
          <w:sz w:val="22"/>
          <w:szCs w:val="22"/>
          <w:color w:val="auto"/>
        </w:rPr>
        <w:t>Grantee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4826-9485-7013.4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24" w:lineRule="exact"/>
        <w:rPr>
          <w:sz w:val="20"/>
          <w:szCs w:val="20"/>
          <w:color w:val="auto"/>
        </w:rPr>
      </w:pPr>
    </w:p>
    <w:p>
      <w:pPr>
        <w:jc w:val="both"/>
        <w:ind w:firstLine="1752"/>
        <w:spacing w:after="0" w:line="232" w:lineRule="auto"/>
        <w:tabs>
          <w:tab w:leader="none" w:pos="260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752"/>
        <w:spacing w:after="0" w:line="235" w:lineRule="auto"/>
        <w:tabs>
          <w:tab w:leader="none" w:pos="259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4826-9485-7013.4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1" w:name="page122"/>
    <w:bookmarkEnd w:id="121"/>
    <w:p>
      <w:pPr>
        <w:jc w:val="both"/>
        <w:spacing w:after="0" w:line="244" w:lineRule="auto"/>
        <w:rPr>
          <w:sz w:val="20"/>
          <w:szCs w:val="20"/>
          <w:color w:val="auto"/>
        </w:rPr>
      </w:pPr>
      <w:r>
        <w:rPr>
          <w:rFonts w:ascii="Times New Roman" w:cs="Times New Roman" w:eastAsia="Times New Roman" w:hAnsi="Times New Roman"/>
          <w:sz w:val="22"/>
          <w:szCs w:val="22"/>
          <w:color w:val="auto"/>
        </w:rPr>
        <w:t>solicitation; or (iii) the solicitation (or employment as a result of the solicitation) of any Company management employees through (a) public advertisements or general solicitations that are not specifically targeted at such person(s); or (b) recruiting or search firms not targeting the Company’s management employees.</w:t>
      </w:r>
    </w:p>
    <w:p>
      <w:pPr>
        <w:spacing w:after="0" w:line="173" w:lineRule="exact"/>
        <w:rPr>
          <w:sz w:val="20"/>
          <w:szCs w:val="20"/>
          <w:color w:val="auto"/>
        </w:rPr>
      </w:pPr>
    </w:p>
    <w:p>
      <w:pPr>
        <w:jc w:val="both"/>
        <w:ind w:firstLine="1752"/>
        <w:spacing w:after="0" w:line="244" w:lineRule="auto"/>
        <w:tabs>
          <w:tab w:leader="none" w:pos="259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752"/>
        <w:spacing w:after="0" w:line="235" w:lineRule="auto"/>
        <w:tabs>
          <w:tab w:leader="none" w:pos="260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752"/>
        <w:spacing w:after="0" w:line="244" w:lineRule="auto"/>
        <w:tabs>
          <w:tab w:leader="none" w:pos="257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4826-9485-7013.4</w:t>
      </w:r>
    </w:p>
    <w:p>
      <w:pPr>
        <w:sectPr>
          <w:pgSz w:w="11900" w:h="16838" w:orient="portrait"/>
          <w:cols w:equalWidth="0" w:num="1">
            <w:col w:w="11240"/>
          </w:cols>
          <w:pgMar w:left="320" w:top="342" w:right="339" w:bottom="1440" w:gutter="0" w:footer="0" w:header="0"/>
        </w:sectPr>
      </w:pPr>
    </w:p>
    <w:bookmarkStart w:id="122" w:name="page123"/>
    <w:bookmarkEnd w:id="122"/>
    <w:p>
      <w:pPr>
        <w:ind w:left="10220"/>
        <w:spacing w:after="0"/>
        <w:rPr>
          <w:sz w:val="20"/>
          <w:szCs w:val="20"/>
          <w:color w:val="auto"/>
        </w:rPr>
      </w:pPr>
      <w:r>
        <w:rPr>
          <w:rFonts w:ascii="Times New Roman" w:cs="Times New Roman" w:eastAsia="Times New Roman" w:hAnsi="Times New Roman"/>
          <w:sz w:val="17"/>
          <w:szCs w:val="17"/>
          <w:b w:val="1"/>
          <w:bCs w:val="1"/>
          <w:color w:val="auto"/>
        </w:rPr>
        <w:t>Exhibit 10.23</w:t>
      </w:r>
    </w:p>
    <w:p>
      <w:pPr>
        <w:spacing w:after="0" w:line="24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Grantee:</w:t>
      </w:r>
    </w:p>
    <w:p>
      <w:pPr>
        <w:spacing w:after="0" w:line="4"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2"/>
          <w:szCs w:val="22"/>
          <w:color w:val="auto"/>
        </w:rPr>
        <w:t>Grant Date:</w:t>
      </w:r>
    </w:p>
    <w:p>
      <w:pPr>
        <w:jc w:val="right"/>
        <w:ind w:right="760"/>
        <w:spacing w:after="0"/>
        <w:rPr>
          <w:sz w:val="20"/>
          <w:szCs w:val="20"/>
          <w:color w:val="auto"/>
        </w:rPr>
      </w:pPr>
      <w:r>
        <w:rPr>
          <w:rFonts w:ascii="Times New Roman" w:cs="Times New Roman" w:eastAsia="Times New Roman" w:hAnsi="Times New Roman"/>
          <w:sz w:val="22"/>
          <w:szCs w:val="22"/>
          <w:color w:val="auto"/>
        </w:rPr>
        <w:t>No. of Restricted Shares:</w:t>
      </w:r>
    </w:p>
    <w:p>
      <w:pPr>
        <w:spacing w:after="0" w:line="35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2016 OMNIBUS INCENTIVE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AWARD AGREEMENT</w:t>
      </w:r>
    </w:p>
    <w:p>
      <w:pPr>
        <w:spacing w:after="0" w:line="224"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2016 Omnibus Incentive Plan (the “Plan”), and Grantee has been selected by the Administrator to receive a Restricted Stock Award under the Plan; and</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WHEREAS, as a condition to the receipt by Grantee of this Restricted Stock Award, Grantee reaffirms and agrees to be bound by the confidentiality, inventions, non-solicitation and non-competition provisions set forth in prior agreements between the Grantee and the Company, which are incorporated by reference herein, in consideration for receipt of the Restricted Stock Award pursuant hereto, continued employment, and other good and valuable consideration.</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02" w:lineRule="exact"/>
        <w:rPr>
          <w:sz w:val="20"/>
          <w:szCs w:val="20"/>
          <w:color w:val="auto"/>
        </w:rPr>
      </w:pPr>
    </w:p>
    <w:p>
      <w:pPr>
        <w:ind w:left="860" w:hanging="852"/>
        <w:spacing w:after="0"/>
        <w:tabs>
          <w:tab w:leader="none" w:pos="8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Award of Restricted Stock</w:t>
      </w:r>
    </w:p>
    <w:p>
      <w:pPr>
        <w:spacing w:after="0" w:line="210"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2"/>
          <w:szCs w:val="22"/>
          <w:color w:val="auto"/>
        </w:rPr>
        <w:t>1.1 Effective as of the Grant Date, the Company hereby grants to Grantee an award of the number of shares of restricted Stock of the Company specified above (“Restricted Stock”), subject to, and in accordance with, the restrictions, terms and conditions set forth in the Plan and this Agreement.</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1.2 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173"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1.3 This Restricted Stock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Restricted Stock Award may be cancelled by the Administrator.</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4813-4157-9674.3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ind w:left="860" w:hanging="852"/>
        <w:spacing w:after="0"/>
        <w:tabs>
          <w:tab w:leader="none" w:pos="8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w:t>
      </w:r>
    </w:p>
    <w:p>
      <w:pPr>
        <w:spacing w:after="0" w:line="21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2.1 Subject to the terms of the Plan and this Agreement, if the Grantee remains employed by the Company as of the applicable vesting date, the Restricted Stock shall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18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2.2 Subject to vesting in accordance with Section 2.1, the terms of the Plan and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 on which the Grantee remains employed by the Company.</w:t>
      </w:r>
    </w:p>
    <w:p>
      <w:pPr>
        <w:spacing w:after="0" w:line="177"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color w:val="auto"/>
        </w:rPr>
        <w:t>2.3 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181"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2.4 In exchange for receipt of consideration in the form of this Restricted Stock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173"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1"/>
          <w:szCs w:val="21"/>
          <w:color w:val="auto"/>
        </w:rPr>
        <w:t>2.5 Except for death or Disability as provided in Section 2.3, or except as otherwise provided in a severance agreement with Grantee, if Grantee terminates his or her employment or if the Company terminates Grantee’s employment prior to vesting, the Restricted Stock shall cease to vest further, all of the unvested Restricted Stock shall be immediately forfeited and cancelled, and Grantee shall only be entitled to the Restricted Stock that has vested as of his or her date of termination.</w:t>
      </w:r>
    </w:p>
    <w:p>
      <w:pPr>
        <w:spacing w:after="0" w:line="162"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2.6 Notwithstanding the other provisions of this Agreement, in the event of a Change of Control prior to vesting, all otherwise unvested Restricted Stock shall become fully vested and nonforfeitable as of the date of the Change of Control. The Company shall transfer the Restricted Stock that vests pursuant to this Section 2.6 to Grantee as soon as practical after the date of the Change of Control in accordance with Section 2.2.</w:t>
      </w:r>
    </w:p>
    <w:p>
      <w:pPr>
        <w:spacing w:after="0" w:line="18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2.7 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4813-4157-9674.3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4" w:name="page125"/>
    <w:bookmarkEnd w:id="124"/>
    <w:p>
      <w:pPr>
        <w:ind w:left="860" w:hanging="852"/>
        <w:spacing w:after="0"/>
        <w:tabs>
          <w:tab w:leader="none" w:pos="8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Dividends; Voting</w:t>
      </w:r>
    </w:p>
    <w:p>
      <w:pPr>
        <w:spacing w:after="0" w:line="210" w:lineRule="exact"/>
        <w:rPr>
          <w:sz w:val="20"/>
          <w:szCs w:val="20"/>
          <w:color w:val="auto"/>
        </w:rPr>
      </w:pPr>
    </w:p>
    <w:p>
      <w:pPr>
        <w:jc w:val="both"/>
        <w:ind w:firstLine="864"/>
        <w:spacing w:after="0"/>
        <w:rPr>
          <w:sz w:val="20"/>
          <w:szCs w:val="20"/>
          <w:color w:val="auto"/>
        </w:rPr>
      </w:pPr>
      <w:r>
        <w:rPr>
          <w:rFonts w:ascii="Times New Roman" w:cs="Times New Roman" w:eastAsia="Times New Roman" w:hAnsi="Times New Roman"/>
          <w:sz w:val="22"/>
          <w:szCs w:val="22"/>
          <w:color w:val="auto"/>
        </w:rPr>
        <w:t>3.1 The Restricted Stock shall be registered in the name of Grantee as of the respective Grant Date for such shares of Restricted Stock. The Company may evidence the registration of the Restricted Stock in such manner as the Administrator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389"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3.2 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17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3.3 In the event of a stock split, stock dividend or other change in capitalization or another corporate event described in Section 17 of the Plan, the number and type of shares subject to this Agreement shall be adjusted by the Administrator to the extent provided in Section 17 of the Plan.</w:t>
      </w:r>
    </w:p>
    <w:p>
      <w:pPr>
        <w:spacing w:after="0" w:line="169" w:lineRule="exact"/>
        <w:rPr>
          <w:sz w:val="20"/>
          <w:szCs w:val="20"/>
          <w:color w:val="auto"/>
        </w:rPr>
      </w:pPr>
    </w:p>
    <w:p>
      <w:pPr>
        <w:ind w:left="860" w:hanging="852"/>
        <w:spacing w:after="0"/>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73" w:lineRule="exact"/>
        <w:rPr>
          <w:sz w:val="20"/>
          <w:szCs w:val="20"/>
          <w:color w:val="auto"/>
        </w:rPr>
      </w:pPr>
    </w:p>
    <w:p>
      <w:pPr>
        <w:ind w:left="860" w:hanging="852"/>
        <w:spacing w:after="0"/>
        <w:tabs>
          <w:tab w:leader="none" w:pos="8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Taxes and Withholding</w:t>
      </w:r>
    </w:p>
    <w:p>
      <w:pPr>
        <w:spacing w:after="0" w:line="210"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1"/>
          <w:szCs w:val="21"/>
          <w:color w:val="auto"/>
        </w:rPr>
        <w:t>Grantee shall be responsible for all federal, state, local and foreign taxes payable with respect to this Restricted Stock and dividends or other distributions paid on such Restricted Stock. Grantee shall have the right to make such elections under the Code as are available in connection with this Restricted Stock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 the right to retain and withhold from any payment of Restricted Stock or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4813-4157-9674.3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5" w:name="page126"/>
    <w:bookmarkEnd w:id="125"/>
    <w:p>
      <w:pPr>
        <w:spacing w:after="0" w:line="282" w:lineRule="auto"/>
        <w:rPr>
          <w:sz w:val="20"/>
          <w:szCs w:val="20"/>
          <w:color w:val="auto"/>
        </w:rPr>
      </w:pPr>
      <w:r>
        <w:rPr>
          <w:rFonts w:ascii="Times New Roman" w:cs="Times New Roman" w:eastAsia="Times New Roman" w:hAnsi="Times New Roman"/>
          <w:sz w:val="21"/>
          <w:szCs w:val="21"/>
          <w:color w:val="auto"/>
        </w:rPr>
        <w:t>amount equal to such taxes required to be withheld or withhold and cancel (in whole or in part) a number of shares of Restricted Stock having a market value not less than the amount of such taxes, subject to the provisions on withholding in the Plan.</w:t>
      </w:r>
    </w:p>
    <w:p>
      <w:pPr>
        <w:spacing w:after="0" w:line="131" w:lineRule="exact"/>
        <w:rPr>
          <w:sz w:val="20"/>
          <w:szCs w:val="20"/>
          <w:color w:val="auto"/>
        </w:rPr>
      </w:pPr>
    </w:p>
    <w:p>
      <w:pPr>
        <w:ind w:left="860" w:hanging="852"/>
        <w:spacing w:after="0"/>
        <w:tabs>
          <w:tab w:leader="none" w:pos="8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Restrictive Covenants</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Grantee hereby acknowledges and agrees to comply with and bound by all of the restrictive covenants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860" w:hanging="852"/>
        <w:spacing w:after="0"/>
        <w:tabs>
          <w:tab w:leader="none" w:pos="8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Grantee Bound by the Plan</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54" w:lineRule="exact"/>
        <w:rPr>
          <w:sz w:val="20"/>
          <w:szCs w:val="20"/>
          <w:color w:val="auto"/>
        </w:rPr>
      </w:pPr>
    </w:p>
    <w:p>
      <w:pPr>
        <w:ind w:left="860" w:hanging="852"/>
        <w:spacing w:after="0"/>
        <w:tabs>
          <w:tab w:leader="none" w:pos="8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Agreement</w:t>
      </w:r>
    </w:p>
    <w:p>
      <w:pPr>
        <w:spacing w:after="0" w:line="210" w:lineRule="exact"/>
        <w:rPr>
          <w:sz w:val="20"/>
          <w:szCs w:val="20"/>
          <w:color w:val="auto"/>
        </w:rPr>
      </w:pPr>
    </w:p>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 only by mutual agreement of the parties in writing except as otherwise provided in Section 15 of the Plan.</w:t>
      </w:r>
    </w:p>
    <w:p>
      <w:pPr>
        <w:spacing w:after="0" w:line="154" w:lineRule="exact"/>
        <w:rPr>
          <w:sz w:val="20"/>
          <w:szCs w:val="20"/>
          <w:color w:val="auto"/>
        </w:rPr>
      </w:pPr>
    </w:p>
    <w:p>
      <w:pPr>
        <w:ind w:left="860" w:hanging="852"/>
        <w:spacing w:after="0"/>
        <w:tabs>
          <w:tab w:leader="none" w:pos="8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69" w:lineRule="exact"/>
        <w:rPr>
          <w:sz w:val="20"/>
          <w:szCs w:val="20"/>
          <w:color w:val="auto"/>
        </w:rPr>
      </w:pPr>
    </w:p>
    <w:p>
      <w:pPr>
        <w:ind w:left="860" w:hanging="852"/>
        <w:spacing w:after="0"/>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10" w:lineRule="exact"/>
        <w:rPr>
          <w:sz w:val="20"/>
          <w:szCs w:val="20"/>
          <w:color w:val="auto"/>
        </w:rPr>
      </w:pPr>
    </w:p>
    <w:p>
      <w:pPr>
        <w:ind w:firstLine="864"/>
        <w:spacing w:after="0" w:line="282" w:lineRule="auto"/>
        <w:rPr>
          <w:sz w:val="20"/>
          <w:szCs w:val="20"/>
          <w:color w:val="auto"/>
        </w:rPr>
      </w:pPr>
      <w:r>
        <w:rPr>
          <w:rFonts w:ascii="Times New Roman" w:cs="Times New Roman" w:eastAsia="Times New Roman" w:hAnsi="Times New Roman"/>
          <w:sz w:val="21"/>
          <w:szCs w:val="21"/>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31" w:lineRule="exact"/>
        <w:rPr>
          <w:sz w:val="20"/>
          <w:szCs w:val="20"/>
          <w:color w:val="auto"/>
        </w:rPr>
      </w:pPr>
    </w:p>
    <w:p>
      <w:pPr>
        <w:ind w:left="860" w:hanging="852"/>
        <w:spacing w:after="0"/>
        <w:tabs>
          <w:tab w:leader="none" w:pos="8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in Interest</w:t>
      </w:r>
    </w:p>
    <w:p>
      <w:pPr>
        <w:spacing w:after="0" w:line="21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 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58" w:lineRule="exact"/>
        <w:rPr>
          <w:sz w:val="20"/>
          <w:szCs w:val="20"/>
          <w:color w:val="auto"/>
        </w:rPr>
      </w:pPr>
    </w:p>
    <w:p>
      <w:pPr>
        <w:ind w:left="860" w:hanging="852"/>
        <w:spacing w:after="0"/>
        <w:tabs>
          <w:tab w:leader="none" w:pos="8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Resolution of Disputes</w:t>
      </w:r>
    </w:p>
    <w:p>
      <w:pPr>
        <w:spacing w:after="0" w:line="210"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Administrator in its absolute discretion. Any determination made hereunder shall be final, binding, and conclusive on Grantee and the Company for all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4813-4157-9674.3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6" w:name="page127"/>
    <w:bookmarkEnd w:id="126"/>
    <w:p>
      <w:pPr>
        <w:ind w:left="860" w:hanging="852"/>
        <w:spacing w:after="0"/>
        <w:tabs>
          <w:tab w:leader="none" w:pos="8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Pronouns; Including</w:t>
      </w:r>
    </w:p>
    <w:p>
      <w:pPr>
        <w:spacing w:after="0" w:line="210" w:lineRule="exact"/>
        <w:rPr>
          <w:sz w:val="20"/>
          <w:szCs w:val="20"/>
          <w:color w:val="auto"/>
        </w:rPr>
      </w:pPr>
    </w:p>
    <w:p>
      <w:pPr>
        <w:ind w:firstLine="864"/>
        <w:spacing w:after="0" w:line="258" w:lineRule="auto"/>
        <w:rPr>
          <w:sz w:val="20"/>
          <w:szCs w:val="20"/>
          <w:color w:val="auto"/>
        </w:rPr>
      </w:pPr>
      <w:r>
        <w:rPr>
          <w:rFonts w:ascii="Times New Roman" w:cs="Times New Roman" w:eastAsia="Times New Roman" w:hAnsi="Times New Roman"/>
          <w:sz w:val="22"/>
          <w:szCs w:val="22"/>
          <w:color w:val="auto"/>
        </w:rPr>
        <w:t>Wherever appropriate in this Agreement, personal pronouns shall be deemed to include the other genders and the singular to include the plural. Wherever used in this Agreement, the term “including” means “including, without limitation.”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4813-4157-9674.3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7" w:name="page128"/>
    <w:bookmarkEnd w:id="127"/>
    <w:p>
      <w:pPr>
        <w:ind w:left="88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to be effective as of the Grant Date first above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___________________________________</w:t>
      </w:r>
    </w:p>
    <w:p>
      <w:pPr>
        <w:sectPr>
          <w:pgSz w:w="11900" w:h="16838" w:orient="portrait"/>
          <w:cols w:equalWidth="0" w:num="1">
            <w:col w:w="11240"/>
          </w:cols>
          <w:pgMar w:left="320" w:top="558" w:right="339" w:bottom="1440" w:gutter="0" w:footer="0" w:header="0"/>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tabs>
          <w:tab w:leader="none" w:pos="3220" w:val="left"/>
        </w:tabs>
        <w:rPr>
          <w:sz w:val="20"/>
          <w:szCs w:val="20"/>
          <w:color w:val="auto"/>
        </w:rPr>
      </w:pPr>
      <w:r>
        <w:rPr>
          <w:rFonts w:ascii="Times New Roman" w:cs="Times New Roman" w:eastAsia="Times New Roman" w:hAnsi="Times New Roman"/>
          <w:sz w:val="22"/>
          <w:szCs w:val="22"/>
          <w:color w:val="auto"/>
        </w:rPr>
        <w:t>________________________</w:t>
      </w:r>
      <w:r>
        <w:rPr>
          <w:sz w:val="20"/>
          <w:szCs w:val="20"/>
          <w:color w:val="auto"/>
        </w:rPr>
        <w:tab/>
      </w:r>
      <w:r>
        <w:rPr>
          <w:rFonts w:ascii="Times New Roman" w:cs="Times New Roman" w:eastAsia="Times New Roman" w:hAnsi="Times New Roman"/>
          <w:sz w:val="22"/>
          <w:szCs w:val="22"/>
          <w:color w:val="auto"/>
        </w:rPr>
        <w:t>Grantee</w:t>
      </w:r>
    </w:p>
    <w:p>
      <w:pPr>
        <w:spacing w:after="0" w:line="69" w:lineRule="exact"/>
        <w:rPr>
          <w:sz w:val="20"/>
          <w:szCs w:val="20"/>
          <w:color w:val="auto"/>
        </w:rPr>
      </w:pPr>
    </w:p>
    <w:p>
      <w:pPr>
        <w:sectPr>
          <w:pgSz w:w="11900" w:h="16838" w:orient="portrait"/>
          <w:cols w:equalWidth="0" w:num="2">
            <w:col w:w="320" w:space="100"/>
            <w:col w:w="10820"/>
          </w:cols>
          <w:pgMar w:left="320" w:top="55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Title: _______________________</w:t>
      </w:r>
    </w:p>
    <w:p>
      <w:pPr>
        <w:sectPr>
          <w:pgSz w:w="11900" w:h="16838" w:orient="portrait"/>
          <w:cols w:equalWidth="0" w:num="1">
            <w:col w:w="11240"/>
          </w:cols>
          <w:pgMar w:left="320" w:top="55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4813-4157-9674.3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224" w:lineRule="exact"/>
        <w:rPr>
          <w:sz w:val="20"/>
          <w:szCs w:val="20"/>
          <w:color w:val="auto"/>
        </w:rPr>
      </w:pPr>
    </w:p>
    <w:p>
      <w:pPr>
        <w:jc w:val="both"/>
        <w:ind w:firstLine="1735"/>
        <w:spacing w:after="0" w:line="232" w:lineRule="auto"/>
        <w:tabs>
          <w:tab w:leader="none" w:pos="258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During the employment or service period and thereafter, Grantee will not disclose any Proprietary Information (as defined below) or use any Proprietary Information in any manner adverse to the best interests of Company. All information, data, documents, agreements, files, and other materials that have been or will be furnished directly or indirectly by Company or any of its representatives to Grantee, including, without limitation, trade secrets, software programs, intellectual property, data files, source code, computer chips, system designs and product designs, whether or not marked as confidential, whether furnished prior to, on or after the Grant Date, whether oral, written or electronic, and regardless of the manner in which it was or is furnished, together with any notes, reports, summaries, analyses, compilations, forecasts, studies, interpretations, memoranda or other materials prepared by Company or any of its representatives that contain, reference, reflect or are based upon, in whole or in part, any information, documents, agreements, files, and other materials so furnished to Grantee is referred to herein as “Proprietary Information”. Proprietary Information does not include, however, information that (i) was, is or becomes available to Grantee on a non-confidential basis from a source other than Company or any of its representatives;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other source is not known by Grantee, after reasonable inquiry, to be bound by a confidentiality obligation to Company; (ii) was, is or becomes generally available to or known by the public (other than as a result of a breach by Grantee of this Agreement); (iii) was previously in the possession of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information is not known by Grantee, after reasonable inquiry, to be subject to another confidentiality agreement or other obligation of secrecy to Company; or (iv) was independently developed by Grantee without use of the Proprietary Information and without violating any of his obligations under this Agreement or previously as a member of the Board. To the extent that any Proprietary Information may include materials subject to the attorney client privilege, work product doctrine or any other applicable privilege concerning pending or threatened legal proceedings or governmental investigations, Grantee agrees that the parties have a commonality of interest with respect to such matters, and it is the mutual desire, intention and understanding of the parties that the sharing of such materials was or is not intended to, and shall not, waive or diminish in any way the confidentiality of such materials or their continued protection under the attorney client privilege, work product doctrine or other applicable privilege. Accordingly, and in furtherance of the foregoing, the parties agree not to claim or contend that either party hereto has waived any attorney client privilege, work product doctrine or any other similar and applicable privilege by providing information pursuant to this Agreement.</w:t>
      </w:r>
    </w:p>
    <w:p>
      <w:pPr>
        <w:spacing w:after="0" w:line="177" w:lineRule="exact"/>
        <w:rPr>
          <w:rFonts w:ascii="Times New Roman" w:cs="Times New Roman" w:eastAsia="Times New Roman" w:hAnsi="Times New Roman"/>
          <w:sz w:val="22"/>
          <w:szCs w:val="22"/>
          <w:color w:val="auto"/>
        </w:rPr>
      </w:pPr>
    </w:p>
    <w:p>
      <w:pPr>
        <w:jc w:val="both"/>
        <w:ind w:firstLine="1735"/>
        <w:spacing w:after="0" w:line="235" w:lineRule="auto"/>
        <w:tabs>
          <w:tab w:leader="none" w:pos="257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Solicitation of Employees</w:t>
      </w:r>
      <w:r>
        <w:rPr>
          <w:rFonts w:ascii="Times New Roman" w:cs="Times New Roman" w:eastAsia="Times New Roman" w:hAnsi="Times New Roman"/>
          <w:sz w:val="22"/>
          <w:szCs w:val="22"/>
          <w:color w:val="auto"/>
        </w:rPr>
        <w:t xml:space="preserve">. Grantee agrees that, without the prior written consent of Company, Grantee will not, during the employment or service period and for a period of one year from the end of the employment or service period, directly or indirectly, solicit the services of or employ, as employee, Grantee or otherwise any member of Company’s management;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foregoing shall not preclude (i) the hiring of any Company management employees who apply for employment on their own initiative without direct or indirect inducement or encouragement by consultant; (ii) the solicitation (or employment as a result of the solicitation) of any Company management employees whose employment has been terminated by Company for at least six months at the time of any such</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4813-4157-9674.3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9" w:name="page130"/>
    <w:bookmarkEnd w:id="129"/>
    <w:p>
      <w:pPr>
        <w:jc w:val="both"/>
        <w:spacing w:after="0" w:line="244" w:lineRule="auto"/>
        <w:rPr>
          <w:sz w:val="20"/>
          <w:szCs w:val="20"/>
          <w:color w:val="auto"/>
        </w:rPr>
      </w:pPr>
      <w:r>
        <w:rPr>
          <w:rFonts w:ascii="Times New Roman" w:cs="Times New Roman" w:eastAsia="Times New Roman" w:hAnsi="Times New Roman"/>
          <w:sz w:val="22"/>
          <w:szCs w:val="22"/>
          <w:color w:val="auto"/>
        </w:rPr>
        <w:t>solicitation; or (iii) the solicitation (or employment as a result of the solicitation) of any Company management employees through (a) public advertisements or general solicitations that are not specifically targeted at such person(s); or (b) recruiting or search firms not targeting the Company’s management employees.</w:t>
      </w:r>
    </w:p>
    <w:p>
      <w:pPr>
        <w:spacing w:after="0" w:line="173" w:lineRule="exact"/>
        <w:rPr>
          <w:sz w:val="20"/>
          <w:szCs w:val="20"/>
          <w:color w:val="auto"/>
        </w:rPr>
      </w:pPr>
    </w:p>
    <w:p>
      <w:pPr>
        <w:jc w:val="both"/>
        <w:ind w:firstLine="1735"/>
        <w:spacing w:after="0" w:line="244" w:lineRule="auto"/>
        <w:tabs>
          <w:tab w:leader="none" w:pos="257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Grantee understands and agrees that this Agreement does not and shall not supersede any obligations pertaining to any non-compete, non-solicitation, and confidentiality agreements that Grantee has previously entered into with the Company. Grantee further understands and agrees that, in consideration of the benefits provided to Grantee pursuant to this Agreement, Grantee’s prior agreements are hereby ratified and reaffirmed in all respects and shall remain in full force and effect in accordance with the respective terms thereof. Grantee also agrees that, during the employment or service period and for a period of two years from the end of the employment or service period,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management or the affairs of Company. During the employment or service period and for a period of two years from the end of the employment or service period, Grantee will vote all Company shares beneficially owned by him in favor of any Board recommendation submitted to a vote of Company’s shareholders.</w:t>
      </w:r>
    </w:p>
    <w:p>
      <w:pPr>
        <w:spacing w:after="0" w:line="180" w:lineRule="exact"/>
        <w:rPr>
          <w:rFonts w:ascii="Times New Roman" w:cs="Times New Roman" w:eastAsia="Times New Roman" w:hAnsi="Times New Roman"/>
          <w:sz w:val="21"/>
          <w:szCs w:val="21"/>
          <w:color w:val="auto"/>
        </w:rPr>
      </w:pPr>
    </w:p>
    <w:p>
      <w:pPr>
        <w:jc w:val="both"/>
        <w:ind w:firstLine="1735"/>
        <w:spacing w:after="0" w:line="235" w:lineRule="auto"/>
        <w:tabs>
          <w:tab w:leader="none" w:pos="258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All Company Documents and Property</w:t>
      </w:r>
      <w:r>
        <w:rPr>
          <w:rFonts w:ascii="Times New Roman" w:cs="Times New Roman" w:eastAsia="Times New Roman" w:hAnsi="Times New Roman"/>
          <w:sz w:val="22"/>
          <w:szCs w:val="22"/>
          <w:color w:val="auto"/>
        </w:rPr>
        <w:t>. Excluding Grantee’s personal files and property, promptly after the termination date of employment or service to the Company, Grantee will return to Company all documents and property (including, without limitation, all records, memoranda, notes, correspondence, client information, reports, manuals, plans, computer discs, tapes and files, printouts, software, presentations and the like, including all copies thereof, computers, telephones, PDAs, equipment, and the like) in his possession or under his control pertaining to Company’s business or Proprietary Information. Grantee will not copy or cause to be copied any of Company’s records nor cause a removal of any record, document or property belonging to Company without authorization from Company.</w:t>
      </w:r>
    </w:p>
    <w:p>
      <w:pPr>
        <w:spacing w:after="0" w:line="183"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6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 Agreement</w:t>
      </w:r>
      <w:r>
        <w:rPr>
          <w:rFonts w:ascii="Times New Roman" w:cs="Times New Roman" w:eastAsia="Times New Roman" w:hAnsi="Times New Roman"/>
          <w:sz w:val="22"/>
          <w:szCs w:val="22"/>
          <w:color w:val="auto"/>
        </w:rPr>
        <w:t>. From and after the termination date of employment or service to the Company, neither Grantee nor Company will disparage the other party or any of Grantee’s or Company’s clients, directors, officers, employees, shareholders or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4813-4157-9674.3</w:t>
      </w:r>
    </w:p>
    <w:p>
      <w:pPr>
        <w:sectPr>
          <w:pgSz w:w="11900" w:h="16838" w:orient="portrait"/>
          <w:cols w:equalWidth="0" w:num="1">
            <w:col w:w="11240"/>
          </w:cols>
          <w:pgMar w:left="320" w:top="342"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722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59"/>
        </w:trPr>
        <w:tc>
          <w:tcPr>
            <w:tcW w:w="4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191"/>
        </w:trPr>
        <w:tc>
          <w:tcPr>
            <w:tcW w:w="40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Great Lakes Energy Technologies, LLC</w:t>
            </w: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Clean Energy Solutions, LLC</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Asset Management, LLC</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LED Canada, Inc.</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Stay-Lite Lighting, Inc.</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8"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Orion Energy Systems, Inc.</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Manitowoc, Wisconsin</w:t>
      </w:r>
    </w:p>
    <w:p>
      <w:pPr>
        <w:spacing w:after="0" w:line="223" w:lineRule="exact"/>
        <w:rPr>
          <w:sz w:val="20"/>
          <w:szCs w:val="20"/>
          <w:color w:val="auto"/>
        </w:rPr>
      </w:pPr>
    </w:p>
    <w:p>
      <w:pPr>
        <w:jc w:val="both"/>
        <w:spacing w:after="0" w:line="251" w:lineRule="auto"/>
        <w:rPr>
          <w:sz w:val="20"/>
          <w:szCs w:val="20"/>
          <w:color w:val="auto"/>
        </w:rPr>
      </w:pPr>
      <w:r>
        <w:rPr>
          <w:rFonts w:ascii="Trebuchet MS" w:cs="Trebuchet MS" w:eastAsia="Trebuchet MS" w:hAnsi="Trebuchet MS"/>
          <w:sz w:val="18"/>
          <w:szCs w:val="18"/>
          <w:color w:val="auto"/>
        </w:rPr>
        <w:t>We hereby consent to the incorporation by reference in the Registration Statements on Form S-3 (No. 333-236837) and Form S-8 (No. 333-169611, 333-176176, 333-213042 and 333-233180) of our reports dated June 10, 2022, relating to the consolidated financial statements and the effectiveness of Orion Energy System, Inc.’s internal control over financial reporting, which appear in this Form 10-K.</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/s/ BDO USA, LLP</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Milwaukee, Wisconsin</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June 10, 2022</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Altschaefl, certify that:</w:t>
      </w:r>
    </w:p>
    <w:p>
      <w:pPr>
        <w:spacing w:after="0" w:line="225" w:lineRule="exact"/>
        <w:rPr>
          <w:sz w:val="20"/>
          <w:szCs w:val="20"/>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25" w:lineRule="exact"/>
        <w:rPr>
          <w:rFonts w:ascii="Times New Roman" w:cs="Times New Roman" w:eastAsia="Times New Roman" w:hAnsi="Times New Roman"/>
          <w:sz w:val="18"/>
          <w:szCs w:val="18"/>
          <w:color w:val="auto"/>
        </w:rPr>
      </w:pPr>
    </w:p>
    <w:p>
      <w:pPr>
        <w:jc w:val="both"/>
        <w:ind w:left="460" w:right="320" w:hanging="452"/>
        <w:spacing w:after="0" w:line="266"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60" w:right="320" w:hanging="452"/>
        <w:spacing w:after="0" w:line="266"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00" w:right="140" w:hanging="447"/>
        <w:spacing w:after="0" w:line="266"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40" w:hanging="447"/>
        <w:spacing w:after="0" w:line="266"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00" w:right="620" w:hanging="447"/>
        <w:spacing w:after="0" w:line="312" w:lineRule="auto"/>
        <w:tabs>
          <w:tab w:leader="none" w:pos="90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20" w:hanging="447"/>
        <w:spacing w:after="0" w:line="266"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40" w:hanging="447"/>
        <w:spacing w:after="0" w:line="282"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540" w:hanging="447"/>
        <w:spacing w:after="0" w:line="282" w:lineRule="auto"/>
        <w:tabs>
          <w:tab w:leader="none" w:pos="9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2022</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Per Brodin, certify that:</w:t>
      </w:r>
    </w:p>
    <w:p>
      <w:pPr>
        <w:spacing w:after="0" w:line="225" w:lineRule="exact"/>
        <w:rPr>
          <w:sz w:val="20"/>
          <w:szCs w:val="20"/>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25" w:lineRule="exact"/>
        <w:rPr>
          <w:rFonts w:ascii="Times New Roman" w:cs="Times New Roman" w:eastAsia="Times New Roman" w:hAnsi="Times New Roman"/>
          <w:sz w:val="18"/>
          <w:szCs w:val="18"/>
          <w:color w:val="auto"/>
        </w:rPr>
      </w:pPr>
    </w:p>
    <w:p>
      <w:pPr>
        <w:jc w:val="both"/>
        <w:ind w:left="460" w:right="320" w:hanging="452"/>
        <w:spacing w:after="0" w:line="266"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60" w:right="320" w:hanging="452"/>
        <w:spacing w:after="0" w:line="266"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00" w:right="140" w:hanging="447"/>
        <w:spacing w:after="0" w:line="266"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40" w:hanging="447"/>
        <w:spacing w:after="0" w:line="266"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00" w:right="620" w:hanging="447"/>
        <w:spacing w:after="0" w:line="312" w:lineRule="auto"/>
        <w:tabs>
          <w:tab w:leader="none" w:pos="90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20" w:hanging="447"/>
        <w:spacing w:after="0" w:line="266"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40" w:hanging="447"/>
        <w:spacing w:after="0" w:line="282"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540" w:hanging="447"/>
        <w:spacing w:after="0" w:line="282" w:lineRule="auto"/>
        <w:tabs>
          <w:tab w:leader="none" w:pos="9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2022</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 Per Brodin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2022 ,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Michael W. Altschaefl</w:t>
      </w:r>
    </w:p>
    <w:p>
      <w:pPr>
        <w:spacing w:after="0" w:line="26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J. Per Brodin</w:t>
      </w:r>
    </w:p>
    <w:p>
      <w:pPr>
        <w:spacing w:after="0" w:line="26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220"/>
        <w:spacing w:after="0"/>
        <w:tabs>
          <w:tab w:leader="none" w:pos="6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10,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1)"/>
      <w:numFmt w:val="decimal"/>
      <w:start w:val="1"/>
    </w:lvl>
  </w:abstractNum>
  <w:abstractNum w:abstractNumId="15">
    <w:nsid w:val="15B5AF5C"/>
    <w:multiLevelType w:val="hybridMultilevel"/>
    <w:lvl w:ilvl="0">
      <w:lvlJc w:val="left"/>
      <w:lvlText w:val="(%1)"/>
      <w:numFmt w:val="decimal"/>
      <w:start w:val="1"/>
    </w:lvl>
  </w:abstractNum>
  <w:abstractNum w:abstractNumId="16">
    <w:nsid w:val="741226BB"/>
    <w:multiLevelType w:val="hybridMultilevel"/>
    <w:lvl w:ilvl="0">
      <w:lvlJc w:val="left"/>
      <w:lvlText w:val="(%1)"/>
      <w:numFmt w:val="decimal"/>
      <w:start w:val="2"/>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1)"/>
      <w:numFmt w:val="lowerLetter"/>
      <w:start w:val="3"/>
    </w:lvl>
    <w:lvl w:ilvl="1">
      <w:lvlJc w:val="left"/>
      <w:lvlText w:val="•"/>
      <w:numFmt w:val="bullet"/>
      <w:start w:val="1"/>
    </w:lvl>
  </w:abstractNum>
  <w:abstractNum w:abstractNumId="20">
    <w:nsid w:val="61574095"/>
    <w:multiLevelType w:val="hybridMultilevel"/>
    <w:lvl w:ilvl="0">
      <w:lvlJc w:val="left"/>
      <w:lvlText w:val="%1."/>
      <w:numFmt w:val="decimal"/>
      <w:start w:val="606"/>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lowerRoman"/>
      <w:start w:val="1"/>
    </w:lvl>
  </w:abstractNum>
  <w:abstractNum w:abstractNumId="23">
    <w:nsid w:val="579BE4F1"/>
    <w:multiLevelType w:val="hybridMultilevel"/>
    <w:lvl w:ilvl="0">
      <w:lvlJc w:val="left"/>
      <w:lvlText w:val="%1"/>
      <w:numFmt w:val="decimal"/>
      <w:start w:val="101"/>
    </w:lvl>
  </w:abstractNum>
  <w:abstractNum w:abstractNumId="24">
    <w:nsid w:val="310C50B3"/>
    <w:multiLevelType w:val="hybridMultilevel"/>
    <w:lvl w:ilvl="0">
      <w:lvlJc w:val="left"/>
      <w:lvlText w:val="%1"/>
      <w:numFmt w:val="decimal"/>
      <w:start w:val="104"/>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1."/>
      <w:numFmt w:val="decimal"/>
      <w:start w:val="1"/>
    </w:lvl>
  </w:abstractNum>
  <w:abstractNum w:abstractNumId="27">
    <w:nsid w:val="25A70BF7"/>
    <w:multiLevelType w:val="hybridMultilevel"/>
    <w:lvl w:ilvl="0">
      <w:lvlJc w:val="left"/>
      <w:lvlText w:val="%1."/>
      <w:numFmt w:val="decimal"/>
      <w:start w:val="2"/>
    </w:lvl>
  </w:abstractNum>
  <w:abstractNum w:abstractNumId="28">
    <w:nsid w:val="1DBABF00"/>
    <w:multiLevelType w:val="hybridMultilevel"/>
    <w:lvl w:ilvl="0">
      <w:lvlJc w:val="left"/>
      <w:lvlText w:val="%1."/>
      <w:numFmt w:val="decimal"/>
      <w:start w:val="3"/>
    </w:lvl>
  </w:abstractNum>
  <w:abstractNum w:abstractNumId="29">
    <w:nsid w:val="4AD084E9"/>
    <w:multiLevelType w:val="hybridMultilevel"/>
    <w:lvl w:ilvl="0">
      <w:lvlJc w:val="left"/>
      <w:lvlText w:val="%1."/>
      <w:numFmt w:val="decimal"/>
      <w:start w:val="4"/>
    </w:lvl>
  </w:abstractNum>
  <w:abstractNum w:abstractNumId="30">
    <w:nsid w:val="1F48EAA1"/>
    <w:multiLevelType w:val="hybridMultilevel"/>
    <w:lvl w:ilvl="0">
      <w:lvlJc w:val="left"/>
      <w:lvlText w:val="%1."/>
      <w:numFmt w:val="decimal"/>
      <w:start w:val="5"/>
    </w:lvl>
  </w:abstractNum>
  <w:abstractNum w:abstractNumId="31">
    <w:nsid w:val="1381823A"/>
    <w:multiLevelType w:val="hybridMultilevel"/>
    <w:lvl w:ilvl="0">
      <w:lvlJc w:val="left"/>
      <w:lvlText w:val="%1."/>
      <w:numFmt w:val="decimal"/>
      <w:start w:val="6"/>
    </w:lvl>
  </w:abstractNum>
  <w:abstractNum w:abstractNumId="32">
    <w:nsid w:val="5DB70AE5"/>
    <w:multiLevelType w:val="hybridMultilevel"/>
    <w:lvl w:ilvl="0">
      <w:lvlJc w:val="left"/>
      <w:lvlText w:val="%1."/>
      <w:numFmt w:val="decimal"/>
      <w:start w:val="7"/>
    </w:lvl>
  </w:abstractNum>
  <w:abstractNum w:abstractNumId="33">
    <w:nsid w:val="100F8FCA"/>
    <w:multiLevelType w:val="hybridMultilevel"/>
    <w:lvl w:ilvl="0">
      <w:lvlJc w:val="left"/>
      <w:lvlText w:val="%1."/>
      <w:numFmt w:val="decimal"/>
      <w:start w:val="8"/>
    </w:lvl>
  </w:abstractNum>
  <w:abstractNum w:abstractNumId="34">
    <w:nsid w:val="6590700B"/>
    <w:multiLevelType w:val="hybridMultilevel"/>
    <w:lvl w:ilvl="0">
      <w:lvlJc w:val="left"/>
      <w:lvlText w:val="%1."/>
      <w:numFmt w:val="decimal"/>
      <w:start w:val="9"/>
    </w:lvl>
  </w:abstractNum>
  <w:abstractNum w:abstractNumId="35">
    <w:nsid w:val="15014ACB"/>
    <w:multiLevelType w:val="hybridMultilevel"/>
    <w:lvl w:ilvl="0">
      <w:lvlJc w:val="left"/>
      <w:lvlText w:val="%1."/>
      <w:numFmt w:val="decimal"/>
      <w:start w:val="10"/>
    </w:lvl>
  </w:abstractNum>
  <w:abstractNum w:abstractNumId="36">
    <w:nsid w:val="5F5E7FD0"/>
    <w:multiLevelType w:val="hybridMultilevel"/>
    <w:lvl w:ilvl="0">
      <w:lvlJc w:val="left"/>
      <w:lvlText w:val="%1."/>
      <w:numFmt w:val="decimal"/>
      <w:start w:val="11"/>
    </w:lvl>
  </w:abstractNum>
  <w:abstractNum w:abstractNumId="37">
    <w:nsid w:val="98A3148"/>
    <w:multiLevelType w:val="hybridMultilevel"/>
    <w:lvl w:ilvl="0">
      <w:lvlJc w:val="left"/>
      <w:lvlText w:val="%1."/>
      <w:numFmt w:val="decimal"/>
      <w:start w:val="12"/>
    </w:lvl>
  </w:abstractNum>
  <w:abstractNum w:abstractNumId="38">
    <w:nsid w:val="799D0247"/>
    <w:multiLevelType w:val="hybridMultilevel"/>
    <w:lvl w:ilvl="0">
      <w:lvlJc w:val="left"/>
      <w:lvlText w:val="%1."/>
      <w:numFmt w:val="decimal"/>
      <w:start w:val="13"/>
    </w:lvl>
  </w:abstractNum>
  <w:abstractNum w:abstractNumId="39">
    <w:nsid w:val="6B94764"/>
    <w:multiLevelType w:val="hybridMultilevel"/>
    <w:lvl w:ilvl="0">
      <w:lvlJc w:val="left"/>
      <w:lvlText w:val="%1."/>
      <w:numFmt w:val="upperLetter"/>
      <w:start w:val="1"/>
    </w:lvl>
  </w:abstractNum>
  <w:abstractNum w:abstractNumId="40">
    <w:nsid w:val="42C296BD"/>
    <w:multiLevelType w:val="hybridMultilevel"/>
    <w:lvl w:ilvl="0">
      <w:lvlJc w:val="left"/>
      <w:lvlText w:val="%1."/>
      <w:numFmt w:val="upperLetter"/>
      <w:start w:val="3"/>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1."/>
      <w:numFmt w:val="decimal"/>
      <w:start w:val="2"/>
    </w:lvl>
  </w:abstractNum>
  <w:abstractNum w:abstractNumId="43">
    <w:nsid w:val="661E3F1E"/>
    <w:multiLevelType w:val="hybridMultilevel"/>
    <w:lvl w:ilvl="0">
      <w:lvlJc w:val="left"/>
      <w:lvlText w:val="%1."/>
      <w:numFmt w:val="decimal"/>
      <w:start w:val="3"/>
    </w:lvl>
  </w:abstractNum>
  <w:abstractNum w:abstractNumId="44">
    <w:nsid w:val="5DC79EA8"/>
    <w:multiLevelType w:val="hybridMultilevel"/>
    <w:lvl w:ilvl="0">
      <w:lvlJc w:val="left"/>
      <w:lvlText w:val="%1."/>
      <w:numFmt w:val="decimal"/>
      <w:start w:val="4"/>
    </w:lvl>
  </w:abstractNum>
  <w:abstractNum w:abstractNumId="45">
    <w:nsid w:val="540A471C"/>
    <w:multiLevelType w:val="hybridMultilevel"/>
    <w:lvl w:ilvl="0">
      <w:lvlJc w:val="left"/>
      <w:lvlText w:val="%1."/>
      <w:numFmt w:val="decimal"/>
      <w:start w:val="5"/>
    </w:lvl>
  </w:abstractNum>
  <w:abstractNum w:abstractNumId="46">
    <w:nsid w:val="7BD3EE7B"/>
    <w:multiLevelType w:val="hybridMultilevel"/>
    <w:lvl w:ilvl="0">
      <w:lvlJc w:val="left"/>
      <w:lvlText w:val="%1."/>
      <w:numFmt w:val="decimal"/>
      <w:start w:val="6"/>
    </w:lvl>
  </w:abstractNum>
  <w:abstractNum w:abstractNumId="47">
    <w:nsid w:val="51D9C564"/>
    <w:multiLevelType w:val="hybridMultilevel"/>
    <w:lvl w:ilvl="0">
      <w:lvlJc w:val="left"/>
      <w:lvlText w:val="%1."/>
      <w:numFmt w:val="decimal"/>
      <w:start w:val="7"/>
    </w:lvl>
  </w:abstractNum>
  <w:abstractNum w:abstractNumId="48">
    <w:nsid w:val="613EFDC5"/>
    <w:multiLevelType w:val="hybridMultilevel"/>
    <w:lvl w:ilvl="0">
      <w:lvlJc w:val="left"/>
      <w:lvlText w:val="%1."/>
      <w:numFmt w:val="decimal"/>
      <w:start w:val="8"/>
    </w:lvl>
  </w:abstractNum>
  <w:abstractNum w:abstractNumId="49">
    <w:nsid w:val="BF72B14"/>
    <w:multiLevelType w:val="hybridMultilevel"/>
    <w:lvl w:ilvl="0">
      <w:lvlJc w:val="left"/>
      <w:lvlText w:val="%1."/>
      <w:numFmt w:val="decimal"/>
      <w:start w:val="9"/>
    </w:lvl>
  </w:abstractNum>
  <w:abstractNum w:abstractNumId="50">
    <w:nsid w:val="11447B73"/>
    <w:multiLevelType w:val="hybridMultilevel"/>
    <w:lvl w:ilvl="0">
      <w:lvlJc w:val="left"/>
      <w:lvlText w:val="%1."/>
      <w:numFmt w:val="decimal"/>
      <w:start w:val="10"/>
    </w:lvl>
  </w:abstractNum>
  <w:abstractNum w:abstractNumId="51">
    <w:nsid w:val="42963E5A"/>
    <w:multiLevelType w:val="hybridMultilevel"/>
    <w:lvl w:ilvl="0">
      <w:lvlJc w:val="left"/>
      <w:lvlText w:val="%1."/>
      <w:numFmt w:val="decimal"/>
      <w:start w:val="11"/>
    </w:lvl>
  </w:abstractNum>
  <w:abstractNum w:abstractNumId="52">
    <w:nsid w:val="A0382C5"/>
    <w:multiLevelType w:val="hybridMultilevel"/>
    <w:lvl w:ilvl="0">
      <w:lvlJc w:val="left"/>
      <w:lvlText w:val="%1."/>
      <w:numFmt w:val="decimal"/>
      <w:start w:val="12"/>
    </w:lvl>
  </w:abstractNum>
  <w:abstractNum w:abstractNumId="53">
    <w:nsid w:val="8F2B15E"/>
    <w:multiLevelType w:val="hybridMultilevel"/>
    <w:lvl w:ilvl="0">
      <w:lvlJc w:val="left"/>
      <w:lvlText w:val="%1."/>
      <w:numFmt w:val="decimal"/>
      <w:start w:val="13"/>
    </w:lvl>
  </w:abstractNum>
  <w:abstractNum w:abstractNumId="54">
    <w:nsid w:val="1A32234B"/>
    <w:multiLevelType w:val="hybridMultilevel"/>
    <w:lvl w:ilvl="0">
      <w:lvlJc w:val="left"/>
      <w:lvlText w:val="%1."/>
      <w:numFmt w:val="upperLetter"/>
      <w:start w:val="1"/>
    </w:lvl>
  </w:abstractNum>
  <w:abstractNum w:abstractNumId="55">
    <w:nsid w:val="3B0FD379"/>
    <w:multiLevelType w:val="hybridMultilevel"/>
    <w:lvl w:ilvl="0">
      <w:lvlJc w:val="left"/>
      <w:lvlText w:val="%1."/>
      <w:numFmt w:val="upperLetter"/>
      <w:start w:val="3"/>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1."/>
      <w:numFmt w:val="decimal"/>
      <w:start w:val="2"/>
    </w:lvl>
  </w:abstractNum>
  <w:abstractNum w:abstractNumId="58">
    <w:nsid w:val="60B6DF70"/>
    <w:multiLevelType w:val="hybridMultilevel"/>
    <w:lvl w:ilvl="0">
      <w:lvlJc w:val="left"/>
      <w:lvlText w:val="%1."/>
      <w:numFmt w:val="decimal"/>
      <w:start w:val="3"/>
    </w:lvl>
  </w:abstractNum>
  <w:abstractNum w:abstractNumId="59">
    <w:nsid w:val="6A5EE64"/>
    <w:multiLevelType w:val="hybridMultilevel"/>
    <w:lvl w:ilvl="0">
      <w:lvlJc w:val="left"/>
      <w:lvlText w:val="%1."/>
      <w:numFmt w:val="decimal"/>
      <w:start w:val="4"/>
    </w:lvl>
  </w:abstractNum>
  <w:abstractNum w:abstractNumId="60">
    <w:nsid w:val="14330624"/>
    <w:multiLevelType w:val="hybridMultilevel"/>
    <w:lvl w:ilvl="0">
      <w:lvlJc w:val="left"/>
      <w:lvlText w:val="%1."/>
      <w:numFmt w:val="decimal"/>
      <w:start w:val="5"/>
    </w:lvl>
  </w:abstractNum>
  <w:abstractNum w:abstractNumId="61">
    <w:nsid w:val="7FFFCA11"/>
    <w:multiLevelType w:val="hybridMultilevel"/>
    <w:lvl w:ilvl="0">
      <w:lvlJc w:val="left"/>
      <w:lvlText w:val="%1."/>
      <w:numFmt w:val="decimal"/>
      <w:start w:val="6"/>
    </w:lvl>
  </w:abstractNum>
  <w:abstractNum w:abstractNumId="62">
    <w:nsid w:val="1A27709E"/>
    <w:multiLevelType w:val="hybridMultilevel"/>
    <w:lvl w:ilvl="0">
      <w:lvlJc w:val="left"/>
      <w:lvlText w:val="%1."/>
      <w:numFmt w:val="decimal"/>
      <w:start w:val="7"/>
    </w:lvl>
  </w:abstractNum>
  <w:abstractNum w:abstractNumId="63">
    <w:nsid w:val="71EA1109"/>
    <w:multiLevelType w:val="hybridMultilevel"/>
    <w:lvl w:ilvl="0">
      <w:lvlJc w:val="left"/>
      <w:lvlText w:val="%1."/>
      <w:numFmt w:val="decimal"/>
      <w:start w:val="8"/>
    </w:lvl>
  </w:abstractNum>
  <w:abstractNum w:abstractNumId="64">
    <w:nsid w:val="100F59DC"/>
    <w:multiLevelType w:val="hybridMultilevel"/>
    <w:lvl w:ilvl="0">
      <w:lvlJc w:val="left"/>
      <w:lvlText w:val="%1."/>
      <w:numFmt w:val="decimal"/>
      <w:start w:val="9"/>
    </w:lvl>
  </w:abstractNum>
  <w:abstractNum w:abstractNumId="65">
    <w:nsid w:val="7FB7E0AA"/>
    <w:multiLevelType w:val="hybridMultilevel"/>
    <w:lvl w:ilvl="0">
      <w:lvlJc w:val="left"/>
      <w:lvlText w:val="%1."/>
      <w:numFmt w:val="decimal"/>
      <w:start w:val="10"/>
    </w:lvl>
  </w:abstractNum>
  <w:abstractNum w:abstractNumId="66">
    <w:nsid w:val="6EB5BD4"/>
    <w:multiLevelType w:val="hybridMultilevel"/>
    <w:lvl w:ilvl="0">
      <w:lvlJc w:val="left"/>
      <w:lvlText w:val="%1."/>
      <w:numFmt w:val="decimal"/>
      <w:start w:val="11"/>
    </w:lvl>
  </w:abstractNum>
  <w:abstractNum w:abstractNumId="67">
    <w:nsid w:val="6F6DD9AC"/>
    <w:multiLevelType w:val="hybridMultilevel"/>
    <w:lvl w:ilvl="0">
      <w:lvlJc w:val="left"/>
      <w:lvlText w:val="%1."/>
      <w:numFmt w:val="decimal"/>
      <w:start w:val="12"/>
    </w:lvl>
  </w:abstractNum>
  <w:abstractNum w:abstractNumId="68">
    <w:nsid w:val="94211F2"/>
    <w:multiLevelType w:val="hybridMultilevel"/>
    <w:lvl w:ilvl="0">
      <w:lvlJc w:val="left"/>
      <w:lvlText w:val="%1."/>
      <w:numFmt w:val="decimal"/>
      <w:start w:val="13"/>
    </w:lvl>
  </w:abstractNum>
  <w:abstractNum w:abstractNumId="69">
    <w:nsid w:val="885E1B"/>
    <w:multiLevelType w:val="hybridMultilevel"/>
    <w:lvl w:ilvl="0">
      <w:lvlJc w:val="left"/>
      <w:lvlText w:val="%1."/>
      <w:numFmt w:val="upperLetter"/>
      <w:start w:val="1"/>
    </w:lvl>
  </w:abstractNum>
  <w:abstractNum w:abstractNumId="70">
    <w:nsid w:val="76272110"/>
    <w:multiLevelType w:val="hybridMultilevel"/>
    <w:lvl w:ilvl="0">
      <w:lvlJc w:val="left"/>
      <w:lvlText w:val="%1."/>
      <w:numFmt w:val="upperLetter"/>
      <w:start w:val="3"/>
    </w:lvl>
  </w:abstractNum>
  <w:abstractNum w:abstractNumId="71">
    <w:nsid w:val="4C04A8AF"/>
    <w:multiLevelType w:val="hybridMultilevel"/>
    <w:lvl w:ilvl="0">
      <w:lvlJc w:val="left"/>
      <w:lvlText w:val="%1."/>
      <w:numFmt w:val="decimal"/>
      <w:start w:val="1"/>
    </w:lvl>
  </w:abstractNum>
  <w:abstractNum w:abstractNumId="72">
    <w:nsid w:val="1716703B"/>
    <w:multiLevelType w:val="hybridMultilevel"/>
    <w:lvl w:ilvl="0">
      <w:lvlJc w:val="left"/>
      <w:lvlText w:val="%1."/>
      <w:numFmt w:val="decimal"/>
      <w:start w:val="2"/>
    </w:lvl>
  </w:abstractNum>
  <w:abstractNum w:abstractNumId="73">
    <w:nsid w:val="14E17E33"/>
    <w:multiLevelType w:val="hybridMultilevel"/>
    <w:lvl w:ilvl="0">
      <w:lvlJc w:val="left"/>
      <w:lvlText w:val="%1."/>
      <w:numFmt w:val="decimal"/>
      <w:start w:val="3"/>
    </w:lvl>
  </w:abstractNum>
  <w:abstractNum w:abstractNumId="74">
    <w:nsid w:val="3222E7CD"/>
    <w:multiLevelType w:val="hybridMultilevel"/>
    <w:lvl w:ilvl="0">
      <w:lvlJc w:val="left"/>
      <w:lvlText w:val="%1."/>
      <w:numFmt w:val="decimal"/>
      <w:start w:val="4"/>
    </w:lvl>
  </w:abstractNum>
  <w:abstractNum w:abstractNumId="75">
    <w:nsid w:val="74DE0EE3"/>
    <w:multiLevelType w:val="hybridMultilevel"/>
    <w:lvl w:ilvl="0">
      <w:lvlJc w:val="left"/>
      <w:lvlText w:val="%1."/>
      <w:numFmt w:val="decimal"/>
      <w:start w:val="5"/>
    </w:lvl>
  </w:abstractNum>
  <w:abstractNum w:abstractNumId="76">
    <w:nsid w:val="68EBC550"/>
    <w:multiLevelType w:val="hybridMultilevel"/>
    <w:lvl w:ilvl="0">
      <w:lvlJc w:val="left"/>
      <w:lvlText w:val="%1."/>
      <w:numFmt w:val="decimal"/>
      <w:start w:val="6"/>
    </w:lvl>
  </w:abstractNum>
  <w:abstractNum w:abstractNumId="77">
    <w:nsid w:val="2DF6D648"/>
    <w:multiLevelType w:val="hybridMultilevel"/>
    <w:lvl w:ilvl="0">
      <w:lvlJc w:val="left"/>
      <w:lvlText w:val="%1."/>
      <w:numFmt w:val="decimal"/>
      <w:start w:val="7"/>
    </w:lvl>
  </w:abstractNum>
  <w:abstractNum w:abstractNumId="78">
    <w:nsid w:val="46B7D447"/>
    <w:multiLevelType w:val="hybridMultilevel"/>
    <w:lvl w:ilvl="0">
      <w:lvlJc w:val="left"/>
      <w:lvlText w:val="%1."/>
      <w:numFmt w:val="decimal"/>
      <w:start w:val="8"/>
    </w:lvl>
  </w:abstractNum>
  <w:abstractNum w:abstractNumId="79">
    <w:nsid w:val="4A2AC315"/>
    <w:multiLevelType w:val="hybridMultilevel"/>
    <w:lvl w:ilvl="0">
      <w:lvlJc w:val="left"/>
      <w:lvlText w:val="%1."/>
      <w:numFmt w:val="decimal"/>
      <w:start w:val="9"/>
    </w:lvl>
  </w:abstractNum>
  <w:abstractNum w:abstractNumId="80">
    <w:nsid w:val="39EE015C"/>
    <w:multiLevelType w:val="hybridMultilevel"/>
    <w:lvl w:ilvl="0">
      <w:lvlJc w:val="left"/>
      <w:lvlText w:val="%1."/>
      <w:numFmt w:val="decimal"/>
      <w:start w:val="10"/>
    </w:lvl>
  </w:abstractNum>
  <w:abstractNum w:abstractNumId="81">
    <w:nsid w:val="57FC4FBB"/>
    <w:multiLevelType w:val="hybridMultilevel"/>
    <w:lvl w:ilvl="0">
      <w:lvlJc w:val="left"/>
      <w:lvlText w:val="%1."/>
      <w:numFmt w:val="decimal"/>
      <w:start w:val="11"/>
    </w:lvl>
  </w:abstractNum>
  <w:abstractNum w:abstractNumId="82">
    <w:nsid w:val="CC1016F"/>
    <w:multiLevelType w:val="hybridMultilevel"/>
    <w:lvl w:ilvl="0">
      <w:lvlJc w:val="left"/>
      <w:lvlText w:val="%1."/>
      <w:numFmt w:val="decimal"/>
      <w:start w:val="12"/>
    </w:lvl>
  </w:abstractNum>
  <w:abstractNum w:abstractNumId="83">
    <w:nsid w:val="43F18422"/>
    <w:multiLevelType w:val="hybridMultilevel"/>
    <w:lvl w:ilvl="0">
      <w:lvlJc w:val="left"/>
      <w:lvlText w:val="%1."/>
      <w:numFmt w:val="decimal"/>
      <w:start w:val="13"/>
    </w:lvl>
  </w:abstractNum>
  <w:abstractNum w:abstractNumId="84">
    <w:nsid w:val="60EF0119"/>
    <w:multiLevelType w:val="hybridMultilevel"/>
    <w:lvl w:ilvl="0">
      <w:lvlJc w:val="left"/>
      <w:lvlText w:val="%1."/>
      <w:numFmt w:val="upperLetter"/>
      <w:start w:val="1"/>
    </w:lvl>
  </w:abstractNum>
  <w:abstractNum w:abstractNumId="85">
    <w:nsid w:val="26F324BA"/>
    <w:multiLevelType w:val="hybridMultilevel"/>
    <w:lvl w:ilvl="0">
      <w:lvlJc w:val="left"/>
      <w:lvlText w:val="%1."/>
      <w:numFmt w:val="upperLetter"/>
      <w:start w:val="3"/>
    </w:lvl>
  </w:abstractNum>
  <w:abstractNum w:abstractNumId="86">
    <w:nsid w:val="7F01579B"/>
    <w:multiLevelType w:val="hybridMultilevel"/>
    <w:lvl w:ilvl="0">
      <w:lvlJc w:val="left"/>
      <w:lvlText w:val="%1."/>
      <w:numFmt w:val="decimal"/>
      <w:start w:val="1"/>
    </w:lvl>
  </w:abstractNum>
  <w:abstractNum w:abstractNumId="87">
    <w:nsid w:val="49DA307D"/>
    <w:multiLevelType w:val="hybridMultilevel"/>
    <w:lvl w:ilvl="0">
      <w:lvlJc w:val="left"/>
      <w:lvlText w:val="%1."/>
      <w:numFmt w:val="decimal"/>
      <w:start w:val="2"/>
    </w:lvl>
  </w:abstractNum>
  <w:abstractNum w:abstractNumId="88">
    <w:nsid w:val="7055A5F5"/>
    <w:multiLevelType w:val="hybridMultilevel"/>
    <w:lvl w:ilvl="0">
      <w:lvlJc w:val="left"/>
      <w:lvlText w:val="%1."/>
      <w:numFmt w:val="decimal"/>
      <w:start w:val="3"/>
    </w:lvl>
  </w:abstractNum>
  <w:abstractNum w:abstractNumId="89">
    <w:nsid w:val="5FB8370B"/>
    <w:multiLevelType w:val="hybridMultilevel"/>
    <w:lvl w:ilvl="0">
      <w:lvlJc w:val="left"/>
      <w:lvlText w:val="%1."/>
      <w:numFmt w:val="decimal"/>
      <w:start w:val="4"/>
    </w:lvl>
  </w:abstractNum>
  <w:abstractNum w:abstractNumId="90">
    <w:nsid w:val="50801EE1"/>
    <w:multiLevelType w:val="hybridMultilevel"/>
    <w:lvl w:ilvl="0">
      <w:lvlJc w:val="left"/>
      <w:lvlText w:val="%1."/>
      <w:numFmt w:val="decimal"/>
      <w:start w:val="5"/>
    </w:lvl>
  </w:abstractNum>
  <w:abstractNum w:abstractNumId="91">
    <w:nsid w:val="488AC1A"/>
    <w:multiLevelType w:val="hybridMultilevel"/>
    <w:lvl w:ilvl="0">
      <w:lvlJc w:val="left"/>
      <w:lvlText w:val="%1."/>
      <w:numFmt w:val="decimal"/>
      <w:start w:val="6"/>
    </w:lvl>
  </w:abstractNum>
  <w:abstractNum w:abstractNumId="92">
    <w:nsid w:val="5FB8011C"/>
    <w:multiLevelType w:val="hybridMultilevel"/>
    <w:lvl w:ilvl="0">
      <w:lvlJc w:val="left"/>
      <w:lvlText w:val="%1."/>
      <w:numFmt w:val="decimal"/>
      <w:start w:val="7"/>
    </w:lvl>
  </w:abstractNum>
  <w:abstractNum w:abstractNumId="93">
    <w:nsid w:val="6AA78F7F"/>
    <w:multiLevelType w:val="hybridMultilevel"/>
    <w:lvl w:ilvl="0">
      <w:lvlJc w:val="left"/>
      <w:lvlText w:val="%1."/>
      <w:numFmt w:val="decimal"/>
      <w:start w:val="8"/>
    </w:lvl>
  </w:abstractNum>
  <w:abstractNum w:abstractNumId="94">
    <w:nsid w:val="7672BD23"/>
    <w:multiLevelType w:val="hybridMultilevel"/>
    <w:lvl w:ilvl="0">
      <w:lvlJc w:val="left"/>
      <w:lvlText w:val="%1."/>
      <w:numFmt w:val="decimal"/>
      <w:start w:val="9"/>
    </w:lvl>
  </w:abstractNum>
  <w:abstractNum w:abstractNumId="95">
    <w:nsid w:val="6FC75AF8"/>
    <w:multiLevelType w:val="hybridMultilevel"/>
    <w:lvl w:ilvl="0">
      <w:lvlJc w:val="left"/>
      <w:lvlText w:val="%1."/>
      <w:numFmt w:val="decimal"/>
      <w:start w:val="10"/>
    </w:lvl>
  </w:abstractNum>
  <w:abstractNum w:abstractNumId="96">
    <w:nsid w:val="6A5F7029"/>
    <w:multiLevelType w:val="hybridMultilevel"/>
    <w:lvl w:ilvl="0">
      <w:lvlJc w:val="left"/>
      <w:lvlText w:val="%1."/>
      <w:numFmt w:val="decimal"/>
      <w:start w:val="11"/>
    </w:lvl>
  </w:abstractNum>
  <w:abstractNum w:abstractNumId="97">
    <w:nsid w:val="7D5E18F8"/>
    <w:multiLevelType w:val="hybridMultilevel"/>
    <w:lvl w:ilvl="0">
      <w:lvlJc w:val="left"/>
      <w:lvlText w:val="%1."/>
      <w:numFmt w:val="decimal"/>
      <w:start w:val="12"/>
    </w:lvl>
  </w:abstractNum>
  <w:abstractNum w:abstractNumId="98">
    <w:nsid w:val="5F3534A4"/>
    <w:multiLevelType w:val="hybridMultilevel"/>
    <w:lvl w:ilvl="0">
      <w:lvlJc w:val="left"/>
      <w:lvlText w:val="%1."/>
      <w:numFmt w:val="decimal"/>
      <w:start w:val="13"/>
    </w:lvl>
  </w:abstractNum>
  <w:abstractNum w:abstractNumId="99">
    <w:nsid w:val="73A1821B"/>
    <w:multiLevelType w:val="hybridMultilevel"/>
    <w:lvl w:ilvl="0">
      <w:lvlJc w:val="left"/>
      <w:lvlText w:val="%1."/>
      <w:numFmt w:val="upperLetter"/>
      <w:start w:val="1"/>
    </w:lvl>
  </w:abstractNum>
  <w:abstractNum w:abstractNumId="100">
    <w:nsid w:val="7DE67713"/>
    <w:multiLevelType w:val="hybridMultilevel"/>
    <w:lvl w:ilvl="0">
      <w:lvlJc w:val="left"/>
      <w:lvlText w:val="%1."/>
      <w:numFmt w:val="upperLetter"/>
      <w:start w:val="3"/>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6"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17" Type="http://schemas.openxmlformats.org/officeDocument/2006/relationships/hyperlink" Target="http://www.sec.gov/Archives/edgar/data/1409375/000095013407018504/c17612exv3w3.htm" TargetMode="External"/><Relationship Id="rId118" Type="http://schemas.openxmlformats.org/officeDocument/2006/relationships/hyperlink" Target="http://www.sec.gov/Archives/edgar/data/1409375/000119312520150150/d895611dex31.htm" TargetMode="External"/><Relationship Id="rId119" Type="http://schemas.openxmlformats.org/officeDocument/2006/relationships/hyperlink" Target="http://www.sec.gov/Archives/edgar/data/1409375/000089706909000027/cmw3946a.htm" TargetMode="External"/><Relationship Id="rId120" Type="http://schemas.openxmlformats.org/officeDocument/2006/relationships/hyperlink" Target="http://www.sec.gov/Archives/edgar/data/1409375/000119312519001606/d684103dex41.htm" TargetMode="External"/><Relationship Id="rId121" Type="http://schemas.openxmlformats.org/officeDocument/2006/relationships/hyperlink" Target="http://www.sec.gov/Archives/edgar/data/1409375/000156459019021688/oesx-ex43_264.htm" TargetMode="External"/><Relationship Id="rId122" Type="http://schemas.openxmlformats.org/officeDocument/2006/relationships/hyperlink" Target="http://www.sec.gov/Archives/edgar/data/0001409375/000119312521001520/d104429dex101.htm" TargetMode="External"/><Relationship Id="rId123" Type="http://schemas.openxmlformats.org/officeDocument/2006/relationships/hyperlink" Target="http://www.sec.gov/Archives/edgar/data/1409375/000095013407018504/c17612exv10w9.htm" TargetMode="External"/><Relationship Id="rId124" Type="http://schemas.openxmlformats.org/officeDocument/2006/relationships/hyperlink" Target="http://www.sec.gov/Archives/edgar/data/1409375/000095012311083696/c66008ddef14a.htm" TargetMode="External"/><Relationship Id="rId125" Type="http://schemas.openxmlformats.org/officeDocument/2006/relationships/hyperlink" Target="http://www.sec.gov/Archives/edgar/data/1409375/000095013407018504/c17612exv10w10.htm" TargetMode="External"/><Relationship Id="rId126" Type="http://schemas.openxmlformats.org/officeDocument/2006/relationships/hyperlink" Target="http://www.sec.gov/Archives/edgar/data/1409375/000140937514000014/oesx-20140331xex107.htm" TargetMode="External"/><Relationship Id="rId127" Type="http://schemas.openxmlformats.org/officeDocument/2006/relationships/hyperlink" Target="http://www.sec.gov/Archives/edgar/data/1409375/000119312519178044/d769736ddef14a.htm" TargetMode="External"/><Relationship Id="rId128" Type="http://schemas.openxmlformats.org/officeDocument/2006/relationships/hyperlink" Target="http://www.sec.gov/Archives/edgar/data/1409375/000119312516677067/d208453dex45.htm" TargetMode="External"/><Relationship Id="rId129" Type="http://schemas.openxmlformats.org/officeDocument/2006/relationships/hyperlink" Target="http://www.sec.gov/Archives/edgar/data/1409375/000119312516677067/d208453dex46.htm" TargetMode="External"/><Relationship Id="rId130" Type="http://schemas.openxmlformats.org/officeDocument/2006/relationships/hyperlink" Target="http://www.sec.gov/Archives/edgar/data/1409375/000119312516677067/d208453dex47.htm" TargetMode="External"/><Relationship Id="rId131" Type="http://schemas.openxmlformats.org/officeDocument/2006/relationships/hyperlink" Target="http://www.sec.gov/Archives/edgar/data/1409375/000119312516677067/d208453dex48.htm" TargetMode="External"/><Relationship Id="rId132" Type="http://schemas.openxmlformats.org/officeDocument/2006/relationships/hyperlink" Target="http://www.sec.gov/Archives/edgar/data/1409375/000156459020028509/oesx-ex1014_206.htm" TargetMode="External"/><Relationship Id="rId133" Type="http://schemas.openxmlformats.org/officeDocument/2006/relationships/hyperlink" Target="http://www.sec.gov/Archives/edgar/data/1409375/000156459020028509/oesx-ex1015_209.htm" TargetMode="External"/><Relationship Id="rId134" Type="http://schemas.openxmlformats.org/officeDocument/2006/relationships/hyperlink" Target="http://www.sec.gov/Archives/edgar/data/0001409375/000119312520270310/d43679dex101.htm" TargetMode="External"/><Relationship Id="rId135" Type="http://schemas.openxmlformats.org/officeDocument/2006/relationships/hyperlink" Target="http://www.sec.gov/Archives/edgar/data/1409375/000156459020028509/oesx-ex1017_207.htm" TargetMode="External"/><Relationship Id="rId137" Type="http://schemas.openxmlformats.org/officeDocument/2006/relationships/hyperlink" Target="http://www.sec.gov/Archives/edgar/data/0001409375/000119312521096717/d156952dex101.htm" TargetMode="External"/><Relationship Id="rId138" Type="http://schemas.openxmlformats.org/officeDocument/2006/relationships/hyperlink" Target="http://www.sec.gov/Archives/edgar/data/0001409375/000119312521319367/d152064dex101.htm" TargetMode="External"/><Relationship Id="rId139" Type="http://schemas.openxmlformats.org/officeDocument/2006/relationships/hyperlink" Target="http://www.sec.gov/Archives/edgar/data/1409375/000119312522047836/d311450dex101.htm" TargetMode="External"/><Relationship Id="rId140" Type="http://schemas.openxmlformats.org/officeDocument/2006/relationships/hyperlink" Target="http://www.sec.gov/Archives/edgar/data/1409375/000119312522047836/d31145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2022-06-10T14:47:16Z</dcterms:created>
  <dcterms:modified xsi:type="dcterms:W3CDTF">2022-06-10T14:47:16Z</dcterms:modified>
</cp:coreProperties>
</file>