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90170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109855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47" w:lineRule="exact"/>
        <w:rPr>
          <w:sz w:val="24"/>
          <w:szCs w:val="24"/>
          <w:color w:val="auto"/>
        </w:rPr>
      </w:pPr>
    </w:p>
    <w:p>
      <w:pPr>
        <w:ind w:left="540" w:right="20" w:hanging="532"/>
        <w:spacing w:after="0" w:line="256" w:lineRule="auto"/>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40" w:hanging="532"/>
        <w:spacing w:after="0" w:line="256" w:lineRule="auto"/>
        <w:tabs>
          <w:tab w:leader="none" w:pos="5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102870</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99060</wp:posOffset>
            </wp:positionV>
            <wp:extent cx="1603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860" w:type="dxa"/>
            <w:vAlign w:val="bottom"/>
            <w:gridSpan w:val="3"/>
          </w:tcPr>
          <w:p>
            <w:pPr>
              <w:jc w:val="center"/>
              <w:ind w:left="681"/>
              <w:spacing w:after="0"/>
              <w:rPr>
                <w:sz w:val="20"/>
                <w:szCs w:val="20"/>
                <w:color w:val="auto"/>
              </w:rPr>
            </w:pPr>
            <w:r>
              <w:rPr>
                <w:rFonts w:ascii="Arial" w:cs="Arial" w:eastAsia="Arial" w:hAnsi="Arial"/>
                <w:sz w:val="18"/>
                <w:szCs w:val="18"/>
                <w:b w:val="1"/>
                <w:bCs w:val="1"/>
                <w:color w:val="auto"/>
                <w:w w:val="86"/>
              </w:rPr>
              <w:t>Wisconsin</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right"/>
              <w:ind w:right="2284"/>
              <w:spacing w:after="0"/>
              <w:rPr>
                <w:sz w:val="20"/>
                <w:szCs w:val="20"/>
                <w:color w:val="auto"/>
              </w:rPr>
            </w:pPr>
            <w:r>
              <w:rPr>
                <w:rFonts w:ascii="Arial" w:cs="Arial" w:eastAsia="Arial" w:hAnsi="Arial"/>
                <w:sz w:val="18"/>
                <w:szCs w:val="18"/>
                <w:b w:val="1"/>
                <w:bCs w:val="1"/>
                <w:color w:val="auto"/>
              </w:rPr>
              <w:t>39-1847269</w:t>
            </w:r>
          </w:p>
        </w:tc>
        <w:tc>
          <w:tcPr>
            <w:tcW w:w="0" w:type="dxa"/>
            <w:vAlign w:val="bottom"/>
          </w:tcPr>
          <w:p>
            <w:pPr>
              <w:spacing w:after="0"/>
              <w:rPr>
                <w:sz w:val="1"/>
                <w:szCs w:val="1"/>
                <w:color w:val="auto"/>
              </w:rPr>
            </w:pPr>
          </w:p>
        </w:tc>
      </w:tr>
      <w:tr>
        <w:trPr>
          <w:trHeight w:val="149"/>
        </w:trPr>
        <w:tc>
          <w:tcPr>
            <w:tcW w:w="4860" w:type="dxa"/>
            <w:vAlign w:val="bottom"/>
            <w:gridSpan w:val="3"/>
          </w:tcPr>
          <w:p>
            <w:pPr>
              <w:jc w:val="center"/>
              <w:ind w:left="681"/>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Pr>
          <w:p>
            <w:pPr>
              <w:jc w:val="center"/>
              <w:ind w:right="200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860" w:type="dxa"/>
            <w:vAlign w:val="bottom"/>
            <w:gridSpan w:val="3"/>
          </w:tcPr>
          <w:p>
            <w:pPr>
              <w:jc w:val="center"/>
              <w:ind w:left="681"/>
              <w:spacing w:after="0"/>
              <w:rPr>
                <w:sz w:val="20"/>
                <w:szCs w:val="20"/>
                <w:color w:val="auto"/>
              </w:rPr>
            </w:pPr>
            <w:r>
              <w:rPr>
                <w:rFonts w:ascii="Arial" w:cs="Arial" w:eastAsia="Arial" w:hAnsi="Arial"/>
                <w:sz w:val="14"/>
                <w:szCs w:val="14"/>
                <w:b w:val="1"/>
                <w:bCs w:val="1"/>
                <w:color w:val="auto"/>
                <w:w w:val="93"/>
              </w:rPr>
              <w:t>incorporation or organization)</w:t>
            </w: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jc w:val="center"/>
              <w:ind w:right="2004"/>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323"/>
        </w:trPr>
        <w:tc>
          <w:tcPr>
            <w:tcW w:w="4860" w:type="dxa"/>
            <w:vAlign w:val="bottom"/>
            <w:gridSpan w:val="3"/>
          </w:tcPr>
          <w:p>
            <w:pPr>
              <w:jc w:val="center"/>
              <w:ind w:left="68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right"/>
              <w:ind w:right="2504"/>
              <w:spacing w:after="0"/>
              <w:rPr>
                <w:sz w:val="20"/>
                <w:szCs w:val="20"/>
                <w:color w:val="auto"/>
              </w:rPr>
            </w:pPr>
            <w:r>
              <w:rPr>
                <w:rFonts w:ascii="Arial" w:cs="Arial" w:eastAsia="Arial" w:hAnsi="Arial"/>
                <w:sz w:val="18"/>
                <w:szCs w:val="18"/>
                <w:b w:val="1"/>
                <w:bCs w:val="1"/>
                <w:color w:val="auto"/>
              </w:rPr>
              <w:t>54220</w:t>
            </w:r>
          </w:p>
        </w:tc>
        <w:tc>
          <w:tcPr>
            <w:tcW w:w="0" w:type="dxa"/>
            <w:vAlign w:val="bottom"/>
          </w:tcPr>
          <w:p>
            <w:pPr>
              <w:spacing w:after="0"/>
              <w:rPr>
                <w:sz w:val="1"/>
                <w:szCs w:val="1"/>
                <w:color w:val="auto"/>
              </w:rPr>
            </w:pPr>
          </w:p>
        </w:tc>
      </w:tr>
      <w:tr>
        <w:trPr>
          <w:trHeight w:val="191"/>
        </w:trPr>
        <w:tc>
          <w:tcPr>
            <w:tcW w:w="4860" w:type="dxa"/>
            <w:vAlign w:val="bottom"/>
            <w:gridSpan w:val="3"/>
          </w:tcPr>
          <w:p>
            <w:pPr>
              <w:jc w:val="center"/>
              <w:ind w:left="68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jc w:val="center"/>
              <w:ind w:right="1984"/>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350"/>
        </w:trPr>
        <w:tc>
          <w:tcPr>
            <w:tcW w:w="1142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(920) 892-9340</w:t>
            </w:r>
          </w:p>
        </w:tc>
        <w:tc>
          <w:tcPr>
            <w:tcW w:w="0" w:type="dxa"/>
            <w:vAlign w:val="bottom"/>
          </w:tcPr>
          <w:p>
            <w:pPr>
              <w:spacing w:after="0"/>
              <w:rPr>
                <w:sz w:val="1"/>
                <w:szCs w:val="1"/>
                <w:color w:val="auto"/>
              </w:rPr>
            </w:pPr>
          </w:p>
        </w:tc>
      </w:tr>
      <w:tr>
        <w:trPr>
          <w:trHeight w:val="500"/>
        </w:trPr>
        <w:tc>
          <w:tcPr>
            <w:tcW w:w="7900" w:type="dxa"/>
            <w:vAlign w:val="bottom"/>
            <w:gridSpan w:val="6"/>
          </w:tcPr>
          <w:p>
            <w:pPr>
              <w:jc w:val="center"/>
              <w:ind w:left="3461"/>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948"/>
              <w:spacing w:after="0"/>
              <w:rPr>
                <w:sz w:val="20"/>
                <w:szCs w:val="20"/>
                <w:color w:val="auto"/>
              </w:rPr>
            </w:pPr>
            <w:r>
              <w:rPr>
                <w:rFonts w:ascii="Arial" w:cs="Arial" w:eastAsia="Arial" w:hAnsi="Arial"/>
                <w:sz w:val="14"/>
                <w:szCs w:val="14"/>
                <w:b w:val="1"/>
                <w:bCs w:val="1"/>
                <w:color w:val="auto"/>
                <w:w w:val="93"/>
              </w:rPr>
              <w:t>Trading Symbol (s)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23"/>
        </w:trPr>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40" w:type="dxa"/>
            <w:vAlign w:val="bottom"/>
            <w:gridSpan w:val="3"/>
            <w:vMerge w:val="restart"/>
          </w:tcPr>
          <w:p>
            <w:pPr>
              <w:jc w:val="center"/>
              <w:ind w:right="1240"/>
              <w:spacing w:after="0"/>
              <w:rPr>
                <w:sz w:val="20"/>
                <w:szCs w:val="20"/>
                <w:color w:val="auto"/>
              </w:rPr>
            </w:pPr>
            <w:r>
              <w:rPr>
                <w:rFonts w:ascii="Arial" w:cs="Arial" w:eastAsia="Arial" w:hAnsi="Arial"/>
                <w:sz w:val="14"/>
                <w:szCs w:val="14"/>
                <w:b w:val="1"/>
                <w:bCs w:val="1"/>
                <w:color w:val="auto"/>
              </w:rPr>
              <w:t>OESX</w:t>
            </w:r>
          </w:p>
        </w:tc>
        <w:tc>
          <w:tcPr>
            <w:tcW w:w="3520" w:type="dxa"/>
            <w:vAlign w:val="bottom"/>
          </w:tcPr>
          <w:p>
            <w:pPr>
              <w:jc w:val="center"/>
              <w:ind w:right="64"/>
              <w:spacing w:after="0" w:line="123"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4860" w:type="dxa"/>
            <w:vAlign w:val="bottom"/>
            <w:gridSpan w:val="3"/>
          </w:tcPr>
          <w:p>
            <w:pPr>
              <w:jc w:val="center"/>
              <w:ind w:right="1200"/>
              <w:spacing w:after="0"/>
              <w:rPr>
                <w:sz w:val="20"/>
                <w:szCs w:val="20"/>
                <w:color w:val="auto"/>
              </w:rPr>
            </w:pPr>
            <w:r>
              <w:rPr>
                <w:rFonts w:ascii="Arial" w:cs="Arial" w:eastAsia="Arial" w:hAnsi="Arial"/>
                <w:sz w:val="14"/>
                <w:szCs w:val="14"/>
                <w:color w:val="auto"/>
                <w:w w:val="93"/>
              </w:rPr>
              <w:t>Common stock, no par value</w:t>
            </w:r>
          </w:p>
        </w:tc>
        <w:tc>
          <w:tcPr>
            <w:tcW w:w="3040" w:type="dxa"/>
            <w:vAlign w:val="bottom"/>
            <w:gridSpan w:val="3"/>
            <w:vMerge w:val="continue"/>
          </w:tcPr>
          <w:p>
            <w:pPr>
              <w:spacing w:after="0"/>
              <w:rPr>
                <w:sz w:val="15"/>
                <w:szCs w:val="15"/>
                <w:color w:val="auto"/>
              </w:rPr>
            </w:pPr>
          </w:p>
        </w:tc>
        <w:tc>
          <w:tcPr>
            <w:tcW w:w="3520" w:type="dxa"/>
            <w:vAlign w:val="bottom"/>
          </w:tcPr>
          <w:p>
            <w:pPr>
              <w:jc w:val="center"/>
              <w:ind w:right="44"/>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r>
        <w:trPr>
          <w:trHeight w:val="155"/>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20" w:type="dxa"/>
            <w:vAlign w:val="bottom"/>
          </w:tcPr>
          <w:p>
            <w:pPr>
              <w:jc w:val="center"/>
              <w:ind w:right="64"/>
              <w:spacing w:after="0" w:line="155"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4860" w:type="dxa"/>
            <w:vAlign w:val="bottom"/>
            <w:gridSpan w:val="3"/>
          </w:tcPr>
          <w:p>
            <w:pPr>
              <w:jc w:val="center"/>
              <w:ind w:right="1180"/>
              <w:spacing w:after="0"/>
              <w:rPr>
                <w:sz w:val="20"/>
                <w:szCs w:val="20"/>
                <w:color w:val="auto"/>
              </w:rPr>
            </w:pPr>
            <w:r>
              <w:rPr>
                <w:rFonts w:ascii="Arial" w:cs="Arial" w:eastAsia="Arial" w:hAnsi="Arial"/>
                <w:sz w:val="14"/>
                <w:szCs w:val="14"/>
                <w:color w:val="auto"/>
                <w:w w:val="93"/>
              </w:rPr>
              <w:t>Common stock purchase rights</w:t>
            </w:r>
          </w:p>
        </w:tc>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20" w:type="dxa"/>
            <w:vAlign w:val="bottom"/>
          </w:tcPr>
          <w:p>
            <w:pPr>
              <w:jc w:val="center"/>
              <w:ind w:right="44"/>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bl>
    <w:p>
      <w:pPr>
        <w:spacing w:after="0" w:line="290"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1380" w:type="dxa"/>
            <w:vAlign w:val="bottom"/>
          </w:tcPr>
          <w:p>
            <w:pPr>
              <w:ind w:left="1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40" w:type="dxa"/>
            <w:vAlign w:val="bottom"/>
          </w:tcPr>
          <w:p>
            <w:pPr>
              <w:spacing w:after="0"/>
              <w:rPr>
                <w:sz w:val="20"/>
                <w:szCs w:val="20"/>
                <w:color w:val="auto"/>
              </w:rPr>
            </w:pPr>
            <w:r>
              <w:rPr>
                <w:rFonts w:ascii="Arial" w:cs="Arial" w:eastAsia="Arial" w:hAnsi="Arial"/>
                <w:sz w:val="14"/>
                <w:szCs w:val="14"/>
                <w:color w:val="auto"/>
              </w:rPr>
              <w:t>Non-accelerated filer</w:t>
            </w:r>
          </w:p>
        </w:tc>
        <w:tc>
          <w:tcPr>
            <w:tcW w:w="29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1380" w:type="dxa"/>
            <w:vAlign w:val="bottom"/>
          </w:tcPr>
          <w:p>
            <w:pPr>
              <w:ind w:left="1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160" w:type="dxa"/>
            <w:vAlign w:val="bottom"/>
          </w:tcPr>
          <w:p>
            <w:pPr>
              <w:ind w:left="2340"/>
              <w:spacing w:after="0"/>
              <w:rPr>
                <w:sz w:val="20"/>
                <w:szCs w:val="20"/>
                <w:color w:val="auto"/>
              </w:rPr>
            </w:pPr>
            <w:r>
              <w:rPr>
                <w:rFonts w:ascii="Arial" w:cs="Arial" w:eastAsia="Arial" w:hAnsi="Arial"/>
                <w:sz w:val="14"/>
                <w:szCs w:val="14"/>
                <w:color w:val="auto"/>
              </w:rPr>
              <w:t>Emerging growth company</w:t>
            </w:r>
          </w:p>
        </w:tc>
        <w:tc>
          <w:tcPr>
            <w:tcW w:w="1380" w:type="dxa"/>
            <w:vAlign w:val="bottom"/>
          </w:tcPr>
          <w:p>
            <w:pPr>
              <w:ind w:left="1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right="3760"/>
        <w:spacing w:after="0" w:line="24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There were 30,255,062 shares of the Registrant’s common stock outstanding on January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304165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 w:name="page2"/>
    <w:bookmarkEnd w:id="1"/>
    <w:p>
      <w:pPr>
        <w:jc w:val="center"/>
        <w:ind w:left="1060"/>
        <w:spacing w:after="0"/>
        <w:rPr>
          <w:sz w:val="20"/>
          <w:szCs w:val="20"/>
          <w:color w:val="auto"/>
        </w:rPr>
      </w:pPr>
      <w:r>
        <w:rPr>
          <w:rFonts w:ascii="Arial" w:cs="Arial" w:eastAsia="Arial" w:hAnsi="Arial"/>
          <w:sz w:val="18"/>
          <w:szCs w:val="18"/>
          <w:b w:val="1"/>
          <w:bCs w:val="1"/>
          <w:color w:val="auto"/>
        </w:rPr>
        <w:t>ORION ENERGY SYSTEMS, INC.</w:t>
      </w:r>
    </w:p>
    <w:p>
      <w:pPr>
        <w:spacing w:after="0" w:line="104" w:lineRule="exact"/>
        <w:rPr>
          <w:sz w:val="20"/>
          <w:szCs w:val="20"/>
          <w:color w:val="auto"/>
        </w:rPr>
      </w:pPr>
    </w:p>
    <w:p>
      <w:pPr>
        <w:jc w:val="center"/>
        <w:ind w:left="106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left="1060"/>
        <w:spacing w:after="0"/>
        <w:rPr>
          <w:sz w:val="20"/>
          <w:szCs w:val="20"/>
          <w:color w:val="auto"/>
        </w:rPr>
      </w:pPr>
      <w:r>
        <w:rPr>
          <w:rFonts w:ascii="Arial" w:cs="Arial" w:eastAsia="Arial" w:hAnsi="Arial"/>
          <w:sz w:val="18"/>
          <w:szCs w:val="18"/>
          <w:b w:val="1"/>
          <w:bCs w:val="1"/>
          <w:color w:val="auto"/>
        </w:rPr>
        <w:t>FOR THE QUARTER ENDED DECEMBER 31, 2019</w:t>
      </w:r>
    </w:p>
    <w:p>
      <w:pPr>
        <w:spacing w:after="0" w:line="104" w:lineRule="exact"/>
        <w:rPr>
          <w:sz w:val="20"/>
          <w:szCs w:val="20"/>
          <w:color w:val="auto"/>
        </w:rPr>
      </w:pPr>
    </w:p>
    <w:p>
      <w:pPr>
        <w:jc w:val="center"/>
        <w:ind w:left="10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December 31, 2019 and March 31, 2019</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Nine Months Ended December 31, 2019 and December 31,</w:t>
              </w:r>
            </w:hyperlink>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2018</w:t>
              </w:r>
            </w:hyperlink>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64"/>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60" w:type="dxa"/>
            <w:vAlign w:val="bottom"/>
            <w:gridSpan w:val="17"/>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Shareholders’ Equity for the Three and Nine Months Ended December 31, 2019 and</w:t>
              </w:r>
            </w:hyperlink>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December 31, 2018</w:t>
              </w:r>
            </w:hyperlink>
          </w:p>
        </w:tc>
        <w:tc>
          <w:tcPr>
            <w:tcW w:w="7520" w:type="dxa"/>
            <w:vAlign w:val="bottom"/>
            <w:tcBorders>
              <w:top w:val="single" w:sz="8" w:color="0000EE"/>
            </w:tcBorders>
            <w:gridSpan w:val="9"/>
          </w:tcPr>
          <w:p>
            <w:pPr>
              <w:spacing w:after="0"/>
              <w:rPr>
                <w:sz w:val="17"/>
                <w:szCs w:val="17"/>
                <w:color w:val="auto"/>
              </w:rPr>
            </w:pPr>
          </w:p>
        </w:tc>
        <w:tc>
          <w:tcPr>
            <w:tcW w:w="320" w:type="dxa"/>
            <w:vAlign w:val="bottom"/>
            <w:gridSpan w:val="2"/>
          </w:tcPr>
          <w:p>
            <w:pPr>
              <w:spacing w:after="0"/>
              <w:rPr>
                <w:sz w:val="17"/>
                <w:szCs w:val="17"/>
                <w:color w:val="auto"/>
              </w:rPr>
            </w:pPr>
          </w:p>
        </w:tc>
      </w:tr>
      <w:tr>
        <w:trPr>
          <w:trHeight w:val="264"/>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9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Nine Months Ended December 31, 2019 and December 31, 2018</w:t>
              </w:r>
            </w:hyperlink>
          </w:p>
        </w:tc>
        <w:tc>
          <w:tcPr>
            <w:tcW w:w="300" w:type="dxa"/>
            <w:vAlign w:val="bottom"/>
          </w:tcPr>
          <w:p>
            <w:pPr>
              <w:spacing w:after="0"/>
              <w:rPr>
                <w:sz w:val="22"/>
                <w:szCs w:val="22"/>
                <w:color w:val="auto"/>
              </w:rPr>
            </w:pPr>
          </w:p>
        </w:tc>
      </w:tr>
      <w:tr>
        <w:trPr>
          <w:trHeight w:val="264"/>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6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r>
      <w:tr>
        <w:trPr>
          <w:trHeight w:val="264"/>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2"/>
                <w:szCs w:val="22"/>
                <w:color w:val="auto"/>
              </w:rPr>
            </w:pPr>
          </w:p>
        </w:tc>
        <w:tc>
          <w:tcPr>
            <w:tcW w:w="2800" w:type="dxa"/>
            <w:vAlign w:val="bottom"/>
            <w:gridSpan w:val="3"/>
          </w:tcPr>
          <w:p>
            <w:pPr>
              <w:spacing w:after="0"/>
              <w:rPr>
                <w:sz w:val="22"/>
                <w:szCs w:val="22"/>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Controls and Procedures</w:t>
              </w:r>
            </w:hyperlink>
          </w:p>
        </w:tc>
        <w:tc>
          <w:tcPr>
            <w:tcW w:w="7480" w:type="dxa"/>
            <w:vAlign w:val="bottom"/>
            <w:gridSpan w:val="9"/>
          </w:tcPr>
          <w:p>
            <w:pPr>
              <w:spacing w:after="0"/>
              <w:rPr>
                <w:sz w:val="22"/>
                <w:szCs w:val="22"/>
                <w:color w:val="auto"/>
              </w:rPr>
            </w:pPr>
          </w:p>
        </w:tc>
      </w:tr>
      <w:tr>
        <w:trPr>
          <w:trHeight w:val="264"/>
        </w:trPr>
        <w:tc>
          <w:tcPr>
            <w:tcW w:w="254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37">
              <w:r>
                <w:rPr>
                  <w:rFonts w:ascii="Arial" w:cs="Arial" w:eastAsia="Arial" w:hAnsi="Arial"/>
                  <w:sz w:val="18"/>
                  <w:szCs w:val="18"/>
                  <w:color w:val="0000EE"/>
                  <w:w w:val="96"/>
                </w:rPr>
                <w:t>PART II OTHER INFORMATION</w:t>
              </w:r>
            </w:hyperlink>
          </w:p>
        </w:tc>
        <w:tc>
          <w:tcPr>
            <w:tcW w:w="7820" w:type="dxa"/>
            <w:vAlign w:val="bottom"/>
            <w:gridSpan w:val="10"/>
          </w:tcPr>
          <w:p>
            <w:pPr>
              <w:spacing w:after="0"/>
              <w:rPr>
                <w:sz w:val="22"/>
                <w:szCs w:val="22"/>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7920" w:type="dxa"/>
            <w:vAlign w:val="bottom"/>
            <w:gridSpan w:val="12"/>
          </w:tcPr>
          <w:p>
            <w:pPr>
              <w:spacing w:after="0"/>
              <w:rPr>
                <w:sz w:val="22"/>
                <w:szCs w:val="22"/>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6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 of Equity Securities and Use of Proceeds</w:t>
              </w:r>
            </w:hyperlink>
          </w:p>
        </w:tc>
      </w:tr>
      <w:tr>
        <w:trPr>
          <w:trHeight w:val="264"/>
        </w:trPr>
        <w:tc>
          <w:tcPr>
            <w:tcW w:w="11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Other Information</w:t>
              </w:r>
            </w:hyperlink>
          </w:p>
        </w:tc>
        <w:tc>
          <w:tcPr>
            <w:tcW w:w="2960" w:type="dxa"/>
            <w:vAlign w:val="bottom"/>
            <w:tcBorders>
              <w:top w:val="single" w:sz="8" w:color="0000EE"/>
            </w:tcBorders>
            <w:gridSpan w:val="7"/>
          </w:tcPr>
          <w:p>
            <w:pPr>
              <w:spacing w:after="0"/>
              <w:rPr>
                <w:sz w:val="22"/>
                <w:szCs w:val="22"/>
                <w:color w:val="auto"/>
              </w:rPr>
            </w:pPr>
          </w:p>
        </w:tc>
        <w:tc>
          <w:tcPr>
            <w:tcW w:w="4980" w:type="dxa"/>
            <w:vAlign w:val="bottom"/>
            <w:gridSpan w:val="6"/>
          </w:tcPr>
          <w:p>
            <w:pPr>
              <w:spacing w:after="0"/>
              <w:rPr>
                <w:sz w:val="22"/>
                <w:szCs w:val="22"/>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6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r>
      <w:tr>
        <w:trPr>
          <w:trHeight w:val="264"/>
        </w:trPr>
        <w:tc>
          <w:tcPr>
            <w:tcW w:w="1100" w:type="dxa"/>
            <w:vAlign w:val="bottom"/>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w:t>
              </w:r>
            </w:hyperlink>
          </w:p>
        </w:tc>
        <w:tc>
          <w:tcPr>
            <w:tcW w:w="36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23495</wp:posOffset>
            </wp:positionV>
            <wp:extent cx="4718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ectPr>
          <w:pgSz w:w="11900" w:h="16838" w:orient="portrait"/>
          <w:cols w:equalWidth="0" w:num="2">
            <w:col w:w="10360" w:space="460"/>
            <w:col w:w="60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December 31, 2019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23"/>
        </w:trPr>
        <w:tc>
          <w:tcPr>
            <w:tcW w:w="6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13,762</w:t>
            </w:r>
          </w:p>
        </w:tc>
        <w:tc>
          <w:tcPr>
            <w:tcW w:w="160" w:type="dxa"/>
            <w:vAlign w:val="bottom"/>
          </w:tcPr>
          <w:p>
            <w:pPr>
              <w:spacing w:after="0"/>
              <w:rPr>
                <w:sz w:val="19"/>
                <w:szCs w:val="19"/>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Revenue earned but not billed</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 net</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8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8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57,040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16,950</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current</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maturities of long-term debt</w:t>
            </w:r>
          </w:p>
        </w:tc>
        <w:tc>
          <w:tcPr>
            <w:tcW w:w="8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Long-term debt, less current maturities</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Deferred revenue, long-term</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8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8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Shareholders’ equity:</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Shares authorized: 30,000,000 at</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2019 and March 31, 2019; no shares issued and outstanding at</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2019 and March 31, 2019</w:t>
            </w: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980" w:type="dxa"/>
            <w:vAlign w:val="bottom"/>
          </w:tcPr>
          <w:p>
            <w:pPr>
              <w:spacing w:after="0"/>
              <w:rPr>
                <w:sz w:val="20"/>
                <w:szCs w:val="20"/>
                <w:color w:val="auto"/>
              </w:rPr>
            </w:pPr>
            <w:r>
              <w:rPr>
                <w:rFonts w:ascii="Arial" w:cs="Arial" w:eastAsia="Arial" w:hAnsi="Arial"/>
                <w:sz w:val="18"/>
                <w:szCs w:val="18"/>
                <w:color w:val="auto"/>
              </w:rPr>
              <w:t>Common stock, no par value: Shares authorized: 200,000,000 at December 31, 2019</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Arial" w:cs="Arial" w:eastAsia="Arial" w:hAnsi="Arial"/>
                <w:sz w:val="18"/>
                <w:szCs w:val="18"/>
                <w:color w:val="auto"/>
              </w:rPr>
              <w:t>and March 31, 2019; shares issued: 39,717,207 at December 31, 2019 and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Arial" w:cs="Arial" w:eastAsia="Arial" w:hAnsi="Arial"/>
                <w:sz w:val="18"/>
                <w:szCs w:val="18"/>
                <w:color w:val="auto"/>
              </w:rPr>
              <w:t>39,037,969 at March 31, 2019; shares outstanding: 30,253,062 at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December 31, 2019 and 29,600,158 at March 31, 2019</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80" w:type="dxa"/>
            <w:vAlign w:val="bottom"/>
          </w:tcPr>
          <w:p>
            <w:pPr>
              <w:spacing w:after="0"/>
              <w:rPr>
                <w:sz w:val="20"/>
                <w:szCs w:val="20"/>
                <w:color w:val="auto"/>
              </w:rPr>
            </w:pPr>
            <w:r>
              <w:rPr>
                <w:rFonts w:ascii="Arial" w:cs="Arial" w:eastAsia="Arial" w:hAnsi="Arial"/>
                <w:sz w:val="18"/>
                <w:szCs w:val="18"/>
                <w:color w:val="auto"/>
              </w:rPr>
              <w:t>Treasury stock, common shares: 9,464,145 at December 31, 2019 and 9,437,811 at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March 31, 2019</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(36,164)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(36,091)</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Retained deficit</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(88,774)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(101,767)</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shareholders’ equity</w:t>
            </w:r>
          </w:p>
        </w:tc>
        <w:tc>
          <w:tcPr>
            <w:tcW w:w="8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31,421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 and shareholders’ equity</w:t>
            </w:r>
          </w:p>
        </w:tc>
        <w:tc>
          <w:tcPr>
            <w:tcW w:w="8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57,040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9"/>
              </w:rPr>
              <w:t>Three Months Ended December 31,</w:t>
            </w:r>
          </w:p>
        </w:tc>
        <w:tc>
          <w:tcPr>
            <w:tcW w:w="260" w:type="dxa"/>
            <w:vAlign w:val="bottom"/>
          </w:tcPr>
          <w:p>
            <w:pPr>
              <w:spacing w:after="0"/>
              <w:rPr>
                <w:sz w:val="14"/>
                <w:szCs w:val="14"/>
                <w:color w:val="auto"/>
              </w:rPr>
            </w:pPr>
          </w:p>
        </w:tc>
        <w:tc>
          <w:tcPr>
            <w:tcW w:w="28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9"/>
              </w:rPr>
              <w:t>Nine Months Ended December 31,</w:t>
            </w:r>
          </w:p>
        </w:tc>
      </w:tr>
      <w:tr>
        <w:trPr>
          <w:trHeight w:val="156"/>
        </w:trPr>
        <w:tc>
          <w:tcPr>
            <w:tcW w:w="51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93,778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38,350</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2,339</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31,171</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w:t>
            </w:r>
          </w:p>
        </w:tc>
        <w:tc>
          <w:tcPr>
            <w:tcW w:w="120" w:type="dxa"/>
            <w:vAlign w:val="bottom"/>
            <w:tcBorders>
              <w:bottom w:val="single" w:sz="8" w:color="CFF0FC"/>
            </w:tcBorders>
          </w:tcPr>
          <w:p>
            <w:pPr>
              <w:spacing w:after="0"/>
              <w:rPr>
                <w:sz w:val="19"/>
                <w:szCs w:val="19"/>
                <w:color w:val="auto"/>
              </w:rPr>
            </w:pPr>
          </w:p>
        </w:tc>
      </w:tr>
      <w:tr>
        <w:trPr>
          <w:trHeight w:val="223"/>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124,949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43,311</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10,508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68,778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29,599</w:t>
            </w:r>
          </w:p>
        </w:tc>
        <w:tc>
          <w:tcPr>
            <w:tcW w:w="12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3,544</w:t>
            </w:r>
          </w:p>
        </w:tc>
        <w:tc>
          <w:tcPr>
            <w:tcW w:w="120" w:type="dxa"/>
            <w:vAlign w:val="bottom"/>
            <w:shd w:val="clear" w:color="auto" w:fill="CFF0FC"/>
          </w:tcPr>
          <w:p>
            <w:pPr>
              <w:spacing w:after="0"/>
              <w:rPr>
                <w:sz w:val="19"/>
                <w:szCs w:val="19"/>
                <w:color w:val="auto"/>
              </w:rPr>
            </w:pPr>
          </w:p>
        </w:tc>
      </w:tr>
      <w:tr>
        <w:trPr>
          <w:trHeight w:val="223"/>
        </w:trPr>
        <w:tc>
          <w:tcPr>
            <w:tcW w:w="5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12,121</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93,601</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33,143</w:t>
            </w:r>
          </w:p>
        </w:tc>
        <w:tc>
          <w:tcPr>
            <w:tcW w:w="120" w:type="dxa"/>
            <w:vAlign w:val="bottom"/>
            <w:tcBorders>
              <w:bottom w:val="single" w:sz="8" w:color="CFF0FC"/>
            </w:tcBorders>
          </w:tcPr>
          <w:p>
            <w:pPr>
              <w:spacing w:after="0"/>
              <w:rPr>
                <w:sz w:val="19"/>
                <w:szCs w:val="19"/>
                <w:color w:val="auto"/>
              </w:rPr>
            </w:pPr>
          </w:p>
        </w:tc>
      </w:tr>
      <w:tr>
        <w:trPr>
          <w:trHeight w:val="223"/>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31,348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10,168</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7,681</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8,359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6,903</w:t>
            </w:r>
          </w:p>
        </w:tc>
        <w:tc>
          <w:tcPr>
            <w:tcW w:w="12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shd w:val="clear" w:color="auto" w:fill="CFF0FC"/>
          </w:tcPr>
          <w:p>
            <w:pPr>
              <w:spacing w:after="0"/>
              <w:rPr>
                <w:sz w:val="19"/>
                <w:szCs w:val="19"/>
                <w:color w:val="auto"/>
              </w:rPr>
            </w:pPr>
          </w:p>
        </w:tc>
      </w:tr>
      <w:tr>
        <w:trPr>
          <w:trHeight w:val="223"/>
        </w:trPr>
        <w:tc>
          <w:tcPr>
            <w:tcW w:w="5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17,873</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15,641</w:t>
            </w:r>
          </w:p>
        </w:tc>
        <w:tc>
          <w:tcPr>
            <w:tcW w:w="120" w:type="dxa"/>
            <w:vAlign w:val="bottom"/>
            <w:tcBorders>
              <w:bottom w:val="single" w:sz="8" w:color="CFF0FC"/>
            </w:tcBorders>
          </w:tcPr>
          <w:p>
            <w:pPr>
              <w:spacing w:after="0"/>
              <w:rPr>
                <w:sz w:val="19"/>
                <w:szCs w:val="19"/>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(5,473)</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(261)</w:t>
            </w: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issue costs</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r>
      <w:tr>
        <w:trPr>
          <w:trHeight w:val="230"/>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r>
      <w:tr>
        <w:trPr>
          <w:trHeight w:val="223"/>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other expense</w:t>
            </w: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FF0FC"/>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13,059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(5,766)</w:t>
            </w:r>
          </w:p>
        </w:tc>
        <w:tc>
          <w:tcPr>
            <w:tcW w:w="12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r>
      <w:tr>
        <w:trPr>
          <w:trHeight w:val="263"/>
        </w:trPr>
        <w:tc>
          <w:tcPr>
            <w:tcW w:w="5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12,993</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(5,792)</w:t>
            </w:r>
          </w:p>
        </w:tc>
        <w:tc>
          <w:tcPr>
            <w:tcW w:w="120" w:type="dxa"/>
            <w:vAlign w:val="bottom"/>
            <w:tcBorders>
              <w:bottom w:val="single" w:sz="8" w:color="CFF0FC"/>
            </w:tcBorders>
          </w:tcPr>
          <w:p>
            <w:pPr>
              <w:spacing w:after="0"/>
              <w:rPr>
                <w:sz w:val="22"/>
                <w:szCs w:val="22"/>
                <w:color w:val="auto"/>
              </w:rPr>
            </w:pPr>
          </w:p>
        </w:tc>
      </w:tr>
      <w:tr>
        <w:trPr>
          <w:trHeight w:val="196"/>
        </w:trPr>
        <w:tc>
          <w:tcPr>
            <w:tcW w:w="51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Basic net income (loss) per share attributable to</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0"/>
        </w:trPr>
        <w:tc>
          <w:tcPr>
            <w:tcW w:w="5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(0.20)</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30,243,865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29,568,986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30,053,330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29,376,959</w:t>
            </w:r>
          </w:p>
        </w:tc>
        <w:tc>
          <w:tcPr>
            <w:tcW w:w="12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(0.20)</w:t>
            </w: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Weighted-average common shares and share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equivalents outstanding</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30,824,078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29,568,986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30,862,088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29,376,959</w:t>
            </w:r>
          </w:p>
        </w:tc>
        <w:tc>
          <w:tcPr>
            <w:tcW w:w="12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SHAREHOLDERS’ EQUITY (in thousands, except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Shareholders’ Equity</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2420" w:type="dxa"/>
            <w:vAlign w:val="bottom"/>
            <w:tcBorders>
              <w:bottom w:val="single" w:sz="8" w:color="auto"/>
            </w:tcBorders>
            <w:gridSpan w:val="4"/>
          </w:tcPr>
          <w:p>
            <w:pPr>
              <w:jc w:val="right"/>
              <w:ind w:right="653"/>
              <w:spacing w:after="0" w:line="155" w:lineRule="exact"/>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153"/>
              <w:spacing w:after="0" w:line="133" w:lineRule="exact"/>
              <w:rPr>
                <w:sz w:val="20"/>
                <w:szCs w:val="20"/>
                <w:color w:val="auto"/>
              </w:rPr>
            </w:pPr>
            <w:r>
              <w:rPr>
                <w:rFonts w:ascii="Arial" w:cs="Arial" w:eastAsia="Arial" w:hAnsi="Arial"/>
                <w:sz w:val="14"/>
                <w:szCs w:val="14"/>
                <w:b w:val="1"/>
                <w:bCs w:val="1"/>
                <w:color w:val="auto"/>
                <w:w w:val="99"/>
              </w:rPr>
              <w:t>Additional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40" w:type="dxa"/>
            <w:vAlign w:val="bottom"/>
          </w:tcPr>
          <w:p>
            <w:pPr>
              <w:jc w:val="right"/>
              <w:ind w:right="253"/>
              <w:spacing w:after="0" w:line="149"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253"/>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29,600,158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155,828</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(101,767)</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Exercise of stock options for cash</w:t>
            </w: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535,344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(24,628)</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30,121,487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156,015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(36,153)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(97,799)</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60" w:type="dxa"/>
            <w:vAlign w:val="bottom"/>
          </w:tcPr>
          <w:p>
            <w:pPr>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tcPr>
          <w:p>
            <w:pPr>
              <w:jc w:val="right"/>
              <w:spacing w:after="0"/>
              <w:rPr>
                <w:sz w:val="20"/>
                <w:szCs w:val="20"/>
                <w:color w:val="auto"/>
              </w:rPr>
            </w:pPr>
            <w:r>
              <w:rPr>
                <w:rFonts w:ascii="Arial" w:cs="Arial" w:eastAsia="Arial" w:hAnsi="Arial"/>
                <w:sz w:val="18"/>
                <w:szCs w:val="18"/>
                <w:color w:val="auto"/>
              </w:rPr>
              <w:t>570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111,848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(2,828)</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September 30, 2019</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30,231,077</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156,174</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(36,164)</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(91,078)</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22,046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(666)</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30,253,062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(36,164)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(88,774)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SHAREHOLDERS’ EQUITY (in thousands, except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Shareholders’ Equity</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2420" w:type="dxa"/>
            <w:vAlign w:val="bottom"/>
            <w:tcBorders>
              <w:bottom w:val="single" w:sz="8" w:color="auto"/>
            </w:tcBorders>
            <w:gridSpan w:val="4"/>
          </w:tcPr>
          <w:p>
            <w:pPr>
              <w:jc w:val="right"/>
              <w:ind w:right="653"/>
              <w:spacing w:after="0" w:line="155" w:lineRule="exact"/>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153"/>
              <w:spacing w:after="0" w:line="133" w:lineRule="exact"/>
              <w:rPr>
                <w:sz w:val="20"/>
                <w:szCs w:val="20"/>
                <w:color w:val="auto"/>
              </w:rPr>
            </w:pPr>
            <w:r>
              <w:rPr>
                <w:rFonts w:ascii="Arial" w:cs="Arial" w:eastAsia="Arial" w:hAnsi="Arial"/>
                <w:sz w:val="14"/>
                <w:szCs w:val="14"/>
                <w:b w:val="1"/>
                <w:bCs w:val="1"/>
                <w:color w:val="auto"/>
                <w:w w:val="99"/>
              </w:rPr>
              <w:t>Additional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40" w:type="dxa"/>
            <w:vAlign w:val="bottom"/>
          </w:tcPr>
          <w:p>
            <w:pPr>
              <w:jc w:val="right"/>
              <w:ind w:right="253"/>
              <w:spacing w:after="0" w:line="149"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253"/>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28,953,183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155,003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(95,494)</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tcPr>
          <w:p>
            <w:pPr>
              <w:jc w:val="right"/>
              <w:spacing w:after="0"/>
              <w:rPr>
                <w:sz w:val="20"/>
                <w:szCs w:val="20"/>
                <w:color w:val="auto"/>
              </w:rPr>
            </w:pPr>
            <w:r>
              <w:rPr>
                <w:rFonts w:ascii="Arial" w:cs="Arial" w:eastAsia="Arial" w:hAnsi="Arial"/>
                <w:sz w:val="18"/>
                <w:szCs w:val="18"/>
                <w:color w:val="auto"/>
              </w:rPr>
              <w:t>415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453,754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(3,867)</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 of accounting change due to</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adoption of ASC 606</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2018</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29,403,485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155,231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(97,785)</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21,359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60" w:type="dxa"/>
            <w:vAlign w:val="bottom"/>
          </w:tcPr>
          <w:p>
            <w:pPr>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tcPr>
          <w:p>
            <w:pPr>
              <w:jc w:val="right"/>
              <w:spacing w:after="0"/>
              <w:rPr>
                <w:sz w:val="20"/>
                <w:szCs w:val="20"/>
                <w:color w:val="auto"/>
              </w:rPr>
            </w:pPr>
            <w:r>
              <w:rPr>
                <w:rFonts w:ascii="Arial" w:cs="Arial" w:eastAsia="Arial" w:hAnsi="Arial"/>
                <w:sz w:val="18"/>
                <w:szCs w:val="18"/>
                <w:color w:val="auto"/>
              </w:rPr>
              <w:t>938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137,905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(4,854)</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(2,438)</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September 30, 2018</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29,537,474</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155,442</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(36,090)</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(100,223)</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34,785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29,571,944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155,642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(100,885)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December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Net income (loss)</w:t>
            </w:r>
          </w:p>
        </w:tc>
        <w:tc>
          <w:tcPr>
            <w:tcW w:w="202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12,993</w:t>
            </w:r>
          </w:p>
        </w:tc>
        <w:tc>
          <w:tcPr>
            <w:tcW w:w="160" w:type="dxa"/>
            <w:vAlign w:val="bottom"/>
          </w:tcPr>
          <w:p>
            <w:pPr>
              <w:spacing w:after="0"/>
              <w:rPr>
                <w:sz w:val="19"/>
                <w:szCs w:val="19"/>
                <w:color w:val="auto"/>
              </w:rPr>
            </w:pP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(5,792)</w:t>
            </w:r>
          </w:p>
        </w:tc>
      </w:tr>
      <w:tr>
        <w:trPr>
          <w:trHeight w:val="215"/>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(loss) to net cash provided by (used in)</w:t>
            </w: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activities:</w:t>
            </w:r>
          </w:p>
        </w:tc>
        <w:tc>
          <w:tcPr>
            <w:tcW w:w="10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80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issue costs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500"/>
              <w:spacing w:after="0"/>
              <w:rPr>
                <w:sz w:val="20"/>
                <w:szCs w:val="20"/>
                <w:color w:val="auto"/>
              </w:rPr>
            </w:pPr>
            <w:r>
              <w:rPr>
                <w:rFonts w:ascii="Arial" w:cs="Arial" w:eastAsia="Arial" w:hAnsi="Arial"/>
                <w:sz w:val="18"/>
                <w:szCs w:val="18"/>
                <w:color w:val="auto"/>
              </w:rPr>
              <w:t>Impairment of intangible assets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inventory reserves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(144)</w:t>
            </w:r>
          </w:p>
        </w:tc>
      </w:tr>
      <w:tr>
        <w:trPr>
          <w:trHeight w:val="230"/>
        </w:trPr>
        <w:tc>
          <w:tcPr>
            <w:tcW w:w="6800" w:type="dxa"/>
            <w:vAlign w:val="bottom"/>
          </w:tcPr>
          <w:p>
            <w:pPr>
              <w:ind w:left="500"/>
              <w:spacing w:after="0"/>
              <w:rPr>
                <w:sz w:val="20"/>
                <w:szCs w:val="20"/>
                <w:color w:val="auto"/>
              </w:rPr>
            </w:pPr>
            <w:r>
              <w:rPr>
                <w:rFonts w:ascii="Arial" w:cs="Arial" w:eastAsia="Arial" w:hAnsi="Arial"/>
                <w:sz w:val="18"/>
                <w:szCs w:val="18"/>
                <w:color w:val="auto"/>
              </w:rPr>
              <w:t>Provision for bad debts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current and long-term</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500"/>
              <w:spacing w:after="0"/>
              <w:rPr>
                <w:sz w:val="20"/>
                <w:szCs w:val="20"/>
                <w:color w:val="auto"/>
              </w:rPr>
            </w:pPr>
            <w:r>
              <w:rPr>
                <w:rFonts w:ascii="Arial" w:cs="Arial" w:eastAsia="Arial" w:hAnsi="Arial"/>
                <w:sz w:val="18"/>
                <w:szCs w:val="18"/>
                <w:color w:val="auto"/>
              </w:rPr>
              <w:t>Revenue earned but not billed</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(770)</w:t>
            </w:r>
          </w:p>
        </w:tc>
      </w:tr>
      <w:tr>
        <w:trPr>
          <w:trHeight w:val="230"/>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(367)</w:t>
            </w:r>
          </w:p>
        </w:tc>
      </w:tr>
      <w:tr>
        <w:trPr>
          <w:trHeight w:val="230"/>
        </w:trPr>
        <w:tc>
          <w:tcPr>
            <w:tcW w:w="680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(2,990)</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500"/>
              <w:spacing w:after="0"/>
              <w:rPr>
                <w:sz w:val="20"/>
                <w:szCs w:val="20"/>
                <w:color w:val="auto"/>
              </w:rPr>
            </w:pPr>
            <w:r>
              <w:rPr>
                <w:rFonts w:ascii="Arial" w:cs="Arial" w:eastAsia="Arial" w:hAnsi="Arial"/>
                <w:sz w:val="18"/>
                <w:szCs w:val="18"/>
                <w:color w:val="auto"/>
              </w:rPr>
              <w:t>Accrued expenses and other</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r>
      <w:tr>
        <w:trPr>
          <w:trHeight w:val="230"/>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current and long-term</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r>
      <w:tr>
        <w:trPr>
          <w:trHeight w:val="223"/>
        </w:trPr>
        <w:tc>
          <w:tcPr>
            <w:tcW w:w="6800" w:type="dxa"/>
            <w:vAlign w:val="bottom"/>
          </w:tcPr>
          <w:p>
            <w:pPr>
              <w:ind w:left="2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patents and licenses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r>
      <w:tr>
        <w:trPr>
          <w:trHeight w:val="223"/>
        </w:trPr>
        <w:tc>
          <w:tcPr>
            <w:tcW w:w="6800" w:type="dxa"/>
            <w:vAlign w:val="bottom"/>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10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Payment of long-term debt</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revolving credit facility</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42,498</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Payments of revolving credit facility</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(71,572)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(43,078)</w:t>
            </w: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Debt issue costs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employee equity exercises</w:t>
            </w:r>
          </w:p>
        </w:tc>
        <w:tc>
          <w:tcPr>
            <w:tcW w:w="10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r>
      <w:tr>
        <w:trPr>
          <w:trHeight w:val="223"/>
        </w:trPr>
        <w:tc>
          <w:tcPr>
            <w:tcW w:w="6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Net cash used in financing activities</w:t>
            </w:r>
          </w:p>
        </w:tc>
        <w:tc>
          <w:tcPr>
            <w:tcW w:w="10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FF0FC"/>
            </w:tcBorders>
          </w:tcPr>
          <w:p>
            <w:pPr>
              <w:spacing w:after="0"/>
              <w:rPr>
                <w:sz w:val="19"/>
                <w:szCs w:val="19"/>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9,424</w:t>
            </w:r>
          </w:p>
        </w:tc>
        <w:tc>
          <w:tcPr>
            <w:tcW w:w="120" w:type="dxa"/>
            <w:vAlign w:val="bottom"/>
            <w:tcBorders>
              <w:bottom w:val="single" w:sz="8" w:color="CFF0FC"/>
            </w:tcBorders>
          </w:tcPr>
          <w:p>
            <w:pPr>
              <w:spacing w:after="0"/>
              <w:rPr>
                <w:sz w:val="19"/>
                <w:szCs w:val="19"/>
                <w:color w:val="auto"/>
              </w:rPr>
            </w:pPr>
          </w:p>
        </w:tc>
      </w:tr>
      <w:tr>
        <w:trPr>
          <w:trHeight w:val="223"/>
        </w:trPr>
        <w:tc>
          <w:tcPr>
            <w:tcW w:w="6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Orion includes Orion Energy Systems, Inc., a Wisconsin corporation, and all consolidated subsidiaries. Orion designs, manufactures, markets and manages the installation of LED solid-state lighting systems to commercial and industrial businesses, and federal and local governments, predominantly in North America.</w:t>
      </w:r>
    </w:p>
    <w:p>
      <w:pPr>
        <w:spacing w:after="0" w:line="127"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Orion’s corporate offices and leased primary manufacturing operations are located in Manitowoc, Wisconsin. Orion leases office space in Jacksonville, Florida.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Condensed Consolidated Financial Statements include the accounts of Orion Energy Systems, Inc. and its wholly-owned subsidiaries.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501"/>
        <w:spacing w:after="0" w:line="297" w:lineRule="auto"/>
        <w:rPr>
          <w:sz w:val="20"/>
          <w:szCs w:val="20"/>
          <w:color w:val="auto"/>
        </w:rPr>
      </w:pPr>
      <w:r>
        <w:rPr>
          <w:rFonts w:ascii="Arial" w:cs="Arial" w:eastAsia="Arial" w:hAnsi="Arial"/>
          <w:sz w:val="16"/>
          <w:szCs w:val="16"/>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fiscal year ending March 31, 2020 or other interim periods.</w:t>
      </w:r>
    </w:p>
    <w:p>
      <w:pPr>
        <w:spacing w:after="0" w:line="104"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The Condensed Consolidated Balance Sheet at March 31, 2019 has been derived from the audited consolidated financial statements at that date but does not include all of the information required by GAAP for complete financial statements.</w:t>
      </w:r>
    </w:p>
    <w:p>
      <w:pPr>
        <w:spacing w:after="0" w:line="116"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2019 filed with the SEC on June 5, 2019.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certain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allowance for doubtful accounts, accruals for warranty, income taxes, impairment analyses, and certain equity transactions. Accordingly, actual results could differ from those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Orion's cash is deposited with two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both"/>
        <w:ind w:firstLine="501"/>
        <w:spacing w:after="0" w:line="302" w:lineRule="auto"/>
        <w:rPr>
          <w:sz w:val="20"/>
          <w:szCs w:val="20"/>
          <w:color w:val="auto"/>
        </w:rPr>
      </w:pPr>
      <w:r>
        <w:rPr>
          <w:rFonts w:ascii="Arial" w:cs="Arial" w:eastAsia="Arial" w:hAnsi="Arial"/>
          <w:sz w:val="16"/>
          <w:szCs w:val="16"/>
          <w:color w:val="auto"/>
        </w:rPr>
        <w:t>Orion purchases components necessary for its lighting products, including drivers, chips, ballasts, lamps and other LED components, from multiple suppliers. For the three months ended December 31, 2019, one supplier accounted for 24.0% of total cost of revenue. For the nine months ended December 31, 2019, one supplier accounted for 12.5% of total cost of revenue. For the three months ended December 31, 2018, one supplier accounted for 11.7% of total cost of revenue. For the nine months ended December 31, 2018, no supplier accounted for more than 10.0% of total cost of revenue.</w:t>
      </w:r>
    </w:p>
    <w:p>
      <w:pPr>
        <w:spacing w:after="0" w:line="100" w:lineRule="exact"/>
        <w:rPr>
          <w:sz w:val="20"/>
          <w:szCs w:val="20"/>
          <w:color w:val="auto"/>
        </w:rPr>
      </w:pPr>
    </w:p>
    <w:p>
      <w:pPr>
        <w:jc w:val="both"/>
        <w:ind w:firstLine="501"/>
        <w:spacing w:after="0" w:line="286" w:lineRule="auto"/>
        <w:rPr>
          <w:sz w:val="20"/>
          <w:szCs w:val="20"/>
          <w:color w:val="auto"/>
        </w:rPr>
      </w:pPr>
      <w:r>
        <w:rPr>
          <w:rFonts w:ascii="Arial" w:cs="Arial" w:eastAsia="Arial" w:hAnsi="Arial"/>
          <w:sz w:val="17"/>
          <w:szCs w:val="17"/>
          <w:color w:val="auto"/>
        </w:rPr>
        <w:t>For the three months ended December 31, 2019, one customer accounted for 72.3% of total revenue. For the nine months ended December 31, 2019, one customer accounted for 77.3% of total revenue. For the three months ended December 31, 2018, one customer accounted for 11.6% of total revenue. For the nine months ended December 31, 2018, no customer accounted for more than 10.0% of total revenue.</w:t>
      </w:r>
    </w:p>
    <w:p>
      <w:pPr>
        <w:spacing w:after="0" w:line="111"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As of December 31, 2019, one customer accounted for 63.5% of Accounts receivable. As of March 31, 2019, one customer accounted for 56.2% of Accounts receivable.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175"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On April 1, 2019, Orion adopted Accounting Standards Update 2016-02, and subsequent amendments, which is included in the Accounting Standards Codification (“ASC”) as Topic 842, Leases (“ASC 842”), retrospectively through a cumulative-effect adjustment. Orion elected the package of practical expedients provided for in ASU 842, which among other things, allows companies to carry forward their historical lease classification. Previously, Orion followed the guidance set forth in ASC 840, Leases.</w:t>
      </w:r>
    </w:p>
    <w:p>
      <w:pPr>
        <w:spacing w:after="0" w:line="133" w:lineRule="exact"/>
        <w:rPr>
          <w:sz w:val="20"/>
          <w:szCs w:val="20"/>
          <w:color w:val="auto"/>
        </w:rPr>
      </w:pPr>
    </w:p>
    <w:p>
      <w:pPr>
        <w:jc w:val="both"/>
        <w:ind w:firstLine="501"/>
        <w:spacing w:after="0" w:line="276" w:lineRule="auto"/>
        <w:rPr>
          <w:sz w:val="20"/>
          <w:szCs w:val="20"/>
          <w:color w:val="auto"/>
        </w:rPr>
      </w:pPr>
      <w:r>
        <w:rPr>
          <w:rFonts w:ascii="Arial" w:cs="Arial" w:eastAsia="Arial" w:hAnsi="Arial"/>
          <w:sz w:val="17"/>
          <w:szCs w:val="17"/>
          <w:color w:val="auto"/>
        </w:rPr>
        <w:t>For Orion, the most significant difference between ASC 840 and ASC 842 is the requirement that lessees recognize right-of-use assets and liabilities on the balance sheet for the rights and obligations created by long-term operating leases. Previously, the financial impact associated with operating leases was recorded only in Orion’s statement of operations. Determining whether a contract includes a lease, and assessing whether the lease should be accounted for as a finance lease or an operating lease, is a matter of judgment based on whether the risks and rewards, as well as substantive control of the associated assets specified in the contract, have been transferred from the lessor to the lessee.</w:t>
      </w:r>
    </w:p>
    <w:p>
      <w:pPr>
        <w:spacing w:after="0" w:line="119"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Adoption of ASC 842 resulted in the recording of additional lease assets and lease liabilities of approximately $0.2 million as of April 1, 2019. There was no impact to retained earnings. The adoption of ASC 842 did not materially impact Orion’s consolidated results of operations and had no impact on Orion’s cash flows. Orion has updated its processes and controls necessary for implementing ASC 842, including the increased footnote disclosure requirements.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Policies</w:t>
      </w:r>
    </w:p>
    <w:p>
      <w:pPr>
        <w:spacing w:after="0" w:line="171" w:lineRule="exact"/>
        <w:rPr>
          <w:sz w:val="20"/>
          <w:szCs w:val="20"/>
          <w:color w:val="auto"/>
        </w:rPr>
      </w:pPr>
    </w:p>
    <w:p>
      <w:pPr>
        <w:jc w:val="both"/>
        <w:ind w:firstLine="501"/>
        <w:spacing w:after="0" w:line="286" w:lineRule="auto"/>
        <w:rPr>
          <w:sz w:val="20"/>
          <w:szCs w:val="20"/>
          <w:color w:val="auto"/>
        </w:rPr>
      </w:pPr>
      <w:r>
        <w:rPr>
          <w:rFonts w:ascii="Arial" w:cs="Arial" w:eastAsia="Arial" w:hAnsi="Arial"/>
          <w:sz w:val="17"/>
          <w:szCs w:val="17"/>
          <w:color w:val="auto"/>
        </w:rPr>
        <w:t>Orion adopted ASC 606 and ASC 340-40 (the “new standards”) as of April 1, 2018 for contracts with customers that were not fully complete as of April 1, 2018 using the modified retrospective transition method. The cumulative effect of initially applying the new standards was recorded as an immaterial adjustment to the opening balance of retained deficit within Orion’s Condensed Consolidated Statement of Shareholders’ Equity.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171" w:lineRule="exact"/>
        <w:rPr>
          <w:sz w:val="20"/>
          <w:szCs w:val="20"/>
          <w:color w:val="auto"/>
        </w:rPr>
      </w:pPr>
    </w:p>
    <w:p>
      <w:pPr>
        <w:jc w:val="both"/>
        <w:ind w:firstLine="501"/>
        <w:spacing w:after="0" w:line="272" w:lineRule="auto"/>
        <w:rPr>
          <w:sz w:val="20"/>
          <w:szCs w:val="20"/>
          <w:color w:val="auto"/>
        </w:rPr>
      </w:pPr>
      <w:r>
        <w:rPr>
          <w:rFonts w:ascii="Arial" w:cs="Arial" w:eastAsia="Arial" w:hAnsi="Arial"/>
          <w:sz w:val="17"/>
          <w:szCs w:val="17"/>
          <w:color w:val="auto"/>
        </w:rPr>
        <w:t>Orion generates revenues primarily by selling commercial LED lighting fixtures and components, including controls and integrated IoT capabilities, and by installing these fixtures in its customer’s facilities on a turnkey basis via a dedicated installation and support team. Orion recognizes revenue in accordance with the guidance in ASC 606 when control of the goods or services being provided (which Orion refers to as a performance obligation) is transferred to a customer at an amount that reflects the consideration that management expects to receive in exchange for those goods or services. Prices are generally fixed at the time of order confirmation.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9" w:name="page10"/>
    <w:bookmarkEnd w:id="9"/>
    <w:p>
      <w:pPr>
        <w:jc w:val="both"/>
        <w:ind w:firstLine="501"/>
        <w:spacing w:after="0" w:line="257" w:lineRule="auto"/>
        <w:rPr>
          <w:sz w:val="20"/>
          <w:szCs w:val="20"/>
          <w:color w:val="auto"/>
        </w:rPr>
      </w:pPr>
      <w:r>
        <w:rPr>
          <w:rFonts w:ascii="Arial" w:cs="Arial" w:eastAsia="Arial" w:hAnsi="Arial"/>
          <w:sz w:val="18"/>
          <w:szCs w:val="18"/>
          <w:color w:val="auto"/>
        </w:rPr>
        <w:t>If there are multiple performance obligations in a contract, the contract’s total sales price is allocated to each individual performance obligation based on their relative standalone selling price. A performance obligation’s standalone selling price is the price at which Orion would sell such promised good or service separately to a customer. Orion uses an observable price to determine the stand-alone selling price for separate performance obligations or a cost-plus margin approach when one is not available. The cost-plus margin approach is used to determine the stand-alone selling price for the installation performance obligation and is based on average historical installation margin.</w:t>
      </w:r>
    </w:p>
    <w:p>
      <w:pPr>
        <w:spacing w:after="0" w:line="134"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Revenue derived from customer contracts which include only performance obligation(s) for the sale of lighting fixtures and components is classified as Product revenue in the Condensed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34" w:lineRule="exact"/>
        <w:rPr>
          <w:sz w:val="20"/>
          <w:szCs w:val="20"/>
          <w:color w:val="auto"/>
        </w:rPr>
      </w:pPr>
    </w:p>
    <w:p>
      <w:pPr>
        <w:jc w:val="both"/>
        <w:ind w:firstLine="501"/>
        <w:spacing w:after="0" w:line="308" w:lineRule="auto"/>
        <w:rPr>
          <w:sz w:val="20"/>
          <w:szCs w:val="20"/>
          <w:color w:val="auto"/>
        </w:rPr>
      </w:pPr>
      <w:r>
        <w:rPr>
          <w:rFonts w:ascii="Arial" w:cs="Arial" w:eastAsia="Arial" w:hAnsi="Arial"/>
          <w:sz w:val="17"/>
          <w:szCs w:val="17"/>
          <w:color w:val="auto"/>
        </w:rPr>
        <w:t>Revenue from a customer contract which includes both the sale of fixtures and the installation of such fixtures (which Orion refers to as a turnkey project) is allocated between each lighting fixture and the installation performance obligation based on relative standalone selling prices.</w:t>
      </w:r>
    </w:p>
    <w:p>
      <w:pPr>
        <w:spacing w:after="0" w:line="93" w:lineRule="exact"/>
        <w:rPr>
          <w:sz w:val="20"/>
          <w:szCs w:val="20"/>
          <w:color w:val="auto"/>
        </w:rPr>
      </w:pPr>
    </w:p>
    <w:p>
      <w:pPr>
        <w:jc w:val="both"/>
        <w:ind w:firstLine="501"/>
        <w:spacing w:after="0" w:line="252" w:lineRule="auto"/>
        <w:rPr>
          <w:sz w:val="20"/>
          <w:szCs w:val="20"/>
          <w:color w:val="auto"/>
        </w:rPr>
      </w:pPr>
      <w:r>
        <w:rPr>
          <w:rFonts w:ascii="Arial" w:cs="Arial" w:eastAsia="Arial" w:hAnsi="Arial"/>
          <w:sz w:val="18"/>
          <w:szCs w:val="18"/>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Orion’s control of the light fixtures during the installation. Product revenue associated with turnkey projects can be recorded (a) upon shipment or delivery, (b) subsequent to shipment or delivery and upon customer payments for the light fixtures, (c) when an individual light fixture is installed and working correctly, or (d) when the customer acknowledges that the entire installation project is substantially complete. Determining the point in time when a customer obtains control of the lighting fixtures in a turnkey project can be a complex judgment and is applied separately for each individual light fixture included in a contract. In making this judgment, management considers the timing of various factors, including, but not limited to, those detailed below:</w:t>
      </w:r>
    </w:p>
    <w:p>
      <w:pPr>
        <w:spacing w:after="0" w:line="4" w:lineRule="exact"/>
        <w:rPr>
          <w:sz w:val="20"/>
          <w:szCs w:val="20"/>
          <w:color w:val="auto"/>
        </w:rPr>
      </w:pPr>
    </w:p>
    <w:p>
      <w:pPr>
        <w:ind w:left="900" w:hanging="392"/>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there is a legal transfer of ownership;</w:t>
      </w:r>
    </w:p>
    <w:p>
      <w:pPr>
        <w:spacing w:after="0" w:line="9" w:lineRule="exact"/>
        <w:rPr>
          <w:rFonts w:ascii="Arial" w:cs="Arial" w:eastAsia="Arial" w:hAnsi="Arial"/>
          <w:sz w:val="18"/>
          <w:szCs w:val="18"/>
          <w:color w:val="auto"/>
        </w:rPr>
      </w:pPr>
    </w:p>
    <w:p>
      <w:pPr>
        <w:ind w:left="900" w:hanging="392"/>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the customer obtains physical possession of the products;</w:t>
      </w:r>
    </w:p>
    <w:p>
      <w:pPr>
        <w:spacing w:after="0" w:line="9" w:lineRule="exact"/>
        <w:rPr>
          <w:rFonts w:ascii="Arial" w:cs="Arial" w:eastAsia="Arial" w:hAnsi="Arial"/>
          <w:sz w:val="18"/>
          <w:szCs w:val="18"/>
          <w:color w:val="auto"/>
        </w:rPr>
      </w:pPr>
    </w:p>
    <w:p>
      <w:pPr>
        <w:ind w:left="900" w:hanging="392"/>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the customer starts to receive the benefit of the products;</w:t>
      </w:r>
    </w:p>
    <w:p>
      <w:pPr>
        <w:spacing w:after="0" w:line="9" w:lineRule="exact"/>
        <w:rPr>
          <w:rFonts w:ascii="Arial" w:cs="Arial" w:eastAsia="Arial" w:hAnsi="Arial"/>
          <w:sz w:val="18"/>
          <w:szCs w:val="18"/>
          <w:color w:val="auto"/>
        </w:rPr>
      </w:pPr>
    </w:p>
    <w:p>
      <w:pPr>
        <w:ind w:left="900" w:hanging="392"/>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duration of physical control that Orion maintains on the products after they are shipped to, and received at, the customer’s facility;</w:t>
      </w:r>
    </w:p>
    <w:p>
      <w:pPr>
        <w:ind w:left="900" w:hanging="392"/>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Orion is required to maintain insurance on the lighting fixtures when they are in transit and after they are delivered to the customer’s facility;</w:t>
      </w:r>
    </w:p>
    <w:p>
      <w:pPr>
        <w:ind w:left="900" w:hanging="392"/>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each light fixture is physically installed and working correctly;</w:t>
      </w:r>
    </w:p>
    <w:p>
      <w:pPr>
        <w:spacing w:after="0" w:line="9" w:lineRule="exact"/>
        <w:rPr>
          <w:rFonts w:ascii="Arial" w:cs="Arial" w:eastAsia="Arial" w:hAnsi="Arial"/>
          <w:sz w:val="18"/>
          <w:szCs w:val="18"/>
          <w:color w:val="auto"/>
        </w:rPr>
      </w:pPr>
    </w:p>
    <w:p>
      <w:pPr>
        <w:ind w:left="900" w:hanging="392"/>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the customer formally accepts the product; and</w:t>
      </w:r>
    </w:p>
    <w:p>
      <w:pPr>
        <w:spacing w:after="0" w:line="9" w:lineRule="exact"/>
        <w:rPr>
          <w:rFonts w:ascii="Arial" w:cs="Arial" w:eastAsia="Arial" w:hAnsi="Arial"/>
          <w:sz w:val="18"/>
          <w:szCs w:val="18"/>
          <w:color w:val="auto"/>
        </w:rPr>
      </w:pPr>
    </w:p>
    <w:p>
      <w:pPr>
        <w:ind w:left="900" w:hanging="392"/>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Orion receives payment from the customer for the light fixtures.</w:t>
      </w:r>
    </w:p>
    <w:p>
      <w:pPr>
        <w:spacing w:after="0" w:line="157"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Revenue from turnkey projects that is allocated to the single installation performance obligation is reflected in Service revenue. Service revenue is recorded over-time as Orion fulfills its obligation to install the light fixtures. Orion measures its performance toward fulfilling its performance obligations for installations using an output method that calculates the number of light fixtures removed and installed as of the measurement date in comparison to the total number of light fixtures to be removed or installed under the contract.</w:t>
      </w:r>
    </w:p>
    <w:p>
      <w:pPr>
        <w:spacing w:after="0" w:line="133" w:lineRule="exact"/>
        <w:rPr>
          <w:sz w:val="20"/>
          <w:szCs w:val="20"/>
          <w:color w:val="auto"/>
        </w:rPr>
      </w:pPr>
    </w:p>
    <w:p>
      <w:pPr>
        <w:jc w:val="both"/>
        <w:ind w:firstLine="501"/>
        <w:spacing w:after="0" w:line="279" w:lineRule="auto"/>
        <w:rPr>
          <w:sz w:val="20"/>
          <w:szCs w:val="20"/>
          <w:color w:val="auto"/>
        </w:rPr>
      </w:pPr>
      <w:r>
        <w:rPr>
          <w:rFonts w:ascii="Arial" w:cs="Arial" w:eastAsia="Arial" w:hAnsi="Arial"/>
          <w:sz w:val="17"/>
          <w:szCs w:val="17"/>
          <w:color w:val="auto"/>
        </w:rPr>
        <w:t>Most products are manufactured in accordance with Orion’s standard specifications. However, some products are manufactured to a customer’s specific requirements with no alternative use to Orion. In such cases, and when Orion has an enforceable right to payment, Product revenue is recorded on an over-time basis measured using an input methodology that calculates the costs incurred to date as compared to total expected costs. There was no over-time revenue related to custom products recognized in the three and nine months ended December 31, 2019 or December 31,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0" w:name="page11"/>
    <w:bookmarkEnd w:id="10"/>
    <w:p>
      <w:pPr>
        <w:jc w:val="both"/>
        <w:ind w:firstLine="501"/>
        <w:spacing w:after="0" w:line="291" w:lineRule="auto"/>
        <w:rPr>
          <w:sz w:val="20"/>
          <w:szCs w:val="20"/>
          <w:color w:val="auto"/>
        </w:rPr>
      </w:pPr>
      <w:r>
        <w:rPr>
          <w:rFonts w:ascii="Arial" w:cs="Arial" w:eastAsia="Arial" w:hAnsi="Arial"/>
          <w:sz w:val="16"/>
          <w:szCs w:val="16"/>
          <w:color w:val="auto"/>
        </w:rPr>
        <w:t>Orion also records revenue in conjunction with several limited power purchase agreements (“PPAs”) still outstanding. Those PPAs are supply-side agreements for the generation of electricity. Orion’s last PPA expires in 2031. Revenue associated with the sale of energy generated by the solar facilities under these PPAs is within the scope of ASC 606. Revenues are recognized over-time and are equal to the amount billed to the customer, which is calculated by applying the fixed rate designated in the PPAs to the variable amount of electricity generated each month. This approach is in accordance with the “right to invoice” practical expedient provided for in ASC 606. Orion also recognizes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 606.</w:t>
      </w:r>
    </w:p>
    <w:p>
      <w:pPr>
        <w:spacing w:after="0" w:line="113"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When shipping and handling activities are performed after a customer obtains control of the product, Orion has elected to treat shipping and handling costs as an activity necessary to fulfill the performance obligation to transfer product to the customer and not as a separate performance obligation. Any shipping and handling costs charged to customers are recorded in Product revenue. Shipping and handling costs are accrued and included in Cost of product revenue.</w:t>
      </w:r>
    </w:p>
    <w:p>
      <w:pPr>
        <w:spacing w:after="0" w:line="133"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See Note 10, Accrued Expenses and Other for a discussion of Orion’s accounting for the warranty it provides to customers for its products and services.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Sales taxes collected from customers and remitted to governmental authorities are accounted for on a net (excluded from revenues) basis.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171"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Costs associated with product sales are accumulated in inventory as the fixtures are manufactured and are transferred to Cost of product revenue at the time revenue is recorded. See Note 5, Inventories, Net. Costs associated with installation sales are expensed as incurred.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71" w:lineRule="exact"/>
        <w:rPr>
          <w:sz w:val="20"/>
          <w:szCs w:val="20"/>
          <w:color w:val="auto"/>
        </w:rPr>
      </w:pPr>
    </w:p>
    <w:p>
      <w:pPr>
        <w:jc w:val="both"/>
        <w:ind w:firstLine="501"/>
        <w:spacing w:after="0" w:line="297" w:lineRule="auto"/>
        <w:rPr>
          <w:sz w:val="20"/>
          <w:szCs w:val="20"/>
          <w:color w:val="auto"/>
        </w:rPr>
      </w:pPr>
      <w:r>
        <w:rPr>
          <w:rFonts w:ascii="Arial" w:cs="Arial" w:eastAsia="Arial" w:hAnsi="Arial"/>
          <w:sz w:val="16"/>
          <w:szCs w:val="16"/>
          <w:color w:val="auto"/>
        </w:rPr>
        <w:t>Orion’s Product revenue includes revenue from contracts with customers accounted for under the scope of ASC 606 and revenue which is accounted for under other guidance. For the three and nine months ended December 31, 2019, Product revenue included $0.2 million and $1.2 million, respectively, derived from sales-type leases for light fixtures, $0.1 million and $0.2 million, respectively, derived from the sale of tax credits generated from Orion’s legacy operation for distributing solar energy, and $19 thousand and $0.1 million, respectively, derived from the amortization of federal grants received in 2010 and 2011 as reimbursement for a portion of the costs to construct the legacy solar facilities which are not under the scope of ASC 606.</w:t>
      </w:r>
    </w:p>
    <w:p>
      <w:pPr>
        <w:spacing w:after="0" w:line="104"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For the three and nine months ended December 31, 2018, Product revenue included $1.0 million and $2.1 million, respectively, derived from sales-type leases for light fixtures, $26 thousand and $0.2 million, respectively, derived from the sale of tax credits generated from Orion’s legacy operation for distributing solar energy, and $19 thousand and $0.1 million, respectively, derived from the amortization of federal grants received in 2010 and 2011 as reimbursement for a portion of the costs to construct the legacy solar facilities which are not under the scope of ASC 606. All remaining Product revenue, and all Service revenue, are derived from contracts with customers as defined in ASC 606.</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primary end-users of Orion’s lighting products and services are (a) commercial or industrial companies, and (b) the federal government.</w:t>
      </w:r>
    </w:p>
    <w:p>
      <w:pPr>
        <w:spacing w:after="0" w:line="183"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Commercial or industrial end-users obtain Orion products and services through turnkey project sales or by purchasing products either direct from Orion or through distributors or energy service companies ("ESCOs"). Revenues associated with commercial and industrial end-users are included within each of Orion’s segments, dependent on the sales channel.</w:t>
      </w:r>
    </w:p>
    <w:p>
      <w:pPr>
        <w:spacing w:after="0" w:line="127"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The federal government obtains Orion products and services primarily through turnkey project sales that Orion makes to a select group of contractors who focus on the federal government. Revenues associated with government end-users are primarily included in the Orion Engineered Systems Division segment.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1" w:name="page12"/>
    <w:bookmarkEnd w:id="11"/>
    <w:p>
      <w:pPr>
        <w:ind w:left="500"/>
        <w:spacing w:after="0"/>
        <w:rPr>
          <w:sz w:val="20"/>
          <w:szCs w:val="20"/>
          <w:color w:val="auto"/>
        </w:rPr>
      </w:pPr>
      <w:r>
        <w:rPr>
          <w:rFonts w:ascii="Arial" w:cs="Arial" w:eastAsia="Arial" w:hAnsi="Arial"/>
          <w:sz w:val="18"/>
          <w:szCs w:val="18"/>
          <w:color w:val="auto"/>
        </w:rPr>
        <w:t>See Note 17, Segments, for additional discussion concerning Orion’s reportable segments.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provides detail of Orion’s total revenues for the three and nine months ended December 31, 2019 (dollars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3"/>
              </w:rPr>
              <w:t>Three Months Ended December 31, 2019</w:t>
            </w:r>
          </w:p>
        </w:tc>
        <w:tc>
          <w:tcPr>
            <w:tcW w:w="140" w:type="dxa"/>
            <w:vAlign w:val="bottom"/>
          </w:tcPr>
          <w:p>
            <w:pPr>
              <w:spacing w:after="0"/>
              <w:rPr>
                <w:sz w:val="14"/>
                <w:szCs w:val="14"/>
                <w:color w:val="auto"/>
              </w:rPr>
            </w:pPr>
          </w:p>
        </w:tc>
        <w:tc>
          <w:tcPr>
            <w:tcW w:w="31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3"/>
              </w:rPr>
              <w:t>Nine Months Ended December 31, 2019</w:t>
            </w:r>
          </w:p>
        </w:tc>
      </w:tr>
      <w:tr>
        <w:trPr>
          <w:trHeight w:val="156"/>
        </w:trPr>
        <w:tc>
          <w:tcPr>
            <w:tcW w:w="4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Product</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86"/>
              </w:rPr>
              <w:t>Services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Product</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86"/>
              </w:rPr>
              <w:t>Services</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contracts with customers:</w:t>
            </w:r>
          </w:p>
        </w:tc>
        <w:tc>
          <w:tcPr>
            <w:tcW w:w="7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Lighting revenues, by end user</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government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FF0FC"/>
          </w:tcPr>
          <w:p>
            <w:pPr>
              <w:spacing w:after="0"/>
              <w:rPr>
                <w:sz w:val="19"/>
                <w:szCs w:val="19"/>
                <w:color w:val="auto"/>
              </w:rPr>
            </w:pPr>
          </w:p>
        </w:tc>
      </w:tr>
      <w:tr>
        <w:trPr>
          <w:trHeight w:val="230"/>
        </w:trPr>
        <w:tc>
          <w:tcPr>
            <w:tcW w:w="4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and industrial</w:t>
            </w:r>
          </w:p>
        </w:tc>
        <w:tc>
          <w:tcPr>
            <w:tcW w:w="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25,467</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91,411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122,216</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Total lighting</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92,313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123,484</w:t>
            </w:r>
          </w:p>
        </w:tc>
        <w:tc>
          <w:tcPr>
            <w:tcW w:w="100" w:type="dxa"/>
            <w:vAlign w:val="bottom"/>
            <w:shd w:val="clear" w:color="auto" w:fill="CFF0FC"/>
          </w:tcPr>
          <w:p>
            <w:pPr>
              <w:spacing w:after="0"/>
              <w:rPr>
                <w:sz w:val="19"/>
                <w:szCs w:val="19"/>
                <w:color w:val="auto"/>
              </w:rPr>
            </w:pPr>
          </w:p>
        </w:tc>
      </w:tr>
      <w:tr>
        <w:trPr>
          <w:trHeight w:val="230"/>
        </w:trPr>
        <w:tc>
          <w:tcPr>
            <w:tcW w:w="4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Solar energy related revenues</w:t>
            </w:r>
          </w:p>
        </w:tc>
        <w:tc>
          <w:tcPr>
            <w:tcW w:w="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 from contracts with customers</w:t>
            </w:r>
          </w:p>
        </w:tc>
        <w:tc>
          <w:tcPr>
            <w:tcW w:w="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25,555</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8,382</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33,937</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92,363</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123,534</w:t>
            </w:r>
          </w:p>
        </w:tc>
        <w:tc>
          <w:tcPr>
            <w:tcW w:w="100" w:type="dxa"/>
            <w:vAlign w:val="bottom"/>
            <w:shd w:val="clear" w:color="auto" w:fill="CFF0FC"/>
          </w:tcPr>
          <w:p>
            <w:pPr>
              <w:spacing w:after="0"/>
              <w:rPr>
                <w:sz w:val="19"/>
                <w:szCs w:val="19"/>
                <w:color w:val="auto"/>
              </w:rPr>
            </w:pPr>
          </w:p>
        </w:tc>
      </w:tr>
      <w:tr>
        <w:trPr>
          <w:trHeight w:val="223"/>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accounted for under other guidance</w:t>
            </w:r>
          </w:p>
        </w:tc>
        <w:tc>
          <w:tcPr>
            <w:tcW w:w="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7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25,867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34,249</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93,778</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3"/>
              </w:rPr>
              <w:t>Three Months Ended December 31, 2018</w:t>
            </w:r>
          </w:p>
        </w:tc>
        <w:tc>
          <w:tcPr>
            <w:tcW w:w="140" w:type="dxa"/>
            <w:vAlign w:val="bottom"/>
          </w:tcPr>
          <w:p>
            <w:pPr>
              <w:spacing w:after="0"/>
              <w:rPr>
                <w:sz w:val="24"/>
                <w:szCs w:val="24"/>
                <w:color w:val="auto"/>
              </w:rPr>
            </w:pPr>
          </w:p>
        </w:tc>
        <w:tc>
          <w:tcPr>
            <w:tcW w:w="31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3"/>
              </w:rPr>
              <w:t>Nine Months Ended December 31, 2018</w:t>
            </w:r>
          </w:p>
        </w:tc>
      </w:tr>
      <w:tr>
        <w:trPr>
          <w:trHeight w:val="156"/>
        </w:trPr>
        <w:tc>
          <w:tcPr>
            <w:tcW w:w="4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Product</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86"/>
              </w:rPr>
              <w:t>Services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Product</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86"/>
              </w:rPr>
              <w:t>Services</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p>
      <w:pPr>
        <w:spacing w:after="0"/>
        <w:rPr>
          <w:sz w:val="20"/>
          <w:szCs w:val="20"/>
          <w:color w:val="auto"/>
        </w:rPr>
      </w:pPr>
      <w:r>
        <w:rPr>
          <w:rFonts w:ascii="Arial" w:cs="Arial" w:eastAsia="Arial" w:hAnsi="Arial"/>
          <w:sz w:val="16"/>
          <w:szCs w:val="16"/>
          <w:color w:val="auto"/>
        </w:rPr>
        <w:t>Revenue from contracts with customers: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Lighting revenues, by end user</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Federal government</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Commercial and industrial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894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396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1,290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1,009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1,405</w:t>
            </w:r>
          </w:p>
        </w:tc>
      </w:tr>
      <w:tr>
        <w:trPr>
          <w:trHeight w:val="241"/>
        </w:trPr>
        <w:tc>
          <w:tcPr>
            <w:tcW w:w="24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11,976</w:t>
            </w:r>
          </w:p>
        </w:tc>
        <w:tc>
          <w:tcPr>
            <w:tcW w:w="40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1,943</w:t>
            </w:r>
          </w:p>
        </w:tc>
        <w:tc>
          <w:tcPr>
            <w:tcW w:w="3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13,919</w:t>
            </w:r>
          </w:p>
        </w:tc>
        <w:tc>
          <w:tcPr>
            <w:tcW w:w="3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34,987</w:t>
            </w:r>
          </w:p>
        </w:tc>
        <w:tc>
          <w:tcPr>
            <w:tcW w:w="4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4,565</w:t>
            </w: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-306705</wp:posOffset>
            </wp:positionV>
            <wp:extent cx="72466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060" w:space="720"/>
            <w:col w:w="6640"/>
          </w:cols>
          <w:pgMar w:left="240" w:top="503" w:right="2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lighting</w:t>
            </w:r>
          </w:p>
        </w:tc>
        <w:tc>
          <w:tcPr>
            <w:tcW w:w="7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12,870</w:t>
            </w:r>
          </w:p>
        </w:tc>
        <w:tc>
          <w:tcPr>
            <w:tcW w:w="22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2,339</w:t>
            </w:r>
          </w:p>
        </w:tc>
        <w:tc>
          <w:tcPr>
            <w:tcW w:w="2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15,209</w:t>
            </w:r>
          </w:p>
        </w:tc>
        <w:tc>
          <w:tcPr>
            <w:tcW w:w="2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35,996</w:t>
            </w:r>
          </w:p>
        </w:tc>
        <w:tc>
          <w:tcPr>
            <w:tcW w:w="22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4,961</w:t>
            </w:r>
          </w:p>
        </w:tc>
        <w:tc>
          <w:tcPr>
            <w:tcW w:w="22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40,957</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4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Solar energy related revenues</w:t>
            </w:r>
          </w:p>
        </w:tc>
        <w:tc>
          <w:tcPr>
            <w:tcW w:w="7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FF0FC"/>
            </w:tcBorders>
          </w:tcPr>
          <w:p>
            <w:pPr>
              <w:spacing w:after="0"/>
              <w:rPr>
                <w:sz w:val="21"/>
                <w:szCs w:val="21"/>
                <w:color w:val="auto"/>
              </w:rPr>
            </w:pPr>
          </w:p>
        </w:tc>
      </w:tr>
      <w:tr>
        <w:trPr>
          <w:trHeight w:val="23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 from contracts with customers</w:t>
            </w:r>
          </w:p>
        </w:tc>
        <w:tc>
          <w:tcPr>
            <w:tcW w:w="7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12,878</w:t>
            </w:r>
          </w:p>
        </w:tc>
        <w:tc>
          <w:tcPr>
            <w:tcW w:w="2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2,339</w:t>
            </w:r>
          </w:p>
        </w:tc>
        <w:tc>
          <w:tcPr>
            <w:tcW w:w="2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15,217</w:t>
            </w:r>
          </w:p>
        </w:tc>
        <w:tc>
          <w:tcPr>
            <w:tcW w:w="2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36,042</w:t>
            </w:r>
          </w:p>
        </w:tc>
        <w:tc>
          <w:tcPr>
            <w:tcW w:w="2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4,961</w:t>
            </w:r>
          </w:p>
        </w:tc>
        <w:tc>
          <w:tcPr>
            <w:tcW w:w="22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41,003</w:t>
            </w:r>
          </w:p>
        </w:tc>
        <w:tc>
          <w:tcPr>
            <w:tcW w:w="100" w:type="dxa"/>
            <w:vAlign w:val="bottom"/>
            <w:shd w:val="clear" w:color="auto" w:fill="CFF0FC"/>
          </w:tcPr>
          <w:p>
            <w:pPr>
              <w:spacing w:after="0"/>
              <w:rPr>
                <w:sz w:val="20"/>
                <w:szCs w:val="20"/>
                <w:color w:val="auto"/>
              </w:rPr>
            </w:pPr>
          </w:p>
        </w:tc>
      </w:tr>
      <w:tr>
        <w:trPr>
          <w:trHeight w:val="237"/>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accounted for under other guidance</w:t>
            </w:r>
          </w:p>
        </w:tc>
        <w:tc>
          <w:tcPr>
            <w:tcW w:w="7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2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w:t>
            </w:r>
          </w:p>
        </w:tc>
        <w:tc>
          <w:tcPr>
            <w:tcW w:w="2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w:t>
            </w:r>
          </w:p>
        </w:tc>
        <w:tc>
          <w:tcPr>
            <w:tcW w:w="100" w:type="dxa"/>
            <w:vAlign w:val="bottom"/>
            <w:tcBorders>
              <w:bottom w:val="single" w:sz="8" w:color="CFF0FC"/>
            </w:tcBorders>
          </w:tcPr>
          <w:p>
            <w:pPr>
              <w:spacing w:after="0"/>
              <w:rPr>
                <w:sz w:val="20"/>
                <w:szCs w:val="20"/>
                <w:color w:val="auto"/>
              </w:rPr>
            </w:pPr>
          </w:p>
        </w:tc>
      </w:tr>
      <w:tr>
        <w:trPr>
          <w:trHeight w:val="23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13,952</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2,339</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16,291</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38,350</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4,961</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43,311</w:t>
            </w:r>
          </w:p>
        </w:tc>
        <w:tc>
          <w:tcPr>
            <w:tcW w:w="100" w:type="dxa"/>
            <w:vAlign w:val="bottom"/>
            <w:shd w:val="clear" w:color="auto" w:fill="CFF0FC"/>
          </w:tcPr>
          <w:p>
            <w:pPr>
              <w:spacing w:after="0"/>
              <w:rPr>
                <w:sz w:val="20"/>
                <w:szCs w:val="20"/>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Considerations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Customer payments for material-only orders are due shortly after shipment.</w:t>
      </w:r>
    </w:p>
    <w:p>
      <w:pPr>
        <w:spacing w:after="0" w:line="171"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Turnkey projects where the end-user is a commercial or industrial company typically span between one week to three months. Customer payment requirements for these projects vary by contract. Some contracts provide for customer payments for products and services as they are delivered, other contracts specify that the customer will pay for the project in its entirety upon completion of the installation.</w:t>
      </w:r>
    </w:p>
    <w:p>
      <w:pPr>
        <w:spacing w:after="0" w:line="127"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Turnkey projects where the end-user is the federal government typically span a three to six-month period. The contracts for these sales often provide for monthly progress payments equal to ninety percent (90%) of the value provided by Orion during the month.</w:t>
      </w:r>
    </w:p>
    <w:p>
      <w:pPr>
        <w:spacing w:after="0" w:line="116" w:lineRule="exact"/>
        <w:rPr>
          <w:sz w:val="20"/>
          <w:szCs w:val="20"/>
          <w:color w:val="auto"/>
        </w:rPr>
      </w:pPr>
    </w:p>
    <w:p>
      <w:pPr>
        <w:jc w:val="both"/>
        <w:ind w:firstLine="501"/>
        <w:spacing w:after="0" w:line="272" w:lineRule="auto"/>
        <w:rPr>
          <w:sz w:val="20"/>
          <w:szCs w:val="20"/>
          <w:color w:val="auto"/>
        </w:rPr>
      </w:pPr>
      <w:r>
        <w:rPr>
          <w:rFonts w:ascii="Arial" w:cs="Arial" w:eastAsia="Arial" w:hAnsi="Arial"/>
          <w:sz w:val="17"/>
          <w:szCs w:val="17"/>
          <w:color w:val="auto"/>
        </w:rPr>
        <w:t>Orion provides long-term financing to one customer who frequently engages Orion in large turnkey projects that span between three and nine months. The customer executes an agreement providing for monthly payments of the contract price, plus interest, over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The portion of the transaction associated with the sale of the multiple individual light fixtures is accounted for as sales-type leases in accordance with the guidance for leases. Revenues associated with the sales-type leases are included in Product revenue and recorded for each fixture separately based on the customer’s monthly acknowledgment that specified fixtures have been installed and are operating as specified.</w:t>
      </w:r>
    </w:p>
    <w:p>
      <w:pPr>
        <w:spacing w:after="0" w:line="124"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The payments associated with these transactions that are due during the twelve months subsequent to December 31, 2019 are included in Accounts receivable, net in Orion’s Condensed Consolidated Balance Sheets. The remaining amounts due that are associated with these transactions are included in Other long-term assets in Orion’s Condensed Consolidated Balance Sheets.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12" w:name="page13"/>
    <w:bookmarkEnd w:id="12"/>
    <w:p>
      <w:pPr>
        <w:jc w:val="both"/>
        <w:ind w:firstLine="501"/>
        <w:spacing w:after="0" w:line="297" w:lineRule="auto"/>
        <w:rPr>
          <w:sz w:val="20"/>
          <w:szCs w:val="20"/>
          <w:color w:val="auto"/>
        </w:rPr>
      </w:pPr>
      <w:r>
        <w:rPr>
          <w:rFonts w:ascii="Arial" w:cs="Arial" w:eastAsia="Arial" w:hAnsi="Arial"/>
          <w:sz w:val="16"/>
          <w:szCs w:val="16"/>
          <w:color w:val="auto"/>
        </w:rPr>
        <w:t>The customer’s monthly payment obligation commences after completion of the turnkey project. Orion generally sells the receivable from the customer to an independent financial institution either during, or shortly after completion of, the installation period. Upon execution of the receivables purchase / sales agreement, all amounts due from the customer are included in Revenues earned but not billed on Orion’s Condensed Consolidated Balance Sheets until cash is received from the financial institution. The financial institution releases funds to Orion based on the customer’s monthly acknowledgment of the progress Orion has achieved in fulfilling its installation obligation. Orion provides the progress certifications to the financial institution one month in arrears.</w:t>
      </w:r>
    </w:p>
    <w:p>
      <w:pPr>
        <w:spacing w:after="0" w:line="104"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The total amount received from the sales of these receivables during the three and nine months ended December 31, 2019, was $0.7 million and $4.4 million, respectively. Orion’s losses on these sales were $39 thousand and $0.1 million for the three and nine months ended December 31, 2019, respectively and are included in Interest expense in the Condensed Consolidated Statements of Operations.</w:t>
      </w:r>
    </w:p>
    <w:p>
      <w:pPr>
        <w:spacing w:after="0" w:line="127"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The total amount received from the sales of these receivables during the three and nine months ended December 31, 2018 was $1.5 million and $4.4 million, respectively. Orion’s losses on these sales were $29 thousand and $0.2 million for the three and nine months ended December 31, 2018, respectively and are included in Interest expense in the Condensed Consolidated Statement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Exemptions</w:t>
      </w:r>
    </w:p>
    <w:p>
      <w:pPr>
        <w:spacing w:after="0" w:line="171"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Orion expenses sales commissions when incurred because the amortization period is one year or less. These costs are recorded within Sales and marketing expense. There are no other capitalizable costs associated with obtaining contracts with customers.</w:t>
      </w:r>
    </w:p>
    <w:p>
      <w:pPr>
        <w:spacing w:after="0" w:line="116"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Orion’s performance obligations related to lighting fixtures typically do not exceed nine months in duration. As a result, Orion has elected the practical expedient that provides an exemption to the disclosure requirements regarding information about value assigned to remaining performance obligations on contracts that have original expected durations of one year or less.</w:t>
      </w:r>
    </w:p>
    <w:p>
      <w:pPr>
        <w:spacing w:after="0" w:line="127"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Orion has also adopted the practical expedient that provides an exemption to the disclosure requirement of the value assigned to performance obligations associated with contracts that were not complete as of April 1, 2018.</w:t>
      </w:r>
    </w:p>
    <w:p>
      <w:pPr>
        <w:spacing w:after="0" w:line="116"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Orion also elected the practical expedient that permits companies to not disclose quantitative information about the future revenue when revenue is recognized as invoices are issued to customers for services performed.</w:t>
      </w:r>
    </w:p>
    <w:p>
      <w:pPr>
        <w:spacing w:after="0" w:line="116"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Other than the turnkey projects which result in sales-type leases discussed above, Orion generally receives full payment for satisfied performance obligations in less than one year. Accordingly, Orion does not adjust revenues for the impact of any potential significant financing component as permitted by the practical expedients provided in ASC 606.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A receivable is recognized when Orion has an enforceable right to payment in accordance with contract terms and an invoice has been issued to the customer. Payment terms on invoiced amounts are typically 30 days from the invoice date.</w:t>
      </w:r>
    </w:p>
    <w:p>
      <w:pPr>
        <w:spacing w:after="0" w:line="116"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Revenue earned but not billed represents revenue that has been recognized in advance of billing the customer, which is a common practice in Orion turnkey contracts. Once Orion has an unconditional right to consideration under a turnkey contract, Orion typically bills the customer accordingly and reclassifies the amount to Accounts receivable, net. Revenue earned but not billed as of December 31, 2019 and March 31, 2019 includes $0.1 million and $0.7 million, respectively, which was not derived from contracts with customers and therefore not classified as a contract asset as defined by the new standards.</w:t>
      </w:r>
    </w:p>
    <w:p>
      <w:pPr>
        <w:spacing w:after="0" w:line="134"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Deferred revenue, current as of December 31, 2019 and March 31, 2019 includes $9 thousand and $48 thousand, respectively, of contract liabilities which represented consideration received from customers prior to the point that Orion has fulfilled the promises included in a performance obligation and recorded revenue.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3" w:name="page14"/>
    <w:bookmarkEnd w:id="13"/>
    <w:p>
      <w:pPr>
        <w:jc w:val="both"/>
        <w:ind w:firstLine="501"/>
        <w:spacing w:after="0" w:line="264" w:lineRule="auto"/>
        <w:rPr>
          <w:sz w:val="20"/>
          <w:szCs w:val="20"/>
          <w:color w:val="auto"/>
        </w:rPr>
      </w:pPr>
      <w:r>
        <w:rPr>
          <w:rFonts w:ascii="Arial" w:cs="Arial" w:eastAsia="Arial" w:hAnsi="Arial"/>
          <w:sz w:val="18"/>
          <w:szCs w:val="18"/>
          <w:color w:val="auto"/>
        </w:rPr>
        <w:t>Deferred revenue, long-term consists of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the new standards.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chart shows the balance of Orion’s receivables arising from contracts with customers, contract assets and contract liabilities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March 31, 2019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297"/>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820" w:type="dxa"/>
            <w:vAlign w:val="bottom"/>
            <w:tcBorders>
              <w:bottom w:val="single" w:sz="8" w:color="CFF0FC"/>
            </w:tcBorders>
          </w:tcPr>
          <w:p>
            <w:pPr>
              <w:spacing w:after="0"/>
              <w:rPr>
                <w:sz w:val="14"/>
                <w:szCs w:val="14"/>
                <w:color w:val="auto"/>
              </w:rPr>
            </w:pPr>
          </w:p>
        </w:tc>
        <w:tc>
          <w:tcPr>
            <w:tcW w:w="30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30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14,804</w:t>
            </w:r>
          </w:p>
        </w:tc>
        <w:tc>
          <w:tcPr>
            <w:tcW w:w="12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Contract assets</w:t>
            </w:r>
          </w:p>
        </w:tc>
        <w:tc>
          <w:tcPr>
            <w:tcW w:w="3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693</w:t>
            </w:r>
          </w:p>
        </w:tc>
        <w:tc>
          <w:tcPr>
            <w:tcW w:w="5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3,005</w:t>
            </w:r>
          </w:p>
        </w:tc>
        <w:tc>
          <w:tcPr>
            <w:tcW w:w="12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32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5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There were no significant changes in the contract assets outside of standard reclassifications to Accounts receivable, net upon billing. There were no significant changes to contract liabilities.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 NET</w:t>
      </w:r>
    </w:p>
    <w:p>
      <w:pPr>
        <w:spacing w:after="0" w:line="175"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As of December 31, 2019, and March 31, 2019, Orion's Accounts receivable and Allowance for doubtful accounts balances were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8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15,011</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r>
      <w:tr>
        <w:trPr>
          <w:trHeight w:val="223"/>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15,224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and March 31, 2019, Orion's Inventory balances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Excess and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Obsolescence</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 of December 31, 2019</w:t>
            </w:r>
          </w:p>
        </w:tc>
        <w:tc>
          <w:tcPr>
            <w:tcW w:w="2140" w:type="dxa"/>
            <w:vAlign w:val="bottom"/>
            <w:tcBorders>
              <w:top w:val="single" w:sz="8" w:color="CFF0FC"/>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Raw materials and components</w:t>
            </w:r>
          </w:p>
        </w:tc>
        <w:tc>
          <w:tcPr>
            <w:tcW w:w="2960" w:type="dxa"/>
            <w:vAlign w:val="bottom"/>
            <w:gridSpan w:val="2"/>
          </w:tcPr>
          <w:p>
            <w:pPr>
              <w:jc w:val="right"/>
              <w:ind w:right="63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8,570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(1,104)</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 in process</w:t>
            </w:r>
          </w:p>
        </w:tc>
        <w:tc>
          <w:tcPr>
            <w:tcW w:w="2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Finished goods</w:t>
            </w: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5,780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15,115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As of March 31, 2019</w:t>
            </w:r>
          </w:p>
        </w:tc>
        <w:tc>
          <w:tcPr>
            <w:tcW w:w="2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Raw materials and components</w:t>
            </w:r>
          </w:p>
        </w:tc>
        <w:tc>
          <w:tcPr>
            <w:tcW w:w="2960" w:type="dxa"/>
            <w:vAlign w:val="bottom"/>
            <w:gridSpan w:val="2"/>
          </w:tcPr>
          <w:p>
            <w:pPr>
              <w:jc w:val="right"/>
              <w:ind w:right="63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9,161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(1,393)</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 in process</w:t>
            </w:r>
          </w:p>
        </w:tc>
        <w:tc>
          <w:tcPr>
            <w:tcW w:w="2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Finished goods</w:t>
            </w: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6,056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16,227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PREPAID EXPENSES AND OTHER CURRENT ASSETS</w:t>
      </w:r>
    </w:p>
    <w:p>
      <w:pPr>
        <w:spacing w:after="0" w:line="216"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Prepaid expenses and other current assets consist primarily of debt issue costs, prepaid subscription fees, prepaid insurance premiums, and sales tax receivable.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7 — PROPERTY AND EQUIPMENT,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and March 31, 2019, Property and equipment, net, included the following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380" w:type="dxa"/>
            <w:vAlign w:val="bottom"/>
            <w:tcBorders>
              <w:bottom w:val="single" w:sz="8" w:color="CFF0FC"/>
            </w:tcBorders>
          </w:tcPr>
          <w:p>
            <w:pPr>
              <w:spacing w:after="0"/>
              <w:rPr>
                <w:sz w:val="14"/>
                <w:szCs w:val="14"/>
                <w:color w:val="auto"/>
              </w:rPr>
            </w:pPr>
          </w:p>
        </w:tc>
        <w:tc>
          <w:tcPr>
            <w:tcW w:w="24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Land and land improvements</w:t>
            </w:r>
          </w:p>
        </w:tc>
        <w:tc>
          <w:tcPr>
            <w:tcW w:w="24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9,245</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2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7,238</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Equipment leased to customers</w:t>
            </w:r>
          </w:p>
        </w:tc>
        <w:tc>
          <w:tcPr>
            <w:tcW w:w="2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Plant equipment</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12,211</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r>
      <w:tr>
        <w:trPr>
          <w:trHeight w:val="223"/>
        </w:trPr>
        <w:tc>
          <w:tcPr>
            <w:tcW w:w="5380" w:type="dxa"/>
            <w:vAlign w:val="bottom"/>
          </w:tcPr>
          <w:p>
            <w:pPr>
              <w:ind w:left="140"/>
              <w:spacing w:after="0"/>
              <w:rPr>
                <w:sz w:val="20"/>
                <w:szCs w:val="20"/>
                <w:color w:val="auto"/>
              </w:rPr>
            </w:pPr>
            <w:r>
              <w:rPr>
                <w:rFonts w:ascii="Arial" w:cs="Arial" w:eastAsia="Arial" w:hAnsi="Arial"/>
                <w:sz w:val="18"/>
                <w:szCs w:val="18"/>
                <w:color w:val="auto"/>
              </w:rPr>
              <w:t>Gross property and equipment</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35,304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34,491</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(23,384)</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(22,481)</w:t>
            </w:r>
          </w:p>
        </w:tc>
      </w:tr>
      <w:tr>
        <w:trPr>
          <w:trHeight w:val="223"/>
        </w:trPr>
        <w:tc>
          <w:tcPr>
            <w:tcW w:w="5380" w:type="dxa"/>
            <w:vAlign w:val="bottom"/>
          </w:tcPr>
          <w:p>
            <w:pPr>
              <w:ind w:left="140"/>
              <w:spacing w:after="0"/>
              <w:rPr>
                <w:sz w:val="20"/>
                <w:szCs w:val="20"/>
                <w:color w:val="auto"/>
              </w:rPr>
            </w:pPr>
            <w:r>
              <w:rPr>
                <w:rFonts w:ascii="Arial" w:cs="Arial" w:eastAsia="Arial" w:hAnsi="Arial"/>
                <w:sz w:val="18"/>
                <w:szCs w:val="18"/>
                <w:color w:val="auto"/>
              </w:rPr>
              <w:t>Total property and equipment, net</w:t>
            </w:r>
          </w:p>
        </w:tc>
        <w:tc>
          <w:tcPr>
            <w:tcW w:w="24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12,010</w:t>
            </w:r>
          </w:p>
        </w:tc>
        <w:tc>
          <w:tcPr>
            <w:tcW w:w="12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Orion recorded depreciation expense of $0.3 and $0.9 million for the three and nine months ended December 31, 2019 and $0.3 and $1.0 million for the three and nine months ended December 31, 2018, respectively.</w:t>
      </w:r>
    </w:p>
    <w:p>
      <w:pPr>
        <w:spacing w:after="0" w:line="157"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Orion evaluates its long-lived assets for impairment whenever events or circumstances indicate that the carrying value of the assets recognized in its financial statements may not be recoverable. Orion has long-lived assets associated with its legacy solar business and recognizes revenue from the sale to third parties of tax credits received from operating these solar assets. There is currently legislation pending which may decrease the future cash flows associated with the sale of these tax credits. Depending on the result of this pending legislation change, Orion may record a non-cash impairment charge in a future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175"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From time to time, Orion leases assets from third parties. Orion also leases certain assets to third parties. Effective April 1, 2019, leases are accounted for, and reported upon, following the requirements of ASC 842, Leases. Previously, leases were accounted for, and reported upon, following the requirements of ASC 840, Leases.</w:t>
      </w:r>
    </w:p>
    <w:p>
      <w:pPr>
        <w:spacing w:after="0" w:line="127"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For Orion, the most significant difference between ASC 840 and ASC 842 is the requirement that it recognize right-of-use (“ROU”) assets and lease liabilities on the balance sheet whenever it leases assets from a third party. Previously, under ASC 840, only assets leased from third parties that meet certain requirements, referred to as finance leases, were recorded on Orion’s balance sheet. Previously, the financial impact of all other leases, referred to as operating leases, was limited to Orion’s results of operations.</w:t>
      </w:r>
    </w:p>
    <w:p>
      <w:pPr>
        <w:spacing w:after="0" w:line="133" w:lineRule="exact"/>
        <w:rPr>
          <w:sz w:val="20"/>
          <w:szCs w:val="20"/>
          <w:color w:val="auto"/>
        </w:rPr>
      </w:pPr>
    </w:p>
    <w:p>
      <w:pPr>
        <w:jc w:val="both"/>
        <w:ind w:firstLine="501"/>
        <w:spacing w:after="0" w:line="293" w:lineRule="auto"/>
        <w:rPr>
          <w:sz w:val="20"/>
          <w:szCs w:val="20"/>
          <w:color w:val="auto"/>
        </w:rPr>
      </w:pPr>
      <w:r>
        <w:rPr>
          <w:rFonts w:ascii="Arial" w:cs="Arial" w:eastAsia="Arial" w:hAnsi="Arial"/>
          <w:sz w:val="16"/>
          <w:szCs w:val="16"/>
          <w:color w:val="auto"/>
        </w:rPr>
        <w:t>Whether it is the lessee or the lessor, Orion’s determination of whether a contract includes a lease, and assessing how the lease should be accounted for, is a matter of judgment based on whether the risks and rewards, as well as substantive control of the assets specified in the contract, have been transferred from the lessor to the lessee. The judgement considers matters such as whether the assets are transferred from the lessor to the lessee at the end of the contract, the term of the agreement in relation to the asset’s remaining economic useful life, and whether the assets are of such a specialized nature that the lessor will not have an alternative use for such assets at the termination of the agreement. Other matters requiring judgement are the lease term when the agreement includes renewal or termination options and the interest rate used when initially determining the ROU asset and lease liability.</w:t>
      </w:r>
    </w:p>
    <w:p>
      <w:pPr>
        <w:spacing w:after="0" w:line="111" w:lineRule="exact"/>
        <w:rPr>
          <w:sz w:val="20"/>
          <w:szCs w:val="20"/>
          <w:color w:val="auto"/>
        </w:rPr>
      </w:pPr>
    </w:p>
    <w:p>
      <w:pPr>
        <w:jc w:val="both"/>
        <w:ind w:firstLine="501"/>
        <w:spacing w:after="0" w:line="254" w:lineRule="auto"/>
        <w:rPr>
          <w:sz w:val="20"/>
          <w:szCs w:val="20"/>
          <w:color w:val="auto"/>
        </w:rPr>
      </w:pPr>
      <w:r>
        <w:rPr>
          <w:rFonts w:ascii="Arial" w:cs="Arial" w:eastAsia="Arial" w:hAnsi="Arial"/>
          <w:sz w:val="18"/>
          <w:szCs w:val="18"/>
          <w:color w:val="auto"/>
        </w:rPr>
        <w:t>ROU assets represent Orion’s right to use an underlying asset for the lease term and lease liabilities represent Orion’s obligation to make lease payments arising from the lease. Under ASC 842, both finance and operating lease ROU assets and lease liabilities for leases with initial terms in excess of 12 months are recognized at the commencement date based on the present value of lease payments over the lease term. When available, Orion uses the implicit interest rate in the lease when completing this calculation. However, as most of Orion’s operating lease agreements generating ROU assets do not provide the implicit rate, Orion’s incremental borrowing rate under its line of credit, adjusted for differences in duration and the relative collateral value in relation to the payment obligation, at the commencement of the lease is generally used in this calculation. The lease term includes options to extend or renew the agreement, or for early termination of the agreement, when it is reasonably certain that Orion will exercise such option. ROU assets are depreciated using the straight-line method over the lease term.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5" w:name="page16"/>
    <w:bookmarkEnd w:id="15"/>
    <w:p>
      <w:pPr>
        <w:jc w:val="both"/>
        <w:ind w:firstLine="501"/>
        <w:spacing w:after="0" w:line="277" w:lineRule="auto"/>
        <w:rPr>
          <w:sz w:val="20"/>
          <w:szCs w:val="20"/>
          <w:color w:val="auto"/>
        </w:rPr>
      </w:pPr>
      <w:r>
        <w:rPr>
          <w:rFonts w:ascii="Arial" w:cs="Arial" w:eastAsia="Arial" w:hAnsi="Arial"/>
          <w:sz w:val="18"/>
          <w:szCs w:val="18"/>
          <w:color w:val="auto"/>
        </w:rPr>
        <w:t>Orion recognizes lease expense for leases with an initial term of 12 months or less, referred to as short term leases, on a straight-line basis over the lease term.</w:t>
      </w:r>
    </w:p>
    <w:p>
      <w:pPr>
        <w:spacing w:after="0" w:line="116" w:lineRule="exact"/>
        <w:rPr>
          <w:sz w:val="20"/>
          <w:szCs w:val="20"/>
          <w:color w:val="auto"/>
        </w:rPr>
      </w:pPr>
    </w:p>
    <w:p>
      <w:pPr>
        <w:jc w:val="both"/>
        <w:ind w:firstLine="501"/>
        <w:spacing w:after="0" w:line="273" w:lineRule="auto"/>
        <w:rPr>
          <w:sz w:val="20"/>
          <w:szCs w:val="20"/>
          <w:color w:val="auto"/>
        </w:rPr>
      </w:pPr>
      <w:r>
        <w:rPr>
          <w:rFonts w:ascii="Arial" w:cs="Arial" w:eastAsia="Arial" w:hAnsi="Arial"/>
          <w:sz w:val="17"/>
          <w:szCs w:val="17"/>
          <w:color w:val="auto"/>
        </w:rPr>
        <w:t>One of Orion’s frequent customers purchases products and installation services under agreements that provide for monthly payments, at a fixed monthly amount, of the contract price, plus interest, typically over a five-year period. 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 portions of the transaction associated with the sale of the light fixtures is accounted for as a sales-type lease. The total transaction price in these contracts is allocated between the lease and non-lease components in the same manner as the total transaction price of other turnkey projects containing lighting fixtures and installation services.</w:t>
      </w:r>
    </w:p>
    <w:p>
      <w:pPr>
        <w:spacing w:after="0" w:line="124"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Orion leases portions of its corporate headquarters to third parties; all such agreements have been, and continue to be, classified as operating leases under the applicable authoritative accounting guidance. The assets being leased continue to be included in Property and equipment, net. Lease payments earned are recorded as a reduction in administrative expenses.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Orion Leases from Other Parties</w:t>
      </w:r>
    </w:p>
    <w:p>
      <w:pPr>
        <w:spacing w:after="0" w:line="171" w:lineRule="exact"/>
        <w:rPr>
          <w:sz w:val="20"/>
          <w:szCs w:val="20"/>
          <w:color w:val="auto"/>
        </w:rPr>
      </w:pPr>
    </w:p>
    <w:p>
      <w:pPr>
        <w:jc w:val="both"/>
        <w:ind w:firstLine="501"/>
        <w:spacing w:after="0" w:line="293" w:lineRule="auto"/>
        <w:rPr>
          <w:sz w:val="20"/>
          <w:szCs w:val="20"/>
          <w:color w:val="auto"/>
        </w:rPr>
      </w:pPr>
      <w:r>
        <w:rPr>
          <w:rFonts w:ascii="Arial" w:cs="Arial" w:eastAsia="Arial" w:hAnsi="Arial"/>
          <w:sz w:val="16"/>
          <w:szCs w:val="16"/>
          <w:color w:val="auto"/>
        </w:rPr>
        <w:t>On March 31, 2016, Orion entered into a purchase and sale agreement with a third party to sell and leaseback Orion's primary manufacturing and distribution facility in Manitowoc, WI for gross cash proceeds of $2.6 million. The transaction closed on June 30, 2016. Pursuant to the Lease Agreement, Orion is leasing approximately 196,000 square feet. Orion's monthly payment under this lease is approximately $38 thousand. Orion is responsible for the costs of insurance and utilities for its portion of the facility. These costs are considered variable lease costs in the quantitative disclosures below. On March 22, 2018, both parties agreed to extend the lease until December 31, 2020 with no change in payment terms. The lease agreement provided the lessor the right to terminate the lease agreement at any time with twelve months’ notice to Orion. As a result, the agreement was classified as a short-term lease.</w:t>
      </w:r>
    </w:p>
    <w:p>
      <w:pPr>
        <w:spacing w:after="0" w:line="111"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On January 31, 2020, the existing lease was terminated and replaced with a new ten-year lease, with an option for Orion to terminate after six years. Orion is in the process of performing its assessment and analysis of the new lease agreement, and believes that the new lease will result in a material right-of-use-asset and lease liability.</w:t>
      </w:r>
    </w:p>
    <w:p>
      <w:pPr>
        <w:spacing w:after="0" w:line="127"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In February 2014, Orion entered into a multi-year lease agreement for use of approximately 10,500 square feet of office space in a multi-use office building in Jacksonville Florida. The lease has since been extended and presently terminates on June 30, 2020. The agreement was classified as an operating lease and represents the single largest operating asset established upon the adoption of ASC 842.</w:t>
      </w:r>
    </w:p>
    <w:p>
      <w:pPr>
        <w:spacing w:after="0" w:line="127"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Orion has leased other assets from third parties, principally office and production equipment. The terms of our other leases vary from contract to contract and expire at various dates through 2020.</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Orion’s assets leased from third parties follows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5700" w:type="dxa"/>
            <w:vAlign w:val="bottom"/>
            <w:gridSpan w:val="3"/>
          </w:tcPr>
          <w:p>
            <w:pPr>
              <w:ind w:left="1160"/>
              <w:spacing w:after="0"/>
              <w:rPr>
                <w:sz w:val="20"/>
                <w:szCs w:val="20"/>
                <w:color w:val="auto"/>
              </w:rPr>
            </w:pPr>
            <w:r>
              <w:rPr>
                <w:rFonts w:ascii="Arial" w:cs="Arial" w:eastAsia="Arial" w:hAnsi="Arial"/>
                <w:sz w:val="14"/>
                <w:szCs w:val="14"/>
                <w:b w:val="1"/>
                <w:bCs w:val="1"/>
                <w:color w:val="auto"/>
              </w:rPr>
              <w:t>Balance sheet classification</w:t>
            </w:r>
          </w:p>
        </w:tc>
        <w:tc>
          <w:tcPr>
            <w:tcW w:w="340" w:type="dxa"/>
            <w:vAlign w:val="bottom"/>
          </w:tcPr>
          <w:p>
            <w:pPr>
              <w:spacing w:after="0"/>
              <w:rPr>
                <w:sz w:val="14"/>
                <w:szCs w:val="14"/>
                <w:color w:val="auto"/>
              </w:rPr>
            </w:pPr>
          </w:p>
        </w:tc>
        <w:tc>
          <w:tcPr>
            <w:tcW w:w="21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tcBorders>
              <w:top w:val="single" w:sz="8" w:color="CFF0FC"/>
            </w:tcBorders>
            <w:shd w:val="clear" w:color="auto" w:fill="CFF0FC"/>
          </w:tcPr>
          <w:p>
            <w:pPr>
              <w:spacing w:after="0"/>
              <w:rPr>
                <w:sz w:val="19"/>
                <w:szCs w:val="19"/>
                <w:color w:val="auto"/>
              </w:rPr>
            </w:pPr>
          </w:p>
        </w:tc>
        <w:tc>
          <w:tcPr>
            <w:tcW w:w="42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Operating lease assets</w:t>
            </w:r>
          </w:p>
        </w:tc>
        <w:tc>
          <w:tcPr>
            <w:tcW w:w="5700" w:type="dxa"/>
            <w:vAlign w:val="bottom"/>
            <w:gridSpan w:val="3"/>
          </w:tcPr>
          <w:p>
            <w:pPr>
              <w:ind w:left="1160"/>
              <w:spacing w:after="0"/>
              <w:rPr>
                <w:sz w:val="20"/>
                <w:szCs w:val="20"/>
                <w:color w:val="auto"/>
              </w:rPr>
            </w:pPr>
            <w:r>
              <w:rPr>
                <w:rFonts w:ascii="Arial" w:cs="Arial" w:eastAsia="Arial" w:hAnsi="Arial"/>
                <w:sz w:val="18"/>
                <w:szCs w:val="18"/>
                <w:color w:val="auto"/>
              </w:rPr>
              <w:t>Other long-term assets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160" w:type="dxa"/>
            <w:vAlign w:val="bottom"/>
            <w:shd w:val="clear" w:color="auto" w:fill="CFF0FC"/>
          </w:tcPr>
          <w:p>
            <w:pPr>
              <w:spacing w:after="0"/>
              <w:rPr>
                <w:sz w:val="19"/>
                <w:szCs w:val="19"/>
                <w:color w:val="auto"/>
              </w:rPr>
            </w:pPr>
          </w:p>
        </w:tc>
        <w:tc>
          <w:tcPr>
            <w:tcW w:w="4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Current liabilities</w:t>
            </w:r>
          </w:p>
        </w:tc>
        <w:tc>
          <w:tcPr>
            <w:tcW w:w="11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5700" w:type="dxa"/>
            <w:vAlign w:val="bottom"/>
            <w:gridSpan w:val="3"/>
            <w:shd w:val="clear" w:color="auto" w:fill="CFF0FC"/>
          </w:tcPr>
          <w:p>
            <w:pPr>
              <w:ind w:left="1160"/>
              <w:spacing w:after="0"/>
              <w:rPr>
                <w:sz w:val="20"/>
                <w:szCs w:val="20"/>
                <w:color w:val="auto"/>
              </w:rPr>
            </w:pPr>
            <w:r>
              <w:rPr>
                <w:rFonts w:ascii="Arial" w:cs="Arial" w:eastAsia="Arial" w:hAnsi="Arial"/>
                <w:sz w:val="18"/>
                <w:szCs w:val="18"/>
                <w:color w:val="auto"/>
              </w:rPr>
              <w:t>Accrued expenses and other</w:t>
            </w:r>
          </w:p>
        </w:tc>
        <w:tc>
          <w:tcPr>
            <w:tcW w:w="3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1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5700" w:type="dxa"/>
            <w:vAlign w:val="bottom"/>
            <w:gridSpan w:val="3"/>
            <w:shd w:val="clear" w:color="auto" w:fill="CFF0FC"/>
          </w:tcPr>
          <w:p>
            <w:pPr>
              <w:ind w:left="116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CFF0FC"/>
          </w:tcPr>
          <w:p>
            <w:pPr>
              <w:spacing w:after="0"/>
              <w:rPr>
                <w:sz w:val="19"/>
                <w:szCs w:val="19"/>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23"/>
        </w:trPr>
        <w:tc>
          <w:tcPr>
            <w:tcW w:w="3240" w:type="dxa"/>
            <w:vAlign w:val="bottom"/>
          </w:tcPr>
          <w:p>
            <w:pPr>
              <w:ind w:left="500"/>
              <w:spacing w:after="0"/>
              <w:rPr>
                <w:sz w:val="20"/>
                <w:szCs w:val="20"/>
                <w:color w:val="auto"/>
              </w:rPr>
            </w:pPr>
            <w:r>
              <w:rPr>
                <w:rFonts w:ascii="Arial" w:cs="Arial" w:eastAsia="Arial" w:hAnsi="Arial"/>
                <w:sz w:val="18"/>
                <w:szCs w:val="18"/>
                <w:color w:val="auto"/>
              </w:rPr>
              <w:t>Total lease liabilities</w:t>
            </w:r>
          </w:p>
        </w:tc>
        <w:tc>
          <w:tcPr>
            <w:tcW w:w="11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Orion had operating lease costs of $0.1 million and $0.4 million for the three and nine months ended December 31,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Orion Leases to Other Parties</w:t>
      </w:r>
    </w:p>
    <w:p>
      <w:pPr>
        <w:spacing w:after="0" w:line="171"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Orion provides long-term financing to one customer who frequently engages Orion in large turnkey projects that span between three and nine months. The customer executes an agreement providing for monthly payments, at a fixed monthly amount, of the contract price, plus interest, over typically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under ASC 606.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6" w:name="page17"/>
    <w:bookmarkEnd w:id="16"/>
    <w:p>
      <w:pPr>
        <w:jc w:val="both"/>
        <w:ind w:firstLine="501"/>
        <w:spacing w:after="0" w:line="312" w:lineRule="auto"/>
        <w:rPr>
          <w:sz w:val="20"/>
          <w:szCs w:val="20"/>
          <w:color w:val="auto"/>
        </w:rPr>
      </w:pPr>
      <w:r>
        <w:rPr>
          <w:rFonts w:ascii="Arial" w:cs="Arial" w:eastAsia="Arial" w:hAnsi="Arial"/>
          <w:sz w:val="16"/>
          <w:szCs w:val="16"/>
          <w:color w:val="auto"/>
        </w:rPr>
        <w:t>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Therefore, the portions of the transaction associated with the sale of the multiple individual light fixtures is accounted for as a sales-type lease under ASC 842.</w:t>
      </w:r>
    </w:p>
    <w:p>
      <w:pPr>
        <w:spacing w:after="0" w:line="93"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Revenues, and production and acquisition costs, associated with sales-type leases are included in Product revenue and Costs of product revenues in the Condensed Consolidated Statement of Operations. These amounts are recorded for each fixture separately based on the customer’s monthly acknowledgment that specified fixtures have been installed and are operating as specified. The execution of the acknowledgement is considered the commencement date as defined in ASC 842.</w:t>
      </w:r>
    </w:p>
    <w:p>
      <w:pPr>
        <w:spacing w:after="0" w:line="133"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The following chart shows the amount of revenue and cost of sales arising from sales-type leases during the three and nine months ended December 31, 2019 (dollars in thousands):</w:t>
      </w:r>
    </w:p>
    <w:p>
      <w:pPr>
        <w:sectPr>
          <w:pgSz w:w="11900" w:h="16838" w:orient="portrait"/>
          <w:cols w:equalWidth="0" w:num="1">
            <w:col w:w="11420"/>
          </w:cols>
          <w:pgMar w:left="240" w:top="503" w:right="239" w:bottom="1440" w:gutter="0" w:footer="0" w:header="0"/>
        </w:sectPr>
      </w:pPr>
    </w:p>
    <w:p>
      <w:pPr>
        <w:spacing w:after="0" w:line="243" w:lineRule="exact"/>
        <w:rPr>
          <w:sz w:val="20"/>
          <w:szCs w:val="20"/>
          <w:color w:val="auto"/>
        </w:rPr>
      </w:pPr>
    </w:p>
    <w:p>
      <w:pPr>
        <w:jc w:val="center"/>
        <w:ind w:left="648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13970</wp:posOffset>
            </wp:positionV>
            <wp:extent cx="1406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16"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13970</wp:posOffset>
            </wp:positionV>
            <wp:extent cx="14065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December 31, 2019</w:t>
      </w:r>
    </w:p>
    <w:p>
      <w:pPr>
        <w:spacing w:after="0" w:line="31" w:lineRule="exact"/>
        <w:rPr>
          <w:sz w:val="20"/>
          <w:szCs w:val="20"/>
          <w:color w:val="auto"/>
        </w:rPr>
      </w:pPr>
    </w:p>
    <w:p>
      <w:pPr>
        <w:sectPr>
          <w:pgSz w:w="11900" w:h="16838" w:orient="portrait"/>
          <w:cols w:equalWidth="0" w:num="2">
            <w:col w:w="8840" w:space="720"/>
            <w:col w:w="1860"/>
          </w:cols>
          <w:pgMar w:left="240" w:top="503"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24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vMerge w:val="continue"/>
            <w:shd w:val="clear" w:color="auto" w:fill="CFF0FC"/>
          </w:tcPr>
          <w:p>
            <w:pPr>
              <w:spacing w:after="0"/>
              <w:rPr>
                <w:sz w:val="18"/>
                <w:szCs w:val="18"/>
                <w:color w:val="auto"/>
              </w:rPr>
            </w:pPr>
          </w:p>
        </w:tc>
        <w:tc>
          <w:tcPr>
            <w:tcW w:w="3260" w:type="dxa"/>
            <w:vAlign w:val="bottom"/>
            <w:gridSpan w:val="2"/>
            <w:shd w:val="clear" w:color="auto" w:fill="CFF0FC"/>
          </w:tcPr>
          <w:p>
            <w:pPr>
              <w:jc w:val="right"/>
              <w:ind w:right="7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162,909</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1,164,547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32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142,452</w:t>
            </w:r>
          </w:p>
        </w:tc>
        <w:tc>
          <w:tcPr>
            <w:tcW w:w="30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1,043,874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The Condensed Consolidated Balance Sheets as of December 31, 2019 includes an immaterial amount related to the net investment in sales-type leases. The Condensed Balance Sheet as of and March 31, 2019 does not include a net investment in sales-type leases as all amounts due from the customer associated with lighting fixtures that were acknowledged to be installed and working correctly prior to period end were transferred to the financing institution prior to the respective balance sheet dates.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Agreements where Orion is the Lessor</w:t>
      </w:r>
    </w:p>
    <w:p>
      <w:pPr>
        <w:spacing w:after="0" w:line="171" w:lineRule="exact"/>
        <w:rPr>
          <w:sz w:val="20"/>
          <w:szCs w:val="20"/>
          <w:color w:val="auto"/>
        </w:rPr>
      </w:pPr>
    </w:p>
    <w:p>
      <w:pPr>
        <w:jc w:val="both"/>
        <w:ind w:firstLine="501"/>
        <w:spacing w:after="0" w:line="312" w:lineRule="auto"/>
        <w:rPr>
          <w:sz w:val="20"/>
          <w:szCs w:val="20"/>
          <w:color w:val="auto"/>
        </w:rPr>
      </w:pPr>
      <w:r>
        <w:rPr>
          <w:rFonts w:ascii="Arial" w:cs="Arial" w:eastAsia="Arial" w:hAnsi="Arial"/>
          <w:sz w:val="16"/>
          <w:szCs w:val="16"/>
          <w:color w:val="auto"/>
        </w:rPr>
        <w:t>Orion has leased unused portions of its corporate headquarters to third parties. The length and payment terms of the leases vary from contract to contract and, in some cases, include options for the tenants to extend the lease terms. Annual lease payments are recorded as a reduction in administrative operating expenses and not material in the nine months ended December 31, 2019. Orion accounts for these transactions as operating leases.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INTANGIBLE ASSETS, NET</w:t>
      </w:r>
    </w:p>
    <w:p>
      <w:pPr>
        <w:spacing w:after="0" w:line="175"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As of December 31, 2019, and March 31, 2019, the components of, and changes in, the carrying amount of Other intangible assets, net, were as follows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11"/>
                <w:szCs w:val="11"/>
                <w:color w:val="auto"/>
              </w:rPr>
            </w:pPr>
          </w:p>
        </w:tc>
        <w:tc>
          <w:tcPr>
            <w:tcW w:w="1120" w:type="dxa"/>
            <w:vAlign w:val="bottom"/>
            <w:gridSpan w:val="3"/>
          </w:tcPr>
          <w:p>
            <w:pPr>
              <w:jc w:val="right"/>
              <w:ind w:right="260"/>
              <w:spacing w:after="0" w:line="133" w:lineRule="exact"/>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1"/>
                <w:szCs w:val="11"/>
                <w:color w:val="auto"/>
              </w:rPr>
            </w:pPr>
          </w:p>
        </w:tc>
        <w:tc>
          <w:tcPr>
            <w:tcW w:w="6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1"/>
                <w:szCs w:val="11"/>
                <w:color w:val="auto"/>
              </w:rPr>
            </w:pPr>
          </w:p>
        </w:tc>
        <w:tc>
          <w:tcPr>
            <w:tcW w:w="1100" w:type="dxa"/>
            <w:vAlign w:val="bottom"/>
            <w:gridSpan w:val="3"/>
          </w:tcPr>
          <w:p>
            <w:pPr>
              <w:jc w:val="right"/>
              <w:ind w:right="26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Patents</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Licenses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Trade name and trademarks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(3,529)</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(3,459)</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(801)</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(717)</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8,302</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(5,763)</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Amortization expense on intangible assets was $0.1 million for the three months ended December 31, 2019 and 2018. Amortization expense on intangible assets was $0.3 million for the nine months ended December 31, 2019 and 2018.</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the weighted average remaining useful life of intangible assets was 4.6 years.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17" w:name="page18"/>
    <w:bookmarkEnd w:id="17"/>
    <w:p>
      <w:pPr>
        <w:jc w:val="center"/>
        <w:ind w:right="-39"/>
        <w:spacing w:after="0"/>
        <w:rPr>
          <w:sz w:val="20"/>
          <w:szCs w:val="20"/>
          <w:color w:val="auto"/>
        </w:rPr>
      </w:pPr>
      <w:r>
        <w:rPr>
          <w:rFonts w:ascii="Arial" w:cs="Arial" w:eastAsia="Arial" w:hAnsi="Arial"/>
          <w:sz w:val="17"/>
          <w:szCs w:val="17"/>
          <w:color w:val="auto"/>
        </w:rPr>
        <w:t>The estimated amortization expense for the remainder of fiscal 2020, the next five fiscal years and beyond is shown below (dollars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Fiscal 2020 (period remaining)</w:t>
            </w:r>
          </w:p>
        </w:tc>
        <w:tc>
          <w:tcPr>
            <w:tcW w:w="800" w:type="dxa"/>
            <w:vAlign w:val="bottom"/>
            <w:gridSpan w:val="2"/>
            <w:shd w:val="clear" w:color="auto" w:fill="CFF0FC"/>
          </w:tcPr>
          <w:p>
            <w:pPr>
              <w:jc w:val="right"/>
              <w:ind w:right="625"/>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Fiscal 2021</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Fiscal 2022</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Fiscal 2023</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Fiscal 2024</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Fiscal 2025</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FF0FC"/>
          </w:tcPr>
          <w:p>
            <w:pPr>
              <w:spacing w:after="0"/>
              <w:rPr>
                <w:sz w:val="19"/>
                <w:szCs w:val="19"/>
                <w:color w:val="auto"/>
              </w:rPr>
            </w:pPr>
          </w:p>
        </w:tc>
      </w:tr>
      <w:tr>
        <w:trPr>
          <w:trHeight w:val="223"/>
        </w:trPr>
        <w:tc>
          <w:tcPr>
            <w:tcW w:w="94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EXPENSES AND OTHER</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and March 31, 2019, Accrued expenses and other included the following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8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benefits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Sales tax</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Accrued project costs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3,293</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Sales returns reserve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Credits due to customers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accruals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6,241</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firstLine="501"/>
        <w:spacing w:after="0" w:line="264" w:lineRule="auto"/>
        <w:rPr>
          <w:sz w:val="20"/>
          <w:szCs w:val="20"/>
          <w:color w:val="auto"/>
        </w:rPr>
      </w:pPr>
      <w:r>
        <w:rPr>
          <w:rFonts w:ascii="Arial" w:cs="Arial" w:eastAsia="Arial" w:hAnsi="Arial"/>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ballasts, LED modules, chips and drivers, control devices, and other fixture related items, which are significant components in Orion's lighting products.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For the 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w w:val="96"/>
              </w:rPr>
              <w:t>December 31,</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60" w:type="dxa"/>
            <w:vAlign w:val="bottom"/>
            <w:tcBorders>
              <w:bottom w:val="single" w:sz="8" w:color="CFF0FC"/>
            </w:tcBorders>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Beginning of period</w:t>
            </w:r>
          </w:p>
        </w:tc>
        <w:tc>
          <w:tcPr>
            <w:tcW w:w="14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721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Reclassification on adoption of ASC 606</w:t>
            </w: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Accruals</w:t>
            </w:r>
          </w:p>
        </w:tc>
        <w:tc>
          <w:tcPr>
            <w:tcW w:w="1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Warranty claims (net of vendor reimbursements)</w:t>
            </w: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8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 of period</w:t>
            </w: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00" w:type="dxa"/>
            <w:vAlign w:val="bottom"/>
            <w:vMerge w:val="restart"/>
          </w:tcPr>
          <w:p>
            <w:pPr>
              <w:jc w:val="right"/>
              <w:ind w:right="70"/>
              <w:spacing w:after="0"/>
              <w:rPr>
                <w:sz w:val="20"/>
                <w:szCs w:val="20"/>
                <w:color w:val="auto"/>
              </w:rPr>
            </w:pPr>
            <w:r>
              <w:rPr>
                <w:rFonts w:ascii="Arial" w:cs="Arial" w:eastAsia="Arial" w:hAnsi="Arial"/>
                <w:sz w:val="18"/>
                <w:szCs w:val="18"/>
                <w:color w:val="auto"/>
              </w:rPr>
              <w:t>18</w:t>
            </w: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11 — NET INCOME (LOSS) PER COMMON SHARE</w:t>
      </w:r>
    </w:p>
    <w:p>
      <w:pPr>
        <w:spacing w:after="0" w:line="175" w:lineRule="exact"/>
        <w:rPr>
          <w:sz w:val="20"/>
          <w:szCs w:val="20"/>
          <w:color w:val="auto"/>
        </w:rPr>
      </w:pPr>
    </w:p>
    <w:p>
      <w:pPr>
        <w:jc w:val="both"/>
        <w:ind w:right="20" w:firstLine="501"/>
        <w:spacing w:after="0" w:line="264" w:lineRule="auto"/>
        <w:rPr>
          <w:sz w:val="20"/>
          <w:szCs w:val="20"/>
          <w:color w:val="auto"/>
        </w:rPr>
      </w:pPr>
      <w:r>
        <w:rPr>
          <w:rFonts w:ascii="Arial" w:cs="Arial" w:eastAsia="Arial" w:hAnsi="Arial"/>
          <w:sz w:val="18"/>
          <w:szCs w:val="18"/>
          <w:color w:val="auto"/>
        </w:rPr>
        <w:t>For the three and nine months ended December 31, 2018, Orion was in a net loss position; therefore, the Basic and Diluted weighted-average shares outstanding are equal because any increase to the basic shares would be anti-dilutive. Basic and Diluted net income (loss) per common share was calculated based upon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24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Net income (loss) (in thousands)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2,304</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(662)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12,993</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30,243,865</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29,568,986</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30,053,330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29,376,959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and common share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equivalents outstanding</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30,824,078</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29,568,986</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30,862,088</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29,376,959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0.42</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212529"/>
        </w:rPr>
        <w:t xml:space="preserve">Orion uses the treasury stock method to calculate the effect of outstanding dilutive equity incentive instruments, which requires Orion to compute total proceeds as the sum of the amount the employee must pay upon exercise of the award and the amount of unearned stock-based compensation costs attributable to future services. </w:t>
      </w:r>
      <w:r>
        <w:rPr>
          <w:rFonts w:ascii="Arial" w:cs="Arial" w:eastAsia="Arial" w:hAnsi="Arial"/>
          <w:sz w:val="17"/>
          <w:szCs w:val="17"/>
          <w:color w:val="000000"/>
        </w:rPr>
        <w:t>Equity incentive instruments for which the total employee proceeds from exercise exceed the average fair value of the same</w:t>
      </w:r>
      <w:r>
        <w:rPr>
          <w:rFonts w:ascii="Arial" w:cs="Arial" w:eastAsia="Arial" w:hAnsi="Arial"/>
          <w:sz w:val="17"/>
          <w:szCs w:val="17"/>
          <w:color w:val="212529"/>
        </w:rPr>
        <w:t xml:space="preserve"> </w:t>
      </w:r>
      <w:r>
        <w:rPr>
          <w:rFonts w:ascii="Arial" w:cs="Arial" w:eastAsia="Arial" w:hAnsi="Arial"/>
          <w:sz w:val="17"/>
          <w:szCs w:val="17"/>
          <w:color w:val="000000"/>
        </w:rPr>
        <w:t>equity incentive instrument over the period have an anti-dilutive effect on net income per common share during periods with net income, and accordingly, Orion excludes them from the calculation. Anti-dilutive equity instruments of approximately 203,734 and 220,534 common shares were excluded from the computation of diluted net income per common share for the three months and nine months ended December 31, 2019 respectively. Due to the net loss incurred during the three and nine months ended December 31, 2018, the assumed exercise of all equity incentive instruments was anti-dilutive and, therefore, was not included in the diluted loss per common share calculation for those periods.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LONG-TERM DEBT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340" w:type="dxa"/>
            <w:vAlign w:val="bottom"/>
          </w:tcPr>
          <w:p>
            <w:pPr>
              <w:spacing w:after="0"/>
              <w:rPr>
                <w:sz w:val="14"/>
                <w:szCs w:val="14"/>
                <w:color w:val="auto"/>
              </w:rPr>
            </w:pPr>
          </w:p>
        </w:tc>
        <w:tc>
          <w:tcPr>
            <w:tcW w:w="376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5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105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829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Equipment debt obligations</w:t>
            </w:r>
          </w:p>
        </w:tc>
        <w:tc>
          <w:tcPr>
            <w:tcW w:w="25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FF0FC"/>
            </w:tcBorders>
          </w:tcPr>
          <w:p>
            <w:pPr>
              <w:spacing w:after="0"/>
              <w:rPr>
                <w:sz w:val="19"/>
                <w:szCs w:val="19"/>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25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938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9,379</w:t>
            </w:r>
          </w:p>
        </w:tc>
        <w:tc>
          <w:tcPr>
            <w:tcW w:w="12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less current maturities</w:t>
            </w:r>
          </w:p>
        </w:tc>
        <w:tc>
          <w:tcPr>
            <w:tcW w:w="25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105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882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97"/>
        <w:spacing w:after="0" w:line="270" w:lineRule="auto"/>
        <w:rPr>
          <w:sz w:val="20"/>
          <w:szCs w:val="20"/>
          <w:color w:val="auto"/>
        </w:rPr>
      </w:pPr>
      <w:r>
        <w:rPr>
          <w:rFonts w:ascii="Arial" w:cs="Arial" w:eastAsia="Arial" w:hAnsi="Arial"/>
          <w:sz w:val="17"/>
          <w:szCs w:val="17"/>
          <w:color w:val="auto"/>
        </w:rPr>
        <w:t>On October 26, 2018, Orion and its subsidiaries entered into a new secured revolving Business Financing Agreement with Western Alliance Bank, as lender (the “Credit Agreement”). On June 3, 2019, Orion and certain of its subsidiaries entered into an amendment (the “First Amendment”) to the Credit Agreement, which increased the maximum borrowing base credit available for certain of the customer receivables included in Orion’s borrowing base and provided for a borrowing base credit of up to $3.0 million based on inventory, in each case, subject to certain conditions. On August 2, 2019, Orion and certain of its subsidiaries entered into a second amendment (the “Second Amendment”) to the Credit Agreement, which established a rent reserve in an amount equal to three months’ rent payable at any leased location where Orion maintains inventory included in its borrowing base and provided for a reduction of the borrowing base credit that Orion may receive for inventory if Orion defaults under the lease for any such location. As of December 31, 2019, this rent reserve equaled $0.1 million. On November 21, 2019, Orion and certain of its subsidiaries entered into a third amendment (the “Third Amendment”) to the Credit Agreement, which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extended the maturity date from October 26, 2020 to October 26, 2021; increased the sublimit under the Credit Agreement for advances under business credit cards from $1.5 million to $3 million; created a new $2 million sublimit permitting entry into foreign currency forward contracts with the lender; expanded the Company’s ability to make capital expenditures and incur other debt from time to time; and permitted the lender to amend the financial covenant included in the Credit Agreement (which requires the maintenance of a certain amount of unrestricted cash on deposit with the lender at the end of each month) upon receipt of the Company’s annual projections.</w:t>
      </w:r>
    </w:p>
    <w:p>
      <w:pPr>
        <w:spacing w:after="0" w:line="134" w:lineRule="exact"/>
        <w:rPr>
          <w:sz w:val="20"/>
          <w:szCs w:val="20"/>
          <w:color w:val="auto"/>
        </w:rPr>
      </w:pPr>
    </w:p>
    <w:p>
      <w:pPr>
        <w:jc w:val="both"/>
        <w:ind w:firstLine="501"/>
        <w:spacing w:after="0" w:line="276" w:lineRule="auto"/>
        <w:rPr>
          <w:sz w:val="20"/>
          <w:szCs w:val="20"/>
          <w:color w:val="auto"/>
        </w:rPr>
      </w:pPr>
      <w:r>
        <w:rPr>
          <w:rFonts w:ascii="Arial" w:cs="Arial" w:eastAsia="Arial" w:hAnsi="Arial"/>
          <w:sz w:val="17"/>
          <w:szCs w:val="17"/>
          <w:color w:val="auto"/>
        </w:rPr>
        <w:t>The Credit Agreement, as amended provides for a revolving credit facility (the “Credit Facility”) that matures on October 26, 2021. Borrowings under the Credit Facility are currently limited to $20.15 million, subject to a borrowing base requirement based on eligible receivables and inventory. The Credit Agreement includes a $2.0 million sublimit for the issuance of letters of credit. As of December 31, 2019, Orion’s borrowing base was $14.7 million, and Orion had $0.8 million in borrowings outstanding which were included in non-current liabilities in the accompanying Condensed Consolidated Balance Sheets. Orion had no outstanding letters of credit leaving total borrowing availability of $13.9 million.</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is secured by a security interest in substantially all of Orion's and its subsidiaries’ personal property.</w:t>
      </w:r>
    </w:p>
    <w:p>
      <w:pPr>
        <w:spacing w:after="0" w:line="171" w:lineRule="exact"/>
        <w:rPr>
          <w:sz w:val="20"/>
          <w:szCs w:val="20"/>
          <w:color w:val="auto"/>
        </w:rPr>
      </w:pPr>
    </w:p>
    <w:p>
      <w:pPr>
        <w:jc w:val="both"/>
        <w:ind w:firstLine="501"/>
        <w:spacing w:after="0" w:line="276" w:lineRule="auto"/>
        <w:rPr>
          <w:sz w:val="20"/>
          <w:szCs w:val="20"/>
          <w:color w:val="auto"/>
        </w:rPr>
      </w:pPr>
      <w:r>
        <w:rPr>
          <w:rFonts w:ascii="Arial" w:cs="Arial" w:eastAsia="Arial" w:hAnsi="Arial"/>
          <w:sz w:val="17"/>
          <w:szCs w:val="17"/>
          <w:color w:val="auto"/>
        </w:rPr>
        <w:t>Borrowings under the Credit Agreement generally bear interest at floating rates based upon the prime rate (but not less than 5.00% per year) plus an applicable margin determined by reference to Orion’s quick ratio (defined as the aggregate amount of unrestricted cash, unrestricted marketable securities and, with certain adjustments, receivables convertible into cash divided by total current liabilities, including the obligations under the Credit Agreement). As of December 31, 2019, the applicable interest rate was 5.25%. Among other fees, Orion is required to pay an annual facility fee equal to 0.45% of the credit limit under the Credit Agreement, which was paid at commencement (October 26, 2018) and is due on each anniversary thereof.</w:t>
      </w:r>
    </w:p>
    <w:p>
      <w:pPr>
        <w:spacing w:after="0" w:line="119"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The Credit Agreement requires Orion to maintain nine months’ of “RML” as of the end of each month. For purposes of the Credit Agreement, RML is defined as, as of the applicable determination date, unrestricted cash on deposit with the lender plus availability under the Credit Agreement divided by an amount equal to, for the applicable trailing three-month period, consolidated net profit before tax, plus depreciation expense, amortization expense and stock-based compensation, minus capital lease principal payments, tested as of the end of each month. As of December 31, 2019, Orion was in compliance with this RML requirement.</w:t>
      </w:r>
    </w:p>
    <w:p>
      <w:pPr>
        <w:spacing w:after="0" w:line="134" w:lineRule="exact"/>
        <w:rPr>
          <w:sz w:val="20"/>
          <w:szCs w:val="20"/>
          <w:color w:val="auto"/>
        </w:rPr>
      </w:pPr>
    </w:p>
    <w:p>
      <w:pPr>
        <w:jc w:val="both"/>
        <w:ind w:firstLine="501"/>
        <w:spacing w:after="0" w:line="273" w:lineRule="auto"/>
        <w:rPr>
          <w:sz w:val="20"/>
          <w:szCs w:val="20"/>
          <w:color w:val="auto"/>
        </w:rPr>
      </w:pPr>
      <w:r>
        <w:rPr>
          <w:rFonts w:ascii="Arial" w:cs="Arial" w:eastAsia="Arial" w:hAnsi="Arial"/>
          <w:sz w:val="17"/>
          <w:szCs w:val="17"/>
          <w:color w:val="auto"/>
        </w:rPr>
        <w:t>The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Orion becomes the subject of voluntary or involuntary proceedings under any bankruptcy or similar law, then any outstanding obligations under the Credit Agreement will automatically become immediately due and payable.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Debt Obligations</w:t>
      </w:r>
    </w:p>
    <w:p>
      <w:pPr>
        <w:spacing w:after="0" w:line="171"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In June 2015, Orion entered into an agreement with a financing company in the principal amount of $0.4 million to fund the purchase of certain equipment. The debt is secured by the related equipment. The debt bears interest at a rate of 5.94% and matures in June 2020.</w:t>
      </w:r>
    </w:p>
    <w:p>
      <w:pPr>
        <w:spacing w:after="0" w:line="116"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In February 2019, Orion entered into additional debt agreements with a financing company in the principal amount of $44 thousand and $30 thousand to fund the purchase of certain equipment. The debts are secured by the related equipment. The debts bear interest at a rate of 6.43% and 8.77%, respectively, and both debts mature in January 2024.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Equipment Finance Notes Payable</w:t>
      </w:r>
    </w:p>
    <w:p>
      <w:pPr>
        <w:spacing w:after="0" w:line="171"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In December 2014, Orion entered into a secured borrowing agreement with a financing company in the principal amount of $0.4 million to fund completed customer contracts under its Orion Throughput Agreement (“OTA”) finance program that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were previously funded under a different OTA credit agreement. The loan amount was secured by the OTA-related equipment and the expected future monthly payments under the supporting 25 individual OTA customer contracts. The borrowing agreement bore an interest rate of 8.36% and matured in April 2018.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175"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Orion’s income tax provision was determined by applying an estimated annual effective tax rate based upon the facts and circumstances known to book income (loss) before income tax, adjusting for discrete items. Orion’s actual effective tax rate is adjusted each interim period, as appropriate, for changes in facts and circumstances. For the three-month period ended December 31, 2019 and 2018, Orion recorded income tax expense of $39 thousand and $0, respectively, using this methodology. For the nine-month period ended December 31, 2019 and 2018, Orion recorded income tax expense of $66 thousand and $26 thousand, respectively, using this methodology.</w:t>
      </w:r>
    </w:p>
    <w:p>
      <w:pPr>
        <w:spacing w:after="0" w:line="134" w:lineRule="exact"/>
        <w:rPr>
          <w:sz w:val="20"/>
          <w:szCs w:val="20"/>
          <w:color w:val="auto"/>
        </w:rPr>
      </w:pPr>
    </w:p>
    <w:p>
      <w:pPr>
        <w:jc w:val="both"/>
        <w:ind w:firstLine="501"/>
        <w:spacing w:after="0" w:line="312" w:lineRule="auto"/>
        <w:rPr>
          <w:sz w:val="20"/>
          <w:szCs w:val="20"/>
          <w:color w:val="auto"/>
        </w:rPr>
      </w:pPr>
      <w:r>
        <w:rPr>
          <w:rFonts w:ascii="Arial" w:cs="Arial" w:eastAsia="Arial" w:hAnsi="Arial"/>
          <w:sz w:val="16"/>
          <w:szCs w:val="16"/>
          <w:color w:val="auto"/>
        </w:rPr>
        <w:t>As of December 31, 2019 and March 31, 2019 Orion had a full valuation allowance recorded against its deferred tax assets. Orion considers future taxable income and ongoing prudent and feasible tax planning strategies in assessing the need for the valuation allowance. In the event that Orion determines that the deferred tax assets are able to be realized, an adjustment to the valuation allowance would increase income in the period such determination is made.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As of December 31, 2019, Orion’s balance of gross unrecognized tax benefits was approximately $0.1 million, all of which would reduce Orion’s effective tax rate if recognized.</w:t>
      </w:r>
    </w:p>
    <w:p>
      <w:pPr>
        <w:spacing w:after="0" w:line="116"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expense. Penalties and interest are included in the unrecognized tax benefits.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right="20" w:firstLine="501"/>
        <w:spacing w:after="0" w:line="308" w:lineRule="auto"/>
        <w:rPr>
          <w:sz w:val="20"/>
          <w:szCs w:val="20"/>
          <w:color w:val="auto"/>
        </w:rPr>
      </w:pPr>
      <w:r>
        <w:rPr>
          <w:rFonts w:ascii="Arial" w:cs="Arial" w:eastAsia="Arial" w:hAnsi="Arial"/>
          <w:sz w:val="17"/>
          <w:szCs w:val="17"/>
          <w:color w:val="auto"/>
        </w:rPr>
        <w:t>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71" w:lineRule="exact"/>
        <w:rPr>
          <w:sz w:val="20"/>
          <w:szCs w:val="20"/>
          <w:color w:val="auto"/>
        </w:rPr>
      </w:pPr>
    </w:p>
    <w:p>
      <w:pPr>
        <w:jc w:val="both"/>
        <w:ind w:firstLine="501"/>
        <w:spacing w:after="0" w:line="286" w:lineRule="auto"/>
        <w:rPr>
          <w:sz w:val="20"/>
          <w:szCs w:val="20"/>
          <w:color w:val="auto"/>
        </w:rPr>
      </w:pPr>
      <w:r>
        <w:rPr>
          <w:rFonts w:ascii="Arial" w:cs="Arial" w:eastAsia="Arial" w:hAnsi="Arial"/>
          <w:sz w:val="17"/>
          <w:szCs w:val="17"/>
          <w:color w:val="auto"/>
        </w:rPr>
        <w:t>During fiscal 2018, Orion was notified of a pending sales and use tax audit by the Wisconsin Department of Revenue for the period covering April 1, 2013 through March 31, 2017. Although the final resolution of Orion's sales and use tax audit is uncertain, the ultimate disposition of this matter is not expected to have a material adverse effect on Orion's Condensed Consolidated Balance Sheets, statements of operations, or liquidity.</w:t>
      </w:r>
    </w:p>
    <w:p>
      <w:pPr>
        <w:spacing w:after="0" w:line="111" w:lineRule="exact"/>
        <w:rPr>
          <w:sz w:val="20"/>
          <w:szCs w:val="20"/>
          <w:color w:val="auto"/>
        </w:rPr>
      </w:pPr>
    </w:p>
    <w:p>
      <w:pPr>
        <w:jc w:val="both"/>
        <w:ind w:firstLine="501"/>
        <w:spacing w:after="0" w:line="286" w:lineRule="auto"/>
        <w:rPr>
          <w:sz w:val="20"/>
          <w:szCs w:val="20"/>
          <w:color w:val="auto"/>
        </w:rPr>
      </w:pPr>
      <w:r>
        <w:rPr>
          <w:rFonts w:ascii="Arial" w:cs="Arial" w:eastAsia="Arial" w:hAnsi="Arial"/>
          <w:sz w:val="17"/>
          <w:szCs w:val="17"/>
          <w:color w:val="auto"/>
        </w:rPr>
        <w:t>During fiscal 2019, Orion was notified of a pending sales and use tax audit by the California Department of Tax and Fee Administration for the period covering April 1, 2015 through March 31, 2018. During the previous quarter, the sales and use tax audit was finalized. The ultimate disposition of this matter did not have a material adverse effect on the Orion's Condensed Consolidated Balance Sheets, statements of operations, or liquidity.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SHAREHOLDERS’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171" w:lineRule="exact"/>
        <w:rPr>
          <w:sz w:val="20"/>
          <w:szCs w:val="20"/>
          <w:color w:val="auto"/>
        </w:rPr>
      </w:pPr>
    </w:p>
    <w:p>
      <w:pPr>
        <w:jc w:val="both"/>
        <w:ind w:firstLine="501"/>
        <w:spacing w:after="0" w:line="312" w:lineRule="auto"/>
        <w:rPr>
          <w:sz w:val="20"/>
          <w:szCs w:val="20"/>
          <w:color w:val="auto"/>
        </w:rPr>
      </w:pPr>
      <w:r>
        <w:rPr>
          <w:rFonts w:ascii="Arial" w:cs="Arial" w:eastAsia="Arial" w:hAnsi="Arial"/>
          <w:sz w:val="16"/>
          <w:szCs w:val="16"/>
          <w:color w:val="auto"/>
        </w:rPr>
        <w:t>On January 3, 2019, Orion entered into Amendment No. 1 to the Rights Agreement, which amended the Rights Agreement dated as of January 7, 2009 and extended its terms by three years to January 7, 2022. Under the amendment, each common share purchase right (a “Right”), if exercisable, will initially represent the right to purchase from Orion, one share of Orion’s common stock, no par value per share, for a purchase price of $7.00 per share.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1" w:name="page22"/>
    <w:bookmarkEnd w:id="21"/>
    <w:p>
      <w:pPr>
        <w:jc w:val="both"/>
        <w:ind w:firstLine="501"/>
        <w:spacing w:after="0" w:line="257" w:lineRule="auto"/>
        <w:rPr>
          <w:sz w:val="20"/>
          <w:szCs w:val="20"/>
          <w:color w:val="auto"/>
        </w:rPr>
      </w:pPr>
      <w:r>
        <w:rPr>
          <w:rFonts w:ascii="Arial" w:cs="Arial" w:eastAsia="Arial" w:hAnsi="Arial"/>
          <w:sz w:val="18"/>
          <w:szCs w:val="18"/>
          <w:color w:val="auto"/>
        </w:rPr>
        <w:t>The Rights will not be exercisable (and will be transferable only with Orion’s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Orion’s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34" w:lineRule="exact"/>
        <w:rPr>
          <w:sz w:val="20"/>
          <w:szCs w:val="20"/>
          <w:color w:val="auto"/>
        </w:rPr>
      </w:pPr>
    </w:p>
    <w:p>
      <w:pPr>
        <w:jc w:val="both"/>
        <w:ind w:firstLine="501"/>
        <w:spacing w:after="0" w:line="293" w:lineRule="auto"/>
        <w:rPr>
          <w:sz w:val="20"/>
          <w:szCs w:val="20"/>
          <w:color w:val="auto"/>
        </w:rPr>
      </w:pPr>
      <w:r>
        <w:rPr>
          <w:rFonts w:ascii="Arial" w:cs="Arial" w:eastAsia="Arial" w:hAnsi="Arial"/>
          <w:sz w:val="16"/>
          <w:szCs w:val="16"/>
          <w:color w:val="auto"/>
        </w:rPr>
        <w:t>If a person becomes an Acquiring Person, holders of Rights (except as otherwise provided in the Rights Agreement) will have the right to receive upon exercise that number of shares of Orion’s common stock having a market value of two times the then-current purchase price, and all Rights beneficially owned by an Acquiring Person, or by certain related parties or transferees, will be null and void. If, after a Shares Acquisition Date, Orion is acquired in a merger or other business combination transaction or 50% or more of its consolidated assets or earning power are sold, proper provision will be made so that each holder of a Right (except as otherwise provided in the Rights Agreement) will thereafter have the right to receive upon exercise that number of shares of the acquiring company’s common stock which at the time of such transaction will have a market value of two times the then-current purchase price.</w:t>
      </w:r>
    </w:p>
    <w:p>
      <w:pPr>
        <w:spacing w:after="0" w:line="111"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Until a Right is exercised, the holder thereof, as such, will have no rights as a shareholder of Orion. At any time prior to a person becoming an Acquiring Person, the Board of Directors of Orion may redeem the Rights in whole, but not in part, at a price of $0.001 per Right. Unless they are extended or earlier redeemed or exchanged, the Rights will expire on January 7, 2022.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In August 2010, Orion’s Board of Directors approved a non-compensatory employee stock purchase plan, or ESPP. In the three months ended December 31, 2019, Orion issued 666 shares under the ESPP plan at a closing market price of $3.35.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280" w:type="dxa"/>
            <w:vAlign w:val="bottom"/>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Closing Market</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ESPP</w:t>
            </w:r>
          </w:p>
        </w:tc>
        <w:tc>
          <w:tcPr>
            <w:tcW w:w="2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6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280" w:type="dxa"/>
            <w:vAlign w:val="bottom"/>
            <w:tcBorders>
              <w:bottom w:val="single" w:sz="8" w:color="CFF0FC"/>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Quarter Ended June 30, 2019</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280" w:type="dxa"/>
            <w:vAlign w:val="bottom"/>
            <w:shd w:val="clear" w:color="auto" w:fill="CFF0FC"/>
          </w:tcPr>
          <w:p>
            <w:pPr>
              <w:spacing w:after="0"/>
              <w:rPr>
                <w:sz w:val="19"/>
                <w:szCs w:val="19"/>
                <w:color w:val="auto"/>
              </w:rPr>
            </w:pP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2.97</w:t>
            </w: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Quarter Ended September 30, 2019</w:t>
            </w:r>
          </w:p>
        </w:tc>
        <w:tc>
          <w:tcPr>
            <w:tcW w:w="1560" w:type="dxa"/>
            <w:vAlign w:val="bottom"/>
          </w:tcPr>
          <w:p>
            <w:pPr>
              <w:jc w:val="right"/>
              <w:spacing w:after="0"/>
              <w:rPr>
                <w:sz w:val="20"/>
                <w:szCs w:val="20"/>
                <w:color w:val="auto"/>
              </w:rPr>
            </w:pPr>
            <w:r>
              <w:rPr>
                <w:rFonts w:ascii="Arial" w:cs="Arial" w:eastAsia="Arial" w:hAnsi="Arial"/>
                <w:sz w:val="18"/>
                <w:szCs w:val="18"/>
                <w:color w:val="auto"/>
              </w:rPr>
              <w:t>570</w:t>
            </w:r>
          </w:p>
        </w:tc>
        <w:tc>
          <w:tcPr>
            <w:tcW w:w="200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2.85</w:t>
            </w: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Quarter Ended December 31, 2019</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2000" w:type="dxa"/>
            <w:vAlign w:val="bottom"/>
            <w:gridSpan w:val="2"/>
            <w:shd w:val="clear" w:color="auto" w:fill="CFF0FC"/>
          </w:tcPr>
          <w:p>
            <w:pPr>
              <w:jc w:val="center"/>
              <w:ind w:left="190"/>
              <w:spacing w:after="0"/>
              <w:rPr>
                <w:sz w:val="20"/>
                <w:szCs w:val="20"/>
                <w:color w:val="auto"/>
              </w:rPr>
            </w:pPr>
            <w:r>
              <w:rPr>
                <w:rFonts w:ascii="Arial" w:cs="Arial" w:eastAsia="Arial" w:hAnsi="Arial"/>
                <w:sz w:val="18"/>
                <w:szCs w:val="18"/>
                <w:color w:val="auto"/>
                <w:w w:val="91"/>
              </w:rPr>
              <w:t>3.35</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issued in fiscal 2020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200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$ 2.85 - 3.35</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 OPTIONS AND RESTRICTED SHARES</w:t>
      </w:r>
    </w:p>
    <w:p>
      <w:pPr>
        <w:spacing w:after="0" w:line="175"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At Orion’s 2019 annual meeting of shareholders held on August 7, 2019, Orion’s shareholders approved the Orion Energy Systems, Inc. 2016 Omnibus Incentive Plan, as amended and restated (the “Amended 2016 Plan”). Approval of the Amended 2016 Plan increased the number of shares of Orion’s common stock available for issuance under the Amended 2016 Plan from 1,750,000 shares to 3,500,000 shares (an increase of 1,750,000 shares); added a minimum vesting period for all awards granted under the Amended 2016 Plan (with limited exceptions); and added a specific prohibition on the payment of dividends and dividend equivalents on unvested awards.</w:t>
      </w:r>
    </w:p>
    <w:p>
      <w:pPr>
        <w:spacing w:after="0" w:line="134"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27" w:lineRule="exact"/>
        <w:rPr>
          <w:sz w:val="20"/>
          <w:szCs w:val="20"/>
          <w:color w:val="auto"/>
        </w:rPr>
      </w:pPr>
    </w:p>
    <w:p>
      <w:pPr>
        <w:jc w:val="both"/>
        <w:ind w:firstLine="501"/>
        <w:spacing w:after="0" w:line="276" w:lineRule="auto"/>
        <w:rPr>
          <w:sz w:val="20"/>
          <w:szCs w:val="20"/>
          <w:color w:val="auto"/>
        </w:rPr>
      </w:pPr>
      <w:r>
        <w:rPr>
          <w:rFonts w:ascii="Arial" w:cs="Arial" w:eastAsia="Arial" w:hAnsi="Arial"/>
          <w:sz w:val="17"/>
          <w:szCs w:val="17"/>
          <w:color w:val="auto"/>
        </w:rPr>
        <w:t>Prior to the 2016 Omnibus Incentive Plan, the Company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 The Amended 2016 Plan and the 2004 Plan also permit accelerated vesting in the event of certain changes of control of Orion as well as under other special circumstances.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2" w:name="page23"/>
    <w:bookmarkEnd w:id="22"/>
    <w:p>
      <w:pPr>
        <w:jc w:val="both"/>
        <w:ind w:firstLine="501"/>
        <w:spacing w:after="0" w:line="277" w:lineRule="auto"/>
        <w:rPr>
          <w:sz w:val="20"/>
          <w:szCs w:val="20"/>
          <w:color w:val="auto"/>
        </w:rPr>
      </w:pPr>
      <w:r>
        <w:rPr>
          <w:rFonts w:ascii="Arial" w:cs="Arial" w:eastAsia="Arial" w:hAnsi="Arial"/>
          <w:sz w:val="18"/>
          <w:szCs w:val="18"/>
          <w:color w:val="auto"/>
        </w:rPr>
        <w:t>Certain non-employee directors have from time to time elected to receive stock awards in lieu of cash compensation pursuant to elections made under Orion’s non-employee director compensation program.</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amounts of stock-based compensation were recorded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20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ind w:left="16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59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w w:val="96"/>
              </w:rPr>
              <w:t>December 31,</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78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185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200</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first nine months of fiscal 2020, Orion had the following activity related to its stock-based compensation: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Restricted Shares</w:t>
            </w: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 Options</w:t>
            </w: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March 31, 2019</w:t>
            </w:r>
          </w:p>
        </w:tc>
        <w:tc>
          <w:tcPr>
            <w:tcW w:w="24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1,312,593</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467,836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Awards granted</w:t>
            </w: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279,468</w:t>
            </w:r>
          </w:p>
        </w:tc>
        <w:tc>
          <w:tcPr>
            <w:tcW w:w="280" w:type="dxa"/>
            <w:vAlign w:val="bottom"/>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Awards vested or exercised</w:t>
            </w:r>
          </w:p>
        </w:tc>
        <w:tc>
          <w:tcPr>
            <w:tcW w:w="2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(669,238)</w:t>
            </w: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(10,000)</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Awards forfeited</w:t>
            </w: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(17,150)</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(19,874)</w:t>
            </w: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2019</w:t>
            </w:r>
          </w:p>
        </w:tc>
        <w:tc>
          <w:tcPr>
            <w:tcW w:w="24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905,673</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437,962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Per share price on grant date</w:t>
            </w:r>
          </w:p>
        </w:tc>
        <w:tc>
          <w:tcPr>
            <w:tcW w:w="2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3.02</w:t>
            </w:r>
          </w:p>
        </w:tc>
        <w:tc>
          <w:tcPr>
            <w:tcW w:w="280" w:type="dxa"/>
            <w:vAlign w:val="bottom"/>
          </w:tcPr>
          <w:p>
            <w:pPr>
              <w:spacing w:after="0"/>
              <w:rPr>
                <w:sz w:val="20"/>
                <w:szCs w:val="20"/>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As of December 31, 2019, the amount of deferred stock-based compensation expense to be recognized, over a remaining period of 1.6 years, was approximately $1.1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SEGMENTS</w:t>
      </w:r>
    </w:p>
    <w:p>
      <w:pPr>
        <w:spacing w:after="0" w:line="175" w:lineRule="exact"/>
        <w:rPr>
          <w:sz w:val="20"/>
          <w:szCs w:val="20"/>
          <w:color w:val="auto"/>
        </w:rPr>
      </w:pPr>
    </w:p>
    <w:p>
      <w:pPr>
        <w:jc w:val="both"/>
        <w:ind w:firstLine="501"/>
        <w:spacing w:after="0" w:line="308" w:lineRule="auto"/>
        <w:rPr>
          <w:sz w:val="20"/>
          <w:szCs w:val="20"/>
          <w:color w:val="auto"/>
        </w:rPr>
      </w:pPr>
      <w:r>
        <w:rPr>
          <w:rFonts w:ascii="Arial" w:cs="Arial" w:eastAsia="Arial" w:hAnsi="Arial"/>
          <w:sz w:val="17"/>
          <w:szCs w:val="17"/>
          <w:color w:val="auto"/>
        </w:rPr>
        <w:t>Orion has the following business segments: Orion Engineered Services Division ("OES"), Orion Distribution Services Division ("ODS"), and Orion U.S. Markets Division ("USM"). The accounting policies are the same for each business segment as they are on a consolidated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Engineered Systems Division</w:t>
      </w:r>
    </w:p>
    <w:p>
      <w:pPr>
        <w:spacing w:after="0" w:line="171"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Orion's commercial lighting and energy management systems. OES provides engineering, design, lighting products and in many cases turnkey solutions for large national accounts, governments, municipalities, schools and other customers.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w:t>
      </w:r>
    </w:p>
    <w:p>
      <w:pPr>
        <w:spacing w:after="0" w:line="171"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North American broadline electrical distributors and contractors.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w:t>
      </w:r>
    </w:p>
    <w:p>
      <w:pPr>
        <w:spacing w:after="0" w:line="171"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ESCOs and contractors.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71"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 (dollars in thousands).</w:t>
      </w:r>
    </w:p>
    <w:p>
      <w:pPr>
        <w:sectPr>
          <w:pgSz w:w="11900" w:h="16838" w:orient="portrait"/>
          <w:cols w:equalWidth="0" w:num="1">
            <w:col w:w="11420"/>
          </w:cols>
          <w:pgMar w:left="240" w:top="598" w:right="239" w:bottom="1440" w:gutter="0" w:footer="0" w:header="0"/>
        </w:sectPr>
      </w:pPr>
    </w:p>
    <w:p>
      <w:pPr>
        <w:spacing w:after="0" w:line="243"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6350</wp:posOffset>
            </wp:positionV>
            <wp:extent cx="16205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 w:lineRule="exact"/>
        <w:rPr>
          <w:sz w:val="20"/>
          <w:szCs w:val="20"/>
          <w:color w:val="auto"/>
        </w:rPr>
      </w:pPr>
    </w:p>
    <w:p>
      <w:pPr>
        <w:ind w:left="6320"/>
        <w:spacing w:after="0"/>
        <w:rPr>
          <w:sz w:val="20"/>
          <w:szCs w:val="20"/>
          <w:color w:val="auto"/>
        </w:rPr>
      </w:pPr>
      <w:r>
        <w:rPr>
          <w:rFonts w:ascii="Arial" w:cs="Arial" w:eastAsia="Arial" w:hAnsi="Arial"/>
          <w:sz w:val="13"/>
          <w:szCs w:val="13"/>
          <w:b w:val="1"/>
          <w:bCs w:val="1"/>
          <w:color w:val="auto"/>
        </w:rPr>
        <w:t>For the Three Months Ended</w:t>
      </w:r>
    </w:p>
    <w:p>
      <w:pPr>
        <w:spacing w:after="0" w:line="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wp:posOffset>
            </wp:positionV>
            <wp:extent cx="16205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6380"/>
        <w:spacing w:after="0"/>
        <w:tabs>
          <w:tab w:leader="none" w:pos="77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6350</wp:posOffset>
            </wp:positionV>
            <wp:extent cx="16294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Three Months Ended</w:t>
      </w:r>
    </w:p>
    <w:p>
      <w:pPr>
        <w:spacing w:after="0" w:line="4"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wp:posOffset>
            </wp:positionV>
            <wp:extent cx="16294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ind w:left="60"/>
        <w:spacing w:after="0"/>
        <w:tabs>
          <w:tab w:leader="none" w:pos="14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1" w:lineRule="exact"/>
        <w:rPr>
          <w:sz w:val="20"/>
          <w:szCs w:val="20"/>
          <w:color w:val="auto"/>
        </w:rPr>
      </w:pPr>
    </w:p>
    <w:p>
      <w:pPr>
        <w:sectPr>
          <w:pgSz w:w="11900" w:h="16838" w:orient="portrait"/>
          <w:cols w:equalWidth="0" w:num="2">
            <w:col w:w="8400" w:space="720"/>
            <w:col w:w="2300"/>
          </w:cols>
          <w:pgMar w:left="240" w:top="598"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Segments:</w:t>
            </w: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Orion Engineered Systems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27,275</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6,802</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3,174</w:t>
            </w:r>
          </w:p>
        </w:tc>
        <w:tc>
          <w:tcPr>
            <w:tcW w:w="260" w:type="dxa"/>
            <w:vAlign w:val="bottom"/>
          </w:tcPr>
          <w:p>
            <w:pPr>
              <w:spacing w:after="0"/>
              <w:rPr>
                <w:sz w:val="19"/>
                <w:szCs w:val="19"/>
                <w:color w:val="auto"/>
              </w:rPr>
            </w:pPr>
          </w:p>
        </w:tc>
        <w:tc>
          <w:tcPr>
            <w:tcW w:w="440" w:type="dxa"/>
            <w:vAlign w:val="bottom"/>
            <w:gridSpan w:val="2"/>
          </w:tcPr>
          <w:p>
            <w:pPr>
              <w:jc w:val="right"/>
              <w:ind w:right="31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Orion Distribution Services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6,102</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(206)</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(236)</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Orion U.S. Markets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(1,108)</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(953)</w:t>
            </w:r>
          </w:p>
        </w:tc>
      </w:tr>
      <w:tr>
        <w:trPr>
          <w:trHeight w:val="223"/>
        </w:trPr>
        <w:tc>
          <w:tcPr>
            <w:tcW w:w="59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34,249</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16,291</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98" w:right="239" w:bottom="1440" w:gutter="0" w:footer="0" w:header="0"/>
          <w:type w:val="continuous"/>
        </w:sectPr>
      </w:pPr>
    </w:p>
    <w:p>
      <w:pPr>
        <w:spacing w:after="0" w:line="74"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6350</wp:posOffset>
            </wp:positionV>
            <wp:extent cx="16205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 w:lineRule="exact"/>
        <w:rPr>
          <w:sz w:val="20"/>
          <w:szCs w:val="20"/>
          <w:color w:val="auto"/>
        </w:rPr>
      </w:pPr>
    </w:p>
    <w:p>
      <w:pPr>
        <w:ind w:left="6360"/>
        <w:spacing w:after="0"/>
        <w:rPr>
          <w:sz w:val="20"/>
          <w:szCs w:val="20"/>
          <w:color w:val="auto"/>
        </w:rPr>
      </w:pPr>
      <w:r>
        <w:rPr>
          <w:rFonts w:ascii="Arial" w:cs="Arial" w:eastAsia="Arial" w:hAnsi="Arial"/>
          <w:sz w:val="13"/>
          <w:szCs w:val="13"/>
          <w:b w:val="1"/>
          <w:bCs w:val="1"/>
          <w:color w:val="auto"/>
        </w:rPr>
        <w:t>For the Nine Months Ended</w:t>
      </w:r>
    </w:p>
    <w:p>
      <w:pPr>
        <w:spacing w:after="0" w:line="4"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wp:posOffset>
            </wp:positionV>
            <wp:extent cx="16205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6380"/>
        <w:spacing w:after="0"/>
        <w:tabs>
          <w:tab w:leader="none" w:pos="776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13970</wp:posOffset>
            </wp:positionV>
            <wp:extent cx="16294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Nine Months Ended</w:t>
      </w:r>
    </w:p>
    <w:p>
      <w:pPr>
        <w:spacing w:after="0" w:line="4"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-3175</wp:posOffset>
            </wp:positionV>
            <wp:extent cx="16294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ind w:left="20"/>
        <w:spacing w:after="0"/>
        <w:tabs>
          <w:tab w:leader="none" w:pos="140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p>
    <w:p>
      <w:pPr>
        <w:spacing w:after="0" w:line="11" w:lineRule="exact"/>
        <w:rPr>
          <w:sz w:val="20"/>
          <w:szCs w:val="20"/>
          <w:color w:val="auto"/>
        </w:rPr>
      </w:pPr>
    </w:p>
    <w:p>
      <w:pPr>
        <w:sectPr>
          <w:pgSz w:w="11900" w:h="16838" w:orient="portrait"/>
          <w:cols w:equalWidth="0" w:num="2">
            <w:col w:w="8440" w:space="720"/>
            <w:col w:w="2260"/>
          </w:cols>
          <w:pgMar w:left="240" w:top="598"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Segments:</w:t>
            </w: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Orion Engineered Systems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104,369</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15,168</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15,861</w:t>
            </w:r>
          </w:p>
        </w:tc>
        <w:tc>
          <w:tcPr>
            <w:tcW w:w="260" w:type="dxa"/>
            <w:vAlign w:val="bottom"/>
          </w:tcPr>
          <w:p>
            <w:pPr>
              <w:spacing w:after="0"/>
              <w:rPr>
                <w:sz w:val="19"/>
                <w:szCs w:val="19"/>
                <w:color w:val="auto"/>
              </w:rPr>
            </w:pPr>
          </w:p>
        </w:tc>
        <w:tc>
          <w:tcPr>
            <w:tcW w:w="38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(1,944)</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Orion Distribution Services</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(691)</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(1,082)</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Orion U.S. Markets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9,389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7,941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(3,445)</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(3,240)</w:t>
            </w:r>
          </w:p>
        </w:tc>
      </w:tr>
      <w:tr>
        <w:trPr>
          <w:trHeight w:val="223"/>
        </w:trPr>
        <w:tc>
          <w:tcPr>
            <w:tcW w:w="59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124,949</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43,311</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(5,473)</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EVENTS</w:t>
      </w:r>
    </w:p>
    <w:p>
      <w:pPr>
        <w:spacing w:after="0" w:line="175"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type w:val="continuous"/>
        </w:sectPr>
      </w:pPr>
    </w:p>
    <w:bookmarkStart w:id="24" w:name="page25"/>
    <w:bookmarkEnd w:id="24"/>
    <w:p>
      <w:pPr>
        <w:spacing w:after="0"/>
        <w:tabs>
          <w:tab w:leader="none" w:pos="13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2019.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501"/>
        <w:spacing w:after="0" w:line="270" w:lineRule="auto"/>
        <w:rPr>
          <w:sz w:val="20"/>
          <w:szCs w:val="20"/>
          <w:color w:val="auto"/>
        </w:rPr>
      </w:pPr>
      <w:r>
        <w:rPr>
          <w:rFonts w:ascii="Arial" w:cs="Arial" w:eastAsia="Arial" w:hAnsi="Arial"/>
          <w:sz w:val="17"/>
          <w:szCs w:val="17"/>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2019.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501"/>
        <w:spacing w:after="0" w:line="276" w:lineRule="auto"/>
        <w:rPr>
          <w:sz w:val="20"/>
          <w:szCs w:val="20"/>
          <w:color w:val="auto"/>
        </w:rPr>
      </w:pPr>
      <w:r>
        <w:rPr>
          <w:rFonts w:ascii="Arial" w:cs="Arial" w:eastAsia="Arial" w:hAnsi="Arial"/>
          <w:sz w:val="17"/>
          <w:szCs w:val="17"/>
          <w:color w:val="auto"/>
        </w:rPr>
        <w:t>We provide state-of-the-art light emitting diode (“LED”) lighting, wireless Internet of Things (“IoT”) enabled control solutions, project engineering and design and energy project management. We research, design, develop, manufacture, market, sell, install,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19"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Our lighting products consist primarily of LED lighting fixtures, many of which include IoT enabled control systems. Our principal customers include large national account end-users, electrical distributors and energy service companies ("ESCOs"). A substantial amount of our products are manufactured at our leased production facility located in Manitowoc, Wisconsin. In addition, certain products and components are sourced from third parties in order to provide versatility in our product development and portfolio.</w:t>
      </w:r>
    </w:p>
    <w:p>
      <w:pPr>
        <w:spacing w:after="0" w:line="133"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We have significant experience offering our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w:t>
      </w:r>
    </w:p>
    <w:p>
      <w:pPr>
        <w:spacing w:after="0" w:line="127" w:lineRule="exact"/>
        <w:rPr>
          <w:sz w:val="20"/>
          <w:szCs w:val="20"/>
          <w:color w:val="auto"/>
        </w:rPr>
      </w:pPr>
    </w:p>
    <w:p>
      <w:pPr>
        <w:jc w:val="both"/>
        <w:ind w:firstLine="501"/>
        <w:spacing w:after="0" w:line="312" w:lineRule="auto"/>
        <w:rPr>
          <w:sz w:val="20"/>
          <w:szCs w:val="20"/>
          <w:color w:val="auto"/>
        </w:rPr>
      </w:pPr>
      <w:r>
        <w:rPr>
          <w:rFonts w:ascii="Arial" w:cs="Arial" w:eastAsia="Arial" w:hAnsi="Arial"/>
          <w:sz w:val="16"/>
          <w:szCs w:val="16"/>
          <w:color w:val="auto"/>
        </w:rPr>
        <w:t>We believe the market for LED lighting products and related services continues to grow. Due to their size and flexibility in application, we also believe that LED lighting systems can address opportunities for retrofit applications that cannot be satisfied by other lighting technologies. Our LED lighting technologies and related services have become the primary component of our revenue as we continue to strive to be a leader in the LED market.</w:t>
      </w:r>
    </w:p>
    <w:p>
      <w:pPr>
        <w:spacing w:after="0" w:line="93" w:lineRule="exact"/>
        <w:rPr>
          <w:sz w:val="20"/>
          <w:szCs w:val="20"/>
          <w:color w:val="auto"/>
        </w:rPr>
      </w:pPr>
    </w:p>
    <w:p>
      <w:pPr>
        <w:jc w:val="both"/>
        <w:ind w:firstLine="501"/>
        <w:spacing w:after="0" w:line="255" w:lineRule="auto"/>
        <w:rPr>
          <w:sz w:val="20"/>
          <w:szCs w:val="20"/>
          <w:color w:val="auto"/>
        </w:rPr>
      </w:pPr>
      <w:r>
        <w:rPr>
          <w:rFonts w:ascii="Arial" w:cs="Arial" w:eastAsia="Arial" w:hAnsi="Arial"/>
          <w:sz w:val="18"/>
          <w:szCs w:val="18"/>
          <w:color w:val="auto"/>
        </w:rPr>
        <w:t>We generally do not have long-term contracts with our customers that provide us with recurring revenue from period to period and we typically generate substantially all of our revenue from sales of lighting systems and related services to governmental, commercial and industrial customers on a project-by-project basis. We also perform work under global services or product purchasing agreements with major customers with sales completed on a purchase order basis.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jc w:val="both"/>
        <w:ind w:firstLine="501"/>
        <w:spacing w:after="0" w:line="286" w:lineRule="auto"/>
        <w:rPr>
          <w:sz w:val="20"/>
          <w:szCs w:val="20"/>
          <w:color w:val="auto"/>
        </w:rPr>
      </w:pPr>
      <w:r>
        <w:rPr>
          <w:rFonts w:ascii="Arial" w:cs="Arial" w:eastAsia="Arial" w:hAnsi="Arial"/>
          <w:sz w:val="17"/>
          <w:szCs w:val="17"/>
          <w:color w:val="auto"/>
        </w:rPr>
        <w:t>We typically sell our lighting systems in replacement of our customers’ existing lighting fixtures. We call this replacement process a "retrofit". We frequently sell our products and services directly to our customers and in many cases we provide design and installation as well as project management services. We also sell our lighting systems on a wholesale basis, principally to electrical distributors and ESCOs to sell to their own customer bases.</w:t>
      </w:r>
    </w:p>
    <w:p>
      <w:pPr>
        <w:spacing w:after="0" w:line="111" w:lineRule="exact"/>
        <w:rPr>
          <w:sz w:val="20"/>
          <w:szCs w:val="20"/>
          <w:color w:val="auto"/>
        </w:rPr>
      </w:pPr>
    </w:p>
    <w:p>
      <w:pPr>
        <w:jc w:val="both"/>
        <w:ind w:right="20" w:firstLine="501"/>
        <w:spacing w:after="0" w:line="264" w:lineRule="auto"/>
        <w:rPr>
          <w:sz w:val="20"/>
          <w:szCs w:val="20"/>
          <w:color w:val="auto"/>
        </w:rPr>
      </w:pPr>
      <w:r>
        <w:rPr>
          <w:rFonts w:ascii="Arial" w:cs="Arial" w:eastAsia="Arial" w:hAnsi="Arial"/>
          <w:sz w:val="18"/>
          <w:szCs w:val="18"/>
          <w:color w:val="auto"/>
        </w:rPr>
        <w:t>The gross margins of our products can vary significantly depending upon the types of products we sell, with gross margins typically ranging from 10% to 50%. As a result, a change in the total mix of our sales among higher or lower gross margin products can cause our profitability to fluctuate from period to period.</w:t>
      </w:r>
    </w:p>
    <w:p>
      <w:pPr>
        <w:spacing w:after="0" w:line="127" w:lineRule="exact"/>
        <w:rPr>
          <w:sz w:val="20"/>
          <w:szCs w:val="20"/>
          <w:color w:val="auto"/>
        </w:rPr>
      </w:pPr>
    </w:p>
    <w:p>
      <w:pPr>
        <w:jc w:val="both"/>
        <w:ind w:right="20" w:firstLine="501"/>
        <w:spacing w:after="0" w:line="259" w:lineRule="auto"/>
        <w:rPr>
          <w:sz w:val="20"/>
          <w:szCs w:val="20"/>
          <w:color w:val="auto"/>
        </w:rPr>
      </w:pPr>
      <w:r>
        <w:rPr>
          <w:rFonts w:ascii="Arial" w:cs="Arial" w:eastAsia="Arial" w:hAnsi="Arial"/>
          <w:sz w:val="18"/>
          <w:szCs w:val="18"/>
          <w:color w:val="auto"/>
        </w:rPr>
        <w:t>Our fiscal year ends on March 31. We refer to our current fiscal year which will end on March 31, 2020 as "fiscal 2020". We refer to our most recently completed fiscal year, which ended on March 31, 2019, as “fiscal 2019”, and our prior fiscal year which ended on March 31, 2018 as "fiscal 2018". Our fiscal first quarter of each fiscal year ends on June 30, our fiscal second quarter ends on September 30, our fiscal third quarter ends on December 31, and our fiscal fourth quarter ends on March 31.</w:t>
      </w:r>
    </w:p>
    <w:p>
      <w:pPr>
        <w:spacing w:after="0" w:line="133" w:lineRule="exact"/>
        <w:rPr>
          <w:sz w:val="20"/>
          <w:szCs w:val="20"/>
          <w:color w:val="auto"/>
        </w:rPr>
      </w:pPr>
    </w:p>
    <w:p>
      <w:pPr>
        <w:jc w:val="both"/>
        <w:ind w:firstLine="501"/>
        <w:spacing w:after="0" w:line="286" w:lineRule="auto"/>
        <w:rPr>
          <w:sz w:val="20"/>
          <w:szCs w:val="20"/>
          <w:color w:val="auto"/>
        </w:rPr>
      </w:pPr>
      <w:r>
        <w:rPr>
          <w:rFonts w:ascii="Arial" w:cs="Arial" w:eastAsia="Arial" w:hAnsi="Arial"/>
          <w:sz w:val="17"/>
          <w:szCs w:val="17"/>
          <w:color w:val="auto"/>
        </w:rPr>
        <w:t>Reportable segments are components of an entity that have separate financial data that the entity's chief operating decision maker ("CODM") regularly reviews when allocating resources and assessing performance. Our CODM is our chief executive officer. We have three reportable segments: Orion Engineered Systems Division ("OES"), Orion Distribution Services Division ("ODS"), and Orion U.S. Markets Division ("USM").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Impacts of Tariffs and Trade Policies</w:t>
      </w:r>
    </w:p>
    <w:p>
      <w:pPr>
        <w:spacing w:after="0" w:line="175" w:lineRule="exact"/>
        <w:rPr>
          <w:sz w:val="20"/>
          <w:szCs w:val="20"/>
          <w:color w:val="auto"/>
        </w:rPr>
      </w:pPr>
    </w:p>
    <w:p>
      <w:pPr>
        <w:jc w:val="both"/>
        <w:ind w:firstLine="501"/>
        <w:spacing w:after="0" w:line="272" w:lineRule="auto"/>
        <w:rPr>
          <w:sz w:val="20"/>
          <w:szCs w:val="20"/>
          <w:color w:val="auto"/>
        </w:rPr>
      </w:pPr>
      <w:r>
        <w:rPr>
          <w:rFonts w:ascii="Arial" w:cs="Arial" w:eastAsia="Arial" w:hAnsi="Arial"/>
          <w:sz w:val="17"/>
          <w:szCs w:val="17"/>
          <w:color w:val="auto"/>
        </w:rPr>
        <w:t>There continues to be a debate regarding a wide range of policy options with respect to monetary, regulatory, and trade, amongst others, that the U.S. federal government has and may pursue, including the imposition of tariffs on certain imports. Certain sourced finished products and certain of the components used in our products are impacted by the imposed tariffs on imports from certain countries. Our efforts to mitigate the impact of added costs include sourcing from non-tariff impacted countries, value engineering our products to reduce cost and raising prices. We believe that these mitigation activities will assist to offset added costs, and we currently believe that such tariffs will have a limited adverse financial effect on our results of operations. Any future policy changes that may be implemented could have a positive or negative consequence on our financial performance depending on how the changes would influence many factors, including business and consumer sentiment.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Approach</w:t>
      </w:r>
    </w:p>
    <w:p>
      <w:pPr>
        <w:spacing w:after="0" w:line="175"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We remain optimistic about our near-term and long-term financial performance. Our ability to achieve our desired revenue growth and profitability goals depends on our ability to effectively execute on the following key strategic initiatives:</w:t>
      </w:r>
    </w:p>
    <w:p>
      <w:pPr>
        <w:spacing w:after="0" w:line="116" w:lineRule="exact"/>
        <w:rPr>
          <w:sz w:val="20"/>
          <w:szCs w:val="20"/>
          <w:color w:val="auto"/>
        </w:rPr>
      </w:pPr>
    </w:p>
    <w:p>
      <w:pPr>
        <w:jc w:val="both"/>
        <w:ind w:firstLine="501"/>
        <w:spacing w:after="0" w:line="255" w:lineRule="auto"/>
        <w:rPr>
          <w:sz w:val="20"/>
          <w:szCs w:val="20"/>
          <w:color w:val="auto"/>
        </w:rPr>
      </w:pPr>
      <w:r>
        <w:rPr>
          <w:rFonts w:ascii="Arial" w:cs="Arial" w:eastAsia="Arial" w:hAnsi="Arial"/>
          <w:sz w:val="18"/>
          <w:szCs w:val="18"/>
          <w:i w:val="1"/>
          <w:iCs w:val="1"/>
          <w:color w:val="auto"/>
        </w:rPr>
        <w:t xml:space="preserve">Focus on executing and marketing our turnkey LED retrofit capabilities to large national account customers. </w:t>
      </w:r>
      <w:r>
        <w:rPr>
          <w:rFonts w:ascii="Arial" w:cs="Arial" w:eastAsia="Arial" w:hAnsi="Arial"/>
          <w:sz w:val="18"/>
          <w:szCs w:val="18"/>
          <w:color w:val="auto"/>
        </w:rPr>
        <w:t>We believe one of our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advantages is our ability to deliver full turnkey LED lighting project capabilities starting with energy audits and site assessments that lead to custom engineering and manufacturing through to fully managed installations. These attributes coupled with our superior customer service, high quality designs and expedited delivery responsiveness have resulted in contracts to retrofit multiple locations for multiple national account customers. We believe that these contracts will help lead our growth momentum for the remainder of fiscal 2020 and beyond. We also see the potential for maintenance and electrical services to be a component of our recurring revenue going forward as our customers recognize our ability to first deliver turnkey installations and then provide maintenance and other electrical services to their facilities.</w:t>
      </w:r>
    </w:p>
    <w:p>
      <w:pPr>
        <w:spacing w:after="0" w:line="135"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i w:val="1"/>
          <w:iCs w:val="1"/>
          <w:color w:val="auto"/>
        </w:rPr>
        <w:t xml:space="preserve">Support success of our ESCO and agent-driven distribution sales channels. </w:t>
      </w:r>
      <w:r>
        <w:rPr>
          <w:rFonts w:ascii="Arial" w:cs="Arial" w:eastAsia="Arial" w:hAnsi="Arial"/>
          <w:sz w:val="18"/>
          <w:szCs w:val="18"/>
          <w:color w:val="auto"/>
        </w:rPr>
        <w:t>We continue to focus on building our relationships and product and sales</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for our ESCO and agent driven distribution channels. These efforts include an array of product and sales training efforts as well as the development of new products to cater to the unique needs of these sales channels.</w:t>
      </w:r>
    </w:p>
    <w:p>
      <w:pPr>
        <w:spacing w:after="0" w:line="127"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i w:val="1"/>
          <w:iCs w:val="1"/>
          <w:color w:val="auto"/>
        </w:rPr>
        <w:t>Continued Product Innovation</w:t>
      </w:r>
      <w:r>
        <w:rPr>
          <w:rFonts w:ascii="Arial" w:cs="Arial" w:eastAsia="Arial" w:hAnsi="Arial"/>
          <w:sz w:val="18"/>
          <w:szCs w:val="18"/>
          <w:color w:val="auto"/>
        </w:rPr>
        <w:t>. We continue to innovate, developing lighting fixtures and features that address specific customer requirements, while</w:t>
      </w:r>
      <w:r>
        <w:rPr>
          <w:rFonts w:ascii="Arial" w:cs="Arial" w:eastAsia="Arial" w:hAnsi="Arial"/>
          <w:sz w:val="18"/>
          <w:szCs w:val="18"/>
          <w:i w:val="1"/>
          <w:iCs w:val="1"/>
          <w:color w:val="auto"/>
        </w:rPr>
        <w:t xml:space="preserve"> </w:t>
      </w:r>
      <w:r>
        <w:rPr>
          <w:rFonts w:ascii="Arial" w:cs="Arial" w:eastAsia="Arial" w:hAnsi="Arial"/>
          <w:sz w:val="18"/>
          <w:szCs w:val="18"/>
          <w:color w:val="auto"/>
        </w:rPr>
        <w:t>also working to maintain a leadership position in energy efficiency, smart product design and installation benefits. We also continue to deepen our capabilities in the integration of smart lighting controls. Our goal is to provide state-of-the-art lighting products with modular plug-and-play designs to enable lighting system customization from basic controls to advanced IoT capabilities.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6" w:name="page27"/>
    <w:bookmarkEnd w:id="26"/>
    <w:p>
      <w:pPr>
        <w:jc w:val="both"/>
        <w:ind w:firstLine="501"/>
        <w:spacing w:after="0" w:line="257" w:lineRule="auto"/>
        <w:rPr>
          <w:sz w:val="20"/>
          <w:szCs w:val="20"/>
          <w:color w:val="auto"/>
        </w:rPr>
      </w:pPr>
      <w:r>
        <w:rPr>
          <w:rFonts w:ascii="Arial" w:cs="Arial" w:eastAsia="Arial" w:hAnsi="Arial"/>
          <w:sz w:val="18"/>
          <w:szCs w:val="18"/>
          <w:i w:val="1"/>
          <w:iCs w:val="1"/>
          <w:color w:val="auto"/>
        </w:rPr>
        <w:t>Leveraging of our Smart Lighting Systems to Support Internet of Things Applications</w:t>
      </w:r>
      <w:r>
        <w:rPr>
          <w:rFonts w:ascii="Arial" w:cs="Arial" w:eastAsia="Arial" w:hAnsi="Arial"/>
          <w:sz w:val="18"/>
          <w:szCs w:val="18"/>
          <w:color w:val="auto"/>
        </w:rPr>
        <w:t>. We believe we are ideally positioned to help customers to</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efficiently deploy new IoT controls and applications by leveraging the “Smart Ceiling” capabilities of our solid state lighting system. IoT capabilities can include the management and tracking of facilities, personnel, resources and customer behavior, driving both sales and lowering costs for our customers. As a result, these added capabilities provide customers an even greater return on investment from their lighting system and make us an even more attractive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both"/>
        <w:ind w:firstLine="501"/>
        <w:spacing w:after="0" w:line="286" w:lineRule="auto"/>
        <w:rPr>
          <w:sz w:val="20"/>
          <w:szCs w:val="20"/>
          <w:color w:val="auto"/>
        </w:rPr>
      </w:pPr>
      <w:r>
        <w:rPr>
          <w:rFonts w:ascii="Arial" w:cs="Arial" w:eastAsia="Arial" w:hAnsi="Arial"/>
          <w:sz w:val="17"/>
          <w:szCs w:val="17"/>
          <w:color w:val="auto"/>
        </w:rPr>
        <w:t>During fiscal 2019 and fiscal 2020, we signed a series of contracts to retrofit multiple locations for a major national account customer with our state-of-the-art LED lighting systems and wireless IoT enabled control solutions at locations nationwide. We currently expect total revenue from the customer to be approximately $130 million, dependent on purchase orders, a significant amount of which we expect to be recognized during fiscal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December 31, 2019 versus Three Months Ended December 31, 2018</w:t>
      </w:r>
    </w:p>
    <w:p>
      <w:pPr>
        <w:spacing w:after="0" w:line="175"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 December 31,</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10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36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10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3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13,952</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85.4%</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75.5%</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Service revenue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8,382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2,339</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258.4%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16,291</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110.2%</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10,508</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81.5%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55.7%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327.8%</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20.1%</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12,121</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114.3%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75.8%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4,170</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98.4%</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24.2%</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2,269</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24.9%</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47.3%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20" w:type="dxa"/>
            <w:vAlign w:val="bottom"/>
            <w:vMerge w:val="continue"/>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360" w:type="dxa"/>
            <w:vAlign w:val="bottom"/>
            <w:vMerge w:val="continue"/>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7.1%</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(93.5)%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(50.6)%</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Amortization of debt issue costs</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96.8%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Income (loss) before income tax</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(662)</w:t>
            </w:r>
          </w:p>
        </w:tc>
        <w:tc>
          <w:tcPr>
            <w:tcW w:w="22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NM</w:t>
            </w:r>
          </w:p>
        </w:tc>
        <w:tc>
          <w:tcPr>
            <w:tcW w:w="360" w:type="dxa"/>
            <w:vAlign w:val="bottom"/>
            <w:vMerge w:val="continue"/>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2,304</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(662)</w:t>
            </w:r>
          </w:p>
        </w:tc>
        <w:tc>
          <w:tcPr>
            <w:tcW w:w="22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NM</w:t>
            </w:r>
          </w:p>
        </w:tc>
        <w:tc>
          <w:tcPr>
            <w:tcW w:w="360" w:type="dxa"/>
            <w:vAlign w:val="bottom"/>
            <w:vMerge w:val="continue"/>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154" w:lineRule="exact"/>
        <w:rPr>
          <w:sz w:val="20"/>
          <w:szCs w:val="20"/>
          <w:color w:val="auto"/>
        </w:rPr>
      </w:pPr>
    </w:p>
    <w:p>
      <w:pPr>
        <w:jc w:val="both"/>
        <w:ind w:firstLine="501"/>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increased 85.4%, or $11.9 million, for the third quarter of fiscal 2020 versus the third quarter of fiscal 2019.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revenue was the result of higher sales volume through our national account channel, and almost exclusively as a result of a major retrofit project for multiple locations for one of our national account customers. Service revenue increased 258.4%, or $6.0 million, due to higher sales volume through our national account channel for the major retrofit project for one customer and the timing of those project installations. In the third quarter of fiscal 2020, sales to this one national account customer represented 72.3% of our total revenue. Total revenue increased by 110.2%, or $18.0 million, due to the items discussed above.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7" w:name="page28"/>
    <w:bookmarkEnd w:id="27"/>
    <w:p>
      <w:pPr>
        <w:jc w:val="both"/>
        <w:ind w:firstLine="501"/>
        <w:spacing w:after="0" w:line="279" w:lineRule="auto"/>
        <w:rPr>
          <w:sz w:val="20"/>
          <w:szCs w:val="20"/>
          <w:color w:val="auto"/>
        </w:rPr>
      </w:pPr>
      <w:r>
        <w:rPr>
          <w:rFonts w:ascii="Arial" w:cs="Arial" w:eastAsia="Arial" w:hAnsi="Arial"/>
          <w:sz w:val="17"/>
          <w:szCs w:val="17"/>
          <w:i w:val="1"/>
          <w:iCs w:val="1"/>
          <w:color w:val="auto"/>
        </w:rPr>
        <w:t xml:space="preserve">Cost of Revenue and Gross Margin. </w:t>
      </w:r>
      <w:r>
        <w:rPr>
          <w:rFonts w:ascii="Arial" w:cs="Arial" w:eastAsia="Arial" w:hAnsi="Arial"/>
          <w:sz w:val="17"/>
          <w:szCs w:val="17"/>
          <w:color w:val="auto"/>
        </w:rPr>
        <w:t>Cost of product revenue increased 81.5%, or $8.6 million, in the third quarter of fiscal 2020 versus the third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fiscal 2019 due to the significant increase in our sales. Cost of service revenue increased 327.8% or $5.3 million, in the third quarter of fiscal 2020 versus the third quarter of fiscal 2019 due to the increase in sales. Gross margin decreased from 25.6% of revenue in fiscal 2019 to 24.2% in fiscal 2020, due to the change in customer sales mix and lower average margins on sales for the major retrofit project to one national account customer.</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17.3%, or $0.4 million in the third quarter of fiscal 2020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fiscal 2019, primarily due to higher bonus and employment costs.</w:t>
      </w:r>
    </w:p>
    <w:p>
      <w:pPr>
        <w:spacing w:after="0" w:line="116" w:lineRule="exact"/>
        <w:rPr>
          <w:sz w:val="20"/>
          <w:szCs w:val="20"/>
          <w:color w:val="auto"/>
        </w:rPr>
      </w:pPr>
    </w:p>
    <w:p>
      <w:pPr>
        <w:jc w:val="both"/>
        <w:ind w:firstLine="501"/>
        <w:spacing w:after="0" w:line="34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24.9%, or $0.5 million, in the third quarter of fiscal 2020 compared to the third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fiscal 2019. This comparative increase was primarily due to an increase in commission expense on higher sales and higher employment costs.</w:t>
      </w:r>
    </w:p>
    <w:p>
      <w:pPr>
        <w:spacing w:after="0" w:line="70"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 the third quarter of fiscal 2020 increased 47.3%, or $0.1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fiscal 2019, primarily due to higher employment costs.</w:t>
      </w:r>
    </w:p>
    <w:p>
      <w:pPr>
        <w:spacing w:after="0" w:line="116"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in the third quarter of fiscal 2020 primarily represented product royalties received from licensing agreements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patents.</w:t>
      </w:r>
    </w:p>
    <w:p>
      <w:pPr>
        <w:spacing w:after="0" w:line="116" w:lineRule="exact"/>
        <w:rPr>
          <w:sz w:val="20"/>
          <w:szCs w:val="20"/>
          <w:color w:val="auto"/>
        </w:rPr>
      </w:pPr>
    </w:p>
    <w:p>
      <w:pPr>
        <w:jc w:val="both"/>
        <w:ind w:right="20" w:firstLine="501"/>
        <w:spacing w:after="0" w:line="34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in the third quarter of fiscal 2020 decreased by 50.6%, or $39 thousand, from the third quarter of fiscal 2019.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interest expense was primarily due to fewer sales of receivables in the third quarter of fiscal 2020 compared to the third quarter of fiscal 2019.</w:t>
      </w:r>
    </w:p>
    <w:p>
      <w:pPr>
        <w:spacing w:after="0" w:line="70"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i w:val="1"/>
          <w:iCs w:val="1"/>
          <w:color w:val="auto"/>
        </w:rPr>
        <w:t>Amortization of debt issue costs</w:t>
      </w:r>
      <w:r>
        <w:rPr>
          <w:rFonts w:ascii="Arial" w:cs="Arial" w:eastAsia="Arial" w:hAnsi="Arial"/>
          <w:sz w:val="18"/>
          <w:szCs w:val="18"/>
          <w:color w:val="auto"/>
        </w:rPr>
        <w:t>. Amortization of debt issue costs in the third quarter of fiscal 2020 increased by $30 thousand from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2019. The increase in amortization of debt issue costs was due to the timing of the execution of our credit agreement.</w:t>
      </w:r>
    </w:p>
    <w:p>
      <w:pPr>
        <w:spacing w:after="0" w:line="116"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 the third quarter of fiscal 2020 remained relatively flat compared to the third quarter of fiscal 2019. Interest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relates to interest earned on sweep bank accounts.</w:t>
      </w:r>
    </w:p>
    <w:p>
      <w:pPr>
        <w:spacing w:after="0" w:line="116"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increased $39 thousand, in the third quarter of fiscal 2020 compared to the third quarter of fiscal 2019. Our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expense is due primarily to minimum state tax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Our OES segment develops and sells lighting products and provides construction and engineering services for our commercial lighting and energy management systems. OES provides engineering, design, lighting products and in many cases turnkey solutions for large national accounts, governments, municipalities, schools and other customers.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w w:val="99"/>
              </w:rPr>
              <w:t>Three Months Ended December 31,</w:t>
            </w:r>
          </w:p>
        </w:tc>
        <w:tc>
          <w:tcPr>
            <w:tcW w:w="1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266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right"/>
              <w:ind w:right="51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CFF0FC"/>
            </w:tcBorders>
          </w:tcPr>
          <w:p>
            <w:pPr>
              <w:spacing w:after="0"/>
              <w:rPr>
                <w:sz w:val="14"/>
                <w:szCs w:val="14"/>
                <w:color w:val="auto"/>
              </w:rPr>
            </w:pPr>
          </w:p>
        </w:tc>
        <w:tc>
          <w:tcPr>
            <w:tcW w:w="266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27,275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6,802</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Operating income</w:t>
            </w:r>
          </w:p>
        </w:tc>
        <w:tc>
          <w:tcPr>
            <w:tcW w:w="34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3,174</w:t>
            </w:r>
          </w:p>
        </w:tc>
        <w:tc>
          <w:tcPr>
            <w:tcW w:w="240" w:type="dxa"/>
            <w:vAlign w:val="bottom"/>
          </w:tcPr>
          <w:p>
            <w:pPr>
              <w:spacing w:after="0"/>
              <w:rPr>
                <w:sz w:val="19"/>
                <w:szCs w:val="19"/>
                <w:color w:val="auto"/>
              </w:rPr>
            </w:pPr>
          </w:p>
        </w:tc>
        <w:tc>
          <w:tcPr>
            <w:tcW w:w="94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9518.2%</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195" w:lineRule="exact"/>
        <w:rPr>
          <w:sz w:val="20"/>
          <w:szCs w:val="20"/>
          <w:color w:val="auto"/>
        </w:rPr>
      </w:pPr>
    </w:p>
    <w:p>
      <w:pPr>
        <w:ind w:right="20" w:firstLine="501"/>
        <w:spacing w:after="0" w:line="277" w:lineRule="auto"/>
        <w:rPr>
          <w:sz w:val="20"/>
          <w:szCs w:val="20"/>
          <w:color w:val="auto"/>
        </w:rPr>
      </w:pPr>
      <w:r>
        <w:rPr>
          <w:rFonts w:ascii="Arial" w:cs="Arial" w:eastAsia="Arial" w:hAnsi="Arial"/>
          <w:sz w:val="18"/>
          <w:szCs w:val="18"/>
          <w:color w:val="auto"/>
        </w:rPr>
        <w:t>OES segment revenue in the third quarter of fiscal 2020 was $27.3 million, an increase of $20.5 million from the third quarter of fiscal 2019, as a result of the increase in volume of turnkey projects to one large national account customer.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8" w:name="page29"/>
    <w:bookmarkEnd w:id="28"/>
    <w:p>
      <w:pPr>
        <w:ind w:left="500"/>
        <w:spacing w:after="0"/>
        <w:rPr>
          <w:sz w:val="20"/>
          <w:szCs w:val="20"/>
          <w:color w:val="auto"/>
        </w:rPr>
      </w:pPr>
      <w:r>
        <w:rPr>
          <w:rFonts w:ascii="Arial" w:cs="Arial" w:eastAsia="Arial" w:hAnsi="Arial"/>
          <w:sz w:val="16"/>
          <w:szCs w:val="16"/>
          <w:color w:val="auto"/>
        </w:rPr>
        <w:t>OES segment operating income in the third quarter of fiscal 2020 was $3.2 million, an increase of $3.2 million from the third quarter of fiscal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the segment’s operating income was the result of higher sales in this segment, resulting in improved operating leverage.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Our ODS segment focuses on selling lighting products through manufacturer representative agencies and a network of North American broadline and electrical distributors and contractors.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Three Months Ended December 31,</w:t>
            </w: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260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right"/>
              <w:ind w:right="519"/>
              <w:spacing w:after="0" w:line="13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tcPr>
          <w:p>
            <w:pPr>
              <w:spacing w:after="0"/>
              <w:rPr>
                <w:sz w:val="14"/>
                <w:szCs w:val="14"/>
                <w:color w:val="auto"/>
              </w:rPr>
            </w:pPr>
          </w:p>
        </w:tc>
        <w:tc>
          <w:tcPr>
            <w:tcW w:w="260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3,634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6,102</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Operating loss</w:t>
            </w:r>
          </w:p>
        </w:tc>
        <w:tc>
          <w:tcPr>
            <w:tcW w:w="34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94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6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195" w:lineRule="exact"/>
        <w:rPr>
          <w:sz w:val="20"/>
          <w:szCs w:val="20"/>
          <w:color w:val="auto"/>
        </w:rPr>
      </w:pPr>
    </w:p>
    <w:p>
      <w:pPr>
        <w:ind w:right="20" w:firstLine="501"/>
        <w:spacing w:after="0" w:line="277" w:lineRule="auto"/>
        <w:rPr>
          <w:sz w:val="20"/>
          <w:szCs w:val="20"/>
          <w:color w:val="auto"/>
        </w:rPr>
      </w:pPr>
      <w:r>
        <w:rPr>
          <w:rFonts w:ascii="Arial" w:cs="Arial" w:eastAsia="Arial" w:hAnsi="Arial"/>
          <w:sz w:val="18"/>
          <w:szCs w:val="18"/>
          <w:color w:val="auto"/>
        </w:rPr>
        <w:t>ODS segment revenue decreased in the third quarter of fiscal 2020 by 40.4%, or $2.5 million, compared to the third quarter of fiscal 2019, primarily due to a decrease in sales volume through our distribution channel.</w:t>
      </w:r>
    </w:p>
    <w:p>
      <w:pPr>
        <w:spacing w:after="0" w:line="116"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ODS segment operating loss in the third quarter of fiscal 2020 was relatively flat, compared to the third quarter of fiscal 2019, reflecting lower allocated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Our USM segment sells commercial lighting systems and energy management systems to the wholesale contractor markets. USM customers include ESCOs and contractors.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w w:val="99"/>
              </w:rPr>
              <w:t>Three Months Ended December 31,</w:t>
            </w: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jc w:val="right"/>
              <w:ind w:right="519"/>
              <w:spacing w:after="0" w:line="13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60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3,340</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3,387</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578</w:t>
            </w:r>
          </w:p>
        </w:tc>
        <w:tc>
          <w:tcPr>
            <w:tcW w:w="340" w:type="dxa"/>
            <w:vAlign w:val="bottom"/>
          </w:tcPr>
          <w:p>
            <w:pPr>
              <w:spacing w:after="0"/>
              <w:rPr>
                <w:sz w:val="19"/>
                <w:szCs w:val="19"/>
                <w:color w:val="auto"/>
              </w:rPr>
            </w:pP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569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17.3%</w:t>
            </w:r>
          </w:p>
        </w:tc>
        <w:tc>
          <w:tcPr>
            <w:tcW w:w="8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USM segment revenue was relatively flat in the third quarter of fiscal 2020, compared to the third quarter of fiscal 2019.</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USM segment operating income for the third quarter of fiscal 2020 was relatively flat, compared to the third quarter of fiscal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 - Nine Months Ended December 31, 2019 versus Nine Months Ended December 31, 2018</w:t>
      </w:r>
    </w:p>
    <w:p>
      <w:pPr>
        <w:spacing w:after="0" w:line="175"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4"/>
                <w:szCs w:val="14"/>
                <w:b w:val="1"/>
                <w:bCs w:val="1"/>
                <w:color w:val="auto"/>
              </w:rPr>
              <w:t>Nine Months Ended December 31,</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10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36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10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3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93,778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38,350</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144.5%</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75.1%</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Service revenue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31,171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4,961</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528.3%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124,949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43,311</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188.5%</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68,778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29,599</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132.4%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600.4%</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19.9%</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93,601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33,143</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182.4%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74.9%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31,348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10,168</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208.3%</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25.1%</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8,274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7,681</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6,903</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21.1%</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6.7%</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1,057</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(5,473)</w:t>
            </w:r>
          </w:p>
        </w:tc>
        <w:tc>
          <w:tcPr>
            <w:tcW w:w="220" w:type="dxa"/>
            <w:vAlign w:val="bottom"/>
            <w:vMerge w:val="continue"/>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346.2%</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10.8%</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(66.2)%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(335)</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22.1%</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Amortization of debt issue costs</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487.1%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(37.5)%</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Income (loss) before income tax</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(5,766)</w:t>
            </w:r>
          </w:p>
        </w:tc>
        <w:tc>
          <w:tcPr>
            <w:tcW w:w="220" w:type="dxa"/>
            <w:vAlign w:val="bottom"/>
            <w:vMerge w:val="continue"/>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326.5%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153.8%</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12,993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(5,792)</w:t>
            </w:r>
          </w:p>
        </w:tc>
        <w:tc>
          <w:tcPr>
            <w:tcW w:w="220" w:type="dxa"/>
            <w:vAlign w:val="bottom"/>
            <w:vMerge w:val="continue"/>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324.3%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154" w:lineRule="exact"/>
        <w:rPr>
          <w:sz w:val="20"/>
          <w:szCs w:val="20"/>
          <w:color w:val="auto"/>
        </w:rPr>
      </w:pPr>
    </w:p>
    <w:p>
      <w:pPr>
        <w:jc w:val="both"/>
        <w:ind w:firstLine="501"/>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increased 144.5%, or $55.4 million, for the first nine month of fiscal 2020 versus the first nine month of fiscal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product revenue was the result of higher sales volume through our national account channel, and exclusively the result of a major retrofit project for multiple locations for one of our national account customers. Service revenue increased 528.3%, or $26.2 million, due to higher sales volume through our national account channel for the major retrofit project for one customer and the timing of those project installations. In the first nine months of fiscal 2020, sales to this one national account customer represented 77.3% of our total revenue. Total revenue increased by 188.5%, or $81.6 million, due to the items discussed above.</w:t>
      </w:r>
    </w:p>
    <w:p>
      <w:pPr>
        <w:spacing w:after="0" w:line="139"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i w:val="1"/>
          <w:iCs w:val="1"/>
          <w:color w:val="auto"/>
        </w:rPr>
        <w:t xml:space="preserve">Cost of Revenue and Gross Margin. </w:t>
      </w:r>
      <w:r>
        <w:rPr>
          <w:rFonts w:ascii="Arial" w:cs="Arial" w:eastAsia="Arial" w:hAnsi="Arial"/>
          <w:sz w:val="18"/>
          <w:szCs w:val="18"/>
          <w:color w:val="auto"/>
        </w:rPr>
        <w:t>Cost of product revenue increased 132.4%, or $39.2 million, in the first nine months of fiscal 2020 versus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of fiscal 2019 due to the increase in sales. Cost of service revenue increased 600.4% or $21.3 million, in the first nine months of fiscal 2020 versus the first nine months of fiscal 2019 due to the increase in sales. Gross margin increased from 23.5% of revenue in fiscal 2019 to 25.1% in fiscal 2020, due to our higher sales levels covering fixed costs.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501"/>
        <w:spacing w:after="0" w:line="34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7.7%, or $0.6 million, in the first nine months of fiscal 2020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nine months of fiscal 2019, primarily due to higher bonus and employment costs, partially offset by lower consulting and legal costs.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30" w:name="page31"/>
    <w:bookmarkEnd w:id="30"/>
    <w:p>
      <w:pPr>
        <w:jc w:val="both"/>
        <w:ind w:firstLine="501"/>
        <w:spacing w:after="0" w:line="34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21.1%, or $1.5 million, in the first nine months of fiscal 2020 compared to the first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of fiscal 2019. The comparative increase was primarily due to an increase in commission expense on higher sales and higher employment costs.</w:t>
      </w:r>
    </w:p>
    <w:p>
      <w:pPr>
        <w:spacing w:after="0" w:line="70"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17.3%, or $0.2 million, in the first nine months of fiscal 2020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nine months of fiscal 2019. The increase was primarily due to higher employment costs.</w:t>
      </w:r>
    </w:p>
    <w:p>
      <w:pPr>
        <w:spacing w:after="0" w:line="116"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in the first nine months of fiscal 2020 primarily represented product royalties received from licensing agreements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patents.</w:t>
      </w:r>
    </w:p>
    <w:p>
      <w:pPr>
        <w:spacing w:after="0" w:line="116" w:lineRule="exact"/>
        <w:rPr>
          <w:sz w:val="20"/>
          <w:szCs w:val="20"/>
          <w:color w:val="auto"/>
        </w:rPr>
      </w:pPr>
    </w:p>
    <w:p>
      <w:pPr>
        <w:jc w:val="both"/>
        <w:ind w:firstLine="501"/>
        <w:spacing w:after="0" w:line="28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in the first nine months of fiscal 2020 decreased by 22.1%, or $0.1 million, from the first nine months of fiscal 2019.</w:t>
      </w:r>
      <w:r>
        <w:rPr>
          <w:rFonts w:ascii="Arial" w:cs="Arial" w:eastAsia="Arial" w:hAnsi="Arial"/>
          <w:sz w:val="17"/>
          <w:szCs w:val="17"/>
          <w:i w:val="1"/>
          <w:iCs w:val="1"/>
          <w:color w:val="auto"/>
        </w:rPr>
        <w:t xml:space="preserve"> </w:t>
      </w:r>
      <w:r>
        <w:rPr>
          <w:rFonts w:ascii="Arial" w:cs="Arial" w:eastAsia="Arial" w:hAnsi="Arial"/>
          <w:sz w:val="17"/>
          <w:szCs w:val="17"/>
          <w:color w:val="auto"/>
        </w:rPr>
        <w:t>The decrease in interest expense in the first nine months of fiscal 2020 as compared to the first nine months of fiscal 2019 was due primarily to fewer sales of receivables partially offset by higher interest expense of increased borrowings under our revolving credit agreement.</w:t>
      </w:r>
    </w:p>
    <w:p>
      <w:pPr>
        <w:spacing w:after="0" w:line="111"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i w:val="1"/>
          <w:iCs w:val="1"/>
          <w:color w:val="auto"/>
        </w:rPr>
        <w:t>Amortization of debt issue costs</w:t>
      </w:r>
      <w:r>
        <w:rPr>
          <w:rFonts w:ascii="Arial" w:cs="Arial" w:eastAsia="Arial" w:hAnsi="Arial"/>
          <w:sz w:val="18"/>
          <w:szCs w:val="18"/>
          <w:color w:val="auto"/>
        </w:rPr>
        <w:t>. Amortization of debt issue costs in the first nine months of fiscal 2020 increased by $0.2 million from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fiscal 2019. The increase in amortization of debt issue costs was due to the timing of the execution of our credit agreement.</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in the first nine months of fiscal 2020 remained relatively flat compared to the first nine months of fiscal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relates to interest earned on sweep bank accounts.</w:t>
      </w:r>
    </w:p>
    <w:p>
      <w:pPr>
        <w:spacing w:after="0" w:line="157"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increased 153.8%, or $40 thousand, in the first nine months of fiscal 2020 compared to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2019. Our income tax expense is due primarily to minimum state tax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7"/>
          </w:tcPr>
          <w:p>
            <w:pPr>
              <w:ind w:left="960"/>
              <w:spacing w:after="0"/>
              <w:rPr>
                <w:sz w:val="20"/>
                <w:szCs w:val="20"/>
                <w:color w:val="auto"/>
              </w:rPr>
            </w:pPr>
            <w:r>
              <w:rPr>
                <w:rFonts w:ascii="Arial" w:cs="Arial" w:eastAsia="Arial" w:hAnsi="Arial"/>
                <w:sz w:val="14"/>
                <w:szCs w:val="14"/>
                <w:b w:val="1"/>
                <w:bCs w:val="1"/>
                <w:color w:val="auto"/>
              </w:rPr>
              <w:t>Nine Months Ended December 31,</w:t>
            </w:r>
          </w:p>
        </w:tc>
        <w:tc>
          <w:tcPr>
            <w:tcW w:w="1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ind w:right="51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5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104,369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15,168</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15,861</w:t>
            </w:r>
          </w:p>
        </w:tc>
        <w:tc>
          <w:tcPr>
            <w:tcW w:w="24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(1,944)</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195"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OES segment revenue in the first nine months of fiscal 2020 was $104.4 million, an increase of $89.2 million from the first nine months of fiscal 2019, as a result of the increase in volume of turnkey projects to one large national account customer.</w:t>
      </w:r>
    </w:p>
    <w:p>
      <w:pPr>
        <w:spacing w:after="0" w:line="116" w:lineRule="exact"/>
        <w:rPr>
          <w:sz w:val="20"/>
          <w:szCs w:val="20"/>
          <w:color w:val="auto"/>
        </w:rPr>
      </w:pPr>
    </w:p>
    <w:p>
      <w:pPr>
        <w:ind w:firstLine="501"/>
        <w:spacing w:after="0" w:line="308" w:lineRule="auto"/>
        <w:rPr>
          <w:sz w:val="20"/>
          <w:szCs w:val="20"/>
          <w:color w:val="auto"/>
        </w:rPr>
      </w:pPr>
      <w:r>
        <w:rPr>
          <w:rFonts w:ascii="Arial" w:cs="Arial" w:eastAsia="Arial" w:hAnsi="Arial"/>
          <w:sz w:val="17"/>
          <w:szCs w:val="17"/>
          <w:color w:val="auto"/>
        </w:rPr>
        <w:t>OES segment operating income in the first nine months of fiscal 2020 was $15.9 million, an increase of $17.8 million from an operating loss of $2.0 million in the first nine months of fiscal 2019. The increase in the segment’s operating income was the result of significantly higher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7"/>
          </w:tcPr>
          <w:p>
            <w:pPr>
              <w:jc w:val="center"/>
              <w:ind w:left="194"/>
              <w:spacing w:after="0"/>
              <w:rPr>
                <w:sz w:val="20"/>
                <w:szCs w:val="20"/>
                <w:color w:val="auto"/>
              </w:rPr>
            </w:pPr>
            <w:r>
              <w:rPr>
                <w:rFonts w:ascii="Arial" w:cs="Arial" w:eastAsia="Arial" w:hAnsi="Arial"/>
                <w:sz w:val="14"/>
                <w:szCs w:val="14"/>
                <w:b w:val="1"/>
                <w:bCs w:val="1"/>
                <w:color w:val="auto"/>
                <w:w w:val="93"/>
              </w:rPr>
              <w:t>Nine Months Ended December 31,</w:t>
            </w:r>
          </w:p>
        </w:tc>
        <w:tc>
          <w:tcPr>
            <w:tcW w:w="1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260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ind w:right="519"/>
              <w:spacing w:after="0" w:line="13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tcPr>
          <w:p>
            <w:pPr>
              <w:spacing w:after="0"/>
              <w:rPr>
                <w:sz w:val="14"/>
                <w:szCs w:val="14"/>
                <w:color w:val="auto"/>
              </w:rPr>
            </w:pPr>
          </w:p>
        </w:tc>
        <w:tc>
          <w:tcPr>
            <w:tcW w:w="2600" w:type="dxa"/>
            <w:vAlign w:val="bottom"/>
            <w:tcBorders>
              <w:bottom w:val="single" w:sz="8" w:color="CFF0FC"/>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11,191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20,202</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Operating loss</w:t>
            </w:r>
          </w:p>
        </w:tc>
        <w:tc>
          <w:tcPr>
            <w:tcW w:w="2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(1,082)</w:t>
            </w:r>
          </w:p>
        </w:tc>
        <w:tc>
          <w:tcPr>
            <w:tcW w:w="2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6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1" w:name="page32"/>
    <w:bookmarkEnd w:id="31"/>
    <w:p>
      <w:pPr>
        <w:jc w:val="both"/>
        <w:ind w:firstLine="501"/>
        <w:spacing w:after="0" w:line="277" w:lineRule="auto"/>
        <w:rPr>
          <w:sz w:val="20"/>
          <w:szCs w:val="20"/>
          <w:color w:val="auto"/>
        </w:rPr>
      </w:pPr>
      <w:r>
        <w:rPr>
          <w:rFonts w:ascii="Arial" w:cs="Arial" w:eastAsia="Arial" w:hAnsi="Arial"/>
          <w:sz w:val="18"/>
          <w:szCs w:val="18"/>
          <w:color w:val="auto"/>
        </w:rPr>
        <w:t>ODS segment revenue decreased in the first nine months of fiscal 2020 by 44.6%, or $9.0 million, compared to the first nine months of fiscal 2019, primarily due to a decrease in sales volume through our distribution channel.</w:t>
      </w:r>
    </w:p>
    <w:p>
      <w:pPr>
        <w:spacing w:after="0" w:line="116"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ODS segment operating loss in the first nine months of fiscal 2020 was $(0.7 million), a decrease of $0.4 million from an operating loss of $(1.1 million) in the first nine months of fiscal 2019. The decrease in the operating loss in the first nine months of fiscal 2020 as compared to the first nine months of fiscal 2019 was primarily due to the decrease in sales and related product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Nine Months Ended December 31,</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2660" w:type="dxa"/>
            <w:vAlign w:val="bottom"/>
            <w:vMerge w:val="restart"/>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right"/>
              <w:ind w:right="51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CFF0FC"/>
            </w:tcBorders>
          </w:tcPr>
          <w:p>
            <w:pPr>
              <w:spacing w:after="0"/>
              <w:rPr>
                <w:sz w:val="14"/>
                <w:szCs w:val="14"/>
                <w:color w:val="auto"/>
              </w:rPr>
            </w:pPr>
          </w:p>
        </w:tc>
        <w:tc>
          <w:tcPr>
            <w:tcW w:w="2660" w:type="dxa"/>
            <w:vAlign w:val="bottom"/>
            <w:tcBorders>
              <w:bottom w:val="single" w:sz="8" w:color="CFF0FC"/>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9,389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7,941</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Operating income</w:t>
            </w:r>
          </w:p>
        </w:tc>
        <w:tc>
          <w:tcPr>
            <w:tcW w:w="352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1,750</w:t>
            </w:r>
          </w:p>
        </w:tc>
        <w:tc>
          <w:tcPr>
            <w:tcW w:w="240" w:type="dxa"/>
            <w:vAlign w:val="bottom"/>
          </w:tcPr>
          <w:p>
            <w:pPr>
              <w:spacing w:after="0"/>
              <w:rPr>
                <w:sz w:val="19"/>
                <w:szCs w:val="19"/>
                <w:color w:val="auto"/>
              </w:rPr>
            </w:pPr>
          </w:p>
        </w:tc>
        <w:tc>
          <w:tcPr>
            <w:tcW w:w="94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6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195"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USM segment revenue increased from the first nine months of fiscal 2019 by 18.2%, or $1.5 million. The increase in revenue during the first nine months of fiscal 2020 compared to the third quarter of fiscal 2019 was due to an increase in sales volume.</w:t>
      </w:r>
    </w:p>
    <w:p>
      <w:pPr>
        <w:spacing w:after="0" w:line="116" w:lineRule="exact"/>
        <w:rPr>
          <w:sz w:val="20"/>
          <w:szCs w:val="20"/>
          <w:color w:val="auto"/>
        </w:rPr>
      </w:pPr>
    </w:p>
    <w:p>
      <w:pPr>
        <w:jc w:val="both"/>
        <w:ind w:right="20" w:firstLine="501"/>
        <w:spacing w:after="0" w:line="308" w:lineRule="auto"/>
        <w:rPr>
          <w:sz w:val="20"/>
          <w:szCs w:val="20"/>
          <w:color w:val="auto"/>
        </w:rPr>
      </w:pPr>
      <w:r>
        <w:rPr>
          <w:rFonts w:ascii="Arial" w:cs="Arial" w:eastAsia="Arial" w:hAnsi="Arial"/>
          <w:sz w:val="17"/>
          <w:szCs w:val="17"/>
          <w:color w:val="auto"/>
        </w:rPr>
        <w:t>USM segment operating income for the first nine months of fiscal 2020 was $1.8 million, an increase of $1.0 million over the first nine months of fiscal 2019. The increase in operating income in the first nine months of fiscal 2019 was due primarily to the increase in sales volume.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We had approximately $13.8 million in cash and cash equivalents as of December 31, 2019, compared to $8.7 million at March 31, 2019. Our cash position increased as a result of our significantly increased net income, offset by working capital changes and the net repayment of $8.4 million on our revolving credit facility.</w:t>
      </w:r>
    </w:p>
    <w:p>
      <w:pPr>
        <w:spacing w:after="0" w:line="127"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During the third quarter of fiscal 2019, we listed our corporate office location in Manitowoc, Wisconsin for sale or lease to increase our liquidity by attempting to divest a non-core asset. Because of the uncertainty of a sale of our building in the next 12 months, the building continues to be classified as held and used as of December 31, 2019. However, any sale of our building will likely result in a non-cash impairment charge, as the building is currently listed for below its net book value.</w:t>
      </w:r>
    </w:p>
    <w:p>
      <w:pPr>
        <w:spacing w:after="0" w:line="133"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Our future liquidity needs and forecasted cash flows are dependent upon many factors, including our relative revenue, gross margins, cash management practices, cost reduction initiatives, working capital management, capital expenditures, pending or future litigation results and cost containment measures. In addition, we tend to experience higher working capital costs when we increase sales from existing levels.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nine months ended December 31, 2019 and 2018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Nine Months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6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14,275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(1,610)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Investing activities</w:t>
            </w:r>
          </w:p>
        </w:tc>
        <w:tc>
          <w:tcPr>
            <w:tcW w:w="2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2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(8,587)</w:t>
            </w: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(1,022)</w:t>
            </w: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(2,828)</w:t>
            </w:r>
          </w:p>
        </w:tc>
        <w:tc>
          <w:tcPr>
            <w:tcW w:w="12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provided by (used in) operating activities primarily consisted of a net income (loss) adjusted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non-cash items, including depreciation, amortization of intangible assets, stock-based compensation, amortization of debt issue costs, provisions for reserves, and the effect of changes in working capital and other activities.</w:t>
      </w:r>
    </w:p>
    <w:p>
      <w:pPr>
        <w:spacing w:after="0" w:line="127" w:lineRule="exact"/>
        <w:rPr>
          <w:sz w:val="20"/>
          <w:szCs w:val="20"/>
          <w:color w:val="auto"/>
        </w:rPr>
      </w:pPr>
    </w:p>
    <w:p>
      <w:pPr>
        <w:jc w:val="both"/>
        <w:ind w:firstLine="501"/>
        <w:spacing w:after="0" w:line="255" w:lineRule="auto"/>
        <w:rPr>
          <w:sz w:val="20"/>
          <w:szCs w:val="20"/>
          <w:color w:val="auto"/>
        </w:rPr>
      </w:pPr>
      <w:r>
        <w:rPr>
          <w:rFonts w:ascii="Arial" w:cs="Arial" w:eastAsia="Arial" w:hAnsi="Arial"/>
          <w:sz w:val="18"/>
          <w:szCs w:val="18"/>
          <w:color w:val="auto"/>
        </w:rPr>
        <w:t>Cash provided by operating activities for the first nine months of fiscal 2020 was $14.3 million and consisted of our net income adjusted for non-cash expense items of $15.1 million and net cash used by changes in operating assets and liabilities of $0.8 million. Cash used by changes in operating assets and liabilities consisted primarily of a decrease of $3.0 million in Accounts payable, and a decrease of $1.3 million in Accrued expenses and other based on timing of invoice receipt and payment. Cash provided by changes in operating assets and liabilities consisted primarily of a decrease of $3.0 million in Revenue earned but not billed due to the timing on revenue recognition compared to invoicing, and $1.0 million in Inventory primarily due to the timing of anticipated fourth quarter sales.</w:t>
      </w:r>
    </w:p>
    <w:p>
      <w:pPr>
        <w:spacing w:after="0" w:line="139" w:lineRule="exact"/>
        <w:rPr>
          <w:sz w:val="20"/>
          <w:szCs w:val="20"/>
          <w:color w:val="auto"/>
        </w:rPr>
      </w:pPr>
    </w:p>
    <w:p>
      <w:pPr>
        <w:jc w:val="both"/>
        <w:ind w:firstLine="501"/>
        <w:spacing w:after="0" w:line="255" w:lineRule="auto"/>
        <w:rPr>
          <w:sz w:val="20"/>
          <w:szCs w:val="20"/>
          <w:color w:val="auto"/>
        </w:rPr>
      </w:pPr>
      <w:r>
        <w:rPr>
          <w:rFonts w:ascii="Arial" w:cs="Arial" w:eastAsia="Arial" w:hAnsi="Arial"/>
          <w:sz w:val="18"/>
          <w:szCs w:val="18"/>
          <w:color w:val="auto"/>
        </w:rPr>
        <w:t>Cash used in operating activities for the first nine months of fiscal 2019 was ($1.6 million) and consisted of a net loss adjusted for non-cash expense items of ($3.8 million) and net cash provided by changes in operating assets and liabilities of $2.2 million. Cash used by changes in operating assets and liabilities consisted primarily of a decrease of $0.8 million in Revenue earned but not billed due to timing on revenue recognition compared to invoicing, and an increase in Inventory of $0.4 million on anticipated fourth quarter sales. Cash provided by changes in operating assets and liabilities consisted primarily of a decrease of $2.9 million in Accounts receivable due to lower sales and the timing of customer collections, and an increase of $0.6 million in Accounts payable based on timing of payments.</w:t>
      </w:r>
    </w:p>
    <w:p>
      <w:pPr>
        <w:spacing w:after="0" w:line="139"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i w:val="1"/>
          <w:iCs w:val="1"/>
          <w:color w:val="auto"/>
        </w:rPr>
        <w:t>Cash Flows Related to Investing Activities</w:t>
      </w:r>
      <w:r>
        <w:rPr>
          <w:rFonts w:ascii="Arial" w:cs="Arial" w:eastAsia="Arial" w:hAnsi="Arial"/>
          <w:sz w:val="18"/>
          <w:szCs w:val="18"/>
          <w:color w:val="auto"/>
        </w:rPr>
        <w:t>. Cash used in investing activities of ($0.7 million) in the first nine months of fiscal 2020 consisted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property and equipment.</w:t>
      </w:r>
    </w:p>
    <w:p>
      <w:pPr>
        <w:spacing w:after="0" w:line="116"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Cash used in investing activities in the first nine months of fiscal 2019 consisted of purchases of property and equipment and additions to patents and licenses.</w:t>
      </w:r>
    </w:p>
    <w:p>
      <w:pPr>
        <w:spacing w:after="0" w:line="116"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used in financing activities of ($8.6 million) in the first nine months of fiscal 2020. This use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primarily of net repayments of ($8.4 million) on our revolving credit facility.</w:t>
      </w:r>
    </w:p>
    <w:p>
      <w:pPr>
        <w:spacing w:after="0" w:line="116" w:lineRule="exact"/>
        <w:rPr>
          <w:sz w:val="20"/>
          <w:szCs w:val="20"/>
          <w:color w:val="auto"/>
        </w:rPr>
      </w:pPr>
    </w:p>
    <w:p>
      <w:pPr>
        <w:jc w:val="both"/>
        <w:ind w:firstLine="501"/>
        <w:spacing w:after="0" w:line="308" w:lineRule="auto"/>
        <w:rPr>
          <w:sz w:val="20"/>
          <w:szCs w:val="20"/>
          <w:color w:val="auto"/>
        </w:rPr>
      </w:pPr>
      <w:r>
        <w:rPr>
          <w:rFonts w:ascii="Arial" w:cs="Arial" w:eastAsia="Arial" w:hAnsi="Arial"/>
          <w:sz w:val="17"/>
          <w:szCs w:val="17"/>
          <w:color w:val="auto"/>
        </w:rPr>
        <w:t>Cash used in financing activities of ($1.0 million) in the first nine months of fiscal 2019. This use of cash consisted primarily of net repayments of ($0.6 million) of our new and prior revolving credit facility and debt issue costs associated with our Credit Agreement (defined below) of ($0.4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jc w:val="both"/>
        <w:ind w:firstLine="501"/>
        <w:spacing w:after="0" w:line="272" w:lineRule="auto"/>
        <w:rPr>
          <w:sz w:val="20"/>
          <w:szCs w:val="20"/>
          <w:color w:val="auto"/>
        </w:rPr>
      </w:pPr>
      <w:r>
        <w:rPr>
          <w:rFonts w:ascii="Arial" w:cs="Arial" w:eastAsia="Arial" w:hAnsi="Arial"/>
          <w:sz w:val="17"/>
          <w:szCs w:val="17"/>
          <w:color w:val="auto"/>
        </w:rPr>
        <w:t>Our net working capital as of December 31, 2019 was $19.4 million, consisting of $42.7 million in current assets and $23.3 million in current liabilities. Our net working capital as of March 31, 2019 was $14.0 million, consisting of $41.4 million in current assets and $27.3 in current liabilities. Our current Accounts receivable, net balance increased by $0.4 million from the fiscal 2019 year-end primarily due to higher sales to one national account customer and the timing of customer collections. Our Inventories, net decreased from the fiscal 2019 year-end by $1.2 million due primarily to the timing of project installations and anticipated fourth quarter sales. Our Accounts payable decreased $2.8 million due to the timing of purchases and payments during the quarter. Our Accrued expenses decreased from our fiscal 2019 year-end by $1.2 million due primarily to a decrease in accrued project costs due to timing of project installation and invoice receipt, offset by higher accrued commissions, as a result of higher sales.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3" w:name="page34"/>
    <w:bookmarkEnd w:id="33"/>
    <w:p>
      <w:pPr>
        <w:jc w:val="both"/>
        <w:ind w:firstLine="501"/>
        <w:spacing w:after="0" w:line="264"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 Inventory and payables may increase to the extent our revenue and order levels increase.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501"/>
        <w:spacing w:after="0" w:line="268" w:lineRule="auto"/>
        <w:rPr>
          <w:sz w:val="20"/>
          <w:szCs w:val="20"/>
          <w:color w:val="auto"/>
        </w:rPr>
      </w:pPr>
      <w:r>
        <w:rPr>
          <w:rFonts w:ascii="Arial" w:cs="Arial" w:eastAsia="Arial" w:hAnsi="Arial"/>
          <w:sz w:val="17"/>
          <w:szCs w:val="17"/>
          <w:color w:val="auto"/>
        </w:rPr>
        <w:t>On October 26, 2018, we entered into a secured revolving Business Financing Agreement with Western Alliance Bank, as lender (the “Credit Agreement”). On June 3, 2019, we and certain of our subsidiaries entered into an amendment (the “First Amendment”) to the Credit Agreement, which increased the maximum borrowing base credit available for certain of the customer receivables included in our borrowing base and provided for a borrowing base credit of up to $3.0 million based on inventory, in each case, subject to certain conditions. On August 2, 2019, we and certain of our subsidiaries entered into a second amendment (the “Second Amendment”) to the Credit Agreement, which established a rent reserve in an amount equal to three months’ rent payable at any leased location where we maintain inventory included in our borrowing base and provided for a reduction of the borrowing base credit that we may receive for inventory if we default under the lease for any such location. As of the date of the Second Amendment, this rent reserve equaled $0.1 million. On November 21, 2019, we entered into a third amendment (the “Third Amendment”) to the Credit Agreement, which extended the maturity date from October 26, 2020 to October 26, 2021; increased the sublimit under the Credit Agreement for advances under business credit cards from $1.5 million to $3 million; created a new $2 million sublimit permitting entry into foreign currency forward contracts with the lender; expanded our ability to make capital expenditures and incur other debt from time to time; and permitted the lender to amend the financial covenant included in the Credit Agreement (which requires the maintenance of a certain amount of unrestricted cash on deposit with the lender at the end of each month) upon receipt of the our annual projections.</w:t>
      </w:r>
    </w:p>
    <w:p>
      <w:pPr>
        <w:spacing w:after="0" w:line="134" w:lineRule="exact"/>
        <w:rPr>
          <w:sz w:val="20"/>
          <w:szCs w:val="20"/>
          <w:color w:val="auto"/>
        </w:rPr>
      </w:pPr>
    </w:p>
    <w:p>
      <w:pPr>
        <w:jc w:val="both"/>
        <w:ind w:firstLine="501"/>
        <w:spacing w:after="0" w:line="276" w:lineRule="auto"/>
        <w:rPr>
          <w:sz w:val="20"/>
          <w:szCs w:val="20"/>
          <w:color w:val="auto"/>
        </w:rPr>
      </w:pPr>
      <w:r>
        <w:rPr>
          <w:rFonts w:ascii="Arial" w:cs="Arial" w:eastAsia="Arial" w:hAnsi="Arial"/>
          <w:sz w:val="17"/>
          <w:szCs w:val="17"/>
          <w:color w:val="auto"/>
        </w:rPr>
        <w:t>The Credit Agreement, as amended, provides for a revolving credit facility (the “Credit Facility”) that matures on October 26, 2021. Borrowings under the Credit Facility are limited to $20.15 million subject to a borrowing base requirement based on eligible receivables and inventory. The Credit Agreement includes a $2.0 million sublimit for the issuance of letters of credit. As of December 31, 2019, our borrowing base was $14.7 million, and we had $0.8 million in borrowings outstanding which were included in non-current liabilities in the accompanying Condensed Consolidated Balance Sheets. As of December 31, 2019, we had no outstanding letters of credit leaving total additional borrowing availability of $13.9 million.</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is secured by a security interest in substantially all of our and our subsidiaries’ personal property.</w:t>
      </w:r>
    </w:p>
    <w:p>
      <w:pPr>
        <w:spacing w:after="0" w:line="171"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Borrowings under the Credit Agreement generally bear interest at floating rates based upon the prime rate (but not less than 5.00% per year) plus an applicable margin determined by reference to our quick ratio (defined as the aggregate amount of unrestricted cash, unrestricted marketable securities and, with certain adjustments, receivables convertible into cash divided by the total current liabilities, including the obligations under the Credit Agreement). As of December 31, 2019, the applicable interest rate was 5.25%. Among other fees, we are required to pay an annual facility fee equal to 0.45% of the credit limit under the Credit Agreement due annually October 26.</w:t>
      </w:r>
    </w:p>
    <w:p>
      <w:pPr>
        <w:spacing w:after="0" w:line="134"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The Credit Agreement requires us to maintain nine months’ of “RML” as of the end of each month. For purposes of the Credit Agreement, RML is defined as, as of the applicable determination date, unrestricted cash on deposit with the lender plus availability under the Credit Agreement divided by an amount equal to, for the applicable trailing three-month period, consolidated net profit before tax, plus depreciation expense, amortization expense and stock-based compensation, minus capital lease principal payments, tested as of the end of each month. As of December 31, 2019, we were in compliance with this RML requirement.</w:t>
      </w:r>
    </w:p>
    <w:p>
      <w:pPr>
        <w:spacing w:after="0" w:line="134" w:lineRule="exact"/>
        <w:rPr>
          <w:sz w:val="20"/>
          <w:szCs w:val="20"/>
          <w:color w:val="auto"/>
        </w:rPr>
      </w:pPr>
    </w:p>
    <w:p>
      <w:pPr>
        <w:jc w:val="both"/>
        <w:ind w:firstLine="501"/>
        <w:spacing w:after="0" w:line="255" w:lineRule="auto"/>
        <w:rPr>
          <w:sz w:val="20"/>
          <w:szCs w:val="20"/>
          <w:color w:val="auto"/>
        </w:rPr>
      </w:pPr>
      <w:r>
        <w:rPr>
          <w:rFonts w:ascii="Arial" w:cs="Arial" w:eastAsia="Arial" w:hAnsi="Arial"/>
          <w:sz w:val="18"/>
          <w:szCs w:val="18"/>
          <w:color w:val="auto"/>
        </w:rPr>
        <w:t>The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we become the subject of voluntary or involuntary proceedings under any bankruptcy or similar law, then any outstanding obligations under the Credit Agreement will automatically become immediately due and payable.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Capital Spending</w:t>
      </w:r>
    </w:p>
    <w:p>
      <w:pPr>
        <w:spacing w:after="0" w:line="175"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Our capital expenditures are primarily for general corporate purposes for our corporate headquarters and technology center, production equipment and tooling and for information technology systems. Our capital expenditures totaled $0.6 million and $0.2 million for the nine-month periods ended December 31, 2019, and 2018, respectively. We plan to incur approximately $0.7 million in capital expenditures in fiscal 2020. We expect to finance these capital expenditures primarily through our existing cash, equipment-secured loans and leases, to the extent needed, long-term debt financing, or by using our available capacity under our Credit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Backlog represents the amount of revenue that we expect to realize in the future as a result of firm, committed purchase orders. Backlog totaled $19.2 million and $10.8 million as of December 31, 2019 and March 31, 2019, respectively. We generally expect our backlog to be recognized as revenue within one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 off-balance sheet arrangements.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501"/>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2019. For the nine months ended December 31, 2019, there were no material changes in our accounting policies.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2 in the Condensed Consolidated Financial Statements included elsewhere in this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35" w:name="page36"/>
    <w:bookmarkEnd w:id="35"/>
    <w:p>
      <w:pPr>
        <w:spacing w:after="0"/>
        <w:tabs>
          <w:tab w:leader="none" w:pos="13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ind w:firstLine="501"/>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2019. There have been no material changes to such exposures since March 31, 2019.</w:t>
      </w:r>
    </w:p>
    <w:p>
      <w:pPr>
        <w:spacing w:after="0" w:line="183"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83" w:lineRule="exact"/>
        <w:rPr>
          <w:sz w:val="20"/>
          <w:szCs w:val="20"/>
          <w:color w:val="auto"/>
        </w:rPr>
      </w:pPr>
    </w:p>
    <w:p>
      <w:pPr>
        <w:jc w:val="both"/>
        <w:ind w:firstLine="501"/>
        <w:spacing w:after="0" w:line="308" w:lineRule="auto"/>
        <w:rPr>
          <w:sz w:val="20"/>
          <w:szCs w:val="20"/>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93"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firstLine="501"/>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 Based on that assessment, our Chief Executive Officer and Chief Financial Officer concluded that our disclosure controls and procedures as of December 31, 2019 are effective.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Effective April 1, 2019, we adopted Topic 842, “Leasing” ("ASC 842"). Although the adoption of this standard did not have a material impact on our financial results, we have implemented changes to our controls related to leases. These changes include enhanced reviews to ensure completeness of the lease population, evaluation of lease classification, and additional ongoing monitoring activities. These enhanced controls are designed to provide reasonable assurance of the fair presentation of our financial statements and related disclosures.</w:t>
      </w:r>
    </w:p>
    <w:p>
      <w:pPr>
        <w:spacing w:after="0" w:line="133"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There were no additional changes in our internal control over financial reporting during the quarter ended December 31, 2019,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501"/>
        <w:spacing w:after="0" w:line="277" w:lineRule="auto"/>
        <w:rPr>
          <w:sz w:val="20"/>
          <w:szCs w:val="20"/>
          <w:color w:val="auto"/>
        </w:rPr>
      </w:pPr>
      <w:r>
        <w:rPr>
          <w:rFonts w:ascii="Arial" w:cs="Arial" w:eastAsia="Arial" w:hAnsi="Arial"/>
          <w:sz w:val="18"/>
          <w:szCs w:val="18"/>
          <w:color w:val="auto"/>
        </w:rPr>
        <w:t>We are subject to various claims and legal proceedings arising in the ordinary course of business. We do not believe the final resolution of any of such claims or legal proceedings will have a material adverse effect on Orion’s future results of operations or financial condition.</w:t>
      </w:r>
    </w:p>
    <w:p>
      <w:pPr>
        <w:spacing w:after="0" w:line="116" w:lineRule="exact"/>
        <w:rPr>
          <w:sz w:val="20"/>
          <w:szCs w:val="20"/>
          <w:color w:val="auto"/>
        </w:rPr>
      </w:pPr>
    </w:p>
    <w:p>
      <w:pPr>
        <w:jc w:val="both"/>
        <w:ind w:right="20" w:firstLine="501"/>
        <w:spacing w:after="0" w:line="277" w:lineRule="auto"/>
        <w:rPr>
          <w:sz w:val="20"/>
          <w:szCs w:val="20"/>
          <w:color w:val="auto"/>
        </w:rPr>
      </w:pPr>
      <w:r>
        <w:rPr>
          <w:rFonts w:ascii="Arial" w:cs="Arial" w:eastAsia="Arial" w:hAnsi="Arial"/>
          <w:sz w:val="18"/>
          <w:szCs w:val="18"/>
          <w:color w:val="auto"/>
        </w:rPr>
        <w:t>See Note 14, "Commitments and Contingencies - Litigation", to the Condensed Consolidated Financial Statements in Item 1 of this Quarterly Report on Form 10-Q.</w:t>
      </w:r>
    </w:p>
    <w:p>
      <w:pPr>
        <w:spacing w:after="0" w:line="20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right="20" w:firstLine="501"/>
        <w:spacing w:after="0" w:line="257"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2019, which we filed with the SEC on June 5, 2019 and in Part 1 - Item 2 under the heading "Management's Discussion and Analysis of Financial Condition and Results of Operations" in this Form 10-Q.</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7" w:name="page38"/>
    <w:bookmarkEnd w:id="37"/>
    <w:p>
      <w:pPr>
        <w:spacing w:after="0"/>
        <w:tabs>
          <w:tab w:leader="none" w:pos="13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1"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ind w:left="100"/>
              <w:spacing w:after="0"/>
              <w:rPr>
                <w:sz w:val="20"/>
                <w:szCs w:val="20"/>
                <w:color w:val="auto"/>
              </w:rPr>
            </w:pPr>
            <w:r>
              <w:rPr>
                <w:rFonts w:ascii="Arial" w:cs="Arial" w:eastAsia="Arial" w:hAnsi="Arial"/>
                <w:sz w:val="18"/>
                <w:szCs w:val="18"/>
                <w:color w:val="auto"/>
              </w:rPr>
              <w:t>10.1</w:t>
            </w:r>
          </w:p>
        </w:tc>
        <w:tc>
          <w:tcPr>
            <w:tcW w:w="10020" w:type="dxa"/>
            <w:vAlign w:val="bottom"/>
            <w:tcBorders>
              <w:bottom w:val="single" w:sz="8" w:color="0000EE"/>
            </w:tcBorders>
            <w:gridSpan w:val="6"/>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Amendment No. 3 to Business Financing Agreement dated as of November 21, 2019 among Orion Energy Systems, Inc., Western Alliance</w:t>
              </w:r>
            </w:hyperlink>
          </w:p>
        </w:tc>
        <w:tc>
          <w:tcPr>
            <w:tcW w:w="20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Bank, as lender, and the subsidiary borrowers party thereto. [Incorporated by reference to Exhibit 10.1 to the Registrant's Current Report on</w:t>
              </w:r>
            </w:hyperlink>
          </w:p>
        </w:tc>
        <w:tc>
          <w:tcPr>
            <w:tcW w:w="16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Form 8-K filed with Securities and Exchange Commission on November 22, 2019 (File No. 001-33887)]</w:t>
              </w:r>
            </w:hyperlink>
          </w:p>
        </w:tc>
      </w:tr>
      <w:tr>
        <w:trPr>
          <w:trHeight w:val="20"/>
        </w:trPr>
        <w:tc>
          <w:tcPr>
            <w:tcW w:w="11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31.1</w:t>
            </w:r>
          </w:p>
        </w:tc>
        <w:tc>
          <w:tcPr>
            <w:tcW w:w="101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Certification of Chief Executive Officer of Orion Energy Systems, Inc. pursuant to Rule 13a-14(a) or Rule 15d-14(a) promulgated under the</w:t>
              </w:r>
            </w:hyperlink>
          </w:p>
        </w:tc>
        <w:tc>
          <w:tcPr>
            <w:tcW w:w="1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Securities Exchange Act of 1934, as amended.+</w:t>
              </w:r>
            </w:hyperlink>
          </w:p>
        </w:tc>
      </w:tr>
      <w:tr>
        <w:trPr>
          <w:trHeight w:val="20"/>
        </w:trPr>
        <w:tc>
          <w:tcPr>
            <w:tcW w:w="11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31.2</w:t>
            </w:r>
          </w:p>
        </w:tc>
        <w:tc>
          <w:tcPr>
            <w:tcW w:w="10220" w:type="dxa"/>
            <w:vAlign w:val="bottom"/>
            <w:gridSpan w:val="10"/>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Certification of Chief Financial Officer of Orion Energy Systems, Inc. pursuant to Rule 13a-14(a) or Rule 15d-14(a) promulgated under the</w:t>
              </w:r>
            </w:hyperlink>
          </w:p>
        </w:tc>
      </w:tr>
      <w:tr>
        <w:trPr>
          <w:trHeight w:val="196"/>
        </w:trPr>
        <w:tc>
          <w:tcPr>
            <w:tcW w:w="1120" w:type="dxa"/>
            <w:vAlign w:val="bottom"/>
          </w:tcPr>
          <w:p>
            <w:pPr>
              <w:spacing w:after="0"/>
              <w:rPr>
                <w:sz w:val="17"/>
                <w:szCs w:val="17"/>
                <w:color w:val="auto"/>
              </w:rPr>
            </w:pPr>
          </w:p>
        </w:tc>
        <w:tc>
          <w:tcPr>
            <w:tcW w:w="100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Securities Exchange Act of 1934, as amended.+</w:t>
              </w:r>
            </w:hyperlink>
          </w:p>
        </w:tc>
        <w:tc>
          <w:tcPr>
            <w:tcW w:w="180" w:type="dxa"/>
            <w:vAlign w:val="bottom"/>
            <w:gridSpan w:val="3"/>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32.1</w:t>
            </w:r>
          </w:p>
        </w:tc>
        <w:tc>
          <w:tcPr>
            <w:tcW w:w="10220" w:type="dxa"/>
            <w:vAlign w:val="bottom"/>
            <w:gridSpan w:val="10"/>
          </w:tcPr>
          <w:p>
            <w:pPr>
              <w:spacing w:after="0"/>
              <w:rPr>
                <w:rFonts w:ascii="Arial" w:cs="Arial" w:eastAsia="Arial" w:hAnsi="Arial"/>
                <w:sz w:val="18"/>
                <w:szCs w:val="18"/>
                <w:color w:val="0000EE"/>
                <w:w w:val="98"/>
              </w:rPr>
            </w:pPr>
            <w:hyperlink w:anchor="page42">
              <w:r>
                <w:rPr>
                  <w:rFonts w:ascii="Arial" w:cs="Arial" w:eastAsia="Arial" w:hAnsi="Arial"/>
                  <w:sz w:val="18"/>
                  <w:szCs w:val="18"/>
                  <w:color w:val="0000EE"/>
                  <w:w w:val="98"/>
                </w:rPr>
                <w:t>Certification of Chief Executive Officer of Orion Energy Systems, Inc. pursuant to Rule 13a-14(b) promulgated under the Securities</w:t>
              </w:r>
            </w:hyperlink>
          </w:p>
        </w:tc>
      </w:tr>
      <w:tr>
        <w:trPr>
          <w:trHeight w:val="20"/>
        </w:trPr>
        <w:tc>
          <w:tcPr>
            <w:tcW w:w="1120" w:type="dxa"/>
            <w:vAlign w:val="bottom"/>
          </w:tcPr>
          <w:p>
            <w:pPr>
              <w:spacing w:after="0" w:line="20" w:lineRule="exact"/>
              <w:rPr>
                <w:sz w:val="1"/>
                <w:szCs w:val="1"/>
                <w:color w:val="auto"/>
              </w:rPr>
            </w:pPr>
          </w:p>
        </w:tc>
        <w:tc>
          <w:tcPr>
            <w:tcW w:w="9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Exchange Act of 1934, as amended, and 18 U.S.C. Section 1350, as adopted pursuant to Section 906 of the Sarbanes-Oxley Act of 2002.+</w:t>
              </w:r>
            </w:hyperlink>
          </w:p>
        </w:tc>
      </w:tr>
      <w:tr>
        <w:trPr>
          <w:trHeight w:val="20"/>
        </w:trPr>
        <w:tc>
          <w:tcPr>
            <w:tcW w:w="1120" w:type="dxa"/>
            <w:vAlign w:val="bottom"/>
          </w:tcPr>
          <w:p>
            <w:pPr>
              <w:spacing w:after="0" w:line="20" w:lineRule="exact"/>
              <w:rPr>
                <w:sz w:val="1"/>
                <w:szCs w:val="1"/>
                <w:color w:val="auto"/>
              </w:rPr>
            </w:pPr>
          </w:p>
        </w:tc>
        <w:tc>
          <w:tcPr>
            <w:tcW w:w="920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32.2</w:t>
            </w:r>
          </w:p>
        </w:tc>
        <w:tc>
          <w:tcPr>
            <w:tcW w:w="102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Certification of Chief Financial Officer of Orion Energy Systems, Inc. pursuant to Rule 13a-14(b) promulgated under the Securities Exchange</w:t>
              </w:r>
            </w:hyperlink>
          </w:p>
        </w:tc>
      </w:tr>
      <w:tr>
        <w:trPr>
          <w:trHeight w:val="196"/>
        </w:trPr>
        <w:tc>
          <w:tcPr>
            <w:tcW w:w="1120" w:type="dxa"/>
            <w:vAlign w:val="bottom"/>
          </w:tcPr>
          <w:p>
            <w:pPr>
              <w:spacing w:after="0"/>
              <w:rPr>
                <w:sz w:val="17"/>
                <w:szCs w:val="17"/>
                <w:color w:val="auto"/>
              </w:rPr>
            </w:pPr>
          </w:p>
        </w:tc>
        <w:tc>
          <w:tcPr>
            <w:tcW w:w="92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Act of 1934, as amended, and 18 U.S.C. Section 1350, as adopted pursuant to Section 906 of the Sarbanes-Oxley Act of 2002.+</w:t>
              </w:r>
            </w:hyperlink>
          </w:p>
        </w:tc>
        <w:tc>
          <w:tcPr>
            <w:tcW w:w="1020" w:type="dxa"/>
            <w:vAlign w:val="bottom"/>
            <w:gridSpan w:val="7"/>
          </w:tcPr>
          <w:p>
            <w:pPr>
              <w:spacing w:after="0"/>
              <w:rPr>
                <w:sz w:val="17"/>
                <w:szCs w:val="17"/>
                <w:color w:val="auto"/>
              </w:rPr>
            </w:pPr>
          </w:p>
        </w:tc>
      </w:tr>
      <w:tr>
        <w:trPr>
          <w:trHeight w:val="358"/>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10"/>
          </w:tcPr>
          <w:p>
            <w:pPr>
              <w:spacing w:after="0"/>
              <w:rPr>
                <w:sz w:val="20"/>
                <w:szCs w:val="20"/>
                <w:color w:val="auto"/>
              </w:rPr>
            </w:pPr>
            <w:r>
              <w:rPr>
                <w:rFonts w:ascii="Arial" w:cs="Arial" w:eastAsia="Arial" w:hAnsi="Arial"/>
                <w:sz w:val="18"/>
                <w:szCs w:val="18"/>
                <w:color w:val="auto"/>
              </w:rPr>
              <w:t>Taxonomy extension schema document+</w:t>
            </w:r>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10"/>
          </w:tcPr>
          <w:p>
            <w:pPr>
              <w:spacing w:after="0"/>
              <w:rPr>
                <w:sz w:val="20"/>
                <w:szCs w:val="20"/>
                <w:color w:val="auto"/>
              </w:rPr>
            </w:pPr>
            <w:r>
              <w:rPr>
                <w:rFonts w:ascii="Arial" w:cs="Arial" w:eastAsia="Arial" w:hAnsi="Arial"/>
                <w:sz w:val="18"/>
                <w:szCs w:val="18"/>
                <w:color w:val="auto"/>
              </w:rPr>
              <w:t>Taxonomy extension calculation linkbase document+</w:t>
            </w:r>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10"/>
          </w:tcPr>
          <w:p>
            <w:pPr>
              <w:spacing w:after="0"/>
              <w:rPr>
                <w:sz w:val="20"/>
                <w:szCs w:val="20"/>
                <w:color w:val="auto"/>
              </w:rPr>
            </w:pPr>
            <w:r>
              <w:rPr>
                <w:rFonts w:ascii="Arial" w:cs="Arial" w:eastAsia="Arial" w:hAnsi="Arial"/>
                <w:sz w:val="18"/>
                <w:szCs w:val="18"/>
                <w:color w:val="auto"/>
              </w:rPr>
              <w:t>Taxonomy extension definition linkbase document+</w:t>
            </w:r>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10"/>
          </w:tcPr>
          <w:p>
            <w:pPr>
              <w:spacing w:after="0"/>
              <w:rPr>
                <w:sz w:val="20"/>
                <w:szCs w:val="20"/>
                <w:color w:val="auto"/>
              </w:rPr>
            </w:pPr>
            <w:r>
              <w:rPr>
                <w:rFonts w:ascii="Arial" w:cs="Arial" w:eastAsia="Arial" w:hAnsi="Arial"/>
                <w:sz w:val="18"/>
                <w:szCs w:val="18"/>
                <w:color w:val="auto"/>
              </w:rPr>
              <w:t>Taxonomy extension label linkbase document+</w:t>
            </w:r>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10"/>
          </w:tcPr>
          <w:p>
            <w:pPr>
              <w:spacing w:after="0"/>
              <w:rPr>
                <w:sz w:val="20"/>
                <w:szCs w:val="20"/>
                <w:color w:val="auto"/>
              </w:rPr>
            </w:pPr>
            <w:r>
              <w:rPr>
                <w:rFonts w:ascii="Arial" w:cs="Arial" w:eastAsia="Arial" w:hAnsi="Arial"/>
                <w:sz w:val="18"/>
                <w:szCs w:val="18"/>
                <w:color w:val="auto"/>
              </w:rPr>
              <w:t>Taxonomy extension presentation linkbase document+</w:t>
            </w:r>
          </w:p>
        </w:tc>
      </w:tr>
    </w:tbl>
    <w:p>
      <w:pPr>
        <w:spacing w:after="0" w:line="202"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right="20" w:firstLine="50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February 6, 2020.</w:t>
      </w:r>
    </w:p>
    <w:p>
      <w:pPr>
        <w:spacing w:after="0" w:line="17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Registrant</w:t>
      </w:r>
    </w:p>
    <w:p>
      <w:pPr>
        <w:spacing w:after="0" w:line="197" w:lineRule="exact"/>
        <w:rPr>
          <w:sz w:val="20"/>
          <w:szCs w:val="20"/>
          <w:color w:val="auto"/>
        </w:rPr>
      </w:pPr>
    </w:p>
    <w:tbl>
      <w:tblPr>
        <w:tblLayout w:type="fixed"/>
        <w:tblInd w:w="516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T. Hull</w:t>
            </w:r>
          </w:p>
        </w:tc>
      </w:tr>
      <w:tr>
        <w:trPr>
          <w:trHeight w:val="195"/>
        </w:trPr>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William T. Hull</w:t>
            </w:r>
          </w:p>
        </w:tc>
      </w:tr>
      <w:tr>
        <w:trPr>
          <w:trHeight w:val="216"/>
        </w:trPr>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Officer and Authorized Signatory)</w:t>
            </w:r>
          </w:p>
        </w:tc>
      </w:tr>
      <w:tr>
        <w:trPr>
          <w:trHeight w:val="648"/>
        </w:trPr>
        <w:tc>
          <w:tcPr>
            <w:tcW w:w="340" w:type="dxa"/>
            <w:vAlign w:val="bottom"/>
          </w:tcPr>
          <w:p>
            <w:pPr>
              <w:spacing w:after="0"/>
              <w:rPr>
                <w:sz w:val="24"/>
                <w:szCs w:val="24"/>
                <w:color w:val="auto"/>
              </w:rPr>
            </w:pPr>
          </w:p>
        </w:tc>
        <w:tc>
          <w:tcPr>
            <w:tcW w:w="5920" w:type="dxa"/>
            <w:vAlign w:val="bottom"/>
            <w:gridSpan w:val="2"/>
          </w:tcPr>
          <w:p>
            <w:pPr>
              <w:jc w:val="right"/>
              <w:ind w:right="553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33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Michael W. Altschaefl, certify that:</w:t>
      </w:r>
    </w:p>
    <w:p>
      <w:pPr>
        <w:spacing w:after="0" w:line="225"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5" w:lineRule="exact"/>
        <w:rPr>
          <w:rFonts w:ascii="Arial" w:cs="Arial" w:eastAsia="Arial" w:hAnsi="Arial"/>
          <w:sz w:val="18"/>
          <w:szCs w:val="18"/>
          <w:color w:val="auto"/>
        </w:rPr>
      </w:pPr>
    </w:p>
    <w:p>
      <w:pPr>
        <w:jc w:val="both"/>
        <w:ind w:left="480" w:right="460" w:hanging="472"/>
        <w:spacing w:after="0" w:line="264"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80" w:right="440" w:hanging="472"/>
        <w:spacing w:after="0" w:line="308"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80" w:right="40" w:hanging="472"/>
        <w:spacing w:after="0" w:line="264"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260" w:hanging="479"/>
        <w:spacing w:after="0" w:line="264"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60" w:right="580" w:hanging="479"/>
        <w:spacing w:after="0" w:line="264"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60" w:right="740" w:hanging="479"/>
        <w:spacing w:after="0" w:line="342" w:lineRule="auto"/>
        <w:tabs>
          <w:tab w:leader="none" w:pos="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240" w:hanging="479"/>
        <w:spacing w:after="0" w:line="264"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80" w:right="360" w:hanging="472"/>
        <w:spacing w:after="0" w:line="308"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160" w:hanging="479"/>
        <w:spacing w:after="0" w:line="277"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60" w:right="120" w:hanging="479"/>
        <w:spacing w:after="0" w:line="277"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2020</w:t>
      </w:r>
    </w:p>
    <w:p>
      <w:pPr>
        <w:spacing w:after="0" w:line="252"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Michael W. Altschaefl</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-130810</wp:posOffset>
            </wp:positionV>
            <wp:extent cx="22980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William T. Hull, certify that:</w:t>
      </w:r>
    </w:p>
    <w:p>
      <w:pPr>
        <w:spacing w:after="0" w:line="225"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5" w:lineRule="exact"/>
        <w:rPr>
          <w:rFonts w:ascii="Arial" w:cs="Arial" w:eastAsia="Arial" w:hAnsi="Arial"/>
          <w:sz w:val="18"/>
          <w:szCs w:val="18"/>
          <w:color w:val="auto"/>
        </w:rPr>
      </w:pPr>
    </w:p>
    <w:p>
      <w:pPr>
        <w:jc w:val="both"/>
        <w:ind w:left="480" w:right="460" w:hanging="472"/>
        <w:spacing w:after="0" w:line="264"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80" w:right="440" w:hanging="472"/>
        <w:spacing w:after="0" w:line="308" w:lineRule="auto"/>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80" w:right="40" w:hanging="472"/>
        <w:spacing w:after="0" w:line="264"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260" w:hanging="479"/>
        <w:spacing w:after="0" w:line="264"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60" w:right="580" w:hanging="479"/>
        <w:spacing w:after="0" w:line="264"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60" w:right="740" w:hanging="479"/>
        <w:spacing w:after="0" w:line="342"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240" w:hanging="479"/>
        <w:spacing w:after="0" w:line="264"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80" w:right="360" w:hanging="472"/>
        <w:spacing w:after="0" w:line="308" w:lineRule="auto"/>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160" w:hanging="479"/>
        <w:spacing w:after="0" w:line="277"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60" w:right="120" w:hanging="479"/>
        <w:spacing w:after="0" w:line="277"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2020</w:t>
      </w:r>
    </w:p>
    <w:p>
      <w:pPr>
        <w:spacing w:after="0" w:line="252"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William T. Hull</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-130810</wp:posOffset>
            </wp:positionV>
            <wp:extent cx="22980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December 31, 2019, as filed with the Securities and Exchange Commission on the date hereof (the “Report”), I, Michael W. Altschaefl, Chief Executive Officer of the Company, certify, pursuant to 18 U.S.C. 1350, as adopted pursuant to Section 906 of the Sarbanes-Oxley Act of 2002, that, based on my knowledge:</w:t>
      </w:r>
    </w:p>
    <w:p>
      <w:pPr>
        <w:spacing w:after="0" w:line="79" w:lineRule="exact"/>
        <w:rPr>
          <w:sz w:val="20"/>
          <w:szCs w:val="20"/>
          <w:color w:val="auto"/>
        </w:rPr>
      </w:pPr>
    </w:p>
    <w:p>
      <w:pPr>
        <w:ind w:left="960" w:hanging="479"/>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60" w:hanging="479"/>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Date: February 6, 2020</w:t>
      </w:r>
    </w:p>
    <w:p>
      <w:pPr>
        <w:spacing w:after="0" w:line="22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Michael W. Altschaefl</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-130810</wp:posOffset>
            </wp:positionV>
            <wp:extent cx="22980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December 31, 2019, as filed with the Securities and Exchange Commission on the date hereof (the “Report”), I, William T. Hull, Chief Financial Officer of the Company, certify, pursuant to 18 U.S.C. 1350, as adopted pursuant to Section 906 of the Sarbanes-Oxley Act of 2002, that, based on my knowledge:</w:t>
      </w:r>
    </w:p>
    <w:p>
      <w:pPr>
        <w:spacing w:after="0" w:line="39" w:lineRule="exact"/>
        <w:rPr>
          <w:sz w:val="20"/>
          <w:szCs w:val="20"/>
          <w:color w:val="auto"/>
        </w:rPr>
      </w:pPr>
    </w:p>
    <w:p>
      <w:pPr>
        <w:ind w:left="960" w:hanging="479"/>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60" w:hanging="479"/>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Date: February 6, 2020</w:t>
      </w:r>
    </w:p>
    <w:p>
      <w:pPr>
        <w:spacing w:after="0" w:line="22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William T. Hull</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-130810</wp:posOffset>
            </wp:positionV>
            <wp:extent cx="22980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67" Type="http://schemas.openxmlformats.org/officeDocument/2006/relationships/hyperlink" Target="http://www.sec.gov/Archives/edgar/data/1409375/000119312519298512/d82969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2020-02-06T15:38:52Z</dcterms:created>
  <dcterms:modified xsi:type="dcterms:W3CDTF">2020-02-06T15:38:52Z</dcterms:modified>
</cp:coreProperties>
</file>