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77" w:lineRule="exact"/>
        <w:rPr>
          <w:sz w:val="24"/>
          <w:szCs w:val="24"/>
          <w:color w:val="auto"/>
        </w:rPr>
      </w:pPr>
    </w:p>
    <w:p>
      <w:pPr>
        <w:ind w:left="500" w:right="360" w:hanging="492"/>
        <w:spacing w:after="0" w:line="275"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17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6" w:lineRule="exact"/>
        <w:rPr>
          <w:sz w:val="24"/>
          <w:szCs w:val="24"/>
          <w:color w:val="auto"/>
        </w:rPr>
      </w:pPr>
    </w:p>
    <w:p>
      <w:pPr>
        <w:ind w:left="500" w:right="360" w:hanging="451"/>
        <w:spacing w:after="0" w:line="275"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7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9"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5220" w:type="dxa"/>
            <w:vAlign w:val="bottom"/>
          </w:tcPr>
          <w:p>
            <w:pPr>
              <w:jc w:val="center"/>
              <w:ind w:right="1641"/>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00" w:type="dxa"/>
            <w:vAlign w:val="bottom"/>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39-1847269</w:t>
            </w:r>
          </w:p>
        </w:tc>
      </w:tr>
      <w:tr>
        <w:trPr>
          <w:trHeight w:val="178"/>
        </w:trPr>
        <w:tc>
          <w:tcPr>
            <w:tcW w:w="5220" w:type="dxa"/>
            <w:vAlign w:val="bottom"/>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220" w:type="dxa"/>
            <w:vAlign w:val="bottom"/>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56"/>
        </w:trPr>
        <w:tc>
          <w:tcPr>
            <w:tcW w:w="5220" w:type="dxa"/>
            <w:vAlign w:val="bottom"/>
          </w:tcPr>
          <w:p>
            <w:pPr>
              <w:jc w:val="center"/>
              <w:ind w:right="1641"/>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Wisconsin</w:t>
            </w:r>
          </w:p>
        </w:tc>
        <w:tc>
          <w:tcPr>
            <w:tcW w:w="310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54220</w:t>
            </w:r>
          </w:p>
        </w:tc>
      </w:tr>
      <w:tr>
        <w:trPr>
          <w:trHeight w:val="220"/>
        </w:trPr>
        <w:tc>
          <w:tcPr>
            <w:tcW w:w="5220" w:type="dxa"/>
            <w:vAlign w:val="bottom"/>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(920) 892-9340</w:t>
      </w:r>
    </w:p>
    <w:p>
      <w:pPr>
        <w:spacing w:after="0" w:line="3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72"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360"/>
          </w:cols>
          <w:pgMar w:left="240" w:top="229" w:right="29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4">
            <w:col w:w="1960" w:space="720"/>
            <w:col w:w="5080" w:space="720"/>
            <w:col w:w="1220" w:space="80"/>
            <w:col w:w="1580"/>
          </w:cols>
          <w:pgMar w:left="240" w:top="229" w:right="29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x</w:t>
      </w:r>
    </w:p>
    <w:p>
      <w:pPr>
        <w:spacing w:after="0" w:line="200" w:lineRule="exact"/>
        <w:rPr>
          <w:sz w:val="24"/>
          <w:szCs w:val="24"/>
          <w:color w:val="auto"/>
        </w:rPr>
      </w:pPr>
    </w:p>
    <w:p>
      <w:pPr>
        <w:sectPr>
          <w:pgSz w:w="11900" w:h="16838" w:orient="portrait"/>
          <w:cols w:equalWidth="0" w:num="4">
            <w:col w:w="1960" w:space="720"/>
            <w:col w:w="160" w:space="100"/>
            <w:col w:w="4820" w:space="720"/>
            <w:col w:w="2880"/>
          </w:cols>
          <w:pgMar w:left="240" w:top="229" w:right="299" w:bottom="1440" w:gutter="0" w:footer="0" w:header="0"/>
          <w:type w:val="continuous"/>
        </w:sectPr>
      </w:pPr>
    </w:p>
    <w:p>
      <w:pPr>
        <w:spacing w:after="0" w:line="132" w:lineRule="exact"/>
        <w:rPr>
          <w:sz w:val="24"/>
          <w:szCs w:val="24"/>
          <w:color w:val="auto"/>
        </w:rPr>
      </w:pPr>
    </w:p>
    <w:p>
      <w:pPr>
        <w:spacing w:after="0" w:line="207" w:lineRule="exact"/>
        <w:tabs>
          <w:tab w:leader="none" w:pos="8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200" w:lineRule="exact"/>
        <w:rPr>
          <w:sz w:val="24"/>
          <w:szCs w:val="24"/>
          <w:color w:val="auto"/>
        </w:rPr>
      </w:pPr>
    </w:p>
    <w:p>
      <w:pPr>
        <w:sectPr>
          <w:pgSz w:w="11900" w:h="16838" w:orient="portrait"/>
          <w:cols w:equalWidth="0" w:num="2">
            <w:col w:w="8940" w:space="180"/>
            <w:col w:w="2240"/>
          </w:cols>
          <w:pgMar w:left="240" w:top="229" w:right="2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There were 27,649,576 shares of the Registrant’s common stock outstanding on November 5, 2015.</w:t>
      </w:r>
    </w:p>
    <w:p>
      <w:pPr>
        <w:sectPr>
          <w:pgSz w:w="11900" w:h="16838" w:orient="portrait"/>
          <w:cols w:equalWidth="0" w:num="1">
            <w:col w:w="11360"/>
          </w:cols>
          <w:pgMar w:left="240" w:top="229"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2015</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FF"/>
            </w:tcBorders>
            <w:gridSpan w:val="8"/>
          </w:tcPr>
          <w:p>
            <w:pPr>
              <w:spacing w:after="0" w:line="170" w:lineRule="exact"/>
              <w:rPr>
                <w:rFonts w:ascii="Times New Roman" w:cs="Times New Roman" w:eastAsia="Times New Roman" w:hAnsi="Times New Roman"/>
                <w:sz w:val="18"/>
                <w:szCs w:val="18"/>
                <w:b w:val="1"/>
                <w:bCs w:val="1"/>
                <w:color w:val="0000FF"/>
                <w:w w:val="98"/>
              </w:rPr>
            </w:pPr>
            <w:hyperlink w:anchor="page2">
              <w:r>
                <w:rPr>
                  <w:rFonts w:ascii="Times New Roman" w:cs="Times New Roman" w:eastAsia="Times New Roman" w:hAnsi="Times New Roman"/>
                  <w:sz w:val="18"/>
                  <w:szCs w:val="18"/>
                  <w:b w:val="1"/>
                  <w:bCs w:val="1"/>
                  <w:color w:val="0000FF"/>
                  <w:w w:val="98"/>
                </w:rPr>
                <w:t>PART I FINANCIAL INFORMATION</w:t>
              </w:r>
            </w:hyperlink>
          </w:p>
        </w:tc>
        <w:tc>
          <w:tcPr>
            <w:tcW w:w="7680" w:type="dxa"/>
            <w:vAlign w:val="bottom"/>
            <w:gridSpan w:val="10"/>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color w:val="0000FF"/>
                <w:w w:val="88"/>
              </w:rPr>
            </w:pPr>
            <w:hyperlink w:anchor="page2">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560" w:type="dxa"/>
            <w:vAlign w:val="bottom"/>
            <w:tcBorders>
              <w:bottom w:val="single" w:sz="8" w:color="0000FF"/>
            </w:tcBorders>
            <w:gridSpan w:val="7"/>
          </w:tcPr>
          <w:p>
            <w:pPr>
              <w:spacing w:after="0"/>
              <w:rPr>
                <w:rFonts w:ascii="Times New Roman" w:cs="Times New Roman" w:eastAsia="Times New Roman" w:hAnsi="Times New Roman"/>
                <w:sz w:val="18"/>
                <w:szCs w:val="18"/>
                <w:b w:val="1"/>
                <w:bCs w:val="1"/>
                <w:color w:val="0000FF"/>
                <w:w w:val="99"/>
              </w:rPr>
            </w:pPr>
            <w:hyperlink w:anchor="page3">
              <w:r>
                <w:rPr>
                  <w:rFonts w:ascii="Times New Roman" w:cs="Times New Roman" w:eastAsia="Times New Roman" w:hAnsi="Times New Roman"/>
                  <w:sz w:val="18"/>
                  <w:szCs w:val="18"/>
                  <w:b w:val="1"/>
                  <w:bCs w:val="1"/>
                  <w:color w:val="0000FF"/>
                  <w:w w:val="99"/>
                </w:rPr>
                <w:t>Financial Statements (unaudited)</w:t>
              </w:r>
            </w:hyperlink>
          </w:p>
        </w:tc>
        <w:tc>
          <w:tcPr>
            <w:tcW w:w="6760" w:type="dxa"/>
            <w:vAlign w:val="bottom"/>
            <w:gridSpan w:val="8"/>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3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 xml:space="preserve">Condensed Consolidated Balance Sheets as of March 31, </w:t>
              </w:r>
            </w:hyperlink>
            <w:r>
              <w:rPr>
                <w:rFonts w:ascii="Times New Roman" w:cs="Times New Roman" w:eastAsia="Times New Roman" w:hAnsi="Times New Roman"/>
                <w:sz w:val="18"/>
                <w:szCs w:val="18"/>
                <w:color w:val="0000FF"/>
                <w:w w:val="99"/>
              </w:rPr>
              <w:t>2015 and September 30, 2015</w:t>
            </w:r>
          </w:p>
        </w:tc>
        <w:tc>
          <w:tcPr>
            <w:tcW w:w="404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85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for the Three and Six Months Ended September 30, 2014 and 2015</w:t>
              </w:r>
            </w:hyperlink>
          </w:p>
        </w:tc>
        <w:tc>
          <w:tcPr>
            <w:tcW w:w="18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7"/>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 xml:space="preserve">Condensed Consolidated Statements of Cash Flows for the </w:t>
              </w:r>
            </w:hyperlink>
            <w:r>
              <w:rPr>
                <w:rFonts w:ascii="Times New Roman" w:cs="Times New Roman" w:eastAsia="Times New Roman" w:hAnsi="Times New Roman"/>
                <w:sz w:val="18"/>
                <w:szCs w:val="18"/>
                <w:color w:val="0000FF"/>
              </w:rPr>
              <w:t>Six Months Ended September 30, 2014 and 2015</w:t>
            </w: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82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Notes to the Condensed Consolidated Financial Statements</w:t>
              </w:r>
            </w:hyperlink>
          </w:p>
        </w:tc>
        <w:tc>
          <w:tcPr>
            <w:tcW w:w="254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20" w:type="dxa"/>
            <w:vAlign w:val="bottom"/>
            <w:gridSpan w:val="15"/>
          </w:tcPr>
          <w:p>
            <w:pPr>
              <w:spacing w:after="0"/>
              <w:rPr>
                <w:rFonts w:ascii="Times New Roman" w:cs="Times New Roman" w:eastAsia="Times New Roman" w:hAnsi="Times New Roman"/>
                <w:sz w:val="18"/>
                <w:szCs w:val="18"/>
                <w:b w:val="1"/>
                <w:bCs w:val="1"/>
                <w:color w:val="0000FF"/>
              </w:rPr>
            </w:pPr>
            <w:hyperlink w:anchor="page23">
              <w:r>
                <w:rPr>
                  <w:rFonts w:ascii="Times New Roman" w:cs="Times New Roman" w:eastAsia="Times New Roman" w:hAnsi="Times New Roman"/>
                  <w:sz w:val="18"/>
                  <w:szCs w:val="18"/>
                  <w:b w:val="1"/>
                  <w:bCs w:val="1"/>
                  <w:color w:val="0000FF"/>
                </w:rPr>
                <w:t>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23</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620" w:type="dxa"/>
            <w:vAlign w:val="bottom"/>
            <w:gridSpan w:val="10"/>
          </w:tcPr>
          <w:p>
            <w:pPr>
              <w:spacing w:after="0"/>
              <w:rPr>
                <w:rFonts w:ascii="Times New Roman" w:cs="Times New Roman" w:eastAsia="Times New Roman" w:hAnsi="Times New Roman"/>
                <w:sz w:val="18"/>
                <w:szCs w:val="18"/>
                <w:b w:val="1"/>
                <w:bCs w:val="1"/>
                <w:color w:val="0000FF"/>
                <w:w w:val="99"/>
              </w:rPr>
            </w:pPr>
            <w:hyperlink w:anchor="page37">
              <w:r>
                <w:rPr>
                  <w:rFonts w:ascii="Times New Roman" w:cs="Times New Roman" w:eastAsia="Times New Roman" w:hAnsi="Times New Roman"/>
                  <w:sz w:val="18"/>
                  <w:szCs w:val="18"/>
                  <w:b w:val="1"/>
                  <w:bCs w:val="1"/>
                  <w:color w:val="0000FF"/>
                  <w:w w:val="99"/>
                </w:rPr>
                <w:t>Quantitative and Qualitative Disclosures about Market Risk</w:t>
              </w:r>
            </w:hyperlink>
          </w:p>
        </w:tc>
        <w:tc>
          <w:tcPr>
            <w:tcW w:w="2200" w:type="dxa"/>
            <w:vAlign w:val="bottom"/>
            <w:gridSpan w:val="3"/>
          </w:tcPr>
          <w:p>
            <w:pPr>
              <w:spacing w:after="0"/>
              <w:rPr>
                <w:sz w:val="21"/>
                <w:szCs w:val="21"/>
                <w:color w:val="auto"/>
              </w:rPr>
            </w:pPr>
          </w:p>
        </w:tc>
        <w:tc>
          <w:tcPr>
            <w:tcW w:w="25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20" w:type="dxa"/>
            <w:vAlign w:val="bottom"/>
            <w:gridSpan w:val="10"/>
          </w:tcPr>
          <w:p>
            <w:pPr>
              <w:spacing w:after="0"/>
              <w:rPr>
                <w:rFonts w:ascii="Times New Roman" w:cs="Times New Roman" w:eastAsia="Times New Roman" w:hAnsi="Times New Roman"/>
                <w:sz w:val="18"/>
                <w:szCs w:val="18"/>
                <w:b w:val="1"/>
                <w:bCs w:val="1"/>
                <w:color w:val="0000FF"/>
              </w:rPr>
            </w:pPr>
            <w:hyperlink w:anchor="page37">
              <w:r>
                <w:rPr>
                  <w:rFonts w:ascii="Times New Roman" w:cs="Times New Roman" w:eastAsia="Times New Roman" w:hAnsi="Times New Roman"/>
                  <w:sz w:val="18"/>
                  <w:szCs w:val="18"/>
                  <w:b w:val="1"/>
                  <w:bCs w:val="1"/>
                  <w:color w:val="0000FF"/>
                </w:rPr>
                <w:t>Controls and Procedures</w:t>
              </w:r>
            </w:hyperlink>
          </w:p>
        </w:tc>
        <w:tc>
          <w:tcPr>
            <w:tcW w:w="47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36</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6"/>
          </w:tcPr>
          <w:p>
            <w:pPr>
              <w:spacing w:after="0"/>
              <w:rPr>
                <w:rFonts w:ascii="Times New Roman" w:cs="Times New Roman" w:eastAsia="Times New Roman" w:hAnsi="Times New Roman"/>
                <w:sz w:val="18"/>
                <w:szCs w:val="18"/>
                <w:b w:val="1"/>
                <w:bCs w:val="1"/>
                <w:color w:val="0000FF"/>
                <w:w w:val="97"/>
              </w:rPr>
            </w:pPr>
            <w:hyperlink w:anchor="page38">
              <w:r>
                <w:rPr>
                  <w:rFonts w:ascii="Times New Roman" w:cs="Times New Roman" w:eastAsia="Times New Roman" w:hAnsi="Times New Roman"/>
                  <w:sz w:val="18"/>
                  <w:szCs w:val="18"/>
                  <w:b w:val="1"/>
                  <w:bCs w:val="1"/>
                  <w:color w:val="0000FF"/>
                  <w:w w:val="97"/>
                </w:rPr>
                <w:t>PART II OTHER INFORMATION</w:t>
              </w:r>
            </w:hyperlink>
          </w:p>
        </w:tc>
        <w:tc>
          <w:tcPr>
            <w:tcW w:w="798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gridSpan w:val="3"/>
          </w:tcPr>
          <w:p>
            <w:pPr>
              <w:spacing w:after="0"/>
              <w:rPr>
                <w:rFonts w:ascii="Times New Roman" w:cs="Times New Roman" w:eastAsia="Times New Roman" w:hAnsi="Times New Roman"/>
                <w:sz w:val="18"/>
                <w:szCs w:val="18"/>
                <w:b w:val="1"/>
                <w:bCs w:val="1"/>
                <w:color w:val="0000FF"/>
                <w:w w:val="92"/>
              </w:rPr>
            </w:pPr>
            <w:hyperlink w:anchor="page39">
              <w:r>
                <w:rPr>
                  <w:rFonts w:ascii="Times New Roman" w:cs="Times New Roman" w:eastAsia="Times New Roman" w:hAnsi="Times New Roman"/>
                  <w:sz w:val="18"/>
                  <w:szCs w:val="18"/>
                  <w:b w:val="1"/>
                  <w:bCs w:val="1"/>
                  <w:color w:val="0000FF"/>
                  <w:w w:val="92"/>
                </w:rPr>
                <w:t>Legal Proceedings</w:t>
              </w:r>
            </w:hyperlink>
          </w:p>
        </w:tc>
        <w:tc>
          <w:tcPr>
            <w:tcW w:w="798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40" w:type="dxa"/>
            <w:vAlign w:val="bottom"/>
            <w:gridSpan w:val="3"/>
          </w:tcPr>
          <w:p>
            <w:pPr>
              <w:spacing w:after="0"/>
              <w:rPr>
                <w:rFonts w:ascii="Times New Roman" w:cs="Times New Roman" w:eastAsia="Times New Roman" w:hAnsi="Times New Roman"/>
                <w:sz w:val="18"/>
                <w:szCs w:val="18"/>
                <w:b w:val="1"/>
                <w:bCs w:val="1"/>
                <w:color w:val="0000FF"/>
              </w:rPr>
            </w:pPr>
            <w:hyperlink w:anchor="page39">
              <w:r>
                <w:rPr>
                  <w:rFonts w:ascii="Times New Roman" w:cs="Times New Roman" w:eastAsia="Times New Roman" w:hAnsi="Times New Roman"/>
                  <w:sz w:val="18"/>
                  <w:szCs w:val="18"/>
                  <w:b w:val="1"/>
                  <w:bCs w:val="1"/>
                  <w:color w:val="0000FF"/>
                </w:rPr>
                <w:t>Risk Factors</w:t>
              </w:r>
            </w:hyperlink>
          </w:p>
        </w:tc>
        <w:tc>
          <w:tcPr>
            <w:tcW w:w="798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00" w:type="dxa"/>
            <w:vAlign w:val="bottom"/>
            <w:gridSpan w:val="9"/>
          </w:tcPr>
          <w:p>
            <w:pPr>
              <w:spacing w:after="0"/>
              <w:rPr>
                <w:rFonts w:ascii="Times New Roman" w:cs="Times New Roman" w:eastAsia="Times New Roman" w:hAnsi="Times New Roman"/>
                <w:sz w:val="18"/>
                <w:szCs w:val="18"/>
                <w:b w:val="1"/>
                <w:bCs w:val="1"/>
                <w:color w:val="0000FF"/>
                <w:w w:val="99"/>
              </w:rPr>
            </w:pPr>
            <w:hyperlink w:anchor="page39">
              <w:r>
                <w:rPr>
                  <w:rFonts w:ascii="Times New Roman" w:cs="Times New Roman" w:eastAsia="Times New Roman" w:hAnsi="Times New Roman"/>
                  <w:sz w:val="18"/>
                  <w:szCs w:val="18"/>
                  <w:b w:val="1"/>
                  <w:bCs w:val="1"/>
                  <w:color w:val="0000FF"/>
                  <w:w w:val="99"/>
                </w:rPr>
                <w:t>Unregistered Sale of Equity Securities and Use of Proceeds</w:t>
              </w:r>
            </w:hyperlink>
          </w:p>
        </w:tc>
        <w:tc>
          <w:tcPr>
            <w:tcW w:w="482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40" w:type="dxa"/>
            <w:vAlign w:val="bottom"/>
            <w:gridSpan w:val="4"/>
          </w:tcPr>
          <w:p>
            <w:pPr>
              <w:spacing w:after="0"/>
              <w:rPr>
                <w:rFonts w:ascii="Times New Roman" w:cs="Times New Roman" w:eastAsia="Times New Roman" w:hAnsi="Times New Roman"/>
                <w:sz w:val="18"/>
                <w:szCs w:val="18"/>
                <w:b w:val="1"/>
                <w:bCs w:val="1"/>
                <w:color w:val="0000FF"/>
                <w:w w:val="98"/>
              </w:rPr>
            </w:pPr>
            <w:hyperlink w:anchor="page39">
              <w:r>
                <w:rPr>
                  <w:rFonts w:ascii="Times New Roman" w:cs="Times New Roman" w:eastAsia="Times New Roman" w:hAnsi="Times New Roman"/>
                  <w:sz w:val="18"/>
                  <w:szCs w:val="18"/>
                  <w:b w:val="1"/>
                  <w:bCs w:val="1"/>
                  <w:color w:val="0000FF"/>
                  <w:w w:val="98"/>
                </w:rPr>
                <w:t>Other Information</w:t>
              </w:r>
            </w:hyperlink>
          </w:p>
        </w:tc>
        <w:tc>
          <w:tcPr>
            <w:tcW w:w="3060" w:type="dxa"/>
            <w:vAlign w:val="bottom"/>
            <w:gridSpan w:val="5"/>
          </w:tcPr>
          <w:p>
            <w:pPr>
              <w:spacing w:after="0"/>
              <w:rPr>
                <w:sz w:val="21"/>
                <w:szCs w:val="21"/>
                <w:color w:val="auto"/>
              </w:rPr>
            </w:pPr>
          </w:p>
        </w:tc>
        <w:tc>
          <w:tcPr>
            <w:tcW w:w="482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Pr>
          <w:p>
            <w:pPr>
              <w:spacing w:after="0"/>
              <w:rPr>
                <w:rFonts w:ascii="Times New Roman" w:cs="Times New Roman" w:eastAsia="Times New Roman" w:hAnsi="Times New Roman"/>
                <w:sz w:val="18"/>
                <w:szCs w:val="18"/>
                <w:b w:val="1"/>
                <w:bCs w:val="1"/>
                <w:color w:val="0000FF"/>
                <w:w w:val="96"/>
              </w:rPr>
            </w:pPr>
            <w:hyperlink w:anchor="page39">
              <w:r>
                <w:rPr>
                  <w:rFonts w:ascii="Times New Roman" w:cs="Times New Roman" w:eastAsia="Times New Roman" w:hAnsi="Times New Roman"/>
                  <w:sz w:val="18"/>
                  <w:szCs w:val="18"/>
                  <w:b w:val="1"/>
                  <w:bCs w:val="1"/>
                  <w:color w:val="0000FF"/>
                  <w:w w:val="96"/>
                </w:rPr>
                <w:t>Exhibits</w:t>
              </w:r>
            </w:hyperlink>
          </w:p>
        </w:tc>
        <w:tc>
          <w:tcPr>
            <w:tcW w:w="800" w:type="dxa"/>
            <w:vAlign w:val="bottom"/>
            <w:gridSpan w:val="3"/>
          </w:tcPr>
          <w:p>
            <w:pPr>
              <w:spacing w:after="0"/>
              <w:rPr>
                <w:sz w:val="21"/>
                <w:szCs w:val="21"/>
                <w:color w:val="auto"/>
              </w:rPr>
            </w:pPr>
          </w:p>
        </w:tc>
        <w:tc>
          <w:tcPr>
            <w:tcW w:w="78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39</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rFonts w:ascii="Times New Roman" w:cs="Times New Roman" w:eastAsia="Times New Roman" w:hAnsi="Times New Roman"/>
                <w:sz w:val="18"/>
                <w:szCs w:val="18"/>
                <w:b w:val="1"/>
                <w:bCs w:val="1"/>
                <w:color w:val="0000EE"/>
                <w:w w:val="97"/>
              </w:rPr>
            </w:pPr>
            <w:hyperlink w:anchor="page40">
              <w:r>
                <w:rPr>
                  <w:rFonts w:ascii="Times New Roman" w:cs="Times New Roman" w:eastAsia="Times New Roman" w:hAnsi="Times New Roman"/>
                  <w:sz w:val="18"/>
                  <w:szCs w:val="18"/>
                  <w:b w:val="1"/>
                  <w:bCs w:val="1"/>
                  <w:color w:val="0000EE"/>
                  <w:w w:val="97"/>
                </w:rPr>
                <w:t>SIGNATURES</w:t>
              </w:r>
            </w:hyperlink>
          </w:p>
        </w:tc>
        <w:tc>
          <w:tcPr>
            <w:tcW w:w="22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40</w:t>
              </w:r>
            </w:hyperlink>
          </w:p>
        </w:tc>
        <w:tc>
          <w:tcPr>
            <w:tcW w:w="0" w:type="dxa"/>
            <w:vAlign w:val="bottom"/>
          </w:tcPr>
          <w:p>
            <w:pPr>
              <w:spacing w:after="0"/>
              <w:rPr>
                <w:sz w:val="1"/>
                <w:szCs w:val="1"/>
                <w:color w:val="auto"/>
              </w:rPr>
            </w:pPr>
          </w:p>
        </w:tc>
      </w:tr>
      <w:tr>
        <w:trPr>
          <w:trHeight w:val="291"/>
        </w:trPr>
        <w:tc>
          <w:tcPr>
            <w:tcW w:w="1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Exhibit 31.1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EX-101 INSTANCE DOCUMENT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EX-101 SCHEMA DOCUMENT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EX-101 CALCULATION LINKBASE DOCUMENT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EX-101 LABELS LINKBASE DOCUMENT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2015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20,002</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 of allowances of $458 and $685 at March 31, 2015 and September 30, 2015,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contract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46,578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76,959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 and capital leases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 and capital leases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 March 31, 2015 and September 30, 2015; shares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 36,837,864 and 37,034,066 at March 31, 2015 and September 30, 2015; shares outstanding: 27,421,533</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27,613,046 at March 31, 2015 and September 30, 2015</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9,416,331 and 9,421,020 common shares at March 31, 2015 and September 30, 2015</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 notes receivable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64,511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76,959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80" w:right="242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OPERATIONS (in thousands, except share and per share amounts)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r>
      <w:tr>
        <w:trPr>
          <w:trHeight w:val="275"/>
        </w:trPr>
        <w:tc>
          <w:tcPr>
            <w:tcW w:w="5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30,778</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1,538</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32,316</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24,414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1,232</w:t>
            </w:r>
          </w:p>
        </w:tc>
      </w:tr>
      <w:tr>
        <w:trPr>
          <w:trHeight w:val="237"/>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23,948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12,816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25,646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Gross (loss)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6,670</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7,274</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5,703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863</w:t>
            </w:r>
          </w:p>
        </w:tc>
      </w:tr>
      <w:tr>
        <w:trPr>
          <w:trHeight w:val="237"/>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14,743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13,840</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(22,682)</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w:t>
            </w:r>
          </w:p>
        </w:tc>
      </w:tr>
      <w:tr>
        <w:trPr>
          <w:trHeight w:val="67"/>
        </w:trPr>
        <w:tc>
          <w:tcPr>
            <w:tcW w:w="51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21,820,365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27,598,492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21,745,156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27,540,378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and share equivalents outstanding</w:t>
            </w:r>
          </w:p>
        </w:tc>
        <w:tc>
          <w:tcPr>
            <w:tcW w:w="2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21,820,365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27,598,492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21,745,156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27,540,378</w:t>
            </w: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2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CASH FLOWS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75"/>
        </w:trPr>
        <w:tc>
          <w:tcPr>
            <w:tcW w:w="83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Amortization of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43"/>
        </w:trPr>
        <w:tc>
          <w:tcPr>
            <w:tcW w:w="8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Impairment on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Provision for bad debts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Accounts receivable, current and long-term</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43"/>
        </w:trPr>
        <w:tc>
          <w:tcPr>
            <w:tcW w:w="8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8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43"/>
        </w:trPr>
        <w:tc>
          <w:tcPr>
            <w:tcW w:w="8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long-term debt and capital leases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27,088</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repayment of shareholder notes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common stock into treasury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proceeds from the exercise of warrants and employee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13,446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Vendor financed capital lease addition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94" w:lineRule="exact"/>
        <w:rPr>
          <w:sz w:val="20"/>
          <w:szCs w:val="20"/>
          <w:color w:val="auto"/>
        </w:rPr>
      </w:pPr>
    </w:p>
    <w:p>
      <w:pPr>
        <w:ind w:right="740" w:firstLine="432"/>
        <w:spacing w:after="0" w:line="313" w:lineRule="auto"/>
        <w:rPr>
          <w:sz w:val="20"/>
          <w:szCs w:val="20"/>
          <w:color w:val="auto"/>
        </w:rPr>
      </w:pPr>
      <w:r>
        <w:rPr>
          <w:rFonts w:ascii="Times New Roman" w:cs="Times New Roman" w:eastAsia="Times New Roman" w:hAnsi="Times New Roman"/>
          <w:sz w:val="17"/>
          <w:szCs w:val="17"/>
          <w:color w:val="auto"/>
        </w:rPr>
        <w:t>The Company includes Orion Energy Systems, Inc., a Wisconsin corporation, and all consolidated subsidiaries. The Company is a developer, manufacturer and seller of lighting and energy management systems to commercial and industrial businesses, predominantly in North America.</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J “Segment Reporting” of these financial statements for further discussion of the Company's reportable segments.</w:t>
      </w:r>
    </w:p>
    <w:p>
      <w:pPr>
        <w:spacing w:after="0" w:line="22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Company’s corporate offices and primary manufacturing operations are located in Manitowoc, Wisconsin. The operations facility in Plymouth, Wisconsin was classified as an asset held for sale as of March 31, 2014 and was sold in May 2014. The Company leases office space in Jacksonville, Florida and Chicago, Illinois. The Company leases office space for a sales office located in Houston, Texas.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94"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 appropriate, certain reclassifications have been made to prior years’ financial statements to conform to the current year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2016 or other interim periods.</w:t>
      </w:r>
    </w:p>
    <w:p>
      <w:pPr>
        <w:spacing w:after="0" w:line="130"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at March 31, 2015 has been derived from the audited and adjusted consolidated financial statements at that date but does not include all of the information required by GAAP for complete financial statements.</w:t>
      </w:r>
    </w:p>
    <w:p>
      <w:pPr>
        <w:spacing w:after="0" w:line="108"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2015 filed with the Securities and Exchange Commission on June 12, 2015.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all highly liquid, short-term investments with original maturities of three months or less to be cash equivalents.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accrued expenses and other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08" w:lineRule="exact"/>
        <w:rPr>
          <w:sz w:val="20"/>
          <w:szCs w:val="20"/>
          <w:color w:val="auto"/>
        </w:rPr>
      </w:pPr>
    </w:p>
    <w:p>
      <w:pPr>
        <w:ind w:right="100" w:firstLine="432"/>
        <w:spacing w:after="0" w:line="313" w:lineRule="auto"/>
        <w:rPr>
          <w:sz w:val="20"/>
          <w:szCs w:val="20"/>
          <w:color w:val="auto"/>
        </w:rPr>
      </w:pPr>
      <w:r>
        <w:rPr>
          <w:rFonts w:ascii="Times New Roman" w:cs="Times New Roman" w:eastAsia="Times New Roman" w:hAnsi="Times New Roman"/>
          <w:sz w:val="17"/>
          <w:szCs w:val="17"/>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94"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5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Also included in current receivables are amounts due from a third party finance company to which the Company has sold, without recourse, the future cash flows from its Orion Throughput Agreements, or OTAs, entered into with customers. Such receivables are recorded at the present value of the future cash flows discounted at 11%. As of September 30, 2015, the following amounts were due from the third party finance company in future periods (in thousands):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0"/>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Fiscal 2017</w:t>
            </w:r>
          </w:p>
        </w:tc>
        <w:tc>
          <w:tcPr>
            <w:tcW w:w="3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10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0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gross financed receivable</w:t>
            </w: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6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Receivables</w:t>
      </w:r>
    </w:p>
    <w:p>
      <w:pPr>
        <w:spacing w:after="0" w:line="94"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The Company considers its lease balances included in consolidated current and long-term accounts receivable from OTA sales-type leases to be financing receivables. Additional disclosures on the credit quality of the Company’s financing receivables are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Analysis as of September 30, 2015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 Past Due</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1-90 days</w:t>
            </w:r>
          </w:p>
        </w:tc>
        <w:tc>
          <w:tcPr>
            <w:tcW w:w="20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Greater than 90</w:t>
            </w:r>
          </w:p>
        </w:tc>
        <w:tc>
          <w:tcPr>
            <w:tcW w:w="20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20" w:type="dxa"/>
            <w:vAlign w:val="bottom"/>
          </w:tcPr>
          <w:p>
            <w:pPr>
              <w:spacing w:after="0"/>
              <w:rPr>
                <w:sz w:val="13"/>
                <w:szCs w:val="13"/>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sales-type</w:t>
            </w: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 past due</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Lease balances included in consolidated accounts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receivable—current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5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Lease balances included in consolidated accounts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receivable—long-term</w:t>
            </w: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gross sales-type leases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net sales-type leases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Financing Receivables</w:t>
      </w:r>
    </w:p>
    <w:p>
      <w:pPr>
        <w:spacing w:after="0" w:line="9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Company’s allowance for credit losses is based on management’s assessment of the collectability of customer accounts. A considerable amount of judgment is required in order to make this assessment, including a detailed analysis of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 incurred no write-offs against its OTA sales-type lease receivable balances in fiscal 2015 or for the six months ended September 30, 2015.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Inventories consist of raw materials and components, such as ballasts and drivers, light emitting diode (LED) chips, metal sheet and coil stock and molded parts; work in process inventories, such as frames and reflectors; and finished goods, including completed fixtures and accessories, such as lamps, sensors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9 to 24 months, expected demand, and other information indicating obsolescence. The Company records as a charge to cost of product revenue the amount required to reduce the carrying value of inventory to net realizable value. As of March 31, 2015 and September 30, 2015, the Company had inventory obsolescence reserves of $1.6 million and $1.8 million, respectively.</w:t>
      </w:r>
    </w:p>
    <w:p>
      <w:pPr>
        <w:spacing w:after="0" w:line="135"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Costs associated with the procurement and warehousing of inventories, such as inbound freight charges and purchasing and receiving costs, are also included in cost of product revenue.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were comprised of the following as of the dates set forth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4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8,474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9,187</w:t>
            </w:r>
          </w:p>
        </w:tc>
      </w:tr>
      <w:tr>
        <w:trPr>
          <w:trHeight w:val="27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1,447</w:t>
            </w:r>
          </w:p>
        </w:tc>
      </w:tr>
      <w:tr>
        <w:trPr>
          <w:trHeight w:val="27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5,264</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15,898</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$0.1 million and $0.2 million as of March 31, 2015 and September 30, 2015,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9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consist primarily of prepaid insurance premiums, prepaid license fees, purchase deposits, advance payments to contractors, unbilled revenue, prepaid taxes and miscellaneous receivables. Prepaid expenses and other current assets included $1.7 million and $0.5 million of unbilled revenue as of March 31, 2015 and September 30, 2015,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56" w:lineRule="exact"/>
        <w:rPr>
          <w:sz w:val="20"/>
          <w:szCs w:val="20"/>
          <w:color w:val="auto"/>
        </w:rPr>
      </w:pPr>
    </w:p>
    <w:p>
      <w:pPr>
        <w:ind w:right="20" w:firstLine="405"/>
        <w:spacing w:after="0" w:line="271" w:lineRule="auto"/>
        <w:rPr>
          <w:sz w:val="20"/>
          <w:szCs w:val="20"/>
          <w:color w:val="auto"/>
        </w:rPr>
      </w:pPr>
      <w:r>
        <w:rPr>
          <w:rFonts w:ascii="Times New Roman" w:cs="Times New Roman" w:eastAsia="Times New Roman" w:hAnsi="Times New Roman"/>
          <w:sz w:val="17"/>
          <w:szCs w:val="17"/>
          <w:color w:val="auto"/>
        </w:rPr>
        <w:t>The Company evaluates the recoverability of long-lived assets with finite lives in accordance with Accounting Standards Codification, or ASC, Subtopic 360-10-35 which requires recognition of impairment of long-lived assets whenever events or changes in circumstances indicate that the carrying amount of an asset may not be recoverable. When events or changes in circumstances indicate that the carrying amount of an asset may not be recoverable based on estimated undiscounted cash flows, the impairment loss would be measured as the difference between the carrying amount of the assets and its fair value based on the present value of estimated future cash flows. The Company's long-lived assets include property, plant and equipment and intangible assets. For the three months ended September 30, 2015, the Company determined that events and circumstances indicated that the assets might be impaired due to the current period operating cash flow and a history of operating cash flow losses. The Company performed a quantitative assessment of these assets for all business units and its estimated of undiscounted cash flows indicated that such carrying amounts were expected to be recovered. Nonetheless, it is reasonably possible that the estimate of undiscounted cash flows may change in the near term resulting in the need to write down the long-lived assets to fair value.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3" w:lineRule="exact"/>
        <w:rPr>
          <w:sz w:val="20"/>
          <w:szCs w:val="20"/>
          <w:color w:val="auto"/>
        </w:rPr>
      </w:pPr>
    </w:p>
    <w:p>
      <w:pPr>
        <w:ind w:right="100" w:firstLine="405"/>
        <w:spacing w:after="0" w:line="290" w:lineRule="auto"/>
        <w:rPr>
          <w:sz w:val="20"/>
          <w:szCs w:val="20"/>
          <w:color w:val="auto"/>
        </w:rPr>
      </w:pPr>
      <w:r>
        <w:rPr>
          <w:rFonts w:ascii="Times New Roman" w:cs="Times New Roman" w:eastAsia="Times New Roman" w:hAnsi="Times New Roman"/>
          <w:sz w:val="17"/>
          <w:szCs w:val="17"/>
          <w:color w:val="auto"/>
        </w:rPr>
        <w:t xml:space="preserve">The Company periodically reviews the carrying values of property and equipment for impairment in accordance with ASC 360, </w:t>
      </w:r>
      <w:r>
        <w:rPr>
          <w:rFonts w:ascii="Times New Roman" w:cs="Times New Roman" w:eastAsia="Times New Roman" w:hAnsi="Times New Roman"/>
          <w:sz w:val="17"/>
          <w:szCs w:val="17"/>
          <w:i w:val="1"/>
          <w:iCs w:val="1"/>
          <w:color w:val="auto"/>
        </w:rPr>
        <w:t>Property, Plant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Equipment</w:t>
      </w:r>
      <w:r>
        <w:rPr>
          <w:rFonts w:ascii="Times New Roman" w:cs="Times New Roman" w:eastAsia="Times New Roman" w:hAnsi="Times New Roman"/>
          <w:sz w:val="17"/>
          <w:szCs w:val="17"/>
          <w:color w:val="auto"/>
        </w:rPr>
        <w:t>, if events or changes in circumstances indicate that the assets may be impaired. The estimated future undiscounted cash flows expected to result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use of the assets and their eventual disposition are compared to the assets' carrying amount to determine if a write down to market value is required.</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the dates set forth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14,439</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8,996</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Equipment leased to customers under Power Purchase Agreements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11,050</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41,196</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19,823</w:t>
            </w:r>
          </w:p>
        </w:tc>
        <w:tc>
          <w:tcPr>
            <w:tcW w:w="0" w:type="dxa"/>
            <w:vAlign w:val="bottom"/>
          </w:tcPr>
          <w:p>
            <w:pPr>
              <w:spacing w:after="0"/>
              <w:rPr>
                <w:sz w:val="1"/>
                <w:szCs w:val="1"/>
                <w:color w:val="auto"/>
              </w:rPr>
            </w:pPr>
          </w:p>
        </w:tc>
      </w:tr>
      <w:tr>
        <w:trPr>
          <w:trHeight w:val="27"/>
        </w:trPr>
        <w:tc>
          <w:tcPr>
            <w:tcW w:w="6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Equipment included above under capital leases was as follows (in thousands):</w:t>
            </w: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4"/>
                <w:szCs w:val="24"/>
                <w:color w:val="auto"/>
              </w:rPr>
            </w:pPr>
          </w:p>
        </w:tc>
        <w:tc>
          <w:tcPr>
            <w:tcW w:w="1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23"/>
                <w:szCs w:val="23"/>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capital leased equipment was $20 thousand and $26 thousand for the three and six months ended September 30, 2015, respectively.</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Depreciation is provided over the estimated useful lives of the respective assets, using the straight-line method. Depreciable lives by asset category are as follows:</w:t>
      </w:r>
    </w:p>
    <w:p>
      <w:pPr>
        <w:sectPr>
          <w:pgSz w:w="11900" w:h="16838" w:orient="portrait"/>
          <w:cols w:equalWidth="0" w:num="1">
            <w:col w:w="11400"/>
          </w:cols>
          <w:pgMar w:left="240" w:top="121" w:right="259" w:bottom="1440" w:gutter="0" w:footer="0" w:header="0"/>
        </w:sectPr>
      </w:pP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Land improvements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 years</w:t>
      </w:r>
    </w:p>
    <w:p>
      <w:pPr>
        <w:spacing w:after="0" w:line="63" w:lineRule="exact"/>
        <w:rPr>
          <w:sz w:val="20"/>
          <w:szCs w:val="20"/>
          <w:color w:val="auto"/>
        </w:rPr>
      </w:pPr>
    </w:p>
    <w:p>
      <w:pPr>
        <w:sectPr>
          <w:pgSz w:w="11900" w:h="16838" w:orient="portrait"/>
          <w:cols w:equalWidth="0" w:num="2">
            <w:col w:w="7520" w:space="720"/>
            <w:col w:w="3160"/>
          </w:cols>
          <w:pgMar w:left="240" w:top="121"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Buildings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3-39 years</w:t>
      </w:r>
    </w:p>
    <w:p>
      <w:pPr>
        <w:spacing w:after="0" w:line="63" w:lineRule="exact"/>
        <w:rPr>
          <w:sz w:val="20"/>
          <w:szCs w:val="20"/>
          <w:color w:val="auto"/>
        </w:rPr>
      </w:pPr>
    </w:p>
    <w:p>
      <w:pPr>
        <w:sectPr>
          <w:pgSz w:w="11900" w:h="16838" w:orient="portrait"/>
          <w:cols w:equalWidth="0" w:num="2">
            <w:col w:w="7520" w:space="720"/>
            <w:col w:w="3160"/>
          </w:cols>
          <w:pgMar w:left="240" w:top="121"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Furniture, fixtures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2-10 years</w:t>
      </w:r>
    </w:p>
    <w:p>
      <w:pPr>
        <w:spacing w:after="0" w:line="63" w:lineRule="exact"/>
        <w:rPr>
          <w:sz w:val="20"/>
          <w:szCs w:val="20"/>
          <w:color w:val="auto"/>
        </w:rPr>
      </w:pPr>
    </w:p>
    <w:p>
      <w:pPr>
        <w:sectPr>
          <w:pgSz w:w="11900" w:h="16838" w:orient="portrait"/>
          <w:cols w:equalWidth="0" w:num="2">
            <w:col w:w="7520" w:space="720"/>
            <w:col w:w="3160"/>
          </w:cols>
          <w:pgMar w:left="240" w:top="121"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Shorter of asset life or life of lease</w:t>
      </w:r>
    </w:p>
    <w:p>
      <w:pPr>
        <w:spacing w:after="0" w:line="63" w:lineRule="exact"/>
        <w:rPr>
          <w:sz w:val="20"/>
          <w:szCs w:val="20"/>
          <w:color w:val="auto"/>
        </w:rPr>
      </w:pPr>
    </w:p>
    <w:p>
      <w:pPr>
        <w:sectPr>
          <w:pgSz w:w="11900" w:h="16838" w:orient="portrait"/>
          <w:cols w:equalWidth="0" w:num="2">
            <w:col w:w="7520" w:space="720"/>
            <w:col w:w="3160"/>
          </w:cols>
          <w:pgMar w:left="240" w:top="121"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Equipment leased to customers under Power Purchase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 years</w:t>
      </w:r>
    </w:p>
    <w:p>
      <w:pPr>
        <w:spacing w:after="0" w:line="63" w:lineRule="exact"/>
        <w:rPr>
          <w:sz w:val="20"/>
          <w:szCs w:val="20"/>
          <w:color w:val="auto"/>
        </w:rPr>
      </w:pPr>
    </w:p>
    <w:p>
      <w:pPr>
        <w:sectPr>
          <w:pgSz w:w="11900" w:h="16838" w:orient="portrait"/>
          <w:cols w:equalWidth="0" w:num="2">
            <w:col w:w="7520" w:space="720"/>
            <w:col w:w="3160"/>
          </w:cols>
          <w:pgMar w:left="240" w:top="121"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3-10 years</w:t>
      </w:r>
    </w:p>
    <w:p>
      <w:pPr>
        <w:spacing w:after="0" w:line="200" w:lineRule="exact"/>
        <w:rPr>
          <w:sz w:val="20"/>
          <w:szCs w:val="20"/>
          <w:color w:val="auto"/>
        </w:rPr>
      </w:pPr>
    </w:p>
    <w:p>
      <w:pPr>
        <w:sectPr>
          <w:pgSz w:w="11900" w:h="16838" w:orient="portrait"/>
          <w:cols w:equalWidth="0" w:num="2">
            <w:col w:w="7520" w:space="720"/>
            <w:col w:w="3160"/>
          </w:cols>
          <w:pgMar w:left="240" w:top="121" w:right="259"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21" w:right="2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9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costs of specifically identifiable intangible assets that do not have an indefinite life are amortized over their estimated useful lives. Goodwill and intangible assets with indefinite lives are not amortized and are reviewed for impairment annually, as of January 1, or more frequently if impairment indicators arise. During the quarter ended September 30, 2015, the Company determined that a triggering event occurred due to the decline in the Company's share price when compared to the share price as of March 31, 2015 and due to the the history of operating losses. The Company performed a qualitative assessment of Goodwill and determined that no impairment had occurred.</w:t>
      </w:r>
    </w:p>
    <w:p>
      <w:pPr>
        <w:spacing w:after="0" w:line="4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Amortizable intangible assets are amortized over their estimated economic useful life to reflect the pattern of economic benefits consumed based upon the following lives and methods: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10-17 years</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Straight-line</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7-13 years</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Straight-line</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5-8 years</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Accelerated based upon the pattern of economic benefits consumed</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 years</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Accelerated based upon the pattern of economic benefits consumed</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 years</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Straight-line</w:t>
            </w:r>
          </w:p>
        </w:tc>
      </w:tr>
    </w:tbl>
    <w:p>
      <w:pPr>
        <w:spacing w:after="0" w:line="17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was no change in the carrying value of goodwill during fiscal 2015 or for the six months ended September 30, 2015.</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is allocated to each operating segment during the six months ended September 30, 2015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U.S. Markets</w:t>
            </w:r>
          </w:p>
        </w:tc>
        <w:tc>
          <w:tcPr>
            <w:tcW w:w="280" w:type="dxa"/>
            <w:vAlign w:val="bottom"/>
          </w:tcPr>
          <w:p>
            <w:pPr>
              <w:spacing w:after="0"/>
              <w:rPr>
                <w:sz w:val="13"/>
                <w:szCs w:val="13"/>
                <w:color w:val="auto"/>
              </w:rPr>
            </w:pPr>
          </w:p>
        </w:tc>
        <w:tc>
          <w:tcPr>
            <w:tcW w:w="14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Orion Engineered</w:t>
            </w:r>
          </w:p>
        </w:tc>
        <w:tc>
          <w:tcPr>
            <w:tcW w:w="300" w:type="dxa"/>
            <w:vAlign w:val="bottom"/>
          </w:tcPr>
          <w:p>
            <w:pPr>
              <w:spacing w:after="0"/>
              <w:rPr>
                <w:sz w:val="13"/>
                <w:szCs w:val="13"/>
                <w:color w:val="auto"/>
              </w:rPr>
            </w:pPr>
          </w:p>
        </w:tc>
        <w:tc>
          <w:tcPr>
            <w:tcW w:w="15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Orion Distribution</w:t>
            </w:r>
          </w:p>
        </w:tc>
        <w:tc>
          <w:tcPr>
            <w:tcW w:w="2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12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2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at September 30, 2015</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2,371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2,038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and changes in, the carrying amount of other intangible assets were as follows as of the dates set forth below (in thousands):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980" w:type="dxa"/>
            <w:vAlign w:val="bottom"/>
          </w:tcPr>
          <w:p>
            <w:pPr>
              <w:spacing w:after="0"/>
              <w:rPr>
                <w:sz w:val="16"/>
                <w:szCs w:val="16"/>
                <w:color w:val="auto"/>
              </w:rPr>
            </w:pPr>
          </w:p>
        </w:tc>
      </w:tr>
      <w:tr>
        <w:trPr>
          <w:trHeight w:val="275"/>
        </w:trPr>
        <w:tc>
          <w:tcPr>
            <w:tcW w:w="3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23"/>
                <w:szCs w:val="23"/>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r>
      <w:tr>
        <w:trPr>
          <w:trHeight w:val="24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21"/>
                <w:szCs w:val="21"/>
                <w:color w:val="auto"/>
              </w:rPr>
            </w:pP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9,074</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8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2015, the weighted average useful life of intangible assets was 6.46 years. The estimated amortization expense for each of the next five years is shown below (in thousands):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r>
      <w:tr>
        <w:trPr>
          <w:trHeight w:val="27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Fiscal 2017</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883</w:t>
            </w:r>
          </w:p>
        </w:tc>
      </w:tr>
      <w:tr>
        <w:trPr>
          <w:trHeight w:val="27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Fiscal 2018</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r>
      <w:tr>
        <w:trPr>
          <w:trHeight w:val="27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r>
      <w:tr>
        <w:trPr>
          <w:trHeight w:val="27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r>
      <w:tr>
        <w:trPr>
          <w:trHeight w:val="27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r>
      <w:tr>
        <w:trPr>
          <w:trHeight w:val="27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96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3,739</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94"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9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Other long-term assets include long-term security deposits, deferred costs for a long-term contract and deferred financing costs. Deferred financing costs as of March 31, 2015 and September 30, 2015 were $202 thousand and $147 thousand, respectively. Deferred financing costs related to debt issuances are amortized to interest expense over the life of the related debt issue (1 to 3 years) using the effective interest rate method.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w:t>
      </w:r>
    </w:p>
    <w:p>
      <w:pPr>
        <w:spacing w:after="0" w:line="94" w:lineRule="exact"/>
        <w:rPr>
          <w:sz w:val="20"/>
          <w:szCs w:val="20"/>
          <w:color w:val="auto"/>
        </w:rPr>
      </w:pPr>
    </w:p>
    <w:p>
      <w:pPr>
        <w:ind w:right="460" w:firstLine="432"/>
        <w:spacing w:after="0" w:line="266" w:lineRule="auto"/>
        <w:rPr>
          <w:sz w:val="20"/>
          <w:szCs w:val="20"/>
          <w:color w:val="auto"/>
        </w:rPr>
      </w:pPr>
      <w:r>
        <w:rPr>
          <w:rFonts w:ascii="Times New Roman" w:cs="Times New Roman" w:eastAsia="Times New Roman" w:hAnsi="Times New Roman"/>
          <w:sz w:val="18"/>
          <w:szCs w:val="18"/>
          <w:color w:val="auto"/>
        </w:rPr>
        <w:t>Accrued expenses include warranty accruals, accrued wages and benefits, accrued vacation, accrued legal costs, accrued commissions, customer deposits, accrued project costs, sales tax payable and other various unpaid expenses. Accrued expenses include $1.3 million and $0.3 million of accrued project costs as of March 31, 2015 and September 30, 2015, respectively.</w:t>
      </w:r>
    </w:p>
    <w:p>
      <w:pPr>
        <w:spacing w:after="0" w:line="122"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The Company generally offers a limited warranty of one year on its high intensity fluorescent (HIF) lighting products and a one-to ten-year limited warranty on its LED lighting products in addition to those standard warranties offered by major original equipment component manufacturers. The manufacturers’ warranties cover lamps, ballasts, drivers and LED chips, which are significant components in the Company’s lighting products. Included in other long-term liabilities is $0.3 million for warranty reserves related to solar operating systems. These warranties vary in length, with the longest coverage extended until 2030. Due to the limited warranty data available for solar operating systems of this nature, actual warranty claims may differ from the Company's estimate of these warranties.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the Company’s warranty accrual were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2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74"/>
        </w:trPr>
        <w:tc>
          <w:tcPr>
            <w:tcW w:w="5100" w:type="dxa"/>
            <w:vAlign w:val="bottom"/>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product cost of revenue</w:t>
            </w:r>
          </w:p>
        </w:tc>
        <w:tc>
          <w:tcPr>
            <w:tcW w:w="102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02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00" w:type="dxa"/>
            <w:vAlign w:val="bottom"/>
            <w:vMerge w:val="continue"/>
          </w:tcPr>
          <w:p>
            <w:pPr>
              <w:spacing w:after="0"/>
              <w:rPr>
                <w:sz w:val="20"/>
                <w:szCs w:val="20"/>
                <w:color w:val="auto"/>
              </w:rPr>
            </w:pP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is recognized on the sales of our lighting and related energy efficiency systems and products when the following four criteria are met:</w:t>
      </w:r>
    </w:p>
    <w:p>
      <w:pPr>
        <w:spacing w:after="0" w:line="171"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and title has passed to the customer;</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is fixed and determinable and no further obligation exists; and</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2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accordance with ASC 605-25, </w:t>
      </w:r>
      <w:r>
        <w:rPr>
          <w:rFonts w:ascii="Times New Roman" w:cs="Times New Roman" w:eastAsia="Times New Roman" w:hAnsi="Times New Roman"/>
          <w:sz w:val="18"/>
          <w:szCs w:val="18"/>
          <w:i w:val="1"/>
          <w:iCs w:val="1"/>
          <w:color w:val="auto"/>
        </w:rPr>
        <w:t>Revenue Recognition - Multiple Element Arrangements</w:t>
      </w:r>
      <w:r>
        <w:rPr>
          <w:rFonts w:ascii="Times New Roman" w:cs="Times New Roman" w:eastAsia="Times New Roman" w:hAnsi="Times New Roman"/>
          <w:sz w:val="18"/>
          <w:szCs w:val="18"/>
          <w:color w:val="auto"/>
        </w:rPr>
        <w:t>.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estimated selling price is provided below).</w:t>
      </w:r>
    </w:p>
    <w:p>
      <w:pPr>
        <w:spacing w:after="0" w:line="13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2"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To determine the selling price in multiple-element arrangements, the Company establishes the selling price for its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the Company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the Company's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3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For sales of solar photovoltaic systems, which are governed by customer contracts that require the Company to deliver functioning solar power systems and are generally completed within three to 15 months from the start of construction, the Company recognizes revenue from fixed price construction contracts using the percentage-of-completion method in accordance with ASC 605-35, </w:t>
      </w:r>
      <w:r>
        <w:rPr>
          <w:rFonts w:ascii="Times New Roman" w:cs="Times New Roman" w:eastAsia="Times New Roman" w:hAnsi="Times New Roman"/>
          <w:sz w:val="18"/>
          <w:szCs w:val="18"/>
          <w:i w:val="1"/>
          <w:iCs w:val="1"/>
          <w:color w:val="auto"/>
        </w:rPr>
        <w:t>Construction-Type and Production-Type Contracts</w:t>
      </w:r>
      <w:r>
        <w:rPr>
          <w:rFonts w:ascii="Times New Roman" w:cs="Times New Roman" w:eastAsia="Times New Roman" w:hAnsi="Times New Roman"/>
          <w:sz w:val="18"/>
          <w:szCs w:val="18"/>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51"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Company offers a financing program, called an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2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122"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is recognized when the services are delivered, which occurs in excess of a year after the original OTA contract is executed.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As of September 30, 2015, the Company had a valuation allowance of $22.5 million against its deferred tax assets.</w:t>
      </w:r>
    </w:p>
    <w:p>
      <w:pPr>
        <w:spacing w:after="0" w:line="128" w:lineRule="exact"/>
        <w:rPr>
          <w:sz w:val="20"/>
          <w:szCs w:val="20"/>
          <w:color w:val="auto"/>
        </w:rPr>
      </w:pPr>
    </w:p>
    <w:p>
      <w:pPr>
        <w:ind w:right="1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2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three and six months ended September 30, 2014 and 2015, there were no realized tax benefits from the exercise of 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Under the fair value recognition provisions of ASC718, stock-based compensation is measured at the grant date based on the fair value of the award and is recognized as expense ratably over the requisite service period, net of estimated forfeitures. As more fully described in Note I, the Company awards non-vested restricted stock to employees, executive officers and directors. The Company did not issue any stock options during fiscal 2015 or for the six months ended September 30,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9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Diluted net loss per common share reflects the dilution that would occur if warrants and stock options were exercised and restricted shares vested. In the computation of diluted net loss per common share, the Company uses the “treasury stock” method for outstanding options and restricted shares. The effect of net loss per common share is calculated based upon the following shares (in thousands except share amounts):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3060" w:type="dxa"/>
            <w:vAlign w:val="bottom"/>
            <w:gridSpan w:val="5"/>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74"/>
        </w:trPr>
        <w:tc>
          <w:tcPr>
            <w:tcW w:w="46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loss (in thousands)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21,820,365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27,598,492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21,745,156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27,540,378</w:t>
            </w:r>
          </w:p>
        </w:tc>
        <w:tc>
          <w:tcPr>
            <w:tcW w:w="0" w:type="dxa"/>
            <w:vAlign w:val="bottom"/>
          </w:tcPr>
          <w:p>
            <w:pPr>
              <w:spacing w:after="0"/>
              <w:rPr>
                <w:sz w:val="1"/>
                <w:szCs w:val="1"/>
                <w:color w:val="auto"/>
              </w:rPr>
            </w:pPr>
          </w:p>
        </w:tc>
      </w:tr>
      <w:tr>
        <w:trPr>
          <w:trHeight w:val="25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effect of assumed conversion of stock</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and restricted shares</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and common share</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21,820,365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27,598,492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21,745,156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27,540,378</w:t>
            </w:r>
          </w:p>
        </w:tc>
        <w:tc>
          <w:tcPr>
            <w:tcW w:w="0" w:type="dxa"/>
            <w:vAlign w:val="bottom"/>
          </w:tcPr>
          <w:p>
            <w:pPr>
              <w:spacing w:after="0"/>
              <w:rPr>
                <w:sz w:val="1"/>
                <w:szCs w:val="1"/>
                <w:color w:val="auto"/>
              </w:rPr>
            </w:pPr>
          </w:p>
        </w:tc>
      </w:tr>
      <w:tr>
        <w:trPr>
          <w:trHeight w:val="241"/>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equivalents outstanding</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70"/>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405"/>
        </w:trPr>
        <w:tc>
          <w:tcPr>
            <w:tcW w:w="9780" w:type="dxa"/>
            <w:vAlign w:val="bottom"/>
            <w:gridSpan w:val="10"/>
          </w:tcPr>
          <w:p>
            <w:pPr>
              <w:ind w:left="400"/>
              <w:spacing w:after="0"/>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outstanding as of the end of each period: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2,545,084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2,283,836</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773,956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1,053,865</w:t>
            </w:r>
          </w:p>
        </w:tc>
        <w:tc>
          <w:tcPr>
            <w:tcW w:w="0" w:type="dxa"/>
            <w:vAlign w:val="bottom"/>
          </w:tcPr>
          <w:p>
            <w:pPr>
              <w:spacing w:after="0"/>
              <w:rPr>
                <w:sz w:val="1"/>
                <w:szCs w:val="1"/>
                <w:color w:val="auto"/>
              </w:rPr>
            </w:pPr>
          </w:p>
        </w:tc>
      </w:tr>
      <w:tr>
        <w:trPr>
          <w:trHeight w:val="27"/>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3,319,040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3,337,701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Company purchases components necessary for its lighting products, including ballasts, lamps and LED components, from multiple suppliers. For the three and six months ended September 30, 2014 and 2015, no supplier accounted for more than 10% of total cost of revenue, respectively.</w:t>
      </w:r>
    </w:p>
    <w:p>
      <w:pPr>
        <w:spacing w:after="0" w:line="10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2014, one customer accounted for 13% of revenue. For the six months ended September 30, 2014, no customer accounted for more than 10% of revenue. For the three and six months ended September 30, 2015, no customer accounted for more than 10% of revenue, respectively.</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2015, and September 30, 2015, no customer accounted for more than 10% of accounts receivable.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This ASU is a comprehensive new revenue recognition model that requires a company to recognize revenue to depict the transfer of goods or services to a customer at an amount that reflects the consideration it expects to receive in exchange for those goods or services. Companies may use either a full retrospective or modified retrospective approach to adopt this ASU and management is currently evaluating which transition approach to use. In August 2015, the FASB issued ASU 2015-14, </w:t>
      </w:r>
      <w:r>
        <w:rPr>
          <w:rFonts w:ascii="Times New Roman" w:cs="Times New Roman" w:eastAsia="Times New Roman" w:hAnsi="Times New Roman"/>
          <w:sz w:val="18"/>
          <w:szCs w:val="18"/>
          <w:i w:val="1"/>
          <w:iCs w:val="1"/>
          <w:color w:val="auto"/>
        </w:rPr>
        <w:t>"Deferral of the Effective date"</w:t>
      </w:r>
      <w:r>
        <w:rPr>
          <w:rFonts w:ascii="Times New Roman" w:cs="Times New Roman" w:eastAsia="Times New Roman" w:hAnsi="Times New Roman"/>
          <w:sz w:val="18"/>
          <w:szCs w:val="18"/>
          <w:color w:val="auto"/>
        </w:rPr>
        <w:t>, which defers the required adoption date of ASU 2014-09 by one year. As a result of the deferred effective date, ASU 2014-09 will be effective for annual reporting periods beginning after December 15, 2018, and early adoption is permitted for annual reporting periods beginning after December 15, 2017. The Company is currently evaluating the impact of ASU 2014-09.</w:t>
      </w:r>
    </w:p>
    <w:p>
      <w:pPr>
        <w:spacing w:after="0" w:line="129"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color w:val="auto"/>
        </w:rPr>
        <w:t>In June 2014, the FASB issued Accounting Standards Update No. 2014-12,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("ASU 2014-12"). ASU 2014-12 is intended to resolve diverse accounting treatment for share based awards in which the terms of the award provide that a performance target that affects vesting could be achieved after the requisite service period. The standard is effective for annual periods and interim periods within those annual periods beginning after December 15, 2015 and may be applied prospectively or retrospectively. The Company does not expect adoption of this standard will have a significant impact on the Company's consolidated financial statements.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0" w:firstLine="405"/>
        <w:spacing w:after="0" w:line="259" w:lineRule="auto"/>
        <w:rPr>
          <w:sz w:val="20"/>
          <w:szCs w:val="20"/>
          <w:color w:val="auto"/>
        </w:rPr>
      </w:pPr>
      <w:r>
        <w:rPr>
          <w:rFonts w:ascii="Times New Roman" w:cs="Times New Roman" w:eastAsia="Times New Roman" w:hAnsi="Times New Roman"/>
          <w:sz w:val="18"/>
          <w:szCs w:val="18"/>
          <w:color w:val="auto"/>
        </w:rPr>
        <w:t>In August 2014, the FASB issued Accounting Standards Update No.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("ASU 2014-15"). ASU 2014-15 requires an entity's management to evaluate whether there are conditions or events, considered in the aggregate, that raise substantial doubt about the entity's ability to continue as a going concern and if those conditions exist, the required disclosures. The standard is effective for annual periods ending after December 15, 2016, and interim periods therein. The Company does not expect adoption of this standard will have a significant impact on the Company's consolidated financial statements.</w:t>
      </w:r>
    </w:p>
    <w:p>
      <w:pPr>
        <w:spacing w:after="0" w:line="126" w:lineRule="exact"/>
        <w:rPr>
          <w:sz w:val="20"/>
          <w:szCs w:val="20"/>
          <w:color w:val="auto"/>
        </w:rPr>
      </w:pPr>
    </w:p>
    <w:p>
      <w:pPr>
        <w:ind w:right="4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Accounting Standards Update No. 2015-03, </w:t>
      </w:r>
      <w:r>
        <w:rPr>
          <w:rFonts w:ascii="Times New Roman" w:cs="Times New Roman" w:eastAsia="Times New Roman" w:hAnsi="Times New Roman"/>
          <w:sz w:val="18"/>
          <w:szCs w:val="18"/>
          <w:i w:val="1"/>
          <w:iCs w:val="1"/>
          <w:color w:val="auto"/>
        </w:rPr>
        <w:t>"Interest - Imputation of Interest: Simplifying the Presentation of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Issuance Costs" </w:t>
      </w:r>
      <w:r>
        <w:rPr>
          <w:rFonts w:ascii="Times New Roman" w:cs="Times New Roman" w:eastAsia="Times New Roman" w:hAnsi="Times New Roman"/>
          <w:sz w:val="18"/>
          <w:szCs w:val="18"/>
          <w:color w:val="auto"/>
        </w:rPr>
        <w:t>("ASU 2015-03"). ASU 2015-03 requires that debt issuance costs be reported in the balance sheet as a direct deduction from the face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related liability, consistent with the presentation of debt discounts. Prior to the amendments, debt issuance costs were presented as a deferred charge on the balance sheet. The standard is effective for annual periods ending after December 15, 2015 and interim periods within those fiscal years. The amendments must be applied retrospectively. The Company is currently evaluating the impact of ASU 2015-03.</w:t>
      </w:r>
    </w:p>
    <w:p>
      <w:pPr>
        <w:spacing w:after="0" w:line="12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July 2015, the FASB issued Accounting Standards Update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xml:space="preserve"> ("ASU 2015-11"). ASU 2015-11 was issued to more closely align the measurement of inventory in U.S. GAAP with the measurement of inventory in International Financial Reporting Standards. The core principle of this updated guidance is that an entity should measure inventory at the lower of cost or net realizable value. Net realizable value is the estimated selling prices in the ordinary course of business, less reasonably predictable costs of completion, disposal, and transportation. The amendments in ASU 2015-11 apply to inventory that is measured using the first-in, first-out or average cost methods. ASU 2015-11 is effective for annual and interim reporting periods ending after December 15, 2016, including interim periods within those fiscal years and should be applied prospectively. Early adoption is permitted as of the beginning of an interim or annual reporting period. The Company does not expect adoption of this standard will have a significant impact on the Company's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ACQUISITION</w:t>
      </w:r>
    </w:p>
    <w:p>
      <w:pPr>
        <w:spacing w:after="0" w:line="94"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On July 1, 2013, the Company completed the acquisition of Harris Manufacturing, Inc. and Harris LED, LLC (collectively, "Harris"). Harris was a Florida-based lighting company which engineered, designed, sourced and manufactured energy efficient lighting systems, including fluorescent and LED lighting solutions, and day-lighting products.</w:t>
      </w:r>
    </w:p>
    <w:p>
      <w:pPr>
        <w:spacing w:after="0" w:line="12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acquisition of Harris expanded the Company's product lines, including a patent pending LED lighting product designed for commercial office buildings, increased its sales force and provided growth opportunities into markets where the Company had previously not had a strong presence, specifically, new construction, retail store fronts, commercial office and government.</w:t>
      </w:r>
    </w:p>
    <w:p>
      <w:pPr>
        <w:spacing w:after="0" w:line="12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 xml:space="preserve">The acquisition was consummated pursuant to a Stock and Unit Purchase Agreement, dated as of May 22, 2013 ("Purchase Agreement"), by and among Harris, the shareholders and members of Harris ("Harris Shareholders"), and the Company. The acquisition consideration paid to the Harris Shareholders was valued under the Purchase Agreement at an aggregate of $10.0 million, plus an adjustment of approximately $0.2 million to reflect the Company's acquisition of net working capital in excess of a targeted amount, plus an additional $0.6 million for the contingent consideration earn-out value assigned to non-employee Harris shareholders. The aggregate acquisition consideration was paid through a combination of $5.0 million in cash, $3.1 million in a three-year unsecured subordinated promissory note and the issuance of 856,997 shares of unregistered Company common stock. For purposes of the acquisition and the acquisition consideration, the shares of common stock issued in the acquisition of Harris were valued at $2.33 per share, which was the average closing share price as reported on the NYSE MKT for the 45 trading days preceding and the 22 trading days following the execution of the Purchase Agreement. For purposes of applying the purchase accounting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shares of common stock issued in the acquisition were valued at $2.41 per share, which was the closing sale price of the Company's common stock as reported on the NYSE MKT on the July 1, 2013, date of acquisition.</w:t>
      </w:r>
    </w:p>
    <w:p>
      <w:pPr>
        <w:spacing w:after="0" w:line="139"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On October 21, 2013, the Company executed a letter agreement amending the Purchase Agreement. The letter agreement established a fixed future consideration of $1.4 million for the previously existing earn-out component of the Purchase Agreement and eliminated the requirement that certain revenue targets must be achieved. Under the letter agreement, on January 2, 2014, the Company issued $0.6 million, or 83,943 shares, of the Company's unregistered common stock. The fixed consideration was determined based upon the existing share calculation at a fair value of $3.80 per common share. In December 2014, the Company amended the letter agreement to defer the January 2, 2015 payment of $0.8 million in cash until February 13, 2015, to settle all outstanding obligations related to the earn-out component of the Purchase Agreement.</w:t>
      </w:r>
    </w:p>
    <w:p>
      <w:pPr>
        <w:spacing w:after="0" w:line="53"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Prior to the amendment discussed above, the contingent consideration arrangement required the Company to pay the Harris Shareholders up to $1.0 million in unregistered shares of the Company's common stock upon Harris' achievement of certain revenue milestones in calendar year 2013 and/or 2014, and, in the case of certain Harris Shareholders who became employees of the Company, their continued employment by the Company. The potential undiscounted amount of all future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payments that the Company could have been required to make under the contingent consideration arrangement was between $0 and $1.0 million. The Company recorded $0.6 million for the non-employee Harris Shareholder portion of the contingent consideration liability on the acquisition date. Total contingent consideration of $0.5 million for employee Harris Shareholders was recorded as compensation expense through the end of calendar 2014. During the three and six months ended September 30, 2014, the Company expensed $49 thousand and $0.1 million in compensation expense, respectively.</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December 31, 2014, Harris was merged with and into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RELATED PARTY TRANSACTIONS</w:t>
      </w:r>
    </w:p>
    <w:p>
      <w:pPr>
        <w:spacing w:after="0" w:line="9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2014 and 2015, the Company purchased goods and services in the amount of $9 thousand and none, respectively, from an entity for which a director of the Company serves as a minority owner and President. During the six months ended September 30, 2014 and 2015, the Company purchased goods and services in the amount of $16 thousand and $6 thousand, respectively, from an entity for which a director of the Company serves as a minority owner and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LONG-TERM DEBT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as of March 31, 2015 and September 30, 2015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Harris seller's note</w:t>
            </w:r>
          </w:p>
        </w:tc>
        <w:tc>
          <w:tcPr>
            <w:tcW w:w="24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Customer equipment finance notes payable</w:t>
            </w:r>
          </w:p>
        </w:tc>
        <w:tc>
          <w:tcPr>
            <w:tcW w:w="24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Equipment lease obligations</w:t>
            </w: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24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5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 revolving credit and security agreement (Credit Agreement) with Wells Fargo Bank, National Association. The Credit Agreement provides for a revolving credit facility (Credit Facility) that matures on February 6, 2018. Borrowings under the Credit Facility are initially limited to the lesser of (i) $15.0 million and (ii) a borrowing base requirement based on eligible receivables and inventory, and currently less approximately $10.3 million of reserves. Such limit may increase to $20.0 million, subject to the borrowing base requirement, after July 31, 2016, if the Company satisfies certain conditions. The Credit Facility includes a $2.0 million sublimit for the issuance of letters of credit.</w:t>
      </w:r>
    </w:p>
    <w:p>
      <w:pPr>
        <w:spacing w:after="0" w:line="21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From and after any increase in the Credit Facility limit from $15.0 million to $20.0 million, the Credit Agreement will require the Company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the Company’s ability to incur additional indebtedness, consolidate or merge, enter into acquisitions, guarantee obligations of third parties, make loans or advances, declare or pay any dividend or distribution on the Company’s stock, redeem or repurchase shares of the Company’s stock, or pledge or dispose of assets.</w:t>
      </w:r>
    </w:p>
    <w:p>
      <w:pPr>
        <w:spacing w:after="0" w:line="215"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Each subsidiary of the Company is a joint and several co-borrower or guarantor under the Credit Agreement, and the Credit Agreement is secured by a security interest in substantially all of the Company’s and each subsidiary’s personal property (excluding various assets relating to customer OTAs) and a mortgage on certain real property.</w:t>
      </w:r>
    </w:p>
    <w:p>
      <w:pPr>
        <w:spacing w:after="0" w:line="203"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daily three-month LIBOR plus 3.0% per annum, with a minimum interest charge for each year or portion of a year during the term of the Credit Agreement of $130,000, regardless of usage. As of September 30, 2015, the interest rate was 3.20%. The Company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2015, the Company had no outstanding letters of credit. Borrowings outstanding as of September 30, 2015, amounted to approximately $2.5 million and are included in non-current liabilities in the accompanying Consolidated Balance Sheet. The Company estimates that as of September 30, 2015, it was eligible to borrow an additional $1.7 million under the Credit Facility based upon current levels of eligible inventory and accounts receivable.</w:t>
      </w:r>
    </w:p>
    <w:p>
      <w:pPr>
        <w:spacing w:after="0" w:line="20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Although the Company breached certain immaterial reporting obligations to the bank under the Credit Agreement during the period, it received a waiver letter from the bank on October 29,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Lease Obligation</w:t>
      </w:r>
    </w:p>
    <w:p>
      <w:pPr>
        <w:spacing w:after="0" w:line="9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June 2015, the Company entered into a lease agreement with De Lage Landen Financial Services, Inc in the principal amount of $0.4 million to fund certain equipment. The lease amount is secured by the related equipment. The lease bears interest at a rate of 5.94% and matures in June 2020 with a $1 buyout option.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INCOME TAXES</w:t>
      </w:r>
    </w:p>
    <w:p>
      <w:pPr>
        <w:spacing w:after="0" w:line="9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income tax provision for the six months ended September 30, 2015 was determined by applying an estimated annual effective tax rate of (0.1)% to loss before taxes. The estimated effective income tax rate was determined by applying statutory tax rates to pretax loss adjusted for certain permanent book to tax differences and tax credits. As of September 30, 2015, the Company had recorded a valuation allowance of $22.5 million, equaling the net deferred tax asset due to the uncertainty of its realization value in the future.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that a deferred tax asset be reduced by a valuation allowance if there is less than a 50% chance that it will be realized. The determination of the realization of deferred tax assets requires considerable judgment. ASC 740 prescribes the consideration of both positive and negative evidence in evaluating the need for a valuation allowance. Negative evidence for the Company includes a cumulative three year operating loss and limited visibility into future earnings. Positive evidence includes the Company's increasing proposal pipeline, recent new national account customer wins and the increase in revenue from new light emitting diode, or LED, products. The Company has determined that the negative evidence outweighs the current positive evidence and has concluded to record a valuation allowance.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reconciliation of the statutory federal income tax rate and the effective income tax rate:</w:t>
      </w:r>
    </w:p>
    <w:p>
      <w:pPr>
        <w:spacing w:after="0" w:line="165"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020" w:type="dxa"/>
            <w:vAlign w:val="bottom"/>
            <w:gridSpan w:val="2"/>
          </w:tcPr>
          <w:p>
            <w:pPr>
              <w:ind w:left="872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tax credit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credit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(37.4)%</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tax contingency reserve</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90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No benefits were recorded in fiscal 2015. No benefits were recorded for the six months ended September 30, 2015 as a reduction in taxes payable and a credit to additional paid in capital based on the amount that was utilized during the year.</w:t>
      </w:r>
    </w:p>
    <w:p>
      <w:pPr>
        <w:spacing w:after="0" w:line="126"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As of September 30, 2015, the Company had federal net operating loss carryforwards of approximately $48.9 million, of which $3.7 million are associated with the exercise of NQSOs that have not yet been recognized by the Company. The Company also has state net operating loss carryforwards of approximately $35.7 million, of which $4.3 million are associated with the exercise of NQSOs. The Company also has federal tax credit carryforwards of approximately $1.5 million and state tax credits of $0.5 million. As of September 30, 2015, the Company has recorded a valuation allowance of $22.5 million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9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2015, the balance of gross unrecognized tax benefits was approximately $0.2 million, all of which would reduce the Company’s effective tax rate if recognized. The Company does not expect this amount to change during fiscal 2016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2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 For the six months ended September 30, 2014 and 2015, the Company had the following unrecognized tax benefit activity (in thousands):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0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7820" w:type="dxa"/>
            <w:vAlign w:val="bottom"/>
          </w:tcPr>
          <w:p>
            <w:pPr>
              <w:spacing w:after="0"/>
              <w:rPr>
                <w:sz w:val="23"/>
                <w:szCs w:val="23"/>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as of beginning of period</w:t>
            </w:r>
          </w:p>
        </w:tc>
        <w:tc>
          <w:tcPr>
            <w:tcW w:w="118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 positions</w:t>
            </w:r>
          </w:p>
        </w:tc>
        <w:tc>
          <w:tcPr>
            <w:tcW w:w="118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Unrecognized tax benefits as of end of period</w:t>
            </w: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20" w:type="dxa"/>
            <w:vAlign w:val="bottom"/>
            <w:vMerge w:val="continue"/>
          </w:tcPr>
          <w:p>
            <w:pPr>
              <w:spacing w:after="0"/>
              <w:rPr>
                <w:sz w:val="20"/>
                <w:szCs w:val="20"/>
                <w:color w:val="auto"/>
              </w:rPr>
            </w:pPr>
          </w:p>
        </w:tc>
        <w:tc>
          <w:tcPr>
            <w:tcW w:w="118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0"/>
                <w:szCs w:val="20"/>
                <w:color w:val="auto"/>
              </w:rPr>
            </w:pP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and Purchase Commitments</w:t>
      </w:r>
    </w:p>
    <w:p>
      <w:pPr>
        <w:spacing w:after="0" w:line="94"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The Company leases vehicles, equipment and facility space under operating leases expiring at various dates through 2018. Rent expense under operating leases was $0.1 million for the three months ended September 30, 2014 and 2015, respectively, and $0.2 million for the six months ended September 30, 2014 and 2015, respectively. The Company enters into non-cancellable purchase commitments for certain inventory items in order to secure better pricing and ensure materials are on hand to meet anticipated order volume and customer expectations, as well as for capital expenditures. As of September 30, 2015, the Company had entered into $5.3 million of purchase commitments related to fiscal 2016, including $0.3 million for operating lease commitments and $5.0 million for inventory purchase commitments.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claims and legal proceedings arising in the ordinary course of business. As of the date hereof, the Company is unable to currently assess whether the final resolution of any of such claims or legal proceedings may have a material adverse effect on the Company. In addition to ordinary-course litigation, the Company is a party to the proceedings described below.</w:t>
      </w:r>
    </w:p>
    <w:p>
      <w:pPr>
        <w:spacing w:after="0" w:line="4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March 27, 2014, the Company was named as a defendant in a civil lawsuit filed by Neal R. Verfuerth, the Company's former chief executive officer who was terminated for cause in November 2012, in the United States District Court for the Eastern District of Wisconsin (Green Bay Division). The plaintiff alleges, among other things, that the Company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On November 4, 2014, the court granted the Company's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the Company filed a motion to dismiss and a motion to strike certain of the claims made in the amended complaint. On May 18, 2015, the court dismissed the intellectual property claims re-alleged in the January 9, 2015 amended complaint. The Company believes that it has substantial legal and factual defenses to the claims and allegations remaining in the case and that the Company will prevail in this proceeding. The Company intends to continue to defend against the claims vigorously. Based upon the current status of the lawsuit, the Company is currently unable to estimate any potential adverse impact on the Company from the plaintiff's claims and the Company does not believe the lawsuit will have a material adverse impact on it future continuing results of operations.</w:t>
      </w:r>
    </w:p>
    <w:p>
      <w:pPr>
        <w:spacing w:after="0" w:line="56"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On May 29, 2014, the Equal Employment Opportunity Commission (EEOC) filed a claim against the Company alleging certain violations of the Americans with Disabilities Act (ADA) with regard to an employee. On August 3, 2015, the Company reached a settlement related to the allegations, which was entirely funded by the Company's insurance carrier. In addition, on August 20, 2014, the EEOC filed a claim against the Company alleging certain violations of the ADA with respect to the Company's wellness program. Based upon the current status of the lawsuit, the Company is currently unable to estimate any potential adverse impact on the Company from the plaintiff's claims and the Company does not believe the lawsuit will have a material adverse impact on its future continuing results of operations.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Tax Assessment</w:t>
      </w:r>
    </w:p>
    <w:p>
      <w:pPr>
        <w:spacing w:after="0" w:line="175"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8"/>
          <w:szCs w:val="18"/>
          <w:color w:val="auto"/>
        </w:rPr>
        <w:t>The Company is currently negotiating a settlement with the Wisconsin Department of Revenue with respect to an assessment regarding the proper classification of the Company’s products for tax purposes under Wisconsin law. The issue under review is whether the installation of the Company’s lighting systems is considered a real property construction activity under Wisconsin law. The Company currently expects to resolve this matter with the Wisconsin Department of Revenue in fiscal 2016 for the amount that it has accrued.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SHAREHOLDERS’ EQUITY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Transactions</w:t>
      </w:r>
    </w:p>
    <w:p>
      <w:pPr>
        <w:spacing w:after="0" w:line="9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On February 20, 2015, the Company completed an underwritten public offering of 5.46 million shares of its common stock, at an offering price to the public of $3.50 per share. Net proceeds of the offering approximated $17.5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Plan</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On January 7, 2009, the Company’s Board of Directors adopted a shareholder rights plan and declared a dividend distribution of one common share purchase right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(Purchase Price).</w:t>
      </w:r>
    </w:p>
    <w:p>
      <w:pPr>
        <w:spacing w:after="0" w:line="126"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the Company’s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3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19" w:name="page20"/>
    <w:bookmarkEnd w:id="19"/>
    <w:p>
      <w:pPr>
        <w:spacing w:after="0" w:line="4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9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August 2010, the Company’s Board of Directors approved a non-compensatory employee stock purchase plan, or ESPP. The ESPP authorizes 2.5 million shares to be issued from treasury or authorized shares to satisfy employee share purchases under the ESPP. All full-time employees of the Company are eligible to be granted a non-transferable purchase right each calendar quarter to purchase directly from the Company up to $20 thousand of the Company’s common stock at a purchase price equal to 100% of the closing sale price of the Company’s common stock on The NASDAQ Capital Market exchange on the last trading day of each quarter. The ESPP allows for employee loans from the Company, except for Section 16 officers, limited to 20% of an individual’s annual income and no more than $0.25 million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As of March 31, 2013, the Company had halted issuing new loans under the program. The Company had the following shares issued from treasury as of March 31, 2015 and for the three and six months ended September 30, 2015:</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2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220" w:type="dxa"/>
            <w:vAlign w:val="bottom"/>
          </w:tcPr>
          <w:p>
            <w:pPr>
              <w:spacing w:after="0"/>
              <w:rPr>
                <w:sz w:val="13"/>
                <w:szCs w:val="13"/>
                <w:color w:val="auto"/>
              </w:rPr>
            </w:pPr>
          </w:p>
        </w:tc>
        <w:tc>
          <w:tcPr>
            <w:tcW w:w="12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ESPP</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Loans Issued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Cumulative through March 31, 2015</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154,269</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$1.66 - 7.25</w:t>
            </w:r>
          </w:p>
        </w:tc>
        <w:tc>
          <w:tcPr>
            <w:tcW w:w="12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128,143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361,550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357,550</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June 30, 2015</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541</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September 30, 2015</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779</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 of September 30, 2015</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vMerge w:val="continue"/>
          </w:tcPr>
          <w:p>
            <w:pPr>
              <w:spacing w:after="0"/>
              <w:rPr>
                <w:sz w:val="22"/>
                <w:szCs w:val="22"/>
                <w:color w:val="auto"/>
              </w:rPr>
            </w:pPr>
          </w:p>
        </w:tc>
        <w:tc>
          <w:tcPr>
            <w:tcW w:w="1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155,589</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$1.66 - 7.25</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128,143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361,550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357,550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Loans issued to employees are reflected on the Company’s balance sheet as a contra-equity account.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STOCK OPTIONS AND RESTRICTED SHARES</w:t>
      </w:r>
    </w:p>
    <w:p>
      <w:pPr>
        <w:spacing w:after="0" w:line="94" w:lineRule="exact"/>
        <w:rPr>
          <w:sz w:val="20"/>
          <w:szCs w:val="20"/>
          <w:color w:val="auto"/>
        </w:rPr>
      </w:pPr>
    </w:p>
    <w:p>
      <w:pPr>
        <w:jc w:val="both"/>
        <w:ind w:right="40" w:firstLine="432"/>
        <w:spacing w:after="0" w:line="257" w:lineRule="auto"/>
        <w:rPr>
          <w:sz w:val="20"/>
          <w:szCs w:val="20"/>
          <w:color w:val="auto"/>
        </w:rPr>
      </w:pPr>
      <w:r>
        <w:rPr>
          <w:rFonts w:ascii="Times New Roman" w:cs="Times New Roman" w:eastAsia="Times New Roman" w:hAnsi="Times New Roman"/>
          <w:sz w:val="18"/>
          <w:szCs w:val="18"/>
          <w:color w:val="auto"/>
        </w:rPr>
        <w:t>The Company grants stock options and restricted stock awards under its 2003 Stock Option and 2004 Stock and Incentive Awards Plans (Plans). Under the terms of the Plans, the Company has reserved 13.5 million shares for issuance to key employees, consultants and directors. The options generally vest and become exercisable ratably between one month and five years although longer and shorter vesting periods have been used in certain circumstances.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Exercisability of the options granted to employees are generally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In fiscal 2011, the Company converted all of its existing ISO awards to NQSO awards. No consideration was given to the employees for their voluntary conversion of ISO awards.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3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June 2012, the Compensation Committee of the Board of Directors approved the issuance of restricted shares under the Plans to key employees to provide an opportunity for such employees to earn long-term equity incentive awards. In May 2013, the Compensation Committee of the Board of Directors changed the Company's long-term equity incentive grant policy so that only restricted shares are issued to all employees under the Plans.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For the three and six months ended September 30, 2014, an aggregate of 108 thousand and 372 thousand, respectively, of restricted shares were granted valued at a price per share between $4.20 and $7.23, which was the closing market price as of each grant date.</w:t>
      </w:r>
    </w:p>
    <w:p>
      <w:pPr>
        <w:spacing w:after="0" w:line="131" w:lineRule="exact"/>
        <w:rPr>
          <w:sz w:val="20"/>
          <w:szCs w:val="20"/>
          <w:color w:val="auto"/>
        </w:rPr>
      </w:pPr>
    </w:p>
    <w:p>
      <w:pPr>
        <w:jc w:val="both"/>
        <w:ind w:right="44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2015, an aggregate of 84 thousand of restricted shares were granted valued at a price per share between $2.15 and $2.51, which was the closing market price as of each grant date. For the six months ended September 30, 2015, an aggregate of 0.6 million of restricted shares were granted valued at a price per share between $2.15 and $2.62, which was the closing market price as of each grant date.</w:t>
      </w:r>
    </w:p>
    <w:p>
      <w:pPr>
        <w:spacing w:after="0" w:line="12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September 30, 2014, the Company issued 7 thousand and 14 thousand shares under the Plans to certain non-employee directors who elected to receive stock awards in lieu of cash compensation. The shares were valued at $4.20 per share to $5.23 per share, the closing market price as of the issuance dates. For the three and six months ended September 30, 2015, the Company issued 9 thousand and 16 thousand shares under the Plans to certain non-employee</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directors who elected to receive stock awards in lieu of cash compensation. The shares were valued at $2.05 per share to $2.62 per share, the closing market price as of the issuance dates.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amounts of stock-based compensation were recorded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0"/>
                <w:szCs w:val="20"/>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2015, compensation cost related to non-vested common stock-based compensation, excluding restricted share awards, amounted to $0.4 million over a remaining weighted average expected term of 4.8 years.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the Plans:</w:t>
      </w:r>
    </w:p>
    <w:p>
      <w:pPr>
        <w:sectPr>
          <w:pgSz w:w="11900" w:h="16885" w:orient="portrait"/>
          <w:cols w:equalWidth="0" w:num="1">
            <w:col w:w="11420"/>
          </w:cols>
          <w:pgMar w:left="240" w:top="121" w:right="239" w:bottom="0" w:gutter="0" w:footer="0" w:header="0"/>
        </w:sectPr>
      </w:pPr>
    </w:p>
    <w:p>
      <w:pPr>
        <w:spacing w:after="0" w:line="16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Outstanding Awards</w:t>
      </w:r>
    </w:p>
    <w:p>
      <w:pPr>
        <w:sectPr>
          <w:pgSz w:w="11900" w:h="16885" w:orient="portrait"/>
          <w:cols w:equalWidth="0" w:num="1">
            <w:col w:w="11420"/>
          </w:cols>
          <w:pgMar w:left="240" w:top="121" w:right="239" w:bottom="0" w:gutter="0" w:footer="0" w:header="0"/>
          <w:type w:val="continuous"/>
        </w:sectPr>
      </w:pPr>
    </w:p>
    <w:bookmarkStart w:id="20" w:name="page21"/>
    <w:bookmarkEnd w:id="20"/>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2015</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1,078,600</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2,426,836</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Granted stock options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Granted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(569,534)</w:t>
            </w: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Forfeited restricted shares</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52,950</w:t>
            </w: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Forfeited stock options</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138,200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683,913</w:t>
            </w:r>
          </w:p>
        </w:tc>
        <w:tc>
          <w:tcPr>
            <w:tcW w:w="12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2,283,836</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25,704</w:t>
            </w: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2015</w:t>
            </w: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1,871,791</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14,508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2404110</wp:posOffset>
            </wp:positionH>
            <wp:positionV relativeFrom="page">
              <wp:posOffset>97790</wp:posOffset>
            </wp:positionV>
            <wp:extent cx="4999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right="740" w:firstLine="432"/>
        <w:spacing w:after="0" w:line="282" w:lineRule="auto"/>
        <w:rPr>
          <w:sz w:val="20"/>
          <w:szCs w:val="20"/>
          <w:color w:val="auto"/>
        </w:rPr>
      </w:pPr>
      <w:r>
        <w:rPr>
          <w:rFonts w:ascii="Times New Roman" w:cs="Times New Roman" w:eastAsia="Times New Roman" w:hAnsi="Times New Roman"/>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$1.80 as of September 30, 2015.</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status of the Company’s outstanding non-vested stock options as of September 30, 2015 was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March 31, 2015</w:t>
            </w:r>
          </w:p>
        </w:tc>
        <w:tc>
          <w:tcPr>
            <w:tcW w:w="7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581,842</w:t>
            </w:r>
          </w:p>
        </w:tc>
        <w:tc>
          <w:tcPr>
            <w:tcW w:w="0" w:type="dxa"/>
            <w:vAlign w:val="bottom"/>
          </w:tcPr>
          <w:p>
            <w:pPr>
              <w:spacing w:after="0"/>
              <w:rPr>
                <w:sz w:val="1"/>
                <w:szCs w:val="1"/>
                <w:color w:val="auto"/>
              </w:rPr>
            </w:pPr>
          </w:p>
        </w:tc>
      </w:tr>
      <w:tr>
        <w:trPr>
          <w:trHeight w:val="270"/>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58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(31,597)</w:t>
            </w:r>
          </w:p>
        </w:tc>
        <w:tc>
          <w:tcPr>
            <w:tcW w:w="0" w:type="dxa"/>
            <w:vAlign w:val="bottom"/>
          </w:tcPr>
          <w:p>
            <w:pPr>
              <w:spacing w:after="0"/>
              <w:rPr>
                <w:sz w:val="1"/>
                <w:szCs w:val="1"/>
                <w:color w:val="auto"/>
              </w:rPr>
            </w:pPr>
          </w:p>
        </w:tc>
      </w:tr>
      <w:tr>
        <w:trPr>
          <w:trHeight w:val="270"/>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(138,200)</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Non-vested at September 30, 2015</w:t>
            </w:r>
          </w:p>
        </w:tc>
        <w:tc>
          <w:tcPr>
            <w:tcW w:w="58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7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412,045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60" w:type="dxa"/>
            <w:vAlign w:val="bottom"/>
            <w:vMerge w:val="restart"/>
          </w:tcPr>
          <w:p>
            <w:pPr>
              <w:jc w:val="right"/>
              <w:ind w:right="405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86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6"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half of fiscal 2016, the Company granted restricted shares as follows (which are included in the above stock plan activity tables):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2015</w:t>
            </w:r>
          </w:p>
        </w:tc>
        <w:tc>
          <w:tcPr>
            <w:tcW w:w="6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704,688</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64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569,534</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6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(172,407)</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Shares forfeited</w:t>
            </w:r>
          </w:p>
        </w:tc>
        <w:tc>
          <w:tcPr>
            <w:tcW w:w="6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(52,950)</w:t>
            </w:r>
          </w:p>
        </w:tc>
        <w:tc>
          <w:tcPr>
            <w:tcW w:w="0" w:type="dxa"/>
            <w:vAlign w:val="bottom"/>
          </w:tcPr>
          <w:p>
            <w:pPr>
              <w:spacing w:after="0"/>
              <w:rPr>
                <w:sz w:val="1"/>
                <w:szCs w:val="1"/>
                <w:color w:val="auto"/>
              </w:rPr>
            </w:pPr>
          </w:p>
        </w:tc>
      </w:tr>
      <w:tr>
        <w:trPr>
          <w:trHeight w:val="27"/>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outstanding at September 30, 2015</w:t>
            </w:r>
          </w:p>
        </w:tc>
        <w:tc>
          <w:tcPr>
            <w:tcW w:w="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1,053,865</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64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$1.80 - $7.23</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 for the six months ended September 30, 2015</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544,703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six months ended September 2014, the Company recorded compensation expense related to granted restricted shares of $0.5 million.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2015, the weighted average grant-date fair value of restricted shares granted was $3.06.</w:t>
      </w:r>
    </w:p>
    <w:p>
      <w:pPr>
        <w:spacing w:after="0" w:line="171"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2015, the amount of deferred stock-based compensation expense related to grants of restricted shares, to be recognized over a remaining period of 2.60 years, was approximately $2.7 million.</w:t>
      </w:r>
    </w:p>
    <w:p>
      <w:pPr>
        <w:spacing w:after="0" w:line="108"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2015 or during the six months ended September 30, 2015. During fiscal 2015, all warrants outstanding for a total of 38,980 shares were exercised at $2.25 per share, and as a result, none remain outstanding.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SEGMENTS</w:t>
      </w:r>
    </w:p>
    <w:p>
      <w:pPr>
        <w:spacing w:after="0" w:line="9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Beginning in fiscal 2015, the Company reorganized its business into the following business segments: U.S. markets, Orion engineered systems and Orion distribution services. The accounting policies are the same for each business segment as they are on a consolidated basis.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descriptions of the Company’s segments and their summary financial information are presented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U.S. Markets Division sells lighting solutions into the wholesale markets.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Engineered Systems</w:t>
      </w:r>
    </w:p>
    <w:p>
      <w:pPr>
        <w:spacing w:after="0" w:line="94"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The Engineered Systems Division sells lighting products and construction and engineering services direct to end users. The Engineered Systems Division also completes the construction management services related to existing contracted solar PV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Services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Distribution Services Division sells lighting products to a developing network of broad line distributors and internationally.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9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6"/>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341"/>
        </w:trPr>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60"/>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Segments: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 Markets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7,060</w:t>
            </w:r>
          </w:p>
        </w:tc>
        <w:tc>
          <w:tcPr>
            <w:tcW w:w="120" w:type="dxa"/>
            <w:vAlign w:val="bottom"/>
          </w:tcPr>
          <w:p>
            <w:pPr>
              <w:spacing w:after="0"/>
              <w:rPr>
                <w:sz w:val="23"/>
                <w:szCs w:val="23"/>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9,872</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Engineered Systems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6,052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Services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13,393</w:t>
            </w:r>
          </w:p>
        </w:tc>
        <w:tc>
          <w:tcPr>
            <w:tcW w:w="12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15,728</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00" w:type="dxa"/>
            <w:vAlign w:val="bottom"/>
            <w:gridSpan w:val="7"/>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6"/>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50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37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7"/>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Segments: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 Markets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15,425</w:t>
            </w:r>
          </w:p>
        </w:tc>
        <w:tc>
          <w:tcPr>
            <w:tcW w:w="120" w:type="dxa"/>
            <w:vAlign w:val="bottom"/>
          </w:tcPr>
          <w:p>
            <w:pPr>
              <w:spacing w:after="0"/>
              <w:rPr>
                <w:sz w:val="23"/>
                <w:szCs w:val="23"/>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21,506</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Engineered Systems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10,820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Services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26,706</w:t>
            </w:r>
          </w:p>
        </w:tc>
        <w:tc>
          <w:tcPr>
            <w:tcW w:w="12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32,316</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5"/>
          </w:tcPr>
          <w:p>
            <w:pPr>
              <w:jc w:val="center"/>
              <w:ind w:left="1196"/>
              <w:spacing w:after="0"/>
              <w:rPr>
                <w:sz w:val="20"/>
                <w:szCs w:val="20"/>
                <w:color w:val="auto"/>
              </w:rPr>
            </w:pPr>
            <w:r>
              <w:rPr>
                <w:rFonts w:ascii="Times New Roman" w:cs="Times New Roman" w:eastAsia="Times New Roman" w:hAnsi="Times New Roman"/>
                <w:sz w:val="14"/>
                <w:szCs w:val="14"/>
                <w:b w:val="1"/>
                <w:bCs w:val="1"/>
                <w:color w:val="auto"/>
                <w:w w:val="98"/>
              </w:rPr>
              <w:t>Total Assets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7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3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Segments: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 Markets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27,769</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27,542</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Engineered Systems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27,435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23,434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Services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25,655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87,805</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76,959</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revenue and long-lived assets outside the United States are insignificant.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SUBSEQUENT EVENTS</w:t>
      </w:r>
    </w:p>
    <w:p>
      <w:pPr>
        <w:spacing w:after="0" w:line="94"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4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Although the Company breached certain immaterial reporting obligations to the bank under the Credit Agreement during the period, it received a waiver letter from the bank on October 29,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9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2015.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Shift to Light Emitting Diode Products</w:t>
      </w:r>
    </w:p>
    <w:p>
      <w:pPr>
        <w:spacing w:after="0" w:line="9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rapid market shift in the lighting industry from legacy lighting products to light emitting diode, or LED, lighting products has caused us to adopt new strategies, approaches and processes in order to respond proactively to this paradigm shift. These changing underlying business fundamentals in this paradigm shift include:</w:t>
      </w:r>
    </w:p>
    <w:p>
      <w:pPr>
        <w:spacing w:after="0" w:line="41" w:lineRule="exact"/>
        <w:rPr>
          <w:sz w:val="20"/>
          <w:szCs w:val="20"/>
          <w:color w:val="auto"/>
        </w:rPr>
      </w:pPr>
    </w:p>
    <w:p>
      <w:pPr>
        <w:ind w:left="660" w:right="20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declining LED product end user customer pricing and related component costs, improving LED product performance and customer return on investment payback periods, all of which are driving increasing customer preferences for LED lighting products compared to legacy lighting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LED lighting product customer sales compared to decreasing high intensity fluorescent, or HIF, product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lower LED product gross margins than those typically realized on sales of legacy lighting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broader and more diverse customer base and market opportunities compared to our historical commercial and industrial facility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importance of highly innovative product designs and features and faster speed to market product research and development capabilities.</w:t>
      </w:r>
    </w:p>
    <w:p>
      <w:pPr>
        <w:spacing w:after="0" w:line="9"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reliance on international component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internal product fabrication and production capabilities needed to support LED product assembly.</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longer end user product warranty requirements for LED products compared to our legacy products.</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we continue to focus our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2016 Recent Developments</w:t>
      </w:r>
    </w:p>
    <w:p>
      <w:pPr>
        <w:spacing w:after="0" w:line="17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2014 and the first three quarters of fiscal 2015, we experienced a reduction in the amount of new customer orders for our energy efficient HIF lighting systems within our industrial and exterior markets. We attributed this to an increasing awareness within the marketplace of emerging LED product offerings. We believe that customers deferred purchase decisions as they evaluated the cost and performance of these LED product offerings. During the fiscal 2015 third quarter, we began to see this deferral of purchasing decisions begin to abate as customer purchases of LED lighting systems during our fiscal 2015 back half increased compared to our fiscal 2014 back half. This trend continued during our fiscal 2016 first half as lighting revenue increased by 26% compared to the first half of fiscal 2015.</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During the fiscal 2016 first half, we continued to see improvements in our gross margin related to LED products as a result of negotiated price decreases for lighting components and the benefits of our fiscal 2015 fourth quarter cost containment initiatives. During the fiscal 2016 second quarter, we experienced an increase in sales of our LED door retrofit, or LDR, product line which have lower gross margins as compared to our other LED product lines. This increase in volume negatively impacted our overall gross margins during the fiscal 2016 second quarter.</w:t>
      </w:r>
    </w:p>
    <w:p>
      <w:pPr>
        <w:spacing w:after="0" w:line="180"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 June 2015, we opened an innovation hub in Chicago, Illinois to develop and design new LED products and provide corporate financial support. We believe that this location has allowed us greater supply of technical talent and enabled us to recruit and retain high quality finance and accounting staff and also engineering and design staff to help us develop new LED products in the future. We have and will continue to incur additional start-up expenses for this new innovation hub, as well as additional compensation expense as we add research and development, engineering and finance personnel.</w:t>
      </w:r>
    </w:p>
    <w:p>
      <w:pPr>
        <w:spacing w:after="0" w:line="180"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In October 2015, we introduced a series of new LED industrial high-bay products. These LED products have significant advantages in delivering lumens per watt and we believe, the lowest total cost of ownership versus other LED lighting products. Additionally, we expect that our gross margins will improve as we increase sales of these new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2015 Developments</w:t>
      </w:r>
    </w:p>
    <w:p>
      <w:pPr>
        <w:spacing w:after="0" w:line="17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During fiscal 2015, we focused on converting our manufacturing production assembly lines from predominantly HIF lighting assembly lines to LED lighting assembly lines. We continue to consider and implement additional significant changes to our manufacturing production and assembly facility and processes that will provide us additional flexibility to continue to adapt and respond to the changing market dynamics of the lighting products industry and to continue to enhance our competitiveness. It is possible that the implementation of such changes could result in us recognizing asset impairment charges or other similar write downs, and incurring other repositioning expenses and charges. As part of our business initiatives to adapt to the rapidly evolving LED market, we are also currently considering options related to our properties, including the sale and leaseback of our manufacturing and/or corporate facilities that, if executed, may result in a significant impairment charge. Additionally, we have been managing through significant change in our vendor supply chain as our LED product portfolio and our product revenue continues to increase and we place most of our focus on this product line. We also worked to negotiate future lower material input costs to improve our LED product gross margins. We may experience higher warranty expenses in the future as we implement our manufacturing and assembly process changes. It is also possible that, as we continue to focus our sales efforts on our LED product portfolio, we may increase our risk of inventory obsolescence for our legacy lighting product lines or even outmoded LED products.</w:t>
      </w:r>
    </w:p>
    <w:p>
      <w:pPr>
        <w:spacing w:after="0" w:line="13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2015, we experienced delayed customer purchase decisions as a result of the continuing emergence, and improving performance and decreasing cost, of LED lighting solutions. Within our industrial customer base, LED product costs had been declining while performance, and the related energy reduction, were improving. However, while customer return on investment, or ROI, realization using LED technology was improving, these products had still not yet met many of our customers' existing payback expectations of two years. As a result, we believe that customers had been delaying their lighting system retrofit project decisions as they continued to monitor and evaluate lighting technology alternatives. We believe that the ROI of LED lighting products has improved and, thus, is resulting in increased customer purchase decisions in the near-term and should result in increasing amounts of customer purchases in the future.</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first quarter of fiscal 2015, we sold our corporate facility in Plymouth, Wisconsin for net proceeds of approximately $1.0 million.</w:t>
      </w:r>
    </w:p>
    <w:p>
      <w:pPr>
        <w:spacing w:after="0" w:line="17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2015, we realigned our organizational structure which resulted in our identification of new operating segments for the purpose of making operational decisions and assessing financial performance. The new business divisions include U.S. Markets, Engineered Systems and Distribution Services.</w:t>
      </w:r>
    </w:p>
    <w:p>
      <w:pPr>
        <w:spacing w:after="0" w:line="12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2015, we recorded a $12.1 million impairment charge related to our long-term inventory and investment in wireless controls products. As a result of changes in the business environment, primarily due to the increased velocity of the market acceptance of LED lighting solutions, the performance improvements of LED components which has led to reduced energy costs, the increasing contribution to our revenue from non-industrial markets where our wireless control products cannot be utilized and a significant decline in wireless controls unit volume sales during the quarter ended September 30, 2014, we reviewed our carrying cost, asset carrying values and intangible assets related to our wireless controls product offering. Additionally, we researched and evaluated opportunities for alternative markets into which to sell these products. As a result of these changes in the market conditions, the significant recent decline in wireless controls unit sales volume, our inability to find other alternative market uses for our controls products and recognition that further investment to keep the product's software and firmware current was not a prudent investment, we recorded a non-cash impairment charge to our wireless controls inventory of $10.2 million and related non-cash asset impairment expense 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development assets of $1.0 million for property and equipment, $0.1 million for intangible assets, and $0.8 million for prepaid licensing costs in other long-term assets. After these non-cash impairment charges, the carrying value of our wireless controls inventory was $0.5 million. As of September 30, 2015, the carrying value of our wireless controls inventory was $68 thousand.</w:t>
      </w:r>
    </w:p>
    <w:p>
      <w:pPr>
        <w:spacing w:after="0" w:line="12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During the fiscal 2015 fourth quarter, we identified potential annualized cost reductions of up to approximately $10.0 million resulting from our ongoing business transition from our historical focus on our legacy fluorescent lighting products to our current focus on our new LED lighting products. These reductions included expected cost reductions from strategic sourcing initiatives, reduced compensation costs in our manufacturing and corporate operations, and other reductions in our operating expenses. We fully implemented these cost reductions during the fourth quarter of our fiscal 2015, and began recognizing the benefits from these reductions during fiscal 2016. We incurred approximately $0.2 million of severance expense related to headcount reductions during our fiscal 2015 fourth quarter.</w:t>
      </w:r>
    </w:p>
    <w:p>
      <w:pPr>
        <w:spacing w:after="0" w:line="13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During the fiscal 2015 fourth quarter, we entered into a new credit and security agreement with Wells Fargo Bank, National Association providing for a new three-year revolving credit facility replacing our prior agreements with JPMorgan Chase Bank. Our new credit agreement provides for an initial credit limit equal to the lesser of (i) $15.0 million and (ii) a borrowing base based on eligible receivables and inventory, and currently less approximately $10.3 million of reserves. Borrowings under the agreement bear interest at the daily three-month LIBOR plus 3.0% per annum.</w:t>
      </w:r>
    </w:p>
    <w:p>
      <w:pPr>
        <w:spacing w:after="0" w:line="126"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During the fiscal 2015 fourth quarter, we completed an underwritten public offering of 5.46 million shares of our common stock, at an offering price to the public of $3.50 per share. Net proceeds of the offering approximated $17.5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are a leading designer and manufacturer of high-performance, energy-efficient lighting platforms. We research, develop, design, manufacture, market, sell and implement energy management systems consisting primarily of high-performance, energy efficient commercial and industrial interior and exterior lighting systems and related services. Our products are targeted for applications in three primary market segments: commercial office and retail, area lighting and industrial high bay, although we do sell and install products into other markets. Virtually all of our sales occur within North America. We operate in three operating segments, which we refer to as U.S. Markets, Engineered Systems and Distribution Services. Our U.S. Markets division focuses on selling our lighting solutions into the wholesale markets with customers including domestic energy service companies, or ESCOs, and electrical contractors. Our Engineered Systems division focuses on selling lighting products and construction and engineering services direct to end users. Engineered Systems completes the construction management services related to existing contracted solar photovoltaic, or PV, projects. Its customers include national accounts, government, municipal and schools. Our Distribution Services division focuses on selling our lighting products internationally and is developing a network of broad line distributors. Historically, sales of all of our lighting products and the related costs were combined through our Energy Management division and sales of all of our historical solar PV products and the related costs were combined through our Engineered Systems division.</w:t>
      </w:r>
    </w:p>
    <w:p>
      <w:pPr>
        <w:spacing w:after="0" w:line="13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lighting products consist primarily of LED and HIF lighting fixtures. Our principal customers include national accounts, ESCOs, electrical contractors and electrical distributors. Currently, substantially all of our products are manufactured at our production facility location in Wisconsin, although we are increasingly sourcing products and components from third parties as the LED market continues to evolve in order to have versatility in our product development.</w:t>
      </w:r>
    </w:p>
    <w:p>
      <w:pPr>
        <w:spacing w:after="0" w:line="12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While we continue to provide solutions using our legacy HIF technology, we believe the market for lighting products is currently in a significant technology shift to LED lighting systems. Compared to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We expect our LED lighting technologies to become the primary component of our future revenue as we strive to be the leader in the industry transition to LED lighting technology. Based on a July 2015 United States Department of Energy report, we estimate the potential North American LED retrofit market within our key product categories to be approximately 1.1 billion lighting fixtures. For fiscal 2015, our LED lighting revenue totaled $30.8 million, or 43.5% of our total lighting revenue, compared to $4.8 million, or 7.2% of our total lighting revenue, for fiscal 2014. For the first half of fiscal 2016, our LED lighting revenue totaled $20.2 million, or 63% of our total lighting revenue, compared to $7.7 million, or 30% of out total lighting revenue for the first half of fiscal 2015. We plan to primarily focus our future efforts on developing and selling innovative LED products while continuing to market and sell legacy HIF solutions in circumstances in which LED solutions may not be our customers' best alternative.</w:t>
      </w:r>
    </w:p>
    <w:p>
      <w:pPr>
        <w:spacing w:after="0" w:line="13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typically generate virtually all of our revenue from sales of lighting systems and related services to commercial and industrial customers. We typically sell our lighting systems in replacement of our customers’ existing fixtures. We call this replacement process a “retrofit.” We frequently engage our customer’s existing electrical contractor to provide installation and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project management services. We also sell our lighting systems on a wholesale basis, principally to electrical contractors and ESCOs to sell to their own customer bases.</w:t>
      </w:r>
    </w:p>
    <w:p>
      <w:pPr>
        <w:spacing w:after="0" w:line="189"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We have sold and installed approximately 4.5 million of our lighting systems in over 12,800 facilities from December 1, 2001 through September 30, 2015. We have sold our products to 178 Fortune 500 companies, many of which have installed our HIF and LED lighting systems in multiple facilities. Our top direct customers by revenue in fiscal 2015 included Ford Motor Co., Dollar General Corporation, Sears Holding Corp., Coca-Cola Enterprises Inc., US Foodservice, and USF Holland Inc.</w:t>
      </w:r>
    </w:p>
    <w:p>
      <w:pPr>
        <w:spacing w:after="0" w:line="126"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Despite recent economic challenges, we remain optimistic about our near-term and long-term financial performance. We believe that customer purchases of LED lighting systems will continue to increase throughout fiscal year 2016 as expected improvements in LED performance and expected decreases in LED product costs are currently expected to make our LED products even more economically compelling to our customers. Our near-term optimism is based upon our investments into our US markets sales force and the expansion of our reseller network, our efforts to expand our distribution services customer base, our intentions to continue to selectively expand our sales force during fiscal 2016, our investments into new high performance LED industrial lighting fixtures and the expected increase in revenue and gross margins as we increase sales of these product lines, our recent improvements in gross margin as a result of our cost containment initiatives and the increasing volume of unit sales of our new products, specifically our LED high-bay lighting fixtures, and additional cost containment opportunities. Our long-term optimism is based upon the considerable size of the existing market opportunity for lighting retrofits, including the market opportunities in commercial office, government and retail markets, the continued development of our new products and product enhancements, including our new LED product offerings, our efforts to expand our channels of distribution and our cost reduction initiatives.</w:t>
      </w:r>
    </w:p>
    <w:p>
      <w:pPr>
        <w:spacing w:after="0" w:line="13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fiscal year ends on March 31. We refer to our prior fiscal year which ended on March 31, 2015, as “fiscal 2015”, and our current fiscal year, which will end on March 31, 2016, as “fiscal 2016.” Our fiscal first quarter of each fiscal year ends on June 30, our fiscal second quarter ends on September 30, our fiscal third quarter ends on December 31 and our fiscal fourth quarter ends on March 31.</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annual report on Form 10-K for the fiscal year ended March 31, 2015 provides additional information about our business and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Expense Components</w:t>
      </w:r>
    </w:p>
    <w:p>
      <w:pPr>
        <w:spacing w:after="0" w:line="92"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sell our energy management products and services directly to commercial and industrial customers, and indirectly to end users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sales to electrical contractors and value-added resellers. We currently generate the majority of our revenue from sales of LED and HIF lighting systems and related services to commercial and industrial customers, with sales of our LED systems becoming our primary emphasis.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installation and recycling service revenues are recognized when services are complete and customer acceptance has been received. Our wholesale channels, which include our value-added resellers and electrical contractors, accounted for approximately 55% of our total revenue in fiscal 2015, not taking into consideration our renewable technologies revenue generated through our Engineered Systems Division. Wholesale revenues accounted for approximately 69% of our total revenue during the first half of fiscal 2016, not taking into consideration our renewable technologies revenue generated through our Engineered Systems Division, compared to 63% for the first half of fiscal 2015. The increase in our wholesale revenue mix for the first six months of fiscal 2016 was due to an increase in the number of key resellers selling our products in-market.</w:t>
      </w:r>
    </w:p>
    <w:p>
      <w:pPr>
        <w:spacing w:after="0" w:line="60"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acknowledgment that the system is operating as specified. Upon completion of the installation, we may choose to sell the future cash flows and residual rights to the equipment on a non-recourse basis to an unrelated third party finance company in exchange for cash and future payments. In fiscal 2015, we recognized $1.2 million of revenue from 25 completed OTA contracts. In the first half of fiscal 2016, we recognized 0.4 million of revenue from 7 completed OTA contracts. Our OTA contract revenue has been declining over the last several years which we attribute to the reluctance of our national account customers to encumber their buildings with short-term lease agreements. We do not expect this trend to change in the near-term.</w:t>
      </w:r>
    </w:p>
    <w:p>
      <w:pPr>
        <w:spacing w:after="0" w:line="13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Our PPA financing program provides for our customer’s purchase of electricity from our renewable energy generating assets without an upfront capital outlay. Our PPA is a longer-term contract, typically in excess of 10 years, in which we receive</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121" w:right="3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2015, we recognized $0.4 million of revenue from completed PPAs. In the first half of fiscal 2016, we recognized $0.2 million of revenue from completed PPAs compared to $0.3 million for the first half of fiscal 2015. As of September 30, 2015, we had signed one customer to two separate PPAs representing future potential discounted revenue streams of $2.0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September 30, 2015 (in thousands):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Fiscal 2017</w:t>
            </w: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r>
      <w:tr>
        <w:trPr>
          <w:trHeight w:val="27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Fiscal 2018</w:t>
            </w: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r>
      <w:tr>
        <w:trPr>
          <w:trHeight w:val="27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7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r>
      <w:tr>
        <w:trPr>
          <w:trHeight w:val="27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Beyond</w:t>
            </w: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9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Total expected future discounted revenue from PPA's</w:t>
            </w: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r>
    </w:tbl>
    <w:p>
      <w:pPr>
        <w:spacing w:after="0" w:line="144" w:lineRule="exact"/>
        <w:rPr>
          <w:sz w:val="20"/>
          <w:szCs w:val="20"/>
          <w:color w:val="auto"/>
        </w:rPr>
      </w:pPr>
    </w:p>
    <w:p>
      <w:pPr>
        <w:ind w:right="260" w:firstLine="432"/>
        <w:spacing w:after="0" w:line="255" w:lineRule="auto"/>
        <w:rPr>
          <w:sz w:val="20"/>
          <w:szCs w:val="20"/>
          <w:color w:val="auto"/>
        </w:rPr>
      </w:pPr>
      <w:r>
        <w:rPr>
          <w:rFonts w:ascii="Times New Roman" w:cs="Times New Roman" w:eastAsia="Times New Roman" w:hAnsi="Times New Roman"/>
          <w:sz w:val="18"/>
          <w:szCs w:val="18"/>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each element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3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Our dependence on individual key customers can vary from period to period as a result of the significant size of some of our past solar PV projects and new multi-facility roll-out projects. Our top 10 customers accounted for approximately 35% and 34% of our total revenue for the first half of fiscal 2015 and fiscal 2016, respectively. No customer accounted for more than 10% of our total revenue in the first half of fiscal 2015 or fiscal 2016. To the extent that multi-facility roll-out projects and large retrofit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34"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Our level of total revenue for any given period is dependent upon a number of factors, including (i) the rate of performance improvement and cost decreases of our LED product offerings, particularly as we make our LED products our primary emphasis; (ii) the demand for our products and systems, particularly our LED products and any new products, applications and service that we may introduce; (iii) the selling price of our LED products compared to our other lighting alternatives; (iv) the level of our wholesale sales; (v) the number and timing of large retrofit and multi-facility retrofit, or “roll-out,” projects; (vi) the rate at which we expand our number of key resellers; (vii) customer sales and budget cycles, including budget cycles for utility incentive programs; (viii) our ability to realize revenue from our services, particularly our ability to access job sites and manage our customer's control over their own installation labor workforce; (ix) market conditions; (x) our execution of our sales process; (xi) our ability to compete in a highly competitive market and our ability to respond successfully to market competition; (xii) the selling price of our products and services; (xiii) changes in capital investment levels by our customers and prospects; (xiv) our non-recurrence of prior levels of PV revenue; and (xv) the rate of government spending on our products. As a result, our total revenue may be subject to quarterly variations and our total revenue for any particular fiscal quarter may not be indicative of future results. In particular, as we focus our marketing and sales efforts on our LED lighting products and decrease our emphasis on our HIF products, and given the rapidly changing market dynamics of the lighting market, we may experience significant and unpredictable variations in our quarterly results.</w:t>
      </w:r>
    </w:p>
    <w:p>
      <w:pPr>
        <w:spacing w:after="0" w:line="13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We define backlog as the total contractual value of all firm orders and OTA contracts received for our lighting and solar products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received a purchase order for the specific location. As of September 30, 2015, we had a backlog of firm purchase orders of approximately $5.7 million, which included $0.1 million of solar PV orders, compared to $5.4 million as of June 30, 2015, which included $0.2 million of solar PV orders. We currently expect approximately $5.6 million of our September 30, 2015 backlog to be recognized as revenue during the remainder of fiscal 2016 and the remainder in future years. We generally expect this level of firm purchase order backlog related to HIF and LED lighting systems to be recognized as revenue within the following quarter. As a result of the discontinuance of our solar PV orders, the increased volume of multi-facility roll-outs and large retrofit projects, the continued shortening of our installation cycles and the declining number of projects sold through OTAs, a comparison of backlog from period to period is not necessarily meaningful and may not be indicative of actual revenue recognized in future periods.</w:t>
      </w:r>
    </w:p>
    <w:p>
      <w:pPr>
        <w:spacing w:after="0" w:line="133"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Our total cost of revenue consists of costs for: (i) raw materials, including sheet, coiled and specialty reflective aluminum;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electrical components, including ballasts, power supplies, lamps and LED chips and components; (iii)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We also purchase many of our electrical components through forward purchase contracts. We buy most of our LED chips from a single supplier, although we believe we could obtain sufficient quantities of these raw materials on a price and quality competitive basis from other suppliers if necessary. We use multiple suppliers for our electronic component purchases, including ballasts. drivers and lamps. For the first half of fiscal 2015 and fiscal 2016, no supplier accounted for more than 10% of our total cost of revenue. Our cost of revenue from OTA projects is recorded upon customer acceptance and acknowledgment that the system is operating as specified. Our production labor force is non-union and, as a result, our production labor costs have been relatively stable. During fiscal 2015, we reorganized our manufacturing production lines to increase our capacity to produce LED lighting products. Additionally, we continued to reduce product costs through a reduction in workforce and through negotiated material input price decreases with our vendors. During the fiscal 2015 second quarter, we recorded a non-cash impairment charge of $12.1 million related to an assessment of the carrying cost of our long-term wireless control inventory and related development and intangible costs. The wireless controls inventory was deemed to be impaired based upon current market conditions, including a significant decline during the fiscal year in wireless controls unit volume sales, an increase in product sales in the commercial office and retail markets where the controls product offering is not saleable, limitations in alternative uses for the inventory and the increasing adoption of, and performance improvements in, LED lighting products. During fiscal 2016, we expect to generate efficiencies and cost decreases from our lean manufacturing initiatives that began during fiscal 2014 and from our focus on reducing component product costs through strategic sourcing began during fiscal 2015.</w:t>
      </w:r>
    </w:p>
    <w:p>
      <w:pPr>
        <w:spacing w:after="0" w:line="140"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gross profit has been, and will continue to be, affected by the relative levels of our total revenue and our total cost of revenue,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our gross profit may be subject to quarterly variation. Our gross profit as a percentage of total revenue, or gross margin, is affected by a number of factors, including: (i) our level of utilization of our manufacturing facilities and production equipment and related absorption of our manufacturing overhead costs; (ii) our mix of large retrofit and multi-facility roll-out projects with national accounts; (iii) our increasing sales mix of LED lighting products and their current lower margins compared to the decreasing volume of our higher margin HIF products; (iv) our project pricing; (v) our realization rate on our billable services; (vi) our level of warranty claims; (vii) our level of efficiencies from our subcontracted installation service providers; (viii) the seasonality of our sales mix; and (ix) any severance expenses that affect our cost of revenue. We expect that our gross margins from sales of lighting products will continue to improve during the remainder of our fiscal 2016 as we continue to recognize the benefits of higher purchase volumes of LED components at lower costs, increasing sales volumes of our newly introduced and higher margin LED products and increased utilization of our manufacturing facility.</w:t>
      </w:r>
    </w:p>
    <w:p>
      <w:pPr>
        <w:spacing w:after="0" w:line="135"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Our operating expenses consist of: (i) general and administrative expenses; (ii) acquisition-related expenses; (iii)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and (iv) research and development expenses. Personnel-related costs are our largest operating expense. During the first quarter of fiscal 2015, we sold our facility in Plymouth. During the first half of fiscal 2015, we increased sales headcount within all of our revenue generating divisions. Additionally, during fiscal 2015, we invested $0.3 million in a branding campaign to better position us as an LED company to our direct customers and our resellers. We expect our branding campaign to result in generating additional sales pipeline, increase the number of our resellers and increase our market share in newer markets, such as schools and commercial office space. We believe this branding investment is vital in strengthening our position as an LED lighting solutions provider and improving our ability to compete against existing LED lighting companies. We intend to continue to invest in research and product development for new LED lighting products. During the fiscal 2015 fourth quarter, we identified potential annualized cost reductions of up to approximately $4.0 million resulting from our ongoing business transition from our historical focus on our legacy fluorescent lighting products to our current focus on our new LED lighting products. These reductions included reduced compensation costs and other discretionary spending reductions in our operating expenses. Through the first half of fiscal 2016, we had recognized approximately $1.6 million of these cost reductions.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(vii) corporate-related travel; and (viii) acquisition related expenses consisting primarily of costs for legal and accounting.</w:t>
      </w:r>
    </w:p>
    <w:p>
      <w:pPr>
        <w:spacing w:after="0" w:line="12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12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for: (i) salaries and related personnel expenses, including stock-based compensation charges, related to our engineering and product development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2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We expense all pre-sale costs incurred in connection with our sales process prior to obtaining a purchase order. These pre-sale costs may reduce our net income in a given period prior to recognizing any corresponding revenue.</w:t>
      </w:r>
    </w:p>
    <w:p>
      <w:pPr>
        <w:spacing w:after="0" w:line="10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recognize compensation expense for the fair value of our stock option and restricted stock awards granted over their related vesting period. We recognized $0.8 million and $0.7 million of compensation expense for the first half of fiscal 2015 and fiscal 2016, respectively. As a result of prior option and restricted stock grants, we expect to recognize an additional $3.1 million of stock-based compensation over a weighted average period of approximately three years, including $0.8 million in the last half of fiscal 2016.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33" w:lineRule="exact"/>
        <w:rPr>
          <w:sz w:val="20"/>
          <w:szCs w:val="20"/>
          <w:color w:val="auto"/>
        </w:rPr>
      </w:pPr>
    </w:p>
    <w:p>
      <w:pPr>
        <w:ind w:right="3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Our interest expense is comprised primarily of interest expense on outstanding borrowings under long-term debt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amortization of previously incurred financing costs. We amortize deferred financing costs to interest expense over the life of the related debt instrument, ranging from one to three years.</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We report interest income earned from our financed OTA contracts and on our cash and cash equivalents and short term investments.</w:t>
      </w:r>
    </w:p>
    <w:p>
      <w:pPr>
        <w:spacing w:after="0" w:line="17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 of September 30, 2015, we had net operating loss carryforwards of approximately $48.9 million for federal tax purposes and $35.7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state tax purposes. Included in these loss carryforwards were $3.7 million for federal and $4.3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$1.5 million and state credit carryforwards of approximately $0.5 million. A valuation allowance has been set up to reserve for our net operating losses and our tax credits. A valuation allowance of $22.5 million, equaling the net deferred tax asset due to the uncertainty of its realization in the future, has been set up to reserve for our net operating losses and our tax credits. It is possible that we may not be able to utilize the full benefit of our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2020 and 2035. Our valuation allowance for deferred tax assets is based upon our cumulative three year operating losses.</w:t>
      </w:r>
    </w:p>
    <w:p>
      <w:pPr>
        <w:spacing w:after="0" w:line="14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There was no limitation that occurred for fiscal 2014, fiscal 2015 or fiscal 2016 year-to-date.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11"/>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9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8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Product revenue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12,645</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14,982</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95.3 %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24,888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30,778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95.2 %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13,393</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15,728</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26,706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32,316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Cost of product revenue</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23,364</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174.4 %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12,301</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78.2 %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33,219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24,414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 revenue</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Total cost of revenue</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23,948</w:t>
            </w:r>
          </w:p>
        </w:tc>
        <w:tc>
          <w:tcPr>
            <w:tcW w:w="4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178.8 %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12,816</w:t>
            </w:r>
          </w:p>
        </w:tc>
        <w:tc>
          <w:tcPr>
            <w:tcW w:w="4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34,649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129.7 %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25,646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Gross (loss) profit</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(10,555)</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127.6 %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6,670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184.0 %</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7,512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7,274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(18,333)</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68.4 %</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Loss before income tax</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(18,333)</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(18,346)</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80.4 %</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0" w:type="dxa"/>
            <w:vAlign w:val="bottom"/>
          </w:tcPr>
          <w:p>
            <w:pPr>
              <w:spacing w:after="0"/>
              <w:rPr>
                <w:sz w:val="1"/>
                <w:szCs w:val="1"/>
                <w:color w:val="auto"/>
              </w:rPr>
            </w:pPr>
          </w:p>
        </w:tc>
      </w:tr>
      <w:tr>
        <w:trPr>
          <w:trHeight w:val="59"/>
        </w:trPr>
        <w:tc>
          <w:tcPr>
            <w:tcW w:w="19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increased from $12.6 million for the fiscal 2015 second quarter to $15.0 million for the fiscal 2016 second quarter,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$2.4 million, or 18.5%. The increase in product revenue was a result of an increase in LED product revenue, increasing sales of our new LED products which were launched during the back half of fiscal 2015 and from our fiscal 2015 initiative to increase the number of key resellers. Product sales of our LED fixtures increased from $5.2 million for the fiscal 2015 second quarter to $10.6 million for the fiscal 2016 second quarter, an increase of $5.4 million, or 104%. Service revenue remained relatively flat at $0.7 million for the fiscal 2015 second quarter and $0.7 million for the fiscal 2016 second quarter. Total revenue increased from $13.4 million for the fiscal 2015 second quarter to $15.7 million for the fiscal 2016 second quarter, an increase of $2.3 million, or 17.4%. Product revenue increased from $24.9 million for the fiscal 2015 first half to $30.8 million for the fiscal 2016 first half, an increase of $5.9 million, or 23.7%. The increase in product revenue was a result of an increase in LED product revenue, increasing sales of our new LED products which were launched during the back half of fiscal 2015 and from our fiscal 2015 initiative to increase the number of key resellers. Product sales of our LED fixtures increased from $7.7 million for the fiscal 2015 first half to $20.2 million for the fiscal 2016 first half, an increase of $12.5 million, or 162%. As a result of our discontinuance of our sale of new PV systems, our product revenue from renewable energy systems was $1.3 million for the fiscal 2015 first half compared to $0.4 million for the fiscal 2016 first half. We currently expect our second half fiscal 2016 revenue to increase significantly versus our fiscal 2016 first half as our industrial customers have historically increased their capital spending at the end of a calendar year, as we continue to experience revenue growth from the expansion of our reseller network, as we expand our distribution services customer base, and as we begin to realize revenue from sales of our recently launched new high performance LED industrial lighting fixtures.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Our cost of product revenue decreased from $23.4 million for the fiscal 2015 second quarter to $12.3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fiscal 2016 second quarter, a decrease of $11.1 million, or 47.4%. Our cost of service revenue decreased from $0.6 million for the fiscal 2015 second quarter to $0.5 million for the fiscal 2016 second quarter, a decrease of $0.1 million, or 11.8%. Total gross margin was a negative 78.8% for the fiscal 2015 second quarter compared to 18.5% for the fiscal 2016 second quarter. During the fiscal 2015 second quarter, we recorded a non-cash impairment charge of $12.1 million related to an assessment of the carrying cost of our long-term wireless control inventory and related development and intangible costs. The wireless controls inventory was deemed to be impaired based upon current market conditions, including a significant decline during the quarter in wireless controls unit volume sales, an increase in product sales in the commercial office and retail markets where the controls product offering is not saleable, limitations in alternative uses for the inventory and the increasing adoption of, and performance improvements in, LED lighting products. Gross margin, adjusted for the impact of the non-cash impairment charge, from sales of our integrated lighting systems for the fiscal 2015 second quarter was 11.5% compared to 17.9% for the fiscal 2016 second quarter. The increase in our lighting gross margin percentage was positively impacted by negotiated price decreases for lighting component cost decreases and the benefits of our fiscal 2015 fourth quarter cost containment initiatives. Our gross margin on solar PV revenue was 31.1% during the fiscal 2015 second quarter compared to 42.7% during the fiscal 2016 second quarter. Total cost of product revenue decreased from $33.2 million for the fiscal 2015 first half to $24.4 million for the fiscal 2016 first half, a decrease of $8.8 million, or 27%. Gross margin, adjusted for the impact of the non-cash impairment charge, from sales of our integrated lighting systems for the fiscal 2015 first half was 15.7% compared to 20.3% for the fiscal 2016 first half. Our cost of product revenue decreased by $12.1 million related to the aforementioned fiscal 2015 non-cash impairment charge, partially offset by the contribution margin dollars from the increase in product revenue and the reductions in lighting component costs and our cost containment initiatives. We expect that our gross margins from sales of lighting products will continue to improve during our fiscal 2016 back half as we continue to recognize the benefits of higher purchase volumes of LED components at lower costs, increasing sales volumes of our newly introduced and higher margin LED products and increased utilization of our manufacturing facility.</w:t>
      </w:r>
    </w:p>
    <w:p>
      <w:pPr>
        <w:spacing w:after="0" w:line="138"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from $3.8 million for the fiscal 2015 second quarter to $3.4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fiscal 2016 second quarter, a decrease of $0.4 million, or 11%. The decrease was due to a decrease in legal expenses of $0.3 million and a decrease in consulting expenses of $0.1 million. Our general and administrative expenses decreased from $7.5 million for the fiscal 2015 first half to $7.3 million for the fiscal 2016 first half, a decrease of $0.2 million, or 3%. The decrease was due to decreased legal expenses of $0.1 million and decreased consulting expenses of $0.1 million.</w:t>
      </w:r>
    </w:p>
    <w:p>
      <w:pPr>
        <w:spacing w:after="0" w:line="12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decreased from $3.4 million for the fiscal 2015 second quarter to $2.6 million for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second quarter, a decrease of $0.8 million, or 22%. The decrease was due to a decrease in headcount related expenses for compensation and travel of $0.5 million, a decrease in rebranding expenses related to our fiscal 2015 LED branding initiative of $0.2 million and decrease in bad debt expense of $0.1 million. Our sales and marketing expenses decreased from $6.2 million for the fiscal 2015 first half to $5.7 million for the fiscal 2016 first half, a decrease of $0.5 million, or 9%. The decrease was due to a decrease in headcount related expenses for compensation and travel of $0.6 million, a decrease in rebranding expenses related to our fiscal 2015 LED branding initiative of $0.3 million, offset by increased spending of $0.3 million for trade show participation and advertising and an increase in bad debt expense of $0.1 million.</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sales and marketing headcount was 90 and 58 at September 30, 2014 and 2015, respectively.</w:t>
      </w:r>
    </w:p>
    <w:p>
      <w:pPr>
        <w:spacing w:after="0" w:line="169" w:lineRule="exact"/>
        <w:rPr>
          <w:sz w:val="20"/>
          <w:szCs w:val="20"/>
          <w:color w:val="auto"/>
        </w:rPr>
      </w:pPr>
    </w:p>
    <w:p>
      <w:pPr>
        <w:ind w:right="6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or R&amp;D, decreased from $0.6 million for the fiscal 2015 second quarter to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fiscal 2016 second quarter, a decrease of $0.2 million, or 23%. Our R&amp;D expenses decreased from $1.0 million for the fiscal 2015 first half to $0.9 million for the fiscal 2016 first half, a decrease of $0.1 million, or 12%. The decrease in our R&amp;D expenses for both periods was due to a reduction in consulting and sample costs related to our new products as we continue to increase our cost effectiveness related to launching new products and decrease our reliance on higher cost third parties. We expect our R&amp;D expenses to increase during the remainder of fiscal 2016 due to our initiatives to expand our LED fixture product lines and increase product design staffing in our Chicago innovation hub.</w:t>
      </w:r>
    </w:p>
    <w:p>
      <w:pPr>
        <w:spacing w:after="0" w:line="129" w:lineRule="exact"/>
        <w:rPr>
          <w:sz w:val="20"/>
          <w:szCs w:val="20"/>
          <w:color w:val="auto"/>
        </w:rPr>
      </w:pPr>
    </w:p>
    <w:p>
      <w:pPr>
        <w:jc w:val="both"/>
        <w:ind w:right="4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Our interest expense decreased from $83 thousand for the fiscal 2015 second quarter to $60 thousand for the fiscal 2016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Our interest expense decreased from $173 thousand for the fiscal 2015 first half to $151 thousand for the fiscal 2016 first half. The decrease in interest expense was due to the reduction in our total debt outstanding.</w:t>
      </w:r>
    </w:p>
    <w:p>
      <w:pPr>
        <w:spacing w:after="0" w:line="12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decreased from $83 thousand for the fiscal 2015 second quarter to $32 thousand for the fiscal 2016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$51 thousand, or 61%. Our interest income decreased from $0.2 million for the fiscal 2015 first half to $0.1 million for the fiscal 2016 first half, a decrease of $0.1 million, or 55%. For both periods, our interest income decreased as we increased the utilization of third party finance providers for a majority of our financed projects.</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future, we expect our interest income to continue to decrease as we continue to utilize third party finance providers for our OTA projects.</w:t>
      </w:r>
    </w:p>
    <w:p>
      <w:pPr>
        <w:spacing w:after="0" w:line="16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income tax expense decreased from an income tax expense of $13 thousand for the fiscal 2015 second quarter to an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$6 thousand for the fiscal 2016 second quarter. Our income tax expense decreased from an income tax expense of $23 thousand for the fiscal 2015 first half to an income tax expense of $11 thousand for the fiscal 2016 first half. Our effective income tax rate for the 2016 first half was 0.1%, compared to 0.1% for the 2015 first half. Our income tax expense is due primarily to the changes in expected minimum state tax liabilities.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Markets Segment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U.S. Markets Division sells lighting solutions into the wholesale markets.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U.S. Markets segment operating results: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8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Six Months Ended September 30,</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3"/>
                <w:szCs w:val="13"/>
                <w:color w:val="auto"/>
              </w:rPr>
            </w:pPr>
          </w:p>
        </w:tc>
        <w:tc>
          <w:tcPr>
            <w:tcW w:w="10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3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7,060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9,872</w:t>
            </w:r>
          </w:p>
        </w:tc>
        <w:tc>
          <w:tcPr>
            <w:tcW w:w="10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15,425</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21,506</w:t>
            </w:r>
          </w:p>
        </w:tc>
        <w:tc>
          <w:tcPr>
            <w:tcW w:w="12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(9,355)</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3"/>
                <w:szCs w:val="23"/>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(10,437)</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U.S. Markets segment revenue increased $2.8 million, or 40%, from $7.1 million for the fiscal 2015 second quarter to $9.9 million for the fiscal 2016 second quarter. U.S. Markets segment revenue increased $6.1 million, or 39%, from $15.4 million for the fiscal 2015 first half to $21.5 million for the fiscal 2016 first half. The increase in revenue in fiscal 2016 was primarily due to increased sales of our LED lighting products, specifically our LDR retrofit products, and our initiative to expand the number of our key resellers.</w:t>
      </w:r>
    </w:p>
    <w:p>
      <w:pPr>
        <w:spacing w:after="0" w:line="12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U.S. Markets segment operating loss decreased $8.5 million, or 91%, from an operating loss of $9.4 million for the fiscal 2015 second quarter to an operating loss of $0.9 million for the fiscal 2016 second quarter. U.S. Markets segment operating loss decreased $9.6 million, or 92%, from an operating loss of $10.4 million for the fiscal 2015 first half to an operating loss of $0.8 million for the fiscal 2016 first half. The decrease in operating loss in fiscal 2016 was due to $7.5 million of expense related to the proportional long-term inventory controls impairment charge incurred during the fiscal 2015 second quarter and due to the increase in revenue, the related increase in contribution margin dollars and the improvements to our gross margin related to cost decreases on LED components.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Systems Segment</w:t>
      </w:r>
    </w:p>
    <w:p>
      <w:pPr>
        <w:spacing w:after="0" w:line="94"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Our Engineered Systems Division sells lighting products and construction and engineering services direct to end users. Our Engineered Systems Division also completes the construction management services related to existing contracted solar PV projects.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Engineered Systems segment operating results: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Six Months Ended September</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3"/>
                <w:szCs w:val="13"/>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3"/>
                <w:szCs w:val="13"/>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3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10,820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10,604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100" w:type="dxa"/>
            <w:vAlign w:val="bottom"/>
          </w:tcPr>
          <w:p>
            <w:pPr>
              <w:spacing w:after="0"/>
              <w:rPr>
                <w:sz w:val="23"/>
                <w:szCs w:val="23"/>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(8,830)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tcPr>
          <w:p>
            <w:pPr>
              <w:spacing w:after="0"/>
              <w:rPr>
                <w:sz w:val="23"/>
                <w:szCs w:val="23"/>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Engineered Systems segment revenue decreased $0.3 million, or 5%, from $6.1 million for the fiscal 2015 second quarter to $5.8 million for the fiscal 2016 second quarter. Engineered Systems segment revenue decreased $0.2 million, or 2%, from $10.8 million for the fiscal 2015 first half to $10.6 million for the fiscal 2016 first half. The decrease in revenue for the fiscal 2016 second quarter was due to a decrease in lighting revenue of $0.3 million due to delays in installations of large national account projects which have been deferred into our fiscal 2016 back half. The decrease in revenue for the fiscal 2016 first half was due to a decrease of $0.9 million related to a decrease in the number of solar projects under construction and a delay in the installation of a large lighting project for a national account customer facility partially offset by increased sales of LED lighting systems.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Engineered Systems segment operating loss decreased $6.0 million, or 84%, from an operating loss of $7.2 million for the fiscal 2015 second quarter to an operating loss of $1.2 million for the fiscal 2016 second quarter. Engineered Systems segment operating loss decreased $6.0 million, or 68%, from an operating loss of $8.8 million for the fiscal 2015 first half to an operating loss of $2.8 million for the fiscal 2016 first half. The decrease in operating loss in fiscal 2016 was due to $4.6 million of expense related to the proportional long-term inventory controls impairment charge incurred during the fiscal 2015 second quarter and improvements to our gross margin related to cost decreases on LED components.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Services Segment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Distribution Services Division sells lighting products to a developing network of broad line distributors and internationally.</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Distribution Services segment operating results: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5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September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66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gridSpan w:val="2"/>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120" w:type="dxa"/>
            <w:vAlign w:val="bottom"/>
          </w:tcPr>
          <w:p>
            <w:pPr>
              <w:spacing w:after="0"/>
              <w:rPr>
                <w:sz w:val="13"/>
                <w:szCs w:val="13"/>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10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vMerge w:val="restart"/>
          </w:tcPr>
          <w:p>
            <w:pPr>
              <w:spacing w:after="0"/>
              <w:rPr>
                <w:sz w:val="13"/>
                <w:szCs w:val="13"/>
                <w:color w:val="auto"/>
              </w:rPr>
            </w:pPr>
          </w:p>
        </w:tc>
        <w:tc>
          <w:tcPr>
            <w:tcW w:w="12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12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92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11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461</w:t>
            </w:r>
          </w:p>
        </w:tc>
        <w:tc>
          <w:tcPr>
            <w:tcW w:w="13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3"/>
                <w:szCs w:val="23"/>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(166)</w:t>
            </w: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Distribution Services segment revenue decreased by $0.2 million, or 71%, from $0.3 million for the fiscal 2015 second quarter to $0.1 million for the fiscal 2016 second quarter. Distribution Services segment revenue decreased by $0.3 million, or 55%, from $0.5 million for the fiscal 2015 first half to $0.2 million for the fiscal 2016 first half. The decrease in revenue in fiscal 2016 was due to the relatively low base line of revenue following the April 2014 start-up of this business unit and to variability in the timing of customer orders as this business unit develops.</w:t>
      </w:r>
    </w:p>
    <w:p>
      <w:pPr>
        <w:spacing w:after="0" w:line="4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Distribution Services had an operating loss of $0.1 million for the fiscal 2016 and the fiscal 2015 second quarters, respectively. Distribution Services had an operating loss of $0.2 million for the fiscal 2016 and fiscal 2015 first halves, respectively. The operating loss was due to our investment in selling costs to start-up this business unit.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We had approximately $13.4 million in cash and cash equivalents as of September 30, 2015, compared to $17.9 million at June 30, 2015 and $20.0 million at March 31, 2015. In February 2015, we completed an underwritten public offering of 5.46 million shares of our common stock, at an offering price to the public of $3.50 per share. Net proceeds of the offering approximated $17.5 million.</w:t>
      </w:r>
    </w:p>
    <w:p>
      <w:pPr>
        <w:spacing w:after="0" w:line="136"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January 2014, we filed a universal shelf registration statement with the Securities and Exchange Commission. Under our shelf registration statement, we have the flexibility to publicly offer and sell from time to time up to $75 million of debt and/or equity securities, approximately $55 million of which remains available following the February 2015 offering.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143"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In February 2015, we entered into a new credit and security agreement with Wells Fargo Bank, National Association providing for a new three-year revolving credit facility replacing our prior agreements with JPMorgan Chase Bank. Our new credit agreement provides for an initial credit limit equal to the lesser of (i) $15.0 million and (ii) a borrowing base based on eligible receivables and inventory, and currently less approximately $10.3 million of reserves. As of September 30, 2015, our borrowings under the credit agreement totaled approximately $2.5 million, with approximately $1.7 million of additional credit availability thereunder based on the credit availability formula described above. Borrowings under the agreement bear interest at the daily three-month LIBOR plus 3.0% per annum.</w:t>
      </w:r>
    </w:p>
    <w:p>
      <w:pPr>
        <w:spacing w:after="0" w:line="22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future liquidity needs are dependent upon many factors, including our relative revenue, gross margins, cash management practices, capital expenditures, cost containment measures and future potential acquisition transactions. Based on our current expectations, while we anticipate realizing substantially increased revenues and improved net income performance over the second half of fiscal 2016, we also currently believe that we will continue to experience negative cash flows during the remainder of fiscal 2016. While we believe that we will have adequate available cash and equivalents and credit availability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under our credit agreement to satisfy our currently anticipated working capital and liquidity requirements during the second half of fiscal 2016, there can be no assurance to that effect. We are exploring various alternative sources of liquidity to help ensure that we will have adequate available cash to satisfy our working capital needs.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September 30, 2014 and 2015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3080" w:type="dxa"/>
            <w:vAlign w:val="bottom"/>
            <w:gridSpan w:val="5"/>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 September 30,</w:t>
            </w:r>
          </w:p>
        </w:tc>
        <w:tc>
          <w:tcPr>
            <w:tcW w:w="0" w:type="dxa"/>
            <w:vAlign w:val="bottom"/>
          </w:tcPr>
          <w:p>
            <w:pPr>
              <w:spacing w:after="0"/>
              <w:rPr>
                <w:sz w:val="1"/>
                <w:szCs w:val="1"/>
                <w:color w:val="auto"/>
              </w:rPr>
            </w:pPr>
          </w:p>
        </w:tc>
      </w:tr>
      <w:tr>
        <w:trPr>
          <w:trHeight w:val="274"/>
        </w:trPr>
        <w:tc>
          <w:tcPr>
            <w:tcW w:w="830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7"/>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(6,438)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used in operating activities for the first half of fiscal 2016 was $5.3 million and consisted of a net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for non-cash expense items of $4.0 million and net cash used by changes in operating assets and liabilities of $1.3 million. Cash used by changes in operating assets and liabilities included a decrease in accounts payable of $2.3 million related to the timing of vendor payments, an increase in inventory of $1.6 million due to the increasing mix of higher value LED component products and finished goods to support our anticipated fiscal 2016 back half sales, a decrease in accrued expenses of $0.9 million related to the timing of accrued project installation costs and legal costs, and a decrease of $0.2 million in deferred revenue related to the timing of project completions. Cash provided by changes in operating assets and liabilities consisted of an decrease in accounts receivable of $2.4 million due to customer collections and the seasonal decline in revenue from our fiscal fourth quarter to our fiscal second quarter and a decrease in prepaid and other expenses of $1.3 million due to a reduction in unbilled revenue related to the timing of customer billings.</w:t>
      </w:r>
    </w:p>
    <w:p>
      <w:pPr>
        <w:spacing w:after="0" w:line="133"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first half of fiscal 2015 was $5.1 million and consisted of net cash provided by changes in operating assets and liabilities of $2.3 million and a net loss adjusted for non-cash expense items of $7.4 million. Cash provided by changes in operating assets and liabilities consisted of a decrease in accounts receivable of $0.9 million due to collections of customer payments, a decrease in inventories of $0.2 million due to the impairment of wireless control inventory, a decrease in prepaid and other assets of $2.0 million for unbilled revenue related to solar projects where construction progress is billed to the customer at the beginning of the month following the month in which the work was performed, ordinary amortization of prepaid expenses and impairment of prepaid licensing costs related to our wireless control inventory, and an increase in accounts payable of $0.5 million due to vendor terms on inventory purchases. Cash used from changes in operating assets and liabilities included an increase of $0.4 million in deferred costs due to product shipments on financed contracts where project completion has not yet occurred, a decrease in accrued expenses of $0.7 million due to reduced project installation expenses incurred during the quarter, and a decrease in deferred revenue of $0.3 million due to the timing of project billing for solar projects under construction.</w:t>
      </w:r>
    </w:p>
    <w:p>
      <w:pPr>
        <w:spacing w:after="0" w:line="130" w:lineRule="exact"/>
        <w:rPr>
          <w:sz w:val="20"/>
          <w:szCs w:val="20"/>
          <w:color w:val="auto"/>
        </w:rPr>
      </w:pPr>
    </w:p>
    <w:p>
      <w:pPr>
        <w:jc w:val="both"/>
        <w:ind w:right="4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Investing Activities. </w:t>
      </w:r>
      <w:r>
        <w:rPr>
          <w:rFonts w:ascii="Times New Roman" w:cs="Times New Roman" w:eastAsia="Times New Roman" w:hAnsi="Times New Roman"/>
          <w:sz w:val="18"/>
          <w:szCs w:val="18"/>
          <w:color w:val="auto"/>
        </w:rPr>
        <w:t>For the first half of fiscal 2016, cash used in investing activities was $0.2 million, which included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capital improvements related to information systems, the build out of our Chicago innovation hub, investments for marketing and trade show signage to reflect our new brand and new product tooling.</w:t>
      </w:r>
    </w:p>
    <w:p>
      <w:pPr>
        <w:spacing w:after="0" w:line="12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For the first half of fiscal 2015, cash used in investing activities was $0.1 million, which included $1.0 million of proceeds from the sale of our facility in Plymouth, Wisconsin, offset by $1.0 million for capital improvements related to new product tooling, information technology systems and infrastructure investments to improve response time to customers and generate business efficiencies, and $61,000 for investment in patents.</w:t>
      </w:r>
    </w:p>
    <w:p>
      <w:pPr>
        <w:spacing w:after="0" w:line="120" w:lineRule="exact"/>
        <w:rPr>
          <w:sz w:val="20"/>
          <w:szCs w:val="20"/>
          <w:color w:val="auto"/>
        </w:rPr>
      </w:pPr>
    </w:p>
    <w:p>
      <w:pPr>
        <w:ind w:right="18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For the first half of fiscal 2016, cash flows used in financing activities were $1.0 million which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and capital lease principal payments.</w:t>
      </w:r>
    </w:p>
    <w:p>
      <w:pPr>
        <w:spacing w:after="0" w:line="10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For the first half of fiscal 2015, cash flows used in financing activities were $1.3 million which included $1.6 million used for repayment of long-term debt and $0.1 million for financing costs partially offset by $0.4 million received from stock option exercises and stock note repayments.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94" w:lineRule="exact"/>
        <w:rPr>
          <w:sz w:val="20"/>
          <w:szCs w:val="20"/>
          <w:color w:val="auto"/>
        </w:rPr>
      </w:pPr>
    </w:p>
    <w:p>
      <w:pPr>
        <w:jc w:val="both"/>
        <w:ind w:right="720" w:firstLine="432"/>
        <w:spacing w:after="0" w:line="266" w:lineRule="auto"/>
        <w:rPr>
          <w:sz w:val="20"/>
          <w:szCs w:val="20"/>
          <w:color w:val="auto"/>
        </w:rPr>
      </w:pPr>
      <w:r>
        <w:rPr>
          <w:rFonts w:ascii="Times New Roman" w:cs="Times New Roman" w:eastAsia="Times New Roman" w:hAnsi="Times New Roman"/>
          <w:sz w:val="18"/>
          <w:szCs w:val="18"/>
          <w:color w:val="auto"/>
        </w:rPr>
        <w:t>Our net working capital as of September 30, 2015 was $32.1 million, consisting of $46.6 million in current assets and $14.5 million in current liabilities. Our net working capital as of March 31, 2015 was $36.7 million, consisting of $55.0 million in current assets and $18.3 million in current liabilities. Our current accounts receivables decreased from our fiscal 2015 year-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end by $2.4 million due to the reduction in revenue from our fiscal 2015 fourth quarter versus our fiscal 2016 second quarter. Our current inventories increased from our fiscal 2015 year-end by $1.6 million due to increases in finished goods levels to support expected revenue growth over the next several quarters. Our prepaid expenses and other assets decreased from our fiscal 2015 year-end by $1.2 million due a decrease in unbilled revenue related to the timing of project billings. Our accounts payable decreased from our fiscal 2015 year end by $2.3 million due to payments to vendors within the fiscal 2015 second quarter. Our accrued expenses decreased from our fiscal 2015 year-end by $1.3 million due to a reduction of $1.0 million in accrued subcontracted installation costs and $0.3 million for the timing of sales tax payments within the quarter.</w:t>
      </w:r>
    </w:p>
    <w:p>
      <w:pPr>
        <w:spacing w:after="0" w:line="134"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as expected to increase in the back half of fiscal 2016 to the extent our revenue and order levels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8"/>
          <w:szCs w:val="18"/>
          <w:color w:val="auto"/>
        </w:rPr>
        <w:t>Our February 6, 2015, we entered into a new three-year credit and security agreement (Credit Agreement) with Wells Fargo Bank, National Association. Borrowings under the Credit Facility are initially limited to the lesser of (i) $15.0 million and (ii) a borrowing base based on eligible receivables and inventory, and currently less approximately $10.3 million of reserves. As of September 30, 2015, our borrowings under the credit agreement totaled approximately $2.5 million, with approximately $1.7 million of additional credit availability thereunder based on the credit availability formula described above. Such limit may increase to $20.0 million, subject to the borrowing base requirement, after July 31, 2016, if we satisfy certain conditions. The Credit Facility includes a $2.0 million sublimit for the issuance of letters of credit.</w:t>
      </w:r>
    </w:p>
    <w:p>
      <w:pPr>
        <w:spacing w:after="0" w:line="134" w:lineRule="exact"/>
        <w:rPr>
          <w:sz w:val="20"/>
          <w:szCs w:val="20"/>
          <w:color w:val="auto"/>
        </w:rPr>
      </w:pPr>
    </w:p>
    <w:p>
      <w:pPr>
        <w:ind w:right="140" w:firstLine="392"/>
        <w:spacing w:after="0" w:line="256" w:lineRule="auto"/>
        <w:rPr>
          <w:sz w:val="20"/>
          <w:szCs w:val="20"/>
          <w:color w:val="auto"/>
        </w:rPr>
      </w:pPr>
      <w:r>
        <w:rPr>
          <w:rFonts w:ascii="Times New Roman" w:cs="Times New Roman" w:eastAsia="Times New Roman" w:hAnsi="Times New Roman"/>
          <w:sz w:val="18"/>
          <w:szCs w:val="18"/>
          <w:color w:val="auto"/>
        </w:rPr>
        <w:t>From and after any increase in the Credit Facility limit from $15.0 million to $20.0 million, the Credit Agreement will require us to maintain as of the end of each month a minimum ratio for the trailing 12-month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34" w:lineRule="exact"/>
        <w:rPr>
          <w:sz w:val="20"/>
          <w:szCs w:val="20"/>
          <w:color w:val="auto"/>
        </w:rPr>
      </w:pPr>
    </w:p>
    <w:p>
      <w:pPr>
        <w:jc w:val="both"/>
        <w:ind w:right="100" w:firstLine="392"/>
        <w:spacing w:after="0" w:line="266" w:lineRule="auto"/>
        <w:rPr>
          <w:sz w:val="20"/>
          <w:szCs w:val="20"/>
          <w:color w:val="auto"/>
        </w:rPr>
      </w:pPr>
      <w:r>
        <w:rPr>
          <w:rFonts w:ascii="Times New Roman" w:cs="Times New Roman" w:eastAsia="Times New Roman" w:hAnsi="Times New Roman"/>
          <w:sz w:val="18"/>
          <w:szCs w:val="18"/>
          <w:color w:val="auto"/>
        </w:rPr>
        <w:t>Each of our subsidiaries is a joint and several co-borrower or guarantor under the Credit Agreement, and the Credit Agreement is secured by a security interest in substantially all of our and each of our subsidiary’s personal property (excluding various assets relating to customer throughput agreements) and a mortgage on certain real property.</w:t>
      </w:r>
    </w:p>
    <w:p>
      <w:pPr>
        <w:spacing w:after="0" w:line="122" w:lineRule="exact"/>
        <w:rPr>
          <w:sz w:val="20"/>
          <w:szCs w:val="20"/>
          <w:color w:val="auto"/>
        </w:rPr>
      </w:pPr>
    </w:p>
    <w:p>
      <w:pPr>
        <w:ind w:right="200" w:firstLine="392"/>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daily three-month LIBOR plus 3.0% per annum, with a minimum interest charge for each year or portion of a year during the term of the Credit Agreement of $130,000, regardless of usage.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20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Although we breached certain immaterial reporting obligations to the bank under the Credit Agreement during the period, we received a waiver letter from the bank on October 29,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9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Capital expenditures totaled $0.2 million during the first half of fiscal 2016 due to infrastructure investments for our Chicago innovation hub, investments for marketing and trade show signage to reflect our new brand and investments in new product tooling. We expect to incur approximately $0.4 to $0.5 million in capital expenditures during the remainder of fiscal 2016. Our capital spending plans predominantly consist of investments related to new product development tooling and investments in information technology systems. We expect to finance these capital expenditures primarily through our existing cash, equipment secured loans and leases, to the extent needed, long-term debt financing, or by using our available capacity under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714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our long-term contractual obligations as of September 30, 2015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3"/>
                <w:szCs w:val="13"/>
                <w:color w:val="auto"/>
              </w:rPr>
            </w:pPr>
          </w:p>
        </w:tc>
        <w:tc>
          <w:tcPr>
            <w:tcW w:w="11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4"/>
        </w:trPr>
        <w:tc>
          <w:tcPr>
            <w:tcW w:w="4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obligations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interest payments on debt</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order and cap-ex commitments(1)</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6,892</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200" w:hanging="478"/>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non-cancellable purchase order commitments in the amount of $5.0 million for certain inventory items entered into in order to secure better pricing and ensure materials on hand.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State Tax Assessment</w:t>
      </w:r>
    </w:p>
    <w:p>
      <w:pPr>
        <w:spacing w:after="0" w:line="17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are currently negotiating a settlement with the Wisconsin Department of Revenue with respect to an assessment regarding the proper classification of our products for tax purposes under Wisconsin law. The issue under review is whether the installation of our lighting systems is considered a real property construction activity under Wisconsin law. We currently expect to resolve this matter with the Wisconsin Department of Revenue in fiscal 2016 for the amount that we have accrued.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2015. For the three months ended, September 30, 2015, there were no material changes in our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For a complete discussion of recent accounting pronouncements, refer to Note B in the condensed consolidated financial statements included elsewhere in this report.</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Our exposure to market risk was discussed in the “Quantitative and Qualitative Disclosures About Market Risk” section contained in our Annual Report on Form 10-K for the year ended March 31, 2015. There have been no material changes to such exposures since March 31, 2015.</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2015 pursuant to Rule 13a-15(b) of the Exchange Act of 1934. Our Chief Executive Officer and our Chief Financial Officer concluded that our disclosure controls and procedures were effective as of September 30, 2015.</w:t>
      </w:r>
    </w:p>
    <w:p>
      <w:pPr>
        <w:spacing w:after="0" w:line="49"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quarter ended September 30, 2015 that have materially affected, or are reasonably likely to materially affect, our internal control over financial reporting.</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240" w:top="121" w:right="5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hereof, we are unable to currently assess whether the final resolution of any of such claims or legal proceedings may have a material adverse affect on us.</w:t>
      </w:r>
    </w:p>
    <w:p>
      <w:pPr>
        <w:spacing w:after="0" w:line="10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On May 29, 2014, the Equal Employment Opportunity Commission filed a claim against the Company alleging certain violations of the Americans with Disabilities Act with regard to an employee. On August 3, 2015, the Company reached a settlement related to the allegations, which was entirely funded by the Company’s insurance carrier.</w:t>
      </w:r>
    </w:p>
    <w:p>
      <w:pPr>
        <w:spacing w:after="0" w:line="12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additional material changes to the legal proceedings set forth in our Annual Report on Form 10-K for the fiscal year ended March 31, 2015, which we filed with the Securities and Exchange Commission (SEC) on June 12, 2015.</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2015, which we filed with the SEC on June 12, 2015 and in Part 1 - Item 2 under the heading "Management's Discussion and Analysis of Financial Condition and Results of Operations" in this Form 10-Q.</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Amended Form of Restricted Stock Award Agreement for grants after October 24, 2015.</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of Chief Executive Officer of Orion Energy Systems, Inc. pursuant to Rule 13a-14(a) or Rule 15d-14(a) promulgated under the</w:t>
            </w:r>
          </w:p>
        </w:tc>
      </w:tr>
      <w:tr>
        <w:trPr>
          <w:trHeight w:val="234"/>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of Orion Energy Systems, Inc. pursuant to Rule 13a-14(a) or Rule 15d-14(a) promulgated under the</w:t>
            </w:r>
          </w:p>
        </w:tc>
      </w:tr>
      <w:tr>
        <w:trPr>
          <w:trHeight w:val="234"/>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of Orion Energy Systems, Inc. pursuant to Rule 13a-14(b) promulgated under the Securities</w:t>
            </w:r>
          </w:p>
        </w:tc>
      </w:tr>
      <w:tr>
        <w:trPr>
          <w:trHeight w:val="234"/>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Act of 1934, as amended, and 18 U.S.C. Section 1350, as adopted pursuant to Section 906 of the Sarbanes-Oxley Act of 2002.</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of Orion Energy Systems, Inc. pursuant to Rule 13a-14(b) promulgated under the Securities</w:t>
            </w:r>
          </w:p>
        </w:tc>
      </w:tr>
      <w:tr>
        <w:trPr>
          <w:trHeight w:val="234"/>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1034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39</w:t>
            </w:r>
          </w:p>
        </w:tc>
      </w:tr>
    </w:tbl>
    <w:p>
      <w:pPr>
        <w:sectPr>
          <w:pgSz w:w="11900" w:h="16838" w:orient="portrait"/>
          <w:cols w:equalWidth="0" w:num="1">
            <w:col w:w="11280"/>
          </w:cols>
          <w:pgMar w:left="240" w:top="121" w:right="37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9, 2015.</w:t>
      </w:r>
    </w:p>
    <w:p>
      <w:pPr>
        <w:spacing w:after="0" w:line="29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261"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34290</wp:posOffset>
            </wp:positionV>
            <wp:extent cx="3670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0"/>
          </w:cols>
          <w:pgMar w:left="240" w:top="121" w:right="39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Exhibit Index to Form 10-Q for the Period Ended September 30, 2015</w:t>
            </w:r>
          </w:p>
        </w:tc>
        <w:tc>
          <w:tcPr>
            <w:tcW w:w="2880" w:type="dxa"/>
            <w:vAlign w:val="bottom"/>
          </w:tcPr>
          <w:p>
            <w:pPr>
              <w:spacing w:after="0"/>
              <w:rPr>
                <w:sz w:val="17"/>
                <w:szCs w:val="17"/>
                <w:color w:val="auto"/>
              </w:rPr>
            </w:pPr>
          </w:p>
        </w:tc>
      </w:tr>
      <w:tr>
        <w:trPr>
          <w:trHeight w:val="48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 Form of Restricted Stock Award Agreement for grants after October 24, 2015.</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of Chief Executive Officer of Orion Energy Systems, Inc. pursuant to Rule 13a-14(a) or Rule 15d-14(a) promulgated under the</w:t>
            </w:r>
          </w:p>
        </w:tc>
      </w:tr>
      <w:tr>
        <w:trPr>
          <w:trHeight w:val="234"/>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of Orion Energy Systems, Inc. pursuant to Rule 13a-14(a) or Rule 15d-14(a) promulgated under the</w:t>
            </w:r>
          </w:p>
        </w:tc>
      </w:tr>
      <w:tr>
        <w:trPr>
          <w:trHeight w:val="234"/>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of Orion Energy Systems, Inc. pursuant to Rule 13a-14(b) promulgated under the Securities</w:t>
            </w:r>
          </w:p>
        </w:tc>
      </w:tr>
      <w:tr>
        <w:trPr>
          <w:trHeight w:val="234"/>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Exchange Act of 1934, as amended, and 18 U.S.C. Section 1350, as adopted pursuant to Section 906 of the Sarbanes-Oxley Act of 2002.</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of Orion Energy Systems, Inc. pursuant to Rule 13a-14(b) promulgated under the Securities</w:t>
            </w:r>
          </w:p>
        </w:tc>
      </w:tr>
      <w:tr>
        <w:trPr>
          <w:trHeight w:val="234"/>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460" w:type="dxa"/>
            <w:vAlign w:val="bottom"/>
            <w:gridSpan w:val="2"/>
          </w:tcPr>
          <w:p>
            <w:pPr>
              <w:ind w:left="4680"/>
              <w:spacing w:after="0"/>
              <w:rPr>
                <w:sz w:val="20"/>
                <w:szCs w:val="20"/>
                <w:color w:val="auto"/>
              </w:rPr>
            </w:pPr>
            <w:r>
              <w:rPr>
                <w:rFonts w:ascii="Times New Roman" w:cs="Times New Roman" w:eastAsia="Times New Roman" w:hAnsi="Times New Roman"/>
                <w:sz w:val="18"/>
                <w:szCs w:val="18"/>
                <w:color w:val="auto"/>
              </w:rPr>
              <w:t>41</w:t>
            </w:r>
          </w:p>
        </w:tc>
        <w:tc>
          <w:tcPr>
            <w:tcW w:w="2880" w:type="dxa"/>
            <w:vAlign w:val="bottom"/>
          </w:tcPr>
          <w:p>
            <w:pPr>
              <w:spacing w:after="0"/>
              <w:rPr>
                <w:sz w:val="24"/>
                <w:szCs w:val="24"/>
                <w:color w:val="auto"/>
              </w:rPr>
            </w:pPr>
          </w:p>
        </w:tc>
      </w:tr>
    </w:tbl>
    <w:p>
      <w:pPr>
        <w:sectPr>
          <w:pgSz w:w="11900" w:h="16838" w:orient="portrait"/>
          <w:cols w:equalWidth="0" w:num="1">
            <w:col w:w="11280"/>
          </w:cols>
          <w:pgMar w:left="240" w:top="121" w:right="3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2004 STOCK AND INCENTIVE AWARDS PLAN</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As Amended and Restated Effective December 24, 2007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Amended October 27, 2010</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AWARD AGREEMENT</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6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WHEREAS, the Company maintains the Orion Energy Systems, Inc. 2004 Stock and Incentive Awards Plan, as amended and restated (the “Plan”), and Grantee has been selected by the Committee to receive a Restricted Stock Award under the Plan; and</w:t>
      </w:r>
    </w:p>
    <w:p>
      <w:pPr>
        <w:spacing w:after="0" w:line="1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as a condition to the receipt by Grantee of this Restricted Stock Award, Grantee reaffirms and agrees to be bound by the confidentiality, inventions, non-solicitation and non-competition provisions set forth in prior agreements between the Grantee and the Company, which are incorporated by reference herein, in consideration for receipt of the Restricted Stock Award pursuant hereto, continued employment, and other good and valuable consideration.</w:t>
      </w:r>
    </w:p>
    <w:p>
      <w:pPr>
        <w:spacing w:after="0" w:line="3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1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Award of Restricted Stock</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 Effective as of the Grant Date, the Company hereby grants to Grantee an award of the number of shares of restricted Common Stock of the Company specified above (“Restricted Stock”), subject to, and in accordance with, the restrictions, terms and conditions set forth in the Plan and this Agreement.</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1.3 This Restricted Stock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Restricted Stock Award may be cancelled by the Committee.</w:t>
      </w:r>
    </w:p>
    <w:p>
      <w:pPr>
        <w:spacing w:after="0" w:line="16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ectPr>
          <w:pgSz w:w="11900" w:h="16838" w:orient="portrait"/>
          <w:cols w:equalWidth="0" w:num="1">
            <w:col w:w="11420"/>
          </w:cols>
          <w:pgMar w:left="240" w:top="576" w:right="239" w:bottom="1440" w:gutter="0" w:footer="0" w:header="0"/>
        </w:sectPr>
      </w:pPr>
    </w:p>
    <w:bookmarkStart w:id="43" w:name="page44"/>
    <w:bookmarkEnd w:id="4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2.1 Subject to the terms of the Plan and this Agreement, if the Grantee remains employed by the Company as of the applicable vesting date, the Restricted Stock shall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172"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2"/>
          <w:szCs w:val="22"/>
          <w:color w:val="auto"/>
        </w:rPr>
        <w:t>2.2 Subject to the terms of the Plan and this Agreement, if the Grantee remains employed by the Company, but under a lesser position, title, level of responsibility and/or salary during the term of the vesting schedule, the Company shall have the right to adjust the amount of the Restricted Stock not yet vested at the time of change for these conditions, to a lesser grant amount. The Company’s CEO shall have the authority to make such adjustments in his discretion. For purposes of this Agreement, employment with a Subsidiary of the Company or service as a member of the Board of Directors of the Company shall be considered employment with the Company.</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2.3 Subject to vesting in accordance with Section 2.1, the terms of the Plan and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 on which the Grantee remains employed by the Company.</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2.4 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2.5 In exchange for receipt of consideration in the form of this Restricted Stock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2.6 Except for death or Disability as provided in Section 2.3, or except as otherwise provided in a severance agreement with Grantee, if Grantee terminates his or her employment or if the Company terminates Grantee’s employment prior to vesting, the Restricted Stock shall cease to vest further, all of the unvested Restricted Stock shall be immediately forfeited and cancelled, and Grantee shall only be entitled to the Restricted Stock that has vested as of his or her date of termination.</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2.7 Notwithstanding the other provisions of this Agreement, in the event of a Change of Control prior to vesting, all otherwise unvested Restricted Stock shall become fully vested and nonforfeitable as of the date of the Change of Control. The Company shall transfer the Restricted Stock that vests pursuant to this Section 2.6 to Grantee as soon as practical after the date of the Change of Control in accordance with Section 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25" w:right="2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2.8 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3.1 The Restricted Stock shall be registered in the name of Grantee as of the respective Grant Date for such shares of Restricted Stock. The Company may evidence the registration of the 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3.2 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3.3 In the event of a stock split, stock dividend or other change in capitalization or another corporate event described in Section 6.4 of the Plan, the number and type of shares subject to this Agreement shall be adjusted by the Committee to the extent provided in Section 6.4 of the Plan.</w:t>
      </w:r>
    </w:p>
    <w:p>
      <w:pPr>
        <w:spacing w:after="0" w:line="16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2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6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Restricted Stock and dividends or other distributions paid on such Restricted Stock. Grantee shall have the right to make such elections under the Code as are available in connection with this Restricted Stock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25" w:right="239" w:bottom="1440" w:gutter="0" w:footer="0" w:header="0"/>
        </w:sectPr>
      </w:pPr>
    </w:p>
    <w:bookmarkStart w:id="45" w:name="page46"/>
    <w:bookmarkEnd w:id="45"/>
    <w:p>
      <w:pPr>
        <w:jc w:val="both"/>
        <w:spacing w:after="0" w:line="249" w:lineRule="auto"/>
        <w:rPr>
          <w:sz w:val="20"/>
          <w:szCs w:val="20"/>
          <w:color w:val="auto"/>
        </w:rPr>
      </w:pPr>
      <w:r>
        <w:rPr>
          <w:rFonts w:ascii="Times New Roman" w:cs="Times New Roman" w:eastAsia="Times New Roman" w:hAnsi="Times New Roman"/>
          <w:sz w:val="22"/>
          <w:szCs w:val="22"/>
          <w:color w:val="auto"/>
        </w:rPr>
        <w:t>the right to retain and withhold from any payment of Restricted Stock or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w:t>
      </w:r>
    </w:p>
    <w:p>
      <w:pPr>
        <w:spacing w:after="0" w:line="17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2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19.1 of the Plan.</w:t>
      </w:r>
    </w:p>
    <w:p>
      <w:pPr>
        <w:spacing w:after="0" w:line="154"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54"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Committee in its absolute discretion. Any determination made hereunder shall be final, binding, and conclusive on Grantee and the Company for all purposes.</w:t>
      </w:r>
    </w:p>
    <w:p>
      <w:pPr>
        <w:spacing w:after="0" w:line="16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25" w:right="239" w:bottom="1440" w:gutter="0" w:footer="0" w:header="0"/>
        </w:sectPr>
      </w:pPr>
    </w:p>
    <w:bookmarkStart w:id="46" w:name="page47"/>
    <w:bookmarkEnd w:id="46"/>
    <w:p>
      <w:pPr>
        <w:ind w:firstLine="648"/>
        <w:spacing w:after="0" w:line="271"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25" w:right="2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Grant Date first above written.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___________________________________</w:t>
      </w:r>
    </w:p>
    <w:p>
      <w:pPr>
        <w:sectPr>
          <w:pgSz w:w="11900" w:h="16838" w:orient="portrait"/>
          <w:cols w:equalWidth="0" w:num="1">
            <w:col w:w="11400"/>
          </w:cols>
          <w:pgMar w:left="240" w:top="1260" w:right="25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_______________________</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Grantee</w:t>
      </w:r>
    </w:p>
    <w:p>
      <w:pPr>
        <w:spacing w:after="0" w:line="538" w:lineRule="exact"/>
        <w:rPr>
          <w:sz w:val="20"/>
          <w:szCs w:val="20"/>
          <w:color w:val="auto"/>
        </w:rPr>
      </w:pPr>
    </w:p>
    <w:p>
      <w:pPr>
        <w:sectPr>
          <w:pgSz w:w="11900" w:h="16838" w:orient="portrait"/>
          <w:cols w:equalWidth="0" w:num="2">
            <w:col w:w="3000" w:space="620"/>
            <w:col w:w="7780"/>
          </w:cols>
          <w:pgMar w:left="240" w:top="1260" w:right="259" w:bottom="1440" w:gutter="0" w:footer="0" w:header="0"/>
          <w:type w:val="continuous"/>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60" w:right="259"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2015</w:t>
      </w:r>
    </w:p>
    <w:p>
      <w:pPr>
        <w:spacing w:after="0" w:line="3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34290</wp:posOffset>
            </wp:positionV>
            <wp:extent cx="4613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98"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2015</w:t>
      </w:r>
    </w:p>
    <w:p>
      <w:pPr>
        <w:spacing w:after="0" w:line="3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34290</wp:posOffset>
            </wp:positionV>
            <wp:extent cx="4613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98"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September 30, 2015,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203" w:lineRule="exact"/>
        <w:rPr>
          <w:sz w:val="20"/>
          <w:szCs w:val="20"/>
          <w:color w:val="auto"/>
        </w:rPr>
      </w:pPr>
    </w:p>
    <w:p>
      <w:pPr>
        <w:ind w:left="1060" w:hanging="485"/>
        <w:spacing w:after="0"/>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1060" w:hanging="485"/>
        <w:spacing w:after="0" w:line="261"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6060"/>
        <w:spacing w:after="0"/>
        <w:tabs>
          <w:tab w:leader="none" w:pos="6680" w:val="left"/>
        </w:tabs>
        <w:rPr>
          <w:sz w:val="20"/>
          <w:szCs w:val="20"/>
          <w:color w:val="auto"/>
        </w:rPr>
      </w:pPr>
      <w:r>
        <w:rPr>
          <w:rFonts w:ascii="Times New Roman" w:cs="Times New Roman" w:eastAsia="Times New Roman" w:hAnsi="Times New Roman"/>
          <w:sz w:val="18"/>
          <w:szCs w:val="18"/>
          <w:color w:val="auto"/>
        </w:rPr>
        <w:t>Date:</w:t>
        <w:tab/>
        <w:t>November 9, 2015</w:t>
      </w:r>
    </w:p>
    <w:p>
      <w:pPr>
        <w:spacing w:after="0" w:line="29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34290</wp:posOffset>
            </wp:positionV>
            <wp:extent cx="34220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98"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September 30, 2015,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203" w:lineRule="exact"/>
        <w:rPr>
          <w:sz w:val="20"/>
          <w:szCs w:val="20"/>
          <w:color w:val="auto"/>
        </w:rPr>
      </w:pPr>
    </w:p>
    <w:p>
      <w:pPr>
        <w:ind w:left="1060" w:hanging="485"/>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1060" w:hanging="485"/>
        <w:spacing w:after="0" w:line="261"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6020"/>
        <w:spacing w:after="0"/>
        <w:tabs>
          <w:tab w:leader="none" w:pos="6600" w:val="left"/>
        </w:tabs>
        <w:rPr>
          <w:sz w:val="20"/>
          <w:szCs w:val="20"/>
          <w:color w:val="auto"/>
        </w:rPr>
      </w:pPr>
      <w:r>
        <w:rPr>
          <w:rFonts w:ascii="Times New Roman" w:cs="Times New Roman" w:eastAsia="Times New Roman" w:hAnsi="Times New Roman"/>
          <w:sz w:val="18"/>
          <w:szCs w:val="18"/>
          <w:color w:val="auto"/>
        </w:rPr>
        <w:t>Date:</w:t>
        <w:tab/>
        <w:t>November 9, 2015</w:t>
      </w:r>
    </w:p>
    <w:p>
      <w:pPr>
        <w:spacing w:after="0" w:line="29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34290</wp:posOffset>
            </wp:positionV>
            <wp:extent cx="3447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4"/>
    </w:lvl>
  </w:abstractNum>
  <w:abstractNum w:abstractNumId="10">
    <w:nsid w:val="4E6AFB66"/>
    <w:multiLevelType w:val="hybridMultilevel"/>
    <w:lvl w:ilvl="0">
      <w:lvlJc w:val="left"/>
      <w:lvlText w:val="%1."/>
      <w:numFmt w:val="decimal"/>
      <w:start w:val="5"/>
    </w:lvl>
  </w:abstractNum>
  <w:abstractNum w:abstractNumId="11">
    <w:nsid w:val="25E45D32"/>
    <w:multiLevelType w:val="hybridMultilevel"/>
    <w:lvl w:ilvl="0">
      <w:lvlJc w:val="left"/>
      <w:lvlText w:val="%1."/>
      <w:numFmt w:val="decimal"/>
      <w:start w:val="6"/>
    </w:lvl>
  </w:abstractNum>
  <w:abstractNum w:abstractNumId="12">
    <w:nsid w:val="519B500D"/>
    <w:multiLevelType w:val="hybridMultilevel"/>
    <w:lvl w:ilvl="0">
      <w:lvlJc w:val="left"/>
      <w:lvlText w:val="%1."/>
      <w:numFmt w:val="decimal"/>
      <w:start w:val="7"/>
    </w:lvl>
  </w:abstractNum>
  <w:abstractNum w:abstractNumId="13">
    <w:nsid w:val="431BD7B7"/>
    <w:multiLevelType w:val="hybridMultilevel"/>
    <w:lvl w:ilvl="0">
      <w:lvlJc w:val="left"/>
      <w:lvlText w:val="%1."/>
      <w:numFmt w:val="decimal"/>
      <w:start w:val="8"/>
    </w:lvl>
  </w:abstractNum>
  <w:abstractNum w:abstractNumId="14">
    <w:nsid w:val="3F2DBA31"/>
    <w:multiLevelType w:val="hybridMultilevel"/>
    <w:lvl w:ilvl="0">
      <w:lvlJc w:val="left"/>
      <w:lvlText w:val="%1."/>
      <w:numFmt w:val="decimal"/>
      <w:start w:val="9"/>
    </w:lvl>
  </w:abstractNum>
  <w:abstractNum w:abstractNumId="15">
    <w:nsid w:val="7C83E458"/>
    <w:multiLevelType w:val="hybridMultilevel"/>
    <w:lvl w:ilvl="0">
      <w:lvlJc w:val="left"/>
      <w:lvlText w:val="%1."/>
      <w:numFmt w:val="decimal"/>
      <w:start w:val="10"/>
    </w:lvl>
  </w:abstractNum>
  <w:abstractNum w:abstractNumId="16">
    <w:nsid w:val="257130A3"/>
    <w:multiLevelType w:val="hybridMultilevel"/>
    <w:lvl w:ilvl="0">
      <w:lvlJc w:val="left"/>
      <w:lvlText w:val="%1."/>
      <w:numFmt w:val="decimal"/>
      <w:start w:val="11"/>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2019-12-29T15:08:09Z</dcterms:created>
  <dcterms:modified xsi:type="dcterms:W3CDTF">2019-12-29T15:08:09Z</dcterms:modified>
</cp:coreProperties>
</file>