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500"/>
        </w:trPr>
        <w:tc>
          <w:tcPr>
            <w:tcW w:w="21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18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3"/>
              </w:rPr>
              <w:t>Smaller reporting company x</w:t>
            </w:r>
          </w:p>
        </w:tc>
      </w:tr>
      <w:tr>
        <w:trPr>
          <w:trHeight w:val="567"/>
        </w:trPr>
        <w:tc>
          <w:tcPr>
            <w:tcW w:w="834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r>
      <w:tr>
        <w:trPr>
          <w:trHeight w:val="412"/>
        </w:trPr>
        <w:tc>
          <w:tcPr>
            <w:tcW w:w="8340" w:type="dxa"/>
            <w:vAlign w:val="bottom"/>
            <w:gridSpan w:val="2"/>
          </w:tcPr>
          <w:p>
            <w:pPr>
              <w:spacing w:after="0"/>
              <w:rPr>
                <w:sz w:val="20"/>
                <w:szCs w:val="20"/>
                <w:color w:val="auto"/>
              </w:rPr>
            </w:pPr>
            <w:r>
              <w:rPr>
                <w:rFonts w:ascii="Arial" w:cs="Arial" w:eastAsia="Arial" w:hAnsi="Arial"/>
                <w:sz w:val="18"/>
                <w:szCs w:val="18"/>
                <w:color w:val="auto"/>
              </w:rPr>
              <w:t>There were 28,305,117 shares of the Registrant’s common stock outstanding on February 3, 2017.</w:t>
            </w:r>
          </w:p>
        </w:tc>
        <w:tc>
          <w:tcPr>
            <w:tcW w:w="228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DECEMBER 31, 2016</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Page(s)</w:t>
            </w:r>
          </w:p>
        </w:tc>
      </w:tr>
      <w:tr>
        <w:trPr>
          <w:trHeight w:val="196"/>
        </w:trPr>
        <w:tc>
          <w:tcPr>
            <w:tcW w:w="3380" w:type="dxa"/>
            <w:vAlign w:val="bottom"/>
            <w:tcBorders>
              <w:bottom w:val="single" w:sz="8" w:color="auto"/>
            </w:tcBorders>
            <w:gridSpan w:val="10"/>
          </w:tcPr>
          <w:p>
            <w:pPr>
              <w:spacing w:after="0" w:line="170" w:lineRule="exact"/>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702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17"/>
                <w:szCs w:val="17"/>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6"/>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as of December 31, 2016 and March 31, 2016</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w w:val="90"/>
              </w:rPr>
            </w:pPr>
            <w:hyperlink w:anchor="page4">
              <w:r>
                <w:rPr>
                  <w:rFonts w:ascii="Arial" w:cs="Arial" w:eastAsia="Arial" w:hAnsi="Arial"/>
                  <w:sz w:val="18"/>
                  <w:szCs w:val="18"/>
                  <w:color w:val="auto"/>
                  <w:w w:val="90"/>
                </w:rPr>
                <w:t>Condensed Consolidated Statements of Operations for the Three and Nine Months Ended December 31, 2016 and December 31,</w:t>
              </w:r>
            </w:hyperlink>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auto"/>
              <w:bottom w:val="single" w:sz="8" w:color="auto"/>
            </w:tcBorders>
            <w:gridSpan w:val="2"/>
          </w:tcPr>
          <w:p>
            <w:pPr>
              <w:spacing w:after="0" w:line="196" w:lineRule="exact"/>
              <w:rPr>
                <w:rFonts w:ascii="Arial" w:cs="Arial" w:eastAsia="Arial" w:hAnsi="Arial"/>
                <w:sz w:val="18"/>
                <w:szCs w:val="18"/>
                <w:color w:val="auto"/>
                <w:w w:val="84"/>
              </w:rPr>
            </w:pPr>
            <w:hyperlink w:anchor="page4">
              <w:r>
                <w:rPr>
                  <w:rFonts w:ascii="Arial" w:cs="Arial" w:eastAsia="Arial" w:hAnsi="Arial"/>
                  <w:sz w:val="18"/>
                  <w:szCs w:val="18"/>
                  <w:color w:val="auto"/>
                  <w:w w:val="84"/>
                </w:rPr>
                <w:t>2015</w:t>
              </w:r>
            </w:hyperlink>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96" w:lineRule="exact"/>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20" w:type="dxa"/>
            <w:vAlign w:val="bottom"/>
          </w:tcPr>
          <w:p>
            <w:pPr>
              <w:spacing w:after="0"/>
              <w:rPr>
                <w:sz w:val="17"/>
                <w:szCs w:val="17"/>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w w:val="94"/>
              </w:rPr>
            </w:pPr>
            <w:hyperlink w:anchor="page5">
              <w:r>
                <w:rPr>
                  <w:rFonts w:ascii="Arial" w:cs="Arial" w:eastAsia="Arial" w:hAnsi="Arial"/>
                  <w:sz w:val="18"/>
                  <w:szCs w:val="18"/>
                  <w:color w:val="auto"/>
                  <w:w w:val="94"/>
                </w:rPr>
                <w:t>Condensed Consolidated Statements of Cash Flows for the Nine Months Ended December 31, 2016 and December 31, 2015</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50"/>
        </w:trPr>
        <w:tc>
          <w:tcPr>
            <w:tcW w:w="1000" w:type="dxa"/>
            <w:vAlign w:val="bottom"/>
          </w:tcPr>
          <w:p>
            <w:pPr>
              <w:spacing w:after="0"/>
              <w:rPr>
                <w:sz w:val="21"/>
                <w:szCs w:val="21"/>
                <w:color w:val="auto"/>
              </w:rPr>
            </w:pPr>
          </w:p>
        </w:tc>
        <w:tc>
          <w:tcPr>
            <w:tcW w:w="8960" w:type="dxa"/>
            <w:vAlign w:val="bottom"/>
            <w:tcBorders>
              <w:top w:val="single" w:sz="8" w:color="auto"/>
            </w:tcBorders>
            <w:gridSpan w:val="14"/>
          </w:tcPr>
          <w:p>
            <w:pPr>
              <w:spacing w:after="0"/>
              <w:rPr>
                <w:rFonts w:ascii="Arial" w:cs="Arial" w:eastAsia="Arial" w:hAnsi="Arial"/>
                <w:sz w:val="18"/>
                <w:szCs w:val="18"/>
                <w:color w:val="auto"/>
              </w:rPr>
            </w:pPr>
            <w:hyperlink w:anchor="page6">
              <w:r>
                <w:rPr>
                  <w:rFonts w:ascii="Arial" w:cs="Arial" w:eastAsia="Arial" w:hAnsi="Arial"/>
                  <w:sz w:val="18"/>
                  <w:szCs w:val="18"/>
                  <w:color w:val="auto"/>
                </w:rPr>
                <w:t>Notes to the Condensed Consolidated Financial Statements</w:t>
              </w:r>
            </w:hyperlink>
          </w:p>
        </w:tc>
        <w:tc>
          <w:tcPr>
            <w:tcW w:w="440" w:type="dxa"/>
            <w:vAlign w:val="bottom"/>
            <w:gridSpan w:val="2"/>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6"/>
          </w:tcPr>
          <w:p>
            <w:pPr>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2180" w:type="dxa"/>
            <w:vAlign w:val="bottom"/>
            <w:tcBorders>
              <w:left w:val="single" w:sz="8" w:color="auto"/>
            </w:tcBorders>
            <w:gridSpan w:val="2"/>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gridSpan w:val="11"/>
          </w:tcPr>
          <w:p>
            <w:pPr>
              <w:spacing w:after="0"/>
              <w:rPr>
                <w:rFonts w:ascii="Arial" w:cs="Arial" w:eastAsia="Arial" w:hAnsi="Arial"/>
                <w:sz w:val="18"/>
                <w:szCs w:val="18"/>
                <w:color w:val="auto"/>
                <w:w w:val="90"/>
              </w:rPr>
            </w:pPr>
            <w:hyperlink w:anchor="page31">
              <w:r>
                <w:rPr>
                  <w:rFonts w:ascii="Arial" w:cs="Arial" w:eastAsia="Arial" w:hAnsi="Arial"/>
                  <w:sz w:val="18"/>
                  <w:szCs w:val="18"/>
                  <w:color w:val="auto"/>
                  <w:w w:val="90"/>
                </w:rPr>
                <w:t>Quantitative and Qualitative Disclosures about Market Risk</w:t>
              </w:r>
            </w:hyperlink>
          </w:p>
        </w:tc>
        <w:tc>
          <w:tcPr>
            <w:tcW w:w="2180" w:type="dxa"/>
            <w:vAlign w:val="bottom"/>
            <w:gridSpan w:val="2"/>
          </w:tcPr>
          <w:p>
            <w:pPr>
              <w:spacing w:after="0"/>
              <w:rPr>
                <w:sz w:val="21"/>
                <w:szCs w:val="21"/>
                <w:color w:val="auto"/>
              </w:rPr>
            </w:pPr>
          </w:p>
        </w:tc>
        <w:tc>
          <w:tcPr>
            <w:tcW w:w="2940" w:type="dxa"/>
            <w:vAlign w:val="bottom"/>
            <w:gridSpan w:val="3"/>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5120" w:type="dxa"/>
            <w:vAlign w:val="bottom"/>
            <w:tcBorders>
              <w:left w:val="single" w:sz="8" w:color="auto"/>
            </w:tcBorders>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auto"/>
                <w:w w:val="88"/>
              </w:rPr>
            </w:pPr>
            <w:hyperlink w:anchor="page32">
              <w:r>
                <w:rPr>
                  <w:rFonts w:ascii="Arial" w:cs="Arial" w:eastAsia="Arial" w:hAnsi="Arial"/>
                  <w:sz w:val="18"/>
                  <w:szCs w:val="18"/>
                  <w:color w:val="auto"/>
                  <w:w w:val="88"/>
                </w:rPr>
                <w:t>Controls and Procedures</w:t>
              </w:r>
            </w:hyperlink>
          </w:p>
        </w:tc>
        <w:tc>
          <w:tcPr>
            <w:tcW w:w="2500" w:type="dxa"/>
            <w:vAlign w:val="bottom"/>
            <w:gridSpan w:val="4"/>
          </w:tcPr>
          <w:p>
            <w:pPr>
              <w:spacing w:after="0"/>
              <w:rPr>
                <w:sz w:val="21"/>
                <w:szCs w:val="21"/>
                <w:color w:val="auto"/>
              </w:rPr>
            </w:pPr>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7"/>
          </w:tcPr>
          <w:p>
            <w:pPr>
              <w:spacing w:after="0"/>
              <w:rPr>
                <w:rFonts w:ascii="Arial" w:cs="Arial" w:eastAsia="Arial" w:hAnsi="Arial"/>
                <w:sz w:val="18"/>
                <w:szCs w:val="18"/>
                <w:color w:val="auto"/>
              </w:rPr>
            </w:pPr>
            <w:hyperlink w:anchor="page34">
              <w:r>
                <w:rPr>
                  <w:rFonts w:ascii="Arial" w:cs="Arial" w:eastAsia="Arial" w:hAnsi="Arial"/>
                  <w:sz w:val="18"/>
                  <w:szCs w:val="18"/>
                  <w:color w:val="auto"/>
                </w:rPr>
                <w:t>PART II OTHER INFORMATION</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6"/>
          </w:tcPr>
          <w:p>
            <w:pPr>
              <w:spacing w:after="0"/>
              <w:rPr>
                <w:rFonts w:ascii="Arial" w:cs="Arial" w:eastAsia="Arial" w:hAnsi="Arial"/>
                <w:sz w:val="18"/>
                <w:szCs w:val="18"/>
                <w:color w:val="auto"/>
              </w:rPr>
            </w:pPr>
            <w:hyperlink w:anchor="page34">
              <w:r>
                <w:rPr>
                  <w:rFonts w:ascii="Arial" w:cs="Arial" w:eastAsia="Arial" w:hAnsi="Arial"/>
                  <w:sz w:val="18"/>
                  <w:szCs w:val="18"/>
                  <w:color w:val="auto"/>
                </w:rPr>
                <w:t>Legal Proceedings</w:t>
              </w:r>
            </w:hyperlink>
          </w:p>
        </w:tc>
        <w:tc>
          <w:tcPr>
            <w:tcW w:w="7880" w:type="dxa"/>
            <w:vAlign w:val="bottom"/>
            <w:gridSpan w:val="10"/>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60" w:type="dxa"/>
            <w:vAlign w:val="bottom"/>
            <w:tcBorders>
              <w:left w:val="single" w:sz="8" w:color="auto"/>
            </w:tcBorders>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Risk Factors</w:t>
              </w:r>
            </w:hyperlink>
          </w:p>
        </w:tc>
        <w:tc>
          <w:tcPr>
            <w:tcW w:w="400" w:type="dxa"/>
            <w:vAlign w:val="bottom"/>
          </w:tcPr>
          <w:p>
            <w:pPr>
              <w:spacing w:after="0"/>
              <w:rPr>
                <w:sz w:val="21"/>
                <w:szCs w:val="21"/>
                <w:color w:val="auto"/>
              </w:rPr>
            </w:pPr>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6"/>
          </w:tcPr>
          <w:p>
            <w:pPr>
              <w:spacing w:after="0"/>
              <w:rPr>
                <w:rFonts w:ascii="Arial" w:cs="Arial" w:eastAsia="Arial" w:hAnsi="Arial"/>
                <w:sz w:val="18"/>
                <w:szCs w:val="18"/>
                <w:color w:val="auto"/>
              </w:rPr>
            </w:pPr>
            <w:hyperlink w:anchor="page34">
              <w:r>
                <w:rPr>
                  <w:rFonts w:ascii="Arial" w:cs="Arial" w:eastAsia="Arial" w:hAnsi="Arial"/>
                  <w:sz w:val="18"/>
                  <w:szCs w:val="18"/>
                  <w:color w:val="auto"/>
                </w:rPr>
                <w:t>Unregistered Sale of Equity Securities and Use of Proceeds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960" w:type="dxa"/>
            <w:vAlign w:val="bottom"/>
            <w:tcBorders>
              <w:left w:val="single" w:sz="8" w:color="auto"/>
            </w:tcBorders>
            <w:gridSpan w:val="6"/>
            <w:shd w:val="clear" w:color="auto" w:fill="000000"/>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4280" w:type="dxa"/>
            <w:vAlign w:val="bottom"/>
            <w:gridSpan w:val="11"/>
          </w:tcPr>
          <w:p>
            <w:pPr>
              <w:spacing w:after="0"/>
              <w:rPr>
                <w:rFonts w:ascii="Arial" w:cs="Arial" w:eastAsia="Arial" w:hAnsi="Arial"/>
                <w:sz w:val="18"/>
                <w:szCs w:val="18"/>
                <w:color w:val="auto"/>
              </w:rPr>
            </w:pPr>
            <w:hyperlink w:anchor="page34">
              <w:r>
                <w:rPr>
                  <w:rFonts w:ascii="Arial" w:cs="Arial" w:eastAsia="Arial" w:hAnsi="Arial"/>
                  <w:sz w:val="18"/>
                  <w:szCs w:val="18"/>
                  <w:color w:val="auto"/>
                </w:rPr>
                <w:t>Other Information</w:t>
              </w:r>
            </w:hyperlink>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auto"/>
              </w:rPr>
            </w:pPr>
            <w:hyperlink w:anchor="page35">
              <w:r>
                <w:rPr>
                  <w:rFonts w:ascii="Arial" w:cs="Arial" w:eastAsia="Arial" w:hAnsi="Arial"/>
                  <w:sz w:val="18"/>
                  <w:szCs w:val="18"/>
                  <w:color w:val="auto"/>
                </w:rPr>
                <w:t>Exhibits</w:t>
              </w:r>
            </w:hyperlink>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7"/>
          </w:tcPr>
          <w:p>
            <w:pPr>
              <w:spacing w:after="0"/>
              <w:rPr>
                <w:rFonts w:ascii="Arial" w:cs="Arial" w:eastAsia="Arial" w:hAnsi="Arial"/>
                <w:sz w:val="18"/>
                <w:szCs w:val="18"/>
                <w:color w:val="auto"/>
              </w:rPr>
            </w:pPr>
            <w:hyperlink w:anchor="page36">
              <w:r>
                <w:rPr>
                  <w:rFonts w:ascii="Arial" w:cs="Arial" w:eastAsia="Arial" w:hAnsi="Arial"/>
                  <w:sz w:val="18"/>
                  <w:szCs w:val="18"/>
                  <w:color w:val="auto"/>
                </w:rPr>
                <w:t>SIGNATURES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91"/>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31.1</w:t>
            </w:r>
          </w:p>
        </w:tc>
        <w:tc>
          <w:tcPr>
            <w:tcW w:w="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400" w:type="dxa"/>
            <w:vAlign w:val="bottom"/>
            <w:gridSpan w:val="17"/>
          </w:tcPr>
          <w:p>
            <w:pPr>
              <w:spacing w:after="0"/>
              <w:rPr>
                <w:sz w:val="20"/>
                <w:szCs w:val="20"/>
                <w:color w:val="auto"/>
              </w:rPr>
            </w:pPr>
            <w:r>
              <w:rPr>
                <w:rFonts w:ascii="Arial" w:cs="Arial" w:eastAsia="Arial" w:hAnsi="Arial"/>
                <w:sz w:val="18"/>
                <w:szCs w:val="18"/>
                <w:color w:val="auto"/>
              </w:rPr>
              <w:t>EX-101 INSTANCE DOCUMENT</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PRESENTATION LINKBASE DOCUMENT</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80" w:top="36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2016</w:t>
            </w:r>
          </w:p>
        </w:tc>
        <w:tc>
          <w:tcPr>
            <w:tcW w:w="16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6"/>
                <w:szCs w:val="16"/>
                <w:b w:val="1"/>
                <w:bCs w:val="1"/>
                <w:color w:val="auto"/>
                <w:w w:val="96"/>
              </w:rPr>
              <w:t>March 31, 2016</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19,118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15,542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17,024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5,038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17,004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Long-term accounts receivable</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70,875</w:t>
            </w:r>
          </w:p>
        </w:tc>
      </w:tr>
      <w:tr>
        <w:trPr>
          <w:trHeight w:val="67"/>
        </w:trPr>
        <w:tc>
          <w:tcPr>
            <w:tcW w:w="82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12,318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11,716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 and capital leases</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19,291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Long-term debt and capital leases, less current maturities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long-term</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24,892</w:t>
            </w:r>
          </w:p>
        </w:tc>
      </w:tr>
      <w:tr>
        <w:trPr>
          <w:trHeight w:val="223"/>
        </w:trPr>
        <w:tc>
          <w:tcPr>
            <w:tcW w:w="82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240" w:type="dxa"/>
            <w:vAlign w:val="bottom"/>
          </w:tcPr>
          <w:p>
            <w:pPr>
              <w:ind w:left="40"/>
              <w:spacing w:after="0"/>
              <w:rPr>
                <w:sz w:val="20"/>
                <w:szCs w:val="20"/>
                <w:color w:val="auto"/>
              </w:rPr>
            </w:pPr>
            <w:r>
              <w:rPr>
                <w:rFonts w:ascii="Arial" w:cs="Arial" w:eastAsia="Arial" w:hAnsi="Arial"/>
                <w:sz w:val="18"/>
                <w:szCs w:val="18"/>
                <w:color w:val="auto"/>
                <w:w w:val="91"/>
              </w:rPr>
              <w:t>Preferred stock, $0.01 par value: Shares authorized: 30,000,000 at December 31, 2016 and March 31, 2016; no</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240" w:type="dxa"/>
            <w:vAlign w:val="bottom"/>
          </w:tcPr>
          <w:p>
            <w:pPr>
              <w:ind w:left="40"/>
              <w:spacing w:after="0"/>
              <w:rPr>
                <w:sz w:val="20"/>
                <w:szCs w:val="20"/>
                <w:color w:val="auto"/>
              </w:rPr>
            </w:pPr>
            <w:r>
              <w:rPr>
                <w:rFonts w:ascii="Arial" w:cs="Arial" w:eastAsia="Arial" w:hAnsi="Arial"/>
                <w:sz w:val="18"/>
                <w:szCs w:val="18"/>
                <w:color w:val="auto"/>
              </w:rPr>
              <w:t>shares issued and outstanding at December 31, 2016 and March 31, 2016</w:t>
            </w:r>
          </w:p>
        </w:tc>
        <w:tc>
          <w:tcPr>
            <w:tcW w:w="12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Common stock, no par value: Shares authorized: 200,000,000 at December 31, 2016 and March 31, 2016; shares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issued: 37,728,772 at December 31, 2016 and 37,192,559 at March 31, 2016; shares outstanding: 28,299,317 at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 and 27,767,138 at March 31, 2016</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153,533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152,140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common shares: 9,429,455 at December 31, 2016 and 9,425,421 at March 31, 2016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(36,075)</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Shareholder notes receivable</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(70,078)</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45,983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70,875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46,872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49,067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13,577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35,988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14,462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12,042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38,496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21,700</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other (expense)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per share attributable to common shareholders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28,258,742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27,671,633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28,106,209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27,584,288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Weighted-average common shares and share equivalents outstanding</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28,258,742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27,671,633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28,106,209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27,584,288</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(9,256)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2,320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sale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Provision for inventory reserves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bad debts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current and long-term</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contract costs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 current and long-term</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long-term debt and capital leases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47,996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revolving credit facility</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(45,523)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common stock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employee equity exercises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20,002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70"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Orion’s corporate offices and leased primary manufacturing operations are located in Manitowoc, Wisconsin. Orion leases office space in Jacksonville, Florida; Chicago, Illinois; and Houston, Texas. Orion also leases warehouse space in Manitowoc, Wisconsin and Augusta, Georgia.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2017 or other interim periods.</w:t>
      </w:r>
    </w:p>
    <w:p>
      <w:pPr>
        <w:spacing w:after="0" w:line="11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condensed consolidated balance sheet at March 31, 2016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2016 filed with the Securities and Exchange Commission on June 23,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allowance for doubtful accounts, accruals for warranty and loss contingencies, income taxes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Orion considers all highly liquid, short-term investments with original maturities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36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Orion’s financial instruments consist of cash and cash equivalents, accounts receivable, accounts payable, accrued expenses and other, revolving credit facility and long-term debt. The carrying amounts of Orion’s financial instruments approximate their respective fair values due to the relatively short-term nature of these instruments, or in the case of long-term debt and revolving credit facility, because of the interest rates currently available to Orion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6"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 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doubtful accounts balances were as follows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March 31, 2016</w:t>
            </w:r>
          </w:p>
        </w:tc>
      </w:tr>
      <w:tr>
        <w:trPr>
          <w:trHeight w:val="250"/>
        </w:trPr>
        <w:tc>
          <w:tcPr>
            <w:tcW w:w="8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gross</w:t>
            </w: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11,394</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8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10,889</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some limited instances, Orion extends financing to its customers in the form of sales-type leases. These lease receivables are included within current and long-term accounts receivable in the condensed consolidated balance sheets. Additional disclosures on the credit quality of these financing receivables are as follows: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December 31, 2016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1-90 days</w:t>
            </w:r>
          </w:p>
        </w:tc>
        <w:tc>
          <w:tcPr>
            <w:tcW w:w="2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Greater than 90</w:t>
            </w:r>
          </w:p>
        </w:tc>
        <w:tc>
          <w:tcPr>
            <w:tcW w:w="22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 past due</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Lease balances included in consolidated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Aging Analysis as of March 31, 2016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1-90 days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Greater than 90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past due</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days past due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Lease balances included in consolidated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market value with cost determined using the first-in, first-out (FIFO) method. Orion reduces the carrying value of its inventories for differences between the cost and estimated net realizable value, taking into consideration usage in the preceding 9 to 24 months, expected demand, and other information indicating obsolescence. Orion records, as a charge to cost of product revenue, the amount required to reduce the carrying value of inventory to net realizable value. Orion's inventory balances were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Obsolescence</w:t>
            </w:r>
          </w:p>
        </w:tc>
        <w:tc>
          <w:tcPr>
            <w:tcW w:w="280" w:type="dxa"/>
            <w:vAlign w:val="bottom"/>
          </w:tcPr>
          <w:p>
            <w:pPr>
              <w:spacing w:after="0"/>
              <w:rPr>
                <w:sz w:val="14"/>
                <w:szCs w:val="14"/>
                <w:color w:val="auto"/>
              </w:rPr>
            </w:pPr>
          </w:p>
        </w:tc>
        <w:tc>
          <w:tcPr>
            <w:tcW w:w="8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16,572</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2016</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included in cost of product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right="760" w:firstLine="432"/>
        <w:spacing w:after="0" w:line="308" w:lineRule="auto"/>
        <w:rPr>
          <w:sz w:val="20"/>
          <w:szCs w:val="20"/>
          <w:color w:val="auto"/>
        </w:rPr>
      </w:pPr>
      <w:r>
        <w:rPr>
          <w:rFonts w:ascii="Arial" w:cs="Arial" w:eastAsia="Arial" w:hAnsi="Arial"/>
          <w:sz w:val="17"/>
          <w:szCs w:val="17"/>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receivables, prepaid taxes and miscellaneous receivables. Prepaid expenses and other current assets include the following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March 31, 2016</w:t>
            </w:r>
          </w:p>
        </w:tc>
      </w:tr>
      <w:tr>
        <w:trPr>
          <w:trHeight w:val="250"/>
        </w:trPr>
        <w:tc>
          <w:tcPr>
            <w:tcW w:w="8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accounts receivable</w:t>
            </w:r>
          </w:p>
        </w:tc>
        <w:tc>
          <w:tcPr>
            <w:tcW w:w="46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4,307</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731</w:t>
            </w:r>
          </w:p>
        </w:tc>
      </w:tr>
      <w:tr>
        <w:trPr>
          <w:trHeight w:val="27"/>
        </w:trPr>
        <w:tc>
          <w:tcPr>
            <w:tcW w:w="8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5,038</w:t>
            </w:r>
          </w:p>
        </w:tc>
      </w:tr>
      <w:tr>
        <w:trPr>
          <w:trHeight w:val="20"/>
        </w:trPr>
        <w:tc>
          <w:tcPr>
            <w:tcW w:w="8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right="200" w:firstLine="405"/>
        <w:spacing w:after="0" w:line="286" w:lineRule="auto"/>
        <w:rPr>
          <w:sz w:val="20"/>
          <w:szCs w:val="20"/>
          <w:color w:val="auto"/>
        </w:rPr>
      </w:pPr>
      <w:r>
        <w:rPr>
          <w:rFonts w:ascii="Arial" w:cs="Arial" w:eastAsia="Arial" w:hAnsi="Arial"/>
          <w:sz w:val="17"/>
          <w:szCs w:val="17"/>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pacing w:after="0" w:line="111"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 xml:space="preserve">Orion periodically reviews the carrying values of property and equipment for impairment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9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On June 30, 2016, Orion completed the sale of its Manitowoc manufacturing and distribution facility for gross cash proceeds of $2,600,000, which approximated the assets' net carrying values. In conjunction with the sale, Orion entered into an agreement with the buyer to leaseback approximately 197,000 square feet of the building for not less than three years, subject to mutual options to reduce the amount of leased space.</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December 31, 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11,849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33,449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17,004</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20"/>
              <w:spacing w:after="0"/>
              <w:rPr>
                <w:sz w:val="20"/>
                <w:szCs w:val="20"/>
                <w:color w:val="auto"/>
              </w:rPr>
            </w:pPr>
            <w:r>
              <w:rPr>
                <w:rFonts w:ascii="Arial" w:cs="Arial" w:eastAsia="Arial" w:hAnsi="Arial"/>
                <w:sz w:val="18"/>
                <w:szCs w:val="18"/>
                <w:color w:val="auto"/>
              </w:rPr>
              <w:t>Equipment included above under capital leases was as follows (in thousands):</w:t>
            </w: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March 31, 2016</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408</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net</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Orion recorded depreciation expense of $348,000 and $1,103,000 for the three and nine months ended December 31, 2016, respectively, and $759,000 and $2,320,000 for the three and nine months ended December 31, 2015,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1" w:right="239" w:bottom="1440" w:gutter="0" w:footer="0" w:header="0"/>
        </w:sectPr>
      </w:pPr>
    </w:p>
    <w:bookmarkStart w:id="9" w:name="page10"/>
    <w:bookmarkEnd w:id="9"/>
    <w:p>
      <w:pPr>
        <w:ind w:left="420"/>
        <w:spacing w:after="0"/>
        <w:rPr>
          <w:sz w:val="20"/>
          <w:szCs w:val="20"/>
          <w:color w:val="auto"/>
        </w:rPr>
      </w:pPr>
      <w:r>
        <w:rPr>
          <w:rFonts w:ascii="Arial" w:cs="Arial" w:eastAsia="Arial" w:hAnsi="Arial"/>
          <w:sz w:val="16"/>
          <w:szCs w:val="16"/>
          <w:color w:val="auto"/>
        </w:rPr>
        <w:t>Depreciable lives by asset category are as follows:</w:t>
      </w:r>
    </w:p>
    <w:p>
      <w:pPr>
        <w:sectPr>
          <w:pgSz w:w="11900" w:h="16838" w:orient="portrait"/>
          <w:cols w:equalWidth="0" w:num="1">
            <w:col w:w="11420"/>
          </w:cols>
          <w:pgMar w:left="240" w:top="530" w:right="23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Land improvements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10-15 years</w:t>
      </w:r>
    </w:p>
    <w:p>
      <w:pPr>
        <w:spacing w:after="0" w:line="97"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Buildings and building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3-39 years</w:t>
      </w:r>
    </w:p>
    <w:p>
      <w:pPr>
        <w:spacing w:after="0" w:line="86"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Furniture, fixtures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2-10 years</w:t>
      </w:r>
    </w:p>
    <w:p>
      <w:pPr>
        <w:spacing w:after="0" w:line="86"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asset life or life of lease</w:t>
      </w:r>
    </w:p>
    <w:p>
      <w:pPr>
        <w:spacing w:after="0" w:line="86"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Equipment leased to customers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 years</w:t>
      </w:r>
    </w:p>
    <w:p>
      <w:pPr>
        <w:spacing w:after="0" w:line="86"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Plant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3-10 years</w:t>
      </w:r>
    </w:p>
    <w:p>
      <w:pPr>
        <w:spacing w:after="0" w:line="200"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ind w:right="40" w:firstLine="432"/>
        <w:spacing w:after="0" w:line="334" w:lineRule="auto"/>
        <w:rPr>
          <w:sz w:val="20"/>
          <w:szCs w:val="20"/>
          <w:color w:val="auto"/>
        </w:rPr>
      </w:pPr>
      <w:r>
        <w:rPr>
          <w:rFonts w:ascii="Arial" w:cs="Arial" w:eastAsia="Arial" w:hAnsi="Arial"/>
          <w:sz w:val="16"/>
          <w:szCs w:val="16"/>
          <w:color w:val="auto"/>
        </w:rPr>
        <w:t>The costs of specifically identifiable intangible assets that do not have an indefinite life are amortized over their estimated useful lives. Intangible assets with indefinite lives are not amortized and are reviewed for impairment annually, as of January 1, or more frequently if impairment indicators arise.</w:t>
      </w:r>
    </w:p>
    <w:p>
      <w:pPr>
        <w:spacing w:after="0" w:line="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Amortizable intangible assets are amortized over their estimated economic useful life to reflect the pattern of economic benefits consumed based upon the following lives and methods:</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Patents</w:t>
            </w:r>
          </w:p>
        </w:tc>
        <w:tc>
          <w:tcPr>
            <w:tcW w:w="1680" w:type="dxa"/>
            <w:vAlign w:val="bottom"/>
          </w:tcPr>
          <w:p>
            <w:pPr>
              <w:ind w:left="420"/>
              <w:spacing w:after="0"/>
              <w:rPr>
                <w:sz w:val="20"/>
                <w:szCs w:val="20"/>
                <w:color w:val="auto"/>
              </w:rPr>
            </w:pPr>
            <w:r>
              <w:rPr>
                <w:rFonts w:ascii="Arial" w:cs="Arial" w:eastAsia="Arial" w:hAnsi="Arial"/>
                <w:sz w:val="18"/>
                <w:szCs w:val="18"/>
                <w:color w:val="auto"/>
              </w:rPr>
              <w:t>10-17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Licenses</w:t>
            </w:r>
          </w:p>
        </w:tc>
        <w:tc>
          <w:tcPr>
            <w:tcW w:w="1680" w:type="dxa"/>
            <w:vAlign w:val="bottom"/>
          </w:tcPr>
          <w:p>
            <w:pPr>
              <w:ind w:left="420"/>
              <w:spacing w:after="0"/>
              <w:rPr>
                <w:sz w:val="20"/>
                <w:szCs w:val="20"/>
                <w:color w:val="auto"/>
              </w:rPr>
            </w:pPr>
            <w:r>
              <w:rPr>
                <w:rFonts w:ascii="Arial" w:cs="Arial" w:eastAsia="Arial" w:hAnsi="Arial"/>
                <w:sz w:val="18"/>
                <w:szCs w:val="18"/>
                <w:color w:val="auto"/>
              </w:rPr>
              <w:t>7-13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80" w:type="dxa"/>
            <w:vAlign w:val="bottom"/>
          </w:tcPr>
          <w:p>
            <w:pPr>
              <w:ind w:left="420"/>
              <w:spacing w:after="0"/>
              <w:rPr>
                <w:sz w:val="20"/>
                <w:szCs w:val="20"/>
                <w:color w:val="auto"/>
              </w:rPr>
            </w:pPr>
            <w:r>
              <w:rPr>
                <w:rFonts w:ascii="Arial" w:cs="Arial" w:eastAsia="Arial" w:hAnsi="Arial"/>
                <w:sz w:val="18"/>
                <w:szCs w:val="18"/>
                <w:color w:val="auto"/>
              </w:rPr>
              <w:t>5-8 years</w:t>
            </w:r>
          </w:p>
        </w:tc>
        <w:tc>
          <w:tcPr>
            <w:tcW w:w="5280" w:type="dxa"/>
            <w:vAlign w:val="bottom"/>
          </w:tcPr>
          <w:p>
            <w:pPr>
              <w:ind w:left="420"/>
              <w:spacing w:after="0"/>
              <w:rPr>
                <w:sz w:val="20"/>
                <w:szCs w:val="20"/>
                <w:color w:val="auto"/>
              </w:rPr>
            </w:pPr>
            <w:r>
              <w:rPr>
                <w:rFonts w:ascii="Arial" w:cs="Arial" w:eastAsia="Arial" w:hAnsi="Arial"/>
                <w:sz w:val="18"/>
                <w:szCs w:val="18"/>
                <w:color w:val="auto"/>
                <w:w w:val="89"/>
              </w:rPr>
              <w:t>Accelerated based upon the pattern of economic benefits consumed</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Developed technology</w:t>
            </w:r>
          </w:p>
        </w:tc>
        <w:tc>
          <w:tcPr>
            <w:tcW w:w="1680" w:type="dxa"/>
            <w:vAlign w:val="bottom"/>
          </w:tcPr>
          <w:p>
            <w:pPr>
              <w:ind w:left="420"/>
              <w:spacing w:after="0"/>
              <w:rPr>
                <w:sz w:val="20"/>
                <w:szCs w:val="20"/>
                <w:color w:val="auto"/>
              </w:rPr>
            </w:pPr>
            <w:r>
              <w:rPr>
                <w:rFonts w:ascii="Arial" w:cs="Arial" w:eastAsia="Arial" w:hAnsi="Arial"/>
                <w:sz w:val="18"/>
                <w:szCs w:val="18"/>
                <w:color w:val="auto"/>
              </w:rPr>
              <w:t>8 years</w:t>
            </w:r>
          </w:p>
        </w:tc>
        <w:tc>
          <w:tcPr>
            <w:tcW w:w="5280" w:type="dxa"/>
            <w:vAlign w:val="bottom"/>
          </w:tcPr>
          <w:p>
            <w:pPr>
              <w:ind w:left="420"/>
              <w:spacing w:after="0"/>
              <w:rPr>
                <w:sz w:val="20"/>
                <w:szCs w:val="20"/>
                <w:color w:val="auto"/>
              </w:rPr>
            </w:pPr>
            <w:r>
              <w:rPr>
                <w:rFonts w:ascii="Arial" w:cs="Arial" w:eastAsia="Arial" w:hAnsi="Arial"/>
                <w:sz w:val="18"/>
                <w:szCs w:val="18"/>
                <w:color w:val="auto"/>
                <w:w w:val="89"/>
              </w:rPr>
              <w:t>Accelerated based upon the pattern of economic benefits consumed</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680" w:type="dxa"/>
            <w:vAlign w:val="bottom"/>
          </w:tcPr>
          <w:p>
            <w:pPr>
              <w:ind w:left="420"/>
              <w:spacing w:after="0"/>
              <w:rPr>
                <w:sz w:val="20"/>
                <w:szCs w:val="20"/>
                <w:color w:val="auto"/>
              </w:rPr>
            </w:pPr>
            <w:r>
              <w:rPr>
                <w:rFonts w:ascii="Arial" w:cs="Arial" w:eastAsia="Arial" w:hAnsi="Arial"/>
                <w:sz w:val="18"/>
                <w:szCs w:val="18"/>
                <w:color w:val="auto"/>
              </w:rPr>
              <w:t>5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bl>
    <w:p>
      <w:pPr>
        <w:spacing w:after="0" w:line="17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Indefinite lived intangible assets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6"/>
              </w:rPr>
              <w:t>March 31, 2016</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2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9,243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4,579</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on intangible assets was $239,000 and $351,000 for the three months ended December 31, 2016 and 2015, respectively.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on intangible assets was $721,000 and $1,055,000 for the nine months ended December 31, 2016 and 2015, respectively.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2016, the weighted average useful life of intangible assets was 6.14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w w:val="99"/>
              </w:rPr>
              <w:t>The estimated amortization expense for each of the next five years is shown below (dollars in thousands):</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2017, remaining quarter</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Fiscal 2018</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2019</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Fiscal 2020</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2,614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Long-Term Assets</w:t>
            </w: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7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8700" w:type="dxa"/>
            <w:vAlign w:val="bottom"/>
          </w:tcPr>
          <w:p>
            <w:pPr>
              <w:ind w:left="360"/>
              <w:spacing w:after="0"/>
              <w:rPr>
                <w:sz w:val="20"/>
                <w:szCs w:val="20"/>
                <w:color w:val="auto"/>
              </w:rPr>
            </w:pPr>
            <w:r>
              <w:rPr>
                <w:rFonts w:ascii="Arial" w:cs="Arial" w:eastAsia="Arial" w:hAnsi="Arial"/>
                <w:sz w:val="18"/>
                <w:szCs w:val="18"/>
                <w:color w:val="auto"/>
              </w:rPr>
              <w:t>Other long-term assets include the following (dollars in thousands):</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b w:val="1"/>
                <w:bCs w:val="1"/>
                <w:color w:val="auto"/>
                <w:w w:val="94"/>
              </w:rPr>
              <w:t>March 31,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900" w:type="dxa"/>
            <w:vAlign w:val="bottom"/>
            <w:tcBorders>
              <w:top w:val="single" w:sz="8" w:color="auto"/>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Security deposits</w:t>
            </w:r>
          </w:p>
        </w:tc>
        <w:tc>
          <w:tcPr>
            <w:tcW w:w="9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700" w:type="dxa"/>
            <w:vAlign w:val="bottom"/>
          </w:tcPr>
          <w:p>
            <w:pPr>
              <w:ind w:left="10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165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Deferred financing costs relate to Orion’s revolving credit agreement and are recognized to interest expense straight-line over the remaining term of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include the following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250"/>
        </w:trPr>
        <w:tc>
          <w:tcPr>
            <w:tcW w:w="8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Sales tax</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costs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Legal and professional fees (1)</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440"/>
              <w:spacing w:after="0"/>
              <w:rPr>
                <w:sz w:val="20"/>
                <w:szCs w:val="20"/>
                <w:color w:val="auto"/>
              </w:rPr>
            </w:pPr>
            <w:r>
              <w:rPr>
                <w:rFonts w:ascii="Arial" w:cs="Arial" w:eastAsia="Arial" w:hAnsi="Arial"/>
                <w:sz w:val="18"/>
                <w:szCs w:val="18"/>
                <w:color w:val="auto"/>
              </w:rPr>
              <w:t>(1) Includes a $1,400 loss contingency.</w:t>
            </w: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7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Orion generally offers a limited warranty of one to ten years on its lighting products in addition to those standard warranties offered by major original equipment component manufacturers. The manufacturers’ warranties cover lamps and ballasts, which are significant components in Orion's lighting products.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98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December 31,</w:t>
            </w:r>
          </w:p>
        </w:tc>
        <w:tc>
          <w:tcPr>
            <w:tcW w:w="240" w:type="dxa"/>
            <w:vAlign w:val="bottom"/>
          </w:tcPr>
          <w:p>
            <w:pPr>
              <w:spacing w:after="0"/>
              <w:rPr>
                <w:sz w:val="16"/>
                <w:szCs w:val="16"/>
                <w:color w:val="auto"/>
              </w:rPr>
            </w:pPr>
          </w:p>
        </w:tc>
        <w:tc>
          <w:tcPr>
            <w:tcW w:w="258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8"/>
              </w:rPr>
              <w:t>Nine Months Ended December 31,</w:t>
            </w:r>
          </w:p>
        </w:tc>
      </w:tr>
      <w:tr>
        <w:trPr>
          <w:trHeight w:val="264"/>
        </w:trPr>
        <w:tc>
          <w:tcPr>
            <w:tcW w:w="560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 (1)</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Provision (adjustment) to product cost of revenue</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88</w:t>
            </w: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End of period (1)</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938</w:t>
            </w:r>
          </w:p>
        </w:tc>
      </w:tr>
      <w:tr>
        <w:trPr>
          <w:trHeight w:val="27"/>
        </w:trPr>
        <w:tc>
          <w:tcPr>
            <w:tcW w:w="5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Includes a $310 reserve related to solar operating system warranties.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3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 is recognized on the sales of Orion's lighting and related energy-efficiency systems and products when the following four criteria are met:</w:t>
      </w:r>
    </w:p>
    <w:p>
      <w:pPr>
        <w:spacing w:after="0" w:line="221" w:lineRule="exact"/>
        <w:rPr>
          <w:sz w:val="20"/>
          <w:szCs w:val="20"/>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These four criteria are met for Orion’s product-only revenue upon delivery of the product and title passing to the customer. At that time, Orion provides for estimated costs that may be incurred for product warranties and sales returns. Revenues are presented net of sales tax and other sales related taxes.</w:t>
      </w:r>
    </w:p>
    <w:p>
      <w:pPr>
        <w:spacing w:after="0" w:line="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 xml:space="preserve">For sales of Orion’s lighting and energy management technologies under multiple element arrangements, consisting of a combination of product sales and services, Orion determines revenue by allocating the total contract revenue to each element based on their relative selling prices in accordance with ASC 605-25, </w:t>
      </w:r>
      <w:r>
        <w:rPr>
          <w:rFonts w:ascii="Arial" w:cs="Arial" w:eastAsia="Arial" w:hAnsi="Arial"/>
          <w:sz w:val="18"/>
          <w:szCs w:val="18"/>
          <w:i w:val="1"/>
          <w:iCs w:val="1"/>
          <w:color w:val="auto"/>
        </w:rPr>
        <w:t>Revenue Recognition - Multiple Element Arrangements</w:t>
      </w:r>
      <w:r>
        <w:rPr>
          <w:rFonts w:ascii="Arial" w:cs="Arial" w:eastAsia="Arial" w:hAnsi="Arial"/>
          <w:sz w:val="18"/>
          <w:szCs w:val="18"/>
          <w:color w:val="auto"/>
        </w:rPr>
        <w:t>. In such circumstances, Orion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Orion determines estimated selling price is provided below).</w:t>
      </w:r>
    </w:p>
    <w:p>
      <w:pPr>
        <w:spacing w:after="0" w:line="139"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nature of Orion’s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To determine the selling price in multiple-element arrangements, Orion establishes the selling price for its energy management system products using management's best estimate of the selling price, as VSOE and TPE do not exist. Product revenue is recognized when products are shipped. For product revenue, management's best estimate of selling price is determined using a cost plus gross profit margin method. In addition, Orion records in service revenue the selling price for its installation and recycling services using management’s best estimate of selling price, as VSOE and TPE do not exist. Service revenue is recognized when services are completed and customer acceptance has been received. Recycling services provided in connection with installation entail the disposal of the customer’s legacy lighting fixtures. Orion’s service revenues, other than for installation and recycling that are completed prior to delivery of the product, are included in product revenue using management’s best estimate of selling price, as VSOE and TPE do not exist. These services include comprehensive site assessment, site field verification, utility incentive and government subsidy management, engineering design, and project management. For these services, along with Orion's installation and recycling services, under a multiple-element arrangement, management’s best estimate of selling price is determined by considering economic conditions and trends, customer demand, pricing practices, margin objectives, competition, geographies in which Orion offers its products and services and internal costs. The determination of an estimated selling price is made through consultation with and approval by management, taking into account the preceding factors.</w:t>
      </w:r>
    </w:p>
    <w:p>
      <w:pPr>
        <w:spacing w:after="0" w:line="45"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1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Orion offers a financing program, called a power purchase agreement, or PPA, for Orion’s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11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long term maintenance contracts on OTAs and is classified as a liability on the condensed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1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3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For the three and nine months ended December 31, 2016 and 2015, Orion was in a net loss position; therefore, the basic and diluted weighted average shares outstanding are equal because any increase to the basic shares would be anti-dilutive. Net loss per common share is calculated based upon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(4,996)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28,258,742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27,671,633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28,106,209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27,584,288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Weighted-average common shares and common share equivalents</w:t>
            </w:r>
          </w:p>
        </w:tc>
        <w:tc>
          <w:tcPr>
            <w:tcW w:w="3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28,258,742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27,671,633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28,106,209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27,584,288</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loss per common share because their inclusion would have been anti-dilutive. Amounts are as of the end of each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2016</w:t>
            </w: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1,561,953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2,178,826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1,661,543</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1,005,539</w:t>
            </w: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3,223,496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3,184,365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2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the three and nine months ended December 31, 2016, no supplier accounted for more than 10% of total cost of revenue. For the three months ended December 31, 2015, two suppliers accounted for 18.1% and 12.6% of total cost of revenue. For the nine months ended December 31, 2015, no supplier accounted for more than 10% of total cost of revenue.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three and nine months ended December 31, 2016 and 2015, no customer accounted for more than 10% of revenue.</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December 31, 2016, no customer accounted for more than 10% of accounts receivable. As of March 31, 2016, one customer accounted for 10.3% of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2016, the Financial Accounting Standards Board (“FASB”) issued Accounting Standards Update (“ASU”) 2016-15, "Classification of Certain Cash Receipts and Cash Payments," which provides clarification and additional guidance as to the presentation and classification of certain cash receipts and cash payments in the statement of cash flows. The ASU provides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The new standard will be effective for Orion in the first quarter of fiscal 2019 and will be applied through retrospective adjustment to all periods presented. Orion does not expect the adoption of this guidance to have a material impact on its consolidated financial statements.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1" w:right="239" w:bottom="1440" w:gutter="0" w:footer="0" w:header="0"/>
        </w:sectPr>
      </w:pPr>
    </w:p>
    <w:bookmarkStart w:id="13" w:name="page14"/>
    <w:bookmarkEnd w:id="13"/>
    <w:p>
      <w:pPr>
        <w:jc w:val="both"/>
        <w:ind w:firstLine="405"/>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changes how companies account for certain aspects of share-based payment awards to employees, including the accounting for income taxes, forfeitures, and statutory tax withholding requirements, as well as the classification of related matters in the statement of cash flows. The ASU is effective for Orion in the first quarter of Orion's fiscal 2018. Management is currently assessing the impact of adoption on its consolidated financial statements.</w:t>
      </w:r>
    </w:p>
    <w:p>
      <w:pPr>
        <w:spacing w:after="0" w:line="13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February 2016, the FASB issued ASU 2016-02, “Leases (Subtopic 842)." This ASU requires that lessees recognize assets and liabilities on the balance sheet for the rights and obligations created by long-term leases and disclose additional quantitative and qualitative information about leasing arrangements. This ASU also provides clarifications surrounding the presentation of the effects of leases in the income statement and statement of cash flows. This guidance will be effective for Orion on April 1, 2019. Management is currently assessing the impact of adoption on its consolidated financial statements.</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November 2015, the FASB issued ASU 2015-17, “Income Taxes (Topic 740): Balance Sheet Classification of Deferred Taxes,” to simplify the presentation of deferred taxes. The amendments in this update require that deferred tax assets and liabilities be classified as non-current on the balance sheet. This ASU is effective for Orion's annual reporting period, and interim periods therein, beginning on April 1, 2017 with earlier adoption permitted. The guidance may be adopted either prospectively or retrospectively. Orion does not expect adoption of this standard will have a significant impact on its consolidated financial statements.</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which changes the measurement principle for inventory from the lower of cost or market to the lower of cost or net realizable value for entities that measure inventory using first-in, first-out (FIFO) or average cost. Net realizable value is defined as the estimated selling prices in the ordinary course of business, less reasonably predictable costs of completion, disposal and transportation. This ASU is effective for Orion on April 1, 2017. Orion does not expect adoption of this standard will have a significant impact on its consolidated financial statements.</w:t>
      </w:r>
    </w:p>
    <w:p>
      <w:pPr>
        <w:spacing w:after="0" w:line="134"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In August 2014, the FASB issued Accounting Standards Update No. 2014-15, "Presentation of Financial Statements - Going Concern" ("ASU 2014-15"). ASU 2014-15 requires an entity's management to evaluate whether there are conditions or events, considered in the aggregate, that raise substantial doubt about the entity's ability to continue as a going concern and if those conditions exist, the required disclosures. The standard is effective for annual periods ending after December 15, 2016, and interim periods within annual periods beginning after December 15, 2016 with early adoption permitted. Orion does not expect adoption of this standard will have a significant impact on its consolidated financial statements.</w:t>
      </w:r>
    </w:p>
    <w:p>
      <w:pPr>
        <w:spacing w:after="0" w:line="11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This ASU is a comprehensive new revenue recognition model that requires a company to recognize revenue to depict the transfer of goods or services to a customer at an amount that reflects the consideration it expects to receive in exchange for those goods or services. Since the issuance of this ASU, the FASB has issued further ASU’s to provide additional guidance and clarification as to the application of ASU 2014-09 and delaying its original effective date. These ASU’s are effective for Orion beginning on April 1, 2018 (as amended by ASU 2015-14). Companies may use either a full retrospective or modified retrospective approach to adopt this ASU. Orion is in the initial stages of evaluating the impact of adoption of ASU 2014-09, ASU 2015-14, ASU 2016-08, ASU 2016-10, ASU 2016-11, ASU 2016-12 and ASU 2016-20 and continues to evaluate the available transition methods.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April 1, 2016. Orion adopted the provisions of ASU 2015-03 “Interest-Imputation of Interest (Subtopic 835-30): Simplifying the Presentation of Debt Issuance Costs” and the related ASU 2015-15 “Interest-Imputation of Interest (Subtopic 835-30): Presentation and Subsequent Measurement of Debt Issuance Costs Associated with Line of Credit Arrangements- Amendments to SEC Paragraphs Pursuant to Staff Announcement at June 18, 2015 EITF Meeting (SEC Update).” This guidance requires that debt issuance costs related to a recognized debt liability be presented in the balance sheet as a reduction of the carrying amount of that debt liability, consistent with debt discounts, with the exception of debt issuance costs associated with line of credit agreements which may remain classified as an asset and amortized ratably over the term of the line-of-credit arrangement, regardless of whether there are any outstanding borrowings on the line-of-credit arrangement. As Orion’s only deferred debt issuance costs relate to its revolving line of credit, upon adoption of these standards a reclassification of the deferred financing costs was not required and there was no impact on Orion’s condensed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 RELATED PARTY TRANSACTIONS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During the three months ended December 31, 2016 and 2015, Orion purchased goods and services in the amount of approximately $21,000 and $9,000, respectively, from an entity for which a director of Orion is a minority owner and serves as president and chairman of the board of directors and from an immediate family member of a named executive officer.</w:t>
      </w:r>
    </w:p>
    <w:p>
      <w:pPr>
        <w:spacing w:after="0" w:line="4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nine months ended December 31, 2016 and 2015, Orion purchased goods and services in the amount of approximately $53,000 and $15,000, respectively, from an entity for which a director of Orion is a minority owner and serves as president and chairman of the board of directors and from an immediate family member of a named executive officer.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March 31, 2016</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Harris seller's note</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546</w:t>
            </w:r>
          </w:p>
        </w:tc>
      </w:tr>
      <w:tr>
        <w:trPr>
          <w:trHeight w:val="27"/>
        </w:trPr>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w:t>
            </w:r>
          </w:p>
        </w:tc>
      </w:tr>
      <w:tr>
        <w:trPr>
          <w:trHeight w:val="27"/>
        </w:trPr>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4,767</w:t>
            </w:r>
          </w:p>
        </w:tc>
      </w:tr>
      <w:tr>
        <w:trPr>
          <w:trHeight w:val="27"/>
        </w:trPr>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4,021</w:t>
            </w:r>
          </w:p>
        </w:tc>
      </w:tr>
      <w:tr>
        <w:trPr>
          <w:trHeight w:val="27"/>
        </w:trPr>
        <w:tc>
          <w:tcPr>
            <w:tcW w:w="88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ind w:right="400" w:firstLine="405"/>
        <w:spacing w:after="0" w:line="286" w:lineRule="auto"/>
        <w:rPr>
          <w:sz w:val="20"/>
          <w:szCs w:val="20"/>
          <w:color w:val="auto"/>
        </w:rPr>
      </w:pPr>
      <w:r>
        <w:rPr>
          <w:rFonts w:ascii="Arial" w:cs="Arial" w:eastAsia="Arial" w:hAnsi="Arial"/>
          <w:sz w:val="17"/>
          <w:szCs w:val="17"/>
          <w:color w:val="auto"/>
        </w:rPr>
        <w:t>Orion has an amended credit agreement (Credit Agreement) that provides for a revolving credit facility (Credit Facility)subject to a borrowing base requirement based on eligible receivables and inventory. As of December 31, 2016 Orion's borrowing base was approximately $9,648,000. The Credit Facility has a maturity date of February 6, 2019 and includes a $2,000,000 sublimit for the issuance of letters of credit.</w:t>
      </w:r>
    </w:p>
    <w:p>
      <w:pPr>
        <w:spacing w:after="0" w:line="11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Subject in each case to Orion's applicable borrowing base limitations, the Credit Agreement otherwise provides for a $15,000,000 Credit Facility. This limit may increase to $20,000,000 based on a borrowing base requirement, if Orion satisfies certain conditions. Orion did not meet the requirements to increase the borrowing limit to $20,000,000 as of July 31, 2016, the most recent measurement date.</w:t>
      </w:r>
    </w:p>
    <w:p>
      <w:pPr>
        <w:spacing w:after="0" w:line="12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From and after any increase in the Credit Facility limit from $15,000,000 to $20,000,000, the Credit Agreement requires that Orion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w:t>
      </w:r>
    </w:p>
    <w:p>
      <w:pPr>
        <w:spacing w:after="0" w:line="124"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OTAs) and a mortgage on certain real property.</w:t>
      </w:r>
    </w:p>
    <w:p>
      <w:pPr>
        <w:spacing w:after="0" w:line="12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$130,000, regardless of usage. As of December 31, 2016, the interest rate was 4.00%. Orion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As of December 31, 2016, Orion had no outstanding letters of credit. Borrowings outstanding as of December 31, 2016, amounted to approximately $5,882,000 and are included in non-current liabilities in the accompanying Condensed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07" w:right="239" w:bottom="1440" w:gutter="0" w:footer="0" w:header="0"/>
        </w:sectPr>
      </w:pPr>
    </w:p>
    <w:bookmarkStart w:id="15" w:name="page16"/>
    <w:bookmarkEnd w:id="15"/>
    <w:p>
      <w:pPr>
        <w:ind w:right="60"/>
        <w:spacing w:after="0" w:line="277" w:lineRule="auto"/>
        <w:rPr>
          <w:sz w:val="20"/>
          <w:szCs w:val="20"/>
          <w:color w:val="auto"/>
        </w:rPr>
      </w:pPr>
      <w:r>
        <w:rPr>
          <w:rFonts w:ascii="Arial" w:cs="Arial" w:eastAsia="Arial" w:hAnsi="Arial"/>
          <w:sz w:val="18"/>
          <w:szCs w:val="18"/>
          <w:color w:val="auto"/>
        </w:rPr>
        <w:t>Consolidated Balance Sheet. Orion estimates that as of December 31, 2016, it was eligible to borrow an additional $2,036,554 under the Credit Facility based upon current levels of eligible inventory and accounts receivable.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Orion was in compliance with its covenants in the Credit Agreement as of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Harris Seller's Note</w:t>
      </w:r>
    </w:p>
    <w:p>
      <w:pPr>
        <w:spacing w:after="0" w:line="17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On July 1, 2013, Orion issued an unsecured and subordinated promissory note in the principal amount of $3,124,000 to partially fund the acquisition of Harris Manufacturing, Inc. and Harris LED, LLC (collectively, "Harris"). The note is included in the table above as Harris seller's note. The note's interest rate was 4% per annum. Principal and interest were payable quarterly. The note matured in July 2016 and was paid in full upon maturity.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 Obligation</w:t>
      </w:r>
    </w:p>
    <w:p>
      <w:pPr>
        <w:spacing w:after="0" w:line="17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March 2016 and June 2015, Orion entered into lease agreements with a financing company in the principal amount of $19,000 and $377,000, respectively, to fund certain equipment. The leases are secured by the related equipment. The leases bear interest at a rate of 5.94% and 3.6%, respectively, and mature in February 2018 and June 2020. Both leases contain a one dollar buyout option.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$446,000 to fund completed customer contracts under its OTA finance program that were previously funded under a different OTA credit agreement. The loan amount is secured by the OTA-related equipment and the expected future monthly payments under the supporting 25 individual OTA customer contracts. The borrowing agreement bears interest at a rate of 8.36% and matures in April 2018.</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June 2011, Orion entered into a note agreement with a financial institution that provided Orion with $2,831,000 to fund completed customer contracts under Orion’s OTA finance program. This note is included in the table above as customer equipment finance notes payable in the prior year. The note bore interest at 7.85%. The note matured in April 2016 and was paid in full upon maturity.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September 2010, Orion entered into a note agreement with the Wisconsin Department of Commerce that provided Orion with $260,000 to fund Orion’s rooftop solar project at its Manitowoc facility. This note is included in the table above as other long-term debt. The note is collateralized by the related solar equipment. The note allowed for two years without interest accruing or principal payments due. Beginning in July 2012, the note bears interest at 2% and requires monthly payments of $4,600. The note matures in June 2017. The note agreement requires Orion to maintain a certain number of jobs at its Manitowoc facilities during the note’s duration. Orion was in compliance with all covenants in the note agreement as of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94"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The income tax provision for the three months ended December 31, 2016 was determined by applying an estimated annual effective tax rate of 0.1% to loss before income tax. The estimated effective tax rate for the three month period ended December 31, 2015 was (0.1)%. The estimated effective income tax rate was determined by applying statutory tax rates to pretax loss adjusted for certain permanent book to tax differences and tax credits.</w:t>
      </w:r>
    </w:p>
    <w:p>
      <w:pPr>
        <w:spacing w:after="0" w:line="1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income tax provision for the nine months ended December 31, 2016 was determined by applying an estimated annual effective tax rate of (0.4)% to loss before income tax. Orion had discrete tax items in the first quarter of fiscal 2017 that increased the rate by 5.4% which resulted in a net rate for the quarter of 5.0%. The discrete tax items related to federal tax refunds and the release of a valuation reserve. The estimated effective tax rate for the nine month period ended December 31, 2015 was (0.1)%.</w:t>
      </w:r>
    </w:p>
    <w:p>
      <w:pPr>
        <w:spacing w:after="0" w:line="133"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Orion is eligible for tax benefits associated with the excess of the tax deduction available for exercises of non-qualified stock options (NQSOs) over the amount recorded at grant. The amount of the benefit is based upon the ultimate deduction reflected in the applicable income tax return.</w:t>
      </w:r>
    </w:p>
    <w:p>
      <w:pPr>
        <w:spacing w:after="0" w:line="9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As of December 31, 2016, Orion had federal net operating loss carryforwards of approximately $61,254,000, of which $3,151,000 are associated with the exercise of NQSOs that have not yet been recognized by Orion in its financial statements. Orion also has state net operating loss carryforwards of approximately $52,022,000, of which $3,471,000 are associated with the exercise of NQSOs. Orion also had federal tax credit carryforwards of approximately $1,403,000 and state tax credits of $724,000. Orion's net operating loss and tax credit carryforwards will begin to expire in varying amounts between 2020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6" w:name="page17"/>
    <w:bookmarkEnd w:id="16"/>
    <w:p>
      <w:pPr>
        <w:ind w:right="260"/>
        <w:spacing w:after="0" w:line="259" w:lineRule="auto"/>
        <w:rPr>
          <w:sz w:val="20"/>
          <w:szCs w:val="20"/>
          <w:color w:val="auto"/>
        </w:rPr>
      </w:pPr>
      <w:r>
        <w:rPr>
          <w:rFonts w:ascii="Arial" w:cs="Arial" w:eastAsia="Arial" w:hAnsi="Arial"/>
          <w:sz w:val="18"/>
          <w:szCs w:val="18"/>
          <w:color w:val="auto"/>
        </w:rPr>
        <w:t>2036. As of December 31, 2016, Orion had recorded a valuation allowance of $27,325,000 equaling the net deferred tax asset due to the uncertainty of its realization value in the future.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December 31, 2016, the balance of gross unrecognized tax benefits was approximately $113,000, all of which would reduce Orion’s effective tax rate if recognized.</w:t>
      </w:r>
    </w:p>
    <w:p>
      <w:pPr>
        <w:spacing w:after="0" w:line="3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Orion leases office space and equipment under operating leases expiring at various dates through 2020. Rent expense under operating leases was $290,000 and $130,000 for the three months ended December 31, 2016 and 2015, respectively, and $612,000 and $376,000 for the nine months ended December 31, 2016 and 2015, respectively.</w:t>
      </w:r>
    </w:p>
    <w:p>
      <w:pPr>
        <w:spacing w:after="0" w:line="12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March 1, 2016, Orion entered into a lease agreement as a lessor for excess office space at its corporate headquarters in Manitowoc, Wisconsin. The initial term of the lease is 24 months and the tenant has the option to extend the term for up to three additional twelve-month periods. The monthly rental payment Orion receives is $21,000 and is included as a reduction to general and administrative expenses.</w:t>
      </w:r>
    </w:p>
    <w:p>
      <w:pPr>
        <w:spacing w:after="0" w:line="12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On March 31, 2016, Orion entered into a purchase and sale agreement ("Agreement") with Tramontina to sell and leaseback Orion's manufacturing and distribution facility for a gross cash proceeds of $2,600,000. The transaction closed on June 30, 2016. Pursuant to the Agreement, a lease was entered into on June 30, 2016, in which Orion is leasing approximately 197,000 square feet of the building for not less than three years, with rent at $2.00 per square foot per annum. Orion's monthly payment under this lease is approximately $40,000. The lease contains options by either party to reduce the amount of leased space after March 1, 2017.</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Orion. In addition to ordinary-course litigation, Orion is a party to the proceedings described below.</w:t>
      </w:r>
    </w:p>
    <w:p>
      <w:pPr>
        <w:spacing w:after="0" w:line="46"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On March 27, 2014, Orion was named as a defendant in a civil lawsuit filed by Neal R. Verfuerth, Orion's former chief executive officer who was terminated for cause in November 2012, in the United States District Court for the Eastern District of Wisconsin (Green Bay Division). The plaintiff alleged, among other things, that Orion breached certain agreements entered into with the plaintiff, including the plaintiff’s employment agreement, and violated certain laws. The complaint sought, among other relief, unspecified pecuniary and compensatory damages, fees and such other relief as the court may deem just and proper. On November 4, 2014, the court granted Orion's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Orion filed a motion to dismiss and a motion to strike certain of the claims made in the amended complaint. On May 18, 2015, the court dismissed the intellectual property claims re-alleged in the January 9, 2015 amended complaint. At the court's direction, the parties attempted to mediate the matter in May 2016, but were unsuccessful in resolving the matter.</w:t>
      </w:r>
    </w:p>
    <w:p>
      <w:pPr>
        <w:spacing w:after="0" w:line="3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August 25, 2016, the Chief Judge of the United States District Court for the Eastern District of Wisconsin (Green Bay Division) dismissed all claims against Orion brought by the plaintiff, including his claims that Orion had allegedly breached the plaintiff’s employment agreement and had allegedly violated the plaintiff's whistleblower rights. On September 22, 2016, the plaintiff filed an appeal to the United States Court of Appeals challenging the judgment rendered on August 25, 2016. The plaintiff’s appeal is currently subject to court mandated mediation.</w:t>
      </w:r>
    </w:p>
    <w:p>
      <w:pPr>
        <w:spacing w:after="0" w:line="36"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Orion intends to continue to defend against the claims vigorously. Orion believes that it has substantial legal and factual defenses to the claims and allegations remaining in the case and that Orion will prevail in this proceeding. Based upon the current status of the lawsuit, Orion does not believe that it is reasonably possible that the lawsuit will have a material adverse impact on its future continuing results of operations.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ind w:right="620" w:firstLine="392"/>
        <w:spacing w:after="0" w:line="342" w:lineRule="auto"/>
        <w:rPr>
          <w:sz w:val="20"/>
          <w:szCs w:val="20"/>
          <w:color w:val="auto"/>
        </w:rPr>
      </w:pPr>
      <w:r>
        <w:rPr>
          <w:rFonts w:ascii="Arial" w:cs="Arial" w:eastAsia="Arial" w:hAnsi="Arial"/>
          <w:sz w:val="16"/>
          <w:szCs w:val="16"/>
          <w:color w:val="auto"/>
        </w:rPr>
        <w:t>Orion negotiated a settlement with the Wisconsin Department of Revenue with respect to an assessment regarding the proper classification of its products for tax purposes under Wisconsin law. Orion resolved this matter with the Wisconsin Department of Revenue in June 2016 for $460,000.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Orion had the following shares issued from treasury during the nine months ended December 31,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Shares Issued</w:t>
            </w:r>
          </w:p>
        </w:tc>
        <w:tc>
          <w:tcPr>
            <w:tcW w:w="1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Closing Market</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Quarter Ended June 30, 2016</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1,771</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2016</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1,511</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Quarter Ended December 31, 2016</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840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issued in fiscal 2017</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4,122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prior years, Orion issued loans to non-executive employees to purchase shares of its stock. As of December 31, 2016 and March 31, 2016, $4,000 of such loans remained outstanding and are reflected on Orion’s balance sheet as a contra-equity account. No new loans were issued during the periods presented as the loan program was discontinued.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OPTIONS AND RESTRICTED SHARES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shares of Orion's common stock ("Common Stock"), restricted stock, restricted stock units, incentive awards or dividend equivalent units. An aggregate of 1,750,000 shares of Common Stock are reserved for issuance under the Plan.</w:t>
      </w:r>
    </w:p>
    <w:p>
      <w:pPr>
        <w:spacing w:after="0" w:line="53"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Prior to shareholder approval of the Plan, the Company maintained its 2004 Stock and Incentive Awards Plan, as amended, which authorized the grant of cash and equity awards to employees (the “Former Plan”). No new awards will be granted under the Former Plan, however, all awards granted under the Former Plan that were outstanding as of August 3, 2016 will continue to be governed by the Former Plan.</w:t>
      </w:r>
    </w:p>
    <w:p>
      <w:pPr>
        <w:spacing w:after="0" w:line="3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Certain non-employee directors have elected to receive stock awards in lieu of cash compensation pursuant to elections made under Orion’s non-employee director compensation program. The plans also permit accelerated vesting in the event of certain changes of control of Orion as well as under other special circumstances.</w:t>
      </w:r>
    </w:p>
    <w:p>
      <w:pPr>
        <w:spacing w:after="0" w:line="4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Orion has historically granted stock options and restricted stock under the Former Plan. Orion has not issued stock options since fiscal 2014 and instead has issued restricted stock.</w:t>
      </w:r>
    </w:p>
    <w:p>
      <w:pPr>
        <w:spacing w:after="0" w:line="11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net of estimated forfeitures.</w:t>
      </w:r>
    </w:p>
    <w:p>
      <w:pPr>
        <w:spacing w:after="0" w:line="12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For the three months ended December 31, 2016, an aggregate of 14,000 restricted shares were granted valued at a price per share of $1.42, which was the closing market price as of the grant date. For the three months ended December 31, 2015, an aggregate of 154,281 restricted shares were granted valued at a price per share of between $1.76 and $2.04, which was the closing market price as of each grant date.</w:t>
      </w:r>
    </w:p>
    <w:p>
      <w:pPr>
        <w:spacing w:after="0" w:line="111"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For the nine months ended December 31, 2016, an aggregate of 1,061,142 restricted shares were granted valued at a price per share of between $1.35 and $1.50, which was the closing market price as of each grant date. For the nine months ended December 31, 2015, an aggregate of 723,815 restricted shares were granted valued at a price per share of between $1.76 and $2.62, which was the closing market price as of each grant date.</w:t>
      </w:r>
    </w:p>
    <w:p>
      <w:pPr>
        <w:spacing w:after="0" w:line="111"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On June 7, 2016, Orion issued and sold 57,065 shares of its common stock to an executive. On August 5, 2016, Orion sold an aggregate of 63,381 shares of its common stock, in equal amounts, to three recently retired members of Orion's board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8" w:name="page19"/>
    <w:bookmarkEnd w:id="18"/>
    <w:p>
      <w:pPr>
        <w:jc w:val="both"/>
        <w:ind w:right="100"/>
        <w:spacing w:after="0" w:line="264" w:lineRule="auto"/>
        <w:rPr>
          <w:sz w:val="20"/>
          <w:szCs w:val="20"/>
          <w:color w:val="auto"/>
        </w:rPr>
      </w:pPr>
      <w:r>
        <w:rPr>
          <w:rFonts w:ascii="Arial" w:cs="Arial" w:eastAsia="Arial" w:hAnsi="Arial"/>
          <w:sz w:val="18"/>
          <w:szCs w:val="18"/>
          <w:color w:val="auto"/>
        </w:rPr>
        <w:t>directors. In each case, the purchase price for the shares was calculated based on the closing price of Orion's common stock on the NASDAQ Capital Market of the date of the issuance. The shares of common stock were offered and sold pursuant to an exemption from the registration requirements of the Securities Act of 1933, as amended, pursuant to Section 4(2) and Rule 701.</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8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2160" w:type="dxa"/>
            <w:vAlign w:val="bottom"/>
            <w:gridSpan w:val="8"/>
          </w:tcPr>
          <w:p>
            <w:pPr>
              <w:ind w:left="40"/>
              <w:spacing w:after="0"/>
              <w:rPr>
                <w:sz w:val="20"/>
                <w:szCs w:val="20"/>
                <w:color w:val="auto"/>
              </w:rPr>
            </w:pPr>
            <w:r>
              <w:rPr>
                <w:rFonts w:ascii="Arial" w:cs="Arial" w:eastAsia="Arial" w:hAnsi="Arial"/>
                <w:sz w:val="14"/>
                <w:szCs w:val="14"/>
                <w:b w:val="1"/>
                <w:bCs w:val="1"/>
                <w:color w:val="auto"/>
                <w:w w:val="93"/>
              </w:rPr>
              <w:t>Nine Months Ended December 31,</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jc w:val="right"/>
              <w:ind w:right="38"/>
              <w:spacing w:after="0"/>
              <w:rPr>
                <w:sz w:val="20"/>
                <w:szCs w:val="20"/>
                <w:color w:val="auto"/>
              </w:rPr>
            </w:pPr>
            <w:r>
              <w:rPr>
                <w:rFonts w:ascii="Arial" w:cs="Arial" w:eastAsia="Arial" w:hAnsi="Arial"/>
                <w:sz w:val="18"/>
                <w:szCs w:val="18"/>
                <w:color w:val="auto"/>
                <w:w w:val="99"/>
              </w:rPr>
              <w:t>327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jc w:val="right"/>
              <w:ind w:right="38"/>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w w:val="99"/>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4"/>
            <w:vMerge w:val="restart"/>
          </w:tcPr>
          <w:p>
            <w:pPr>
              <w:ind w:left="440"/>
              <w:spacing w:after="0"/>
              <w:rPr>
                <w:sz w:val="20"/>
                <w:szCs w:val="20"/>
                <w:color w:val="auto"/>
              </w:rPr>
            </w:pPr>
            <w:r>
              <w:rPr>
                <w:rFonts w:ascii="Arial" w:cs="Arial" w:eastAsia="Arial" w:hAnsi="Arial"/>
                <w:sz w:val="18"/>
                <w:szCs w:val="18"/>
                <w:color w:val="auto"/>
                <w:w w:val="92"/>
              </w:rPr>
              <w:t>The following table summarizes information with respect to the Plans:</w:t>
            </w: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80" w:type="dxa"/>
            <w:vAlign w:val="bottom"/>
            <w:gridSpan w:val="4"/>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Outstanding Awards</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center"/>
              <w:ind w:left="12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4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vMerge w:val="restart"/>
          </w:tcPr>
          <w:p>
            <w:pPr>
              <w:jc w:val="right"/>
              <w:ind w:right="333"/>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left="12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lef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3"/>
              </w:rPr>
              <w:t>of Shares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787,686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2,017,046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91"/>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4.54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Shares reserved under new plan</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1,750,000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stock options</w:t>
            </w:r>
          </w:p>
        </w:tc>
        <w:tc>
          <w:tcPr>
            <w:tcW w:w="20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Granted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(53,079)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4"/>
          </w:tcPr>
          <w:p>
            <w:pPr>
              <w:jc w:val="right"/>
              <w:ind w:right="48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Forfeited 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90,300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4"/>
          </w:tcPr>
          <w:p>
            <w:pPr>
              <w:jc w:val="right"/>
              <w:ind w:right="48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375,093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(375,093)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91"/>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(80,000)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gridSpan w:val="3"/>
          </w:tcPr>
          <w:p>
            <w:pPr>
              <w:jc w:val="right"/>
              <w:ind w:right="28"/>
              <w:spacing w:after="0"/>
              <w:rPr>
                <w:sz w:val="20"/>
                <w:szCs w:val="20"/>
                <w:color w:val="auto"/>
              </w:rPr>
            </w:pPr>
            <w:r>
              <w:rPr>
                <w:rFonts w:ascii="Arial" w:cs="Arial" w:eastAsia="Arial" w:hAnsi="Arial"/>
                <w:sz w:val="18"/>
                <w:szCs w:val="18"/>
                <w:color w:val="auto"/>
                <w:w w:val="91"/>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1,888,858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1,561,953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91"/>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4.06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125,842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Exercisable at December 31, 2016</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1,423,753</w:t>
            </w:r>
          </w:p>
        </w:tc>
        <w:tc>
          <w:tcPr>
            <w:tcW w:w="80" w:type="dxa"/>
            <w:vAlign w:val="bottom"/>
          </w:tcPr>
          <w:p>
            <w:pPr>
              <w:spacing w:after="0"/>
              <w:rPr>
                <w:sz w:val="20"/>
                <w:szCs w:val="20"/>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440" w:type="dxa"/>
            <w:vAlign w:val="bottom"/>
            <w:gridSpan w:val="3"/>
          </w:tcPr>
          <w:p>
            <w:pPr>
              <w:jc w:val="right"/>
              <w:ind w:right="28"/>
              <w:spacing w:after="0"/>
              <w:rPr>
                <w:sz w:val="20"/>
                <w:szCs w:val="20"/>
                <w:color w:val="auto"/>
              </w:rPr>
            </w:pPr>
            <w:r>
              <w:rPr>
                <w:rFonts w:ascii="Arial" w:cs="Arial" w:eastAsia="Arial" w:hAnsi="Arial"/>
                <w:sz w:val="18"/>
                <w:szCs w:val="18"/>
                <w:color w:val="auto"/>
                <w:w w:val="91"/>
              </w:rPr>
              <w:t>3.41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4.03</w:t>
            </w:r>
          </w:p>
        </w:tc>
        <w:tc>
          <w:tcPr>
            <w:tcW w:w="8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107,391</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4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5"/>
          </w:tcPr>
          <w:p>
            <w:pPr>
              <w:spacing w:after="0"/>
              <w:rPr>
                <w:sz w:val="2"/>
                <w:szCs w:val="2"/>
                <w:color w:val="auto"/>
              </w:rPr>
            </w:pPr>
          </w:p>
        </w:tc>
        <w:tc>
          <w:tcPr>
            <w:tcW w:w="100" w:type="dxa"/>
            <w:vAlign w:val="bottom"/>
            <w:gridSpan w:val="2"/>
          </w:tcPr>
          <w:p>
            <w:pPr>
              <w:spacing w:after="0"/>
              <w:rPr>
                <w:sz w:val="2"/>
                <w:szCs w:val="2"/>
                <w:color w:val="auto"/>
              </w:rPr>
            </w:pPr>
          </w:p>
        </w:tc>
        <w:tc>
          <w:tcPr>
            <w:tcW w:w="14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11420" w:type="dxa"/>
            <w:vAlign w:val="bottom"/>
            <w:gridSpan w:val="24"/>
          </w:tcPr>
          <w:p>
            <w:pPr>
              <w:ind w:left="440"/>
              <w:spacing w:after="0"/>
              <w:rPr>
                <w:sz w:val="20"/>
                <w:szCs w:val="20"/>
                <w:color w:val="auto"/>
              </w:rPr>
            </w:pPr>
            <w:r>
              <w:rPr>
                <w:rFonts w:ascii="Arial" w:cs="Arial" w:eastAsia="Arial" w:hAnsi="Arial"/>
                <w:sz w:val="18"/>
                <w:szCs w:val="18"/>
                <w:color w:val="auto"/>
                <w:w w:val="96"/>
              </w:rPr>
              <w:t>The aggregate intrinsic value represents the total pre-tax intrinsic value, which is calculated as the difference between the exercise price of the</w:t>
            </w:r>
          </w:p>
        </w:tc>
        <w:tc>
          <w:tcPr>
            <w:tcW w:w="0" w:type="dxa"/>
            <w:vAlign w:val="bottom"/>
          </w:tcPr>
          <w:p>
            <w:pPr>
              <w:spacing w:after="0"/>
              <w:rPr>
                <w:sz w:val="1"/>
                <w:szCs w:val="1"/>
                <w:color w:val="auto"/>
              </w:rPr>
            </w:pPr>
          </w:p>
        </w:tc>
      </w:tr>
      <w:tr>
        <w:trPr>
          <w:trHeight w:val="230"/>
        </w:trPr>
        <w:tc>
          <w:tcPr>
            <w:tcW w:w="8720" w:type="dxa"/>
            <w:vAlign w:val="bottom"/>
            <w:gridSpan w:val="14"/>
          </w:tcPr>
          <w:p>
            <w:pPr>
              <w:spacing w:after="0"/>
              <w:rPr>
                <w:sz w:val="20"/>
                <w:szCs w:val="20"/>
                <w:color w:val="auto"/>
              </w:rPr>
            </w:pPr>
            <w:r>
              <w:rPr>
                <w:rFonts w:ascii="Arial" w:cs="Arial" w:eastAsia="Arial" w:hAnsi="Arial"/>
                <w:sz w:val="18"/>
                <w:szCs w:val="18"/>
                <w:color w:val="auto"/>
                <w:w w:val="93"/>
              </w:rPr>
              <w:t>underlying stock options and the fair value of Orion’s closing common stock price of $2.17 as of December 31, 2016.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720" w:type="dxa"/>
            <w:vAlign w:val="bottom"/>
            <w:gridSpan w:val="14"/>
          </w:tcPr>
          <w:p>
            <w:pPr>
              <w:ind w:left="440"/>
              <w:spacing w:after="0"/>
              <w:rPr>
                <w:sz w:val="20"/>
                <w:szCs w:val="20"/>
                <w:color w:val="auto"/>
              </w:rPr>
            </w:pPr>
            <w:r>
              <w:rPr>
                <w:rFonts w:ascii="Arial" w:cs="Arial" w:eastAsia="Arial" w:hAnsi="Arial"/>
                <w:sz w:val="18"/>
                <w:szCs w:val="18"/>
                <w:color w:val="auto"/>
                <w:w w:val="90"/>
              </w:rPr>
              <w:t>A summary of the status of Orion’s outstanding non-vested stock options as of December 31, 2016 was as follows: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2016</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205,900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(65,300)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138,200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As of December 31, 2016, compensation cost related to non-vested common stock-based compensation, excluding restricted share awards, amounted to $100,000 over a remaining weighted average expected term of 0.94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30" w:right="239" w:bottom="1440" w:gutter="0" w:footer="0" w:header="0"/>
        </w:sectPr>
      </w:pPr>
    </w:p>
    <w:bookmarkStart w:id="19" w:name="page20"/>
    <w:bookmarkEnd w:id="19"/>
    <w:p>
      <w:pPr>
        <w:ind w:left="420"/>
        <w:spacing w:after="0"/>
        <w:rPr>
          <w:sz w:val="20"/>
          <w:szCs w:val="20"/>
          <w:color w:val="auto"/>
        </w:rPr>
      </w:pPr>
      <w:r>
        <w:rPr>
          <w:rFonts w:ascii="Arial" w:cs="Arial" w:eastAsia="Arial" w:hAnsi="Arial"/>
          <w:sz w:val="17"/>
          <w:szCs w:val="17"/>
          <w:color w:val="auto"/>
        </w:rPr>
        <w:t>During the first nine months of fiscal 2017, Orion granted restricted shares as follows (which are included in the above stock plan activity tables):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2016</w:t>
            </w:r>
          </w:p>
        </w:tc>
        <w:tc>
          <w:tcPr>
            <w:tcW w:w="2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1,053,389</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1,061,142</w:t>
            </w:r>
          </w:p>
        </w:tc>
      </w:tr>
      <w:tr>
        <w:trPr>
          <w:trHeight w:val="27"/>
        </w:trPr>
        <w:tc>
          <w:tcPr>
            <w:tcW w:w="90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(362,688)</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2260" w:type="dxa"/>
            <w:vAlign w:val="bottom"/>
          </w:tcPr>
          <w:p>
            <w:pPr>
              <w:jc w:val="right"/>
              <w:spacing w:after="0"/>
              <w:rPr>
                <w:sz w:val="20"/>
                <w:szCs w:val="20"/>
                <w:color w:val="auto"/>
              </w:rPr>
            </w:pPr>
            <w:r>
              <w:rPr>
                <w:rFonts w:ascii="Arial" w:cs="Arial" w:eastAsia="Arial" w:hAnsi="Arial"/>
                <w:sz w:val="18"/>
                <w:szCs w:val="18"/>
                <w:color w:val="auto"/>
              </w:rPr>
              <w:t>(90,300)</w:t>
            </w:r>
          </w:p>
        </w:tc>
      </w:tr>
      <w:tr>
        <w:trPr>
          <w:trHeight w:val="27"/>
        </w:trPr>
        <w:tc>
          <w:tcPr>
            <w:tcW w:w="90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and non-vested at December 31, 2016</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1,661,543</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$1.35 - $6.80</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the weighted average grant-date fair value of restricted shares granted for the period was $1.39.</w:t>
      </w:r>
    </w:p>
    <w:p>
      <w:pPr>
        <w:spacing w:after="0" w:line="17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of December 31, 2016, the amount of deferred stock-based compensation expense related to grants of restricted shares, to be recognized over a remaining period of 2.19 years, was approximately $2,200,000.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SEGMENTS</w:t>
      </w:r>
    </w:p>
    <w:p>
      <w:pPr>
        <w:spacing w:after="0" w:line="94" w:lineRule="exact"/>
        <w:rPr>
          <w:sz w:val="20"/>
          <w:szCs w:val="20"/>
          <w:color w:val="auto"/>
        </w:rPr>
      </w:pPr>
    </w:p>
    <w:p>
      <w:pPr>
        <w:ind w:right="860" w:firstLine="432"/>
        <w:spacing w:after="0" w:line="342" w:lineRule="auto"/>
        <w:rPr>
          <w:sz w:val="20"/>
          <w:szCs w:val="20"/>
          <w:color w:val="auto"/>
        </w:rPr>
      </w:pPr>
      <w:r>
        <w:rPr>
          <w:rFonts w:ascii="Arial" w:cs="Arial" w:eastAsia="Arial" w:hAnsi="Arial"/>
          <w:sz w:val="16"/>
          <w:szCs w:val="16"/>
          <w:color w:val="auto"/>
        </w:rPr>
        <w:t>Orion has the following business segments: Orion U.S. Markets Division ("USM"), Orion Engineered Services Division ("OES") and Orion Distribution Services Division ("ODS"). The accounting policies are the same for each business segment as they are on a consolidated basis.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 ("USM")</w:t>
      </w:r>
    </w:p>
    <w:p>
      <w:pPr>
        <w:spacing w:after="0" w:line="171"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The USM segment sells commercial lighting systems and energy management systems to the wholesale contractor markets. USM customers include domestic energy service companies, or ESCOs, and electrical contractors. During fiscal 2017, sales from this division are in the process of migrating to distribution channel sales through manufacturer's representative agents. The migrated sales are included in Orion's Distribution Services Division.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 ("OES")</w:t>
      </w:r>
    </w:p>
    <w:p>
      <w:pPr>
        <w:spacing w:after="0" w:line="171"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 ("ODS")</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Corporate and Other is comprised of operating expenses not directly allocated to Orion’s segments and adjustments to reconcile to consolidated results.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0"/>
              </w:rPr>
              <w:t>Revenues</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3"/>
              </w:rPr>
              <w:t>Operating Income (Loss)</w:t>
            </w:r>
          </w:p>
        </w:tc>
        <w:tc>
          <w:tcPr>
            <w:tcW w:w="1080" w:type="dxa"/>
            <w:vAlign w:val="bottom"/>
            <w:tcBorders>
              <w:bottom w:val="single" w:sz="8" w:color="auto"/>
            </w:tcBorders>
          </w:tcPr>
          <w:p>
            <w:pPr>
              <w:spacing w:after="0"/>
              <w:rPr>
                <w:sz w:val="16"/>
                <w:szCs w:val="16"/>
                <w:color w:val="auto"/>
              </w:rPr>
            </w:pPr>
          </w:p>
        </w:tc>
      </w:tr>
      <w:tr>
        <w:trPr>
          <w:trHeight w:val="190"/>
        </w:trPr>
        <w:tc>
          <w:tcPr>
            <w:tcW w:w="3900" w:type="dxa"/>
            <w:vAlign w:val="bottom"/>
          </w:tcPr>
          <w:p>
            <w:pPr>
              <w:spacing w:after="0"/>
              <w:rPr>
                <w:sz w:val="16"/>
                <w:szCs w:val="16"/>
                <w:color w:val="auto"/>
              </w:rPr>
            </w:pPr>
          </w:p>
        </w:tc>
        <w:tc>
          <w:tcPr>
            <w:tcW w:w="37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For the Three Months Ended December 31,</w:t>
            </w:r>
          </w:p>
        </w:tc>
        <w:tc>
          <w:tcPr>
            <w:tcW w:w="340" w:type="dxa"/>
            <w:vAlign w:val="bottom"/>
          </w:tcPr>
          <w:p>
            <w:pPr>
              <w:spacing w:after="0"/>
              <w:rPr>
                <w:sz w:val="16"/>
                <w:szCs w:val="16"/>
                <w:color w:val="auto"/>
              </w:rPr>
            </w:pPr>
          </w:p>
        </w:tc>
        <w:tc>
          <w:tcPr>
            <w:tcW w:w="34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For the Three Months Ended December 31,</w:t>
            </w:r>
          </w:p>
        </w:tc>
      </w:tr>
      <w:tr>
        <w:trPr>
          <w:trHeight w:val="66"/>
        </w:trPr>
        <w:tc>
          <w:tcPr>
            <w:tcW w:w="39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8"/>
        </w:trPr>
        <w:tc>
          <w:tcPr>
            <w:tcW w:w="39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(dollars in thousands)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Segments:</w:t>
            </w: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U.S. Markets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Orion Engineered Systems</w:t>
            </w:r>
          </w:p>
        </w:tc>
        <w:tc>
          <w:tcPr>
            <w:tcW w:w="116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8,288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Distribution Services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(1,602)</w:t>
            </w:r>
          </w:p>
        </w:tc>
      </w:tr>
      <w:tr>
        <w:trPr>
          <w:trHeight w:val="27"/>
        </w:trPr>
        <w:tc>
          <w:tcPr>
            <w:tcW w:w="3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20,617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39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0"/>
              </w:rPr>
              <w:t>Revenues</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3"/>
              </w:rPr>
              <w:t>Operating Income (Loss)</w:t>
            </w:r>
          </w:p>
        </w:tc>
        <w:tc>
          <w:tcPr>
            <w:tcW w:w="1080" w:type="dxa"/>
            <w:vAlign w:val="bottom"/>
            <w:tcBorders>
              <w:bottom w:val="single" w:sz="8" w:color="auto"/>
            </w:tcBorders>
          </w:tcPr>
          <w:p>
            <w:pPr>
              <w:spacing w:after="0"/>
              <w:rPr>
                <w:sz w:val="24"/>
                <w:szCs w:val="24"/>
                <w:color w:val="auto"/>
              </w:rPr>
            </w:pPr>
          </w:p>
        </w:tc>
      </w:tr>
      <w:tr>
        <w:trPr>
          <w:trHeight w:val="190"/>
        </w:trPr>
        <w:tc>
          <w:tcPr>
            <w:tcW w:w="3900" w:type="dxa"/>
            <w:vAlign w:val="bottom"/>
          </w:tcPr>
          <w:p>
            <w:pPr>
              <w:spacing w:after="0"/>
              <w:rPr>
                <w:sz w:val="16"/>
                <w:szCs w:val="16"/>
                <w:color w:val="auto"/>
              </w:rPr>
            </w:pPr>
          </w:p>
        </w:tc>
        <w:tc>
          <w:tcPr>
            <w:tcW w:w="37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For the Nine Months Ended December 31,</w:t>
            </w:r>
          </w:p>
        </w:tc>
        <w:tc>
          <w:tcPr>
            <w:tcW w:w="340" w:type="dxa"/>
            <w:vAlign w:val="bottom"/>
          </w:tcPr>
          <w:p>
            <w:pPr>
              <w:spacing w:after="0"/>
              <w:rPr>
                <w:sz w:val="16"/>
                <w:szCs w:val="16"/>
                <w:color w:val="auto"/>
              </w:rPr>
            </w:pPr>
          </w:p>
        </w:tc>
        <w:tc>
          <w:tcPr>
            <w:tcW w:w="34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For the Nine Months Ended December 31,</w:t>
            </w:r>
          </w:p>
        </w:tc>
      </w:tr>
      <w:tr>
        <w:trPr>
          <w:trHeight w:val="66"/>
        </w:trPr>
        <w:tc>
          <w:tcPr>
            <w:tcW w:w="39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8"/>
        </w:trPr>
        <w:tc>
          <w:tcPr>
            <w:tcW w:w="39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(dollars in thousands)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Segments:</w:t>
            </w: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Markets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Engineered Systems</w:t>
            </w:r>
          </w:p>
        </w:tc>
        <w:tc>
          <w:tcPr>
            <w:tcW w:w="116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22,062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17,012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(3,395)</w:t>
            </w: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Services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(4,823)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7"/>
        </w:trPr>
        <w:tc>
          <w:tcPr>
            <w:tcW w:w="3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no subsequent event requiring accrual or disclosure.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9" w:right="239" w:bottom="1440" w:gutter="0" w:footer="0" w:header="0"/>
        </w:sectPr>
      </w:pPr>
    </w:p>
    <w:bookmarkStart w:id="21" w:name="page22"/>
    <w:bookmarkEnd w:id="21"/>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2016.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are a leading designer and manufacturer of high-performance, energy-efficient LED and other lighting platforms.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34"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Our lighting products consist primarily of Light Emitting Diode ("LED") and High Intensity Fluorescent ("HIF") lighting fixtures. Our principal customers include national accounts, Energy Service Companies ("ESCOs"), electrical contractors and electrical distributors. Currently, substantially all of our products are manufactured at our leased production facility location in Manitowoc, Wisconsin, although we are increasingly sourcing products and components from third parties as the LED market continues to evolve and in order to provide versatility in our product development.</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While we also continue to sell customers some lighting products using our legacy HIF technology, the market for lighting products is currently in a significant technology shift to LED lighting systems. Compared to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industry transition to LED lighting technology. Based on a July 2015 United States Department of Energy report, we estimate the potential North American LED retrofit market within our key product categories to be approximately 1.1 billion lighting fixtures. We plan to continue to primarily focus on developing and selling innovative LED products, although we will continue to sell legacy HIF solutions in circumstances in which LED solutions may not be our customers' best alternative.</w:t>
      </w:r>
    </w:p>
    <w:p>
      <w:pPr>
        <w:spacing w:after="0" w:line="14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 by 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ESCOs, and electrical distributors to sell to their own customer bases.</w:t>
      </w:r>
    </w:p>
    <w:p>
      <w:pPr>
        <w:spacing w:after="0" w:line="11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achieve our desired growth and profitability depends on our ability to expand our reseller network, develop recurring revenue streams, effectively engage distribution and sales agents and improve our marketing, new product development, project management, margin enhancement and operating expense management, as well as other factors. In addition, the gross margins of our products can vary significantly depending upon the types of products we sell, with margins ranging from 15% to</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50%. As a result, a change in the total mix of our sales toward higher or lower margin products can cause our profitability to fluctuate from period to period.</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fiscal year ends on March 31. We refer to our prior fiscal year which ended on March 31, 2016, as “fiscal 2016”, and our current fiscal year, which ends on March 31, 2017, as “fiscal 2017.” Our fiscal first quarter of each fiscal year ends on June 30, our fiscal second quarter ends on September 30, our fiscal third quarter ends on December 31 and our fiscal fourth quarter ends on March 31.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94"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rapid market shift in the lighting industry from legacy lighting products to LED lighting products has caused us to adopt new strategies, approaches and processes in order to respond proactively to this paradigm shift. These changing underlying business fundamentals in this paradigm shift include:</w:t>
      </w:r>
    </w:p>
    <w:p>
      <w:pPr>
        <w:spacing w:after="0" w:line="46" w:lineRule="exact"/>
        <w:rPr>
          <w:sz w:val="20"/>
          <w:szCs w:val="20"/>
          <w:color w:val="auto"/>
        </w:rPr>
      </w:pPr>
    </w:p>
    <w:p>
      <w:pPr>
        <w:ind w:left="660" w:right="22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declining LED product end user customer pricing and related component costs, improving LED product performance and customer return on investment payback periods, all of which are driving increasing customer preferences for LED lighting products compared to legacy lighting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HIF product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broader and more diverse customer base and market opportunities compared to our historical commercial and industrial facility customers.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importance of highly innovative product designs and features, and faster speed to market product research and development capabilities.</w:t>
      </w:r>
    </w:p>
    <w:p>
      <w:pPr>
        <w:spacing w:after="0" w:line="32" w:lineRule="exact"/>
        <w:rPr>
          <w:rFonts w:ascii="Arial" w:cs="Arial" w:eastAsia="Arial" w:hAnsi="Arial"/>
          <w:sz w:val="16"/>
          <w:szCs w:val="16"/>
          <w:color w:val="auto"/>
        </w:rPr>
      </w:pPr>
    </w:p>
    <w:p>
      <w:pPr>
        <w:ind w:left="660" w:right="4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customer bases and sales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76"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Outlook</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Despite recent economic challenges, we remain optimistic about our near-term and long-term financial performance. We believe that customer purchases of LED lighting systems will continue to increase in the near-term as expected improvements in LED performance and expected decreases in LED product costs make our LED products even more economically compelling to our customers. Our near-term optimism is based upon: (i) our efforts to expand our distribution services customer base; (ii) our intentions to continue to selectively expand our sales force; (iii) our investments into new high-performance LED industrial lighting fixtures; (iv) our recent improvements in gross margin as a result of our cost containment initiatives and development of higher-performance LED products; and (v) the increasing volume of unit sales of our new higher margin products, specifically our LED high bay lighting fixtures. Our long-term optimism is based upon the considerable size of the existing market opportunity for lighting retrofits, including the market opportunities in commercial office, government and retail markets, the continued development of our new higher margin products and product enhancements, including our new LED product offerings, our efforts to expand our channels of distribution and our cost reduction initiatives. As we continue to adapt to the rapidly evolving lighting market, we have implemented significant changes to our manufacturing operations to increase our flexibility, lower our cost structure and remain competitive.</w:t>
      </w:r>
    </w:p>
    <w:p>
      <w:pPr>
        <w:spacing w:after="0" w:line="13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expect that, based on the above circumstances, our revenues and margin will increase during fiscal 2017, when compared to fiscal 2016, as we continue to recognize the benefits of higher purchase volumes of LED components at lower costs, increasing sales volumes of our newly introduced and higher-margin LED high bay products and increased utilization of our manufacturing facility. Our increase in revenues in fiscal 2017 has positively impacted our available cash and borrowing capacity.</w:t>
      </w:r>
    </w:p>
    <w:p>
      <w:pPr>
        <w:spacing w:after="0" w:line="133"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We expect that our marketing expenditures will increase in the remainder of fiscal 2017 primarily to support more robust customer lead generation and to further enhance our brand awareness with our agents to support their efforts to sell our products through our new indirect channel partners.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 - Three Months Ended December 31, 2016 versus Three Months Ended December 31, 2015</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Three Months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19,259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16,094</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19.7 %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93.4 %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96.1 %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106.7 %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16,751</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13,577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11,574</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17.3 %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66.0 %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69.1 %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89.1 %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14,462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12,042</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20.1 %</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70.1 %</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71.9 %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4,709</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3,541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3,861</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17.2 %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23.1 %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 expenses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2,409</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29.9 %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Loss before income tax</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45.3 %</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Net loss and comprehensive loss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45.8 %</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65"/>
        </w:trPr>
        <w:tc>
          <w:tcPr>
            <w:tcW w:w="62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increased 19.7%, or $3,165,000, for the third quarter of fiscal 2017 versus the third quarter of fiscal 2016.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revenue was primarily due to growth in our high bay lighting products and increased traction in our transition to the agency model. LED lighting revenue increased by 28.7% from $12,020,000 in the third quarter of fiscal 2016 to $15,469,000 in the third quarter of fiscal 2017. Service revenue increased 106.7%, or $701,000, primarily due to more installation project revenue in the third quarter of fiscal 2017 when compared to the third quarter of fiscal 2016. Total revenue increased by 23.1%, or $3,866,000, primarily due to the items discussed above.</w:t>
      </w:r>
    </w:p>
    <w:p>
      <w:pPr>
        <w:spacing w:after="0" w:line="11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Cost of product revenue increased 17.3%, or $2,003,000, in the third quarter of fiscal 2017 versus the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fiscal 2016 due primarily to increased sales of high-margin products, better absorption due to higher volumes and improved margins compared to the prior year period. Cost of service revenue increased 89.1%, or $417,000 in the third quarter of fiscal 2017 versus the comparable period in fiscal 2016 primarily due to larger projects in the third quarter of fiscal 2017. Gross margin improved from 28.1% of revenue in the third quarter of fiscal 2016 to 29.9% in the third quarter of fiscal 2017. Our gross margin was positively impacted by a favorable mix of higher-priced and higher-margin LED high bay fixtures, negotiated price decreases for lighting components, and the benefits of our cost containment initiatives.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decreased 8.3%, or $320,000, in the third quarter of fiscal 2017 compared to the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2016, primarily due to decreases in depreciation, amortization, stock based compensation and consulting expenses.</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30.6%, or $738,000, in the third quarter of fiscal 2017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2016. The increase was due to increased commissions related to our agency channel and increased rebranding costs in the third quarter of fiscal 2017 when compared to the third quarter of fiscal 2016.</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29.9% or $114,000, in the third quarter of fiscal 2017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fiscal 2016 primarily due to our investment in product innovation related to new product development.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07" w:right="239" w:bottom="1440" w:gutter="0" w:footer="0" w:header="0"/>
        </w:sectPr>
      </w:pPr>
    </w:p>
    <w:bookmarkStart w:id="24" w:name="page25"/>
    <w:bookmarkEnd w:id="24"/>
    <w:p>
      <w:pPr>
        <w:jc w:val="both"/>
        <w:ind w:firstLine="405"/>
        <w:spacing w:after="0" w:line="30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 the third quarter of fiscal 2017 decreased by 8.5%, or $6,000, from the third quarter of fiscal 2016. The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expense was due to decreased borrowings under our revolving credit facility during the comparative three month period.</w:t>
      </w:r>
    </w:p>
    <w:p>
      <w:pPr>
        <w:spacing w:after="0" w:line="9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in the third quarter of fiscal 2017 decreased by 74.1%, or $20,000, from the third quarter of fiscal 2016. Our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decreased as we have entered into fewer financed projects with our customers who are utilizing third party finance providers.</w:t>
      </w:r>
    </w:p>
    <w:p>
      <w:pPr>
        <w:spacing w:after="0" w:line="9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in the third quarter of fiscal 2016 represented minimum state tax liabilities. The decrease over the prior year period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an effort to reduce state and local taxes by jurisdiction in fiscal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Orion U.S. Markets Division ("USM") sells commercial lighting systems and energy management systems to the wholesale contractor markets.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499"/>
              <w:spacing w:after="0"/>
              <w:rPr>
                <w:sz w:val="20"/>
                <w:szCs w:val="20"/>
                <w:color w:val="auto"/>
              </w:rPr>
            </w:pPr>
            <w:r>
              <w:rPr>
                <w:rFonts w:ascii="Arial" w:cs="Arial" w:eastAsia="Arial" w:hAnsi="Arial"/>
                <w:sz w:val="14"/>
                <w:szCs w:val="14"/>
                <w:b w:val="1"/>
                <w:bCs w:val="1"/>
                <w:color w:val="auto"/>
              </w:rPr>
              <w:t>For the Three Months Ended December 31,</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5,368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56.2 %</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revenue decreased from the third quarter of fiscal 2016 by 43.9%, or $4,201,000. The decrease in revenue during the third quarter of fiscal 2017 compared to the third quarter a year ago was primarily due to our transition to more sales through manufacturer representative agents. These sales are now reflected within Orion's Distribution Services Division.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operating income in the third quarter of fiscal 2017 increased from the third quarter of fiscal 2016 by $132,000. The increase in operating income in fiscal 2017 was primarily due to a more favorable sales mix, offset by the transition to more sales through manufacturer representative agents as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4"/>
                <w:szCs w:val="14"/>
                <w:b w:val="1"/>
                <w:bCs w:val="1"/>
                <w:color w:val="auto"/>
              </w:rPr>
              <w:t>For the Three Months Ended December 31,</w:t>
            </w:r>
          </w:p>
        </w:tc>
        <w:tc>
          <w:tcPr>
            <w:tcW w:w="0" w:type="dxa"/>
            <w:vAlign w:val="bottom"/>
          </w:tcPr>
          <w:p>
            <w:pPr>
              <w:spacing w:after="0"/>
              <w:rPr>
                <w:sz w:val="1"/>
                <w:szCs w:val="1"/>
                <w:color w:val="auto"/>
              </w:rPr>
            </w:pPr>
          </w:p>
        </w:tc>
      </w:tr>
      <w:tr>
        <w:trPr>
          <w:trHeight w:val="152"/>
        </w:trPr>
        <w:tc>
          <w:tcPr>
            <w:tcW w:w="7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20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8,288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6,408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OES revenue increased in the third quarter of fiscal 2017 by 29.3%, or $1,880,000, compared to the third quarter of fiscal 2016. This increase in revenue was primarily driven by an increase in customer capital spending within the manufacturing and industrial sector. Revenue increases were also driven by more high bay product sales in the third quarter of fiscal 2017 when compared to the prior year period.</w:t>
      </w:r>
    </w:p>
    <w:p>
      <w:pPr>
        <w:spacing w:after="0" w:line="127"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OES segment operating loss in the third quarter of fiscal 2017 improved by $496,000, from the third quarter of fiscal 2016. The increase was due to improvements in our third quarter of fiscal 2017 revenues and gross margin related to cost decreases on LED components.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For the Three Months Ended December 31,</w:t>
            </w:r>
          </w:p>
        </w:tc>
        <w:tc>
          <w:tcPr>
            <w:tcW w:w="0" w:type="dxa"/>
            <w:vAlign w:val="bottom"/>
          </w:tcPr>
          <w:p>
            <w:pPr>
              <w:spacing w:after="0"/>
              <w:rPr>
                <w:sz w:val="1"/>
                <w:szCs w:val="1"/>
                <w:color w:val="auto"/>
              </w:rPr>
            </w:pPr>
          </w:p>
        </w:tc>
      </w:tr>
      <w:tr>
        <w:trPr>
          <w:trHeight w:val="152"/>
        </w:trPr>
        <w:tc>
          <w:tcPr>
            <w:tcW w:w="7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200" w:type="dxa"/>
            <w:vAlign w:val="bottom"/>
          </w:tcPr>
          <w:p>
            <w:pPr>
              <w:jc w:val="right"/>
              <w:ind w:right="444"/>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64"/>
        </w:trPr>
        <w:tc>
          <w:tcPr>
            <w:tcW w:w="7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2"/>
                <w:szCs w:val="22"/>
                <w:color w:val="auto"/>
              </w:rPr>
            </w:pPr>
          </w:p>
        </w:tc>
        <w:tc>
          <w:tcPr>
            <w:tcW w:w="920" w:type="dxa"/>
            <w:vAlign w:val="bottom"/>
          </w:tcPr>
          <w:p>
            <w:pPr>
              <w:jc w:val="right"/>
              <w:ind w:right="97"/>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200" w:type="dxa"/>
            <w:vAlign w:val="bottom"/>
          </w:tcPr>
          <w:p>
            <w:pPr>
              <w:jc w:val="center"/>
              <w:ind w:left="524"/>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49"/>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ODS segment revenue increased in the third quarter of fiscal 2017 from the third quarter of fiscal 2016 by $6,187,000. The increase in revenue in fiscal 2017 was due to our transition from ESCO to distribution channel sales through manufacturer representative agents.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ODS segment operating income increased by $227,000, in the third quarter of fiscal 2017 compared to the third quarter of fiscal 2016. The operating income improvement over the prior year, for the comparable period was due to the increased contribution margin dollars earned from our increasing revenue offset by our continued investment in selling costs and increasing commission expenses due to our new manufacturer representative agents as we complete our selling channel transition.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Nine Months Ended December 31, 2016 versus Nine Months Ended December 31, 2015</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Nine Months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52,286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46,872</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95.2 %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95.5 %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2,635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2,195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20.0 %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54,921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49,067</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36,748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35,988</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67.0 %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73.3 %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1,700</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38,496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37,688</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70.1 %</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76.8 %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16,425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11,379</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11,040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11,135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20.1 %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22.7 %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 expenses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8,112</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20.0 %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(9,112)</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580"/>
              <w:spacing w:after="0"/>
              <w:rPr>
                <w:sz w:val="20"/>
                <w:szCs w:val="20"/>
                <w:color w:val="auto"/>
              </w:rPr>
            </w:pPr>
            <w:r>
              <w:rPr>
                <w:rFonts w:ascii="Arial" w:cs="Arial" w:eastAsia="Arial" w:hAnsi="Arial"/>
                <w:sz w:val="14"/>
                <w:szCs w:val="14"/>
                <w:color w:val="auto"/>
              </w:rPr>
              <w:t>NM</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income tax</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(9,228)</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200" w:type="dxa"/>
            <w:vAlign w:val="bottom"/>
          </w:tcPr>
          <w:p>
            <w:pPr>
              <w:ind w:left="40"/>
              <w:spacing w:after="0"/>
              <w:rPr>
                <w:sz w:val="20"/>
                <w:szCs w:val="20"/>
                <w:color w:val="auto"/>
              </w:rPr>
            </w:pPr>
            <w:r>
              <w:rPr>
                <w:rFonts w:ascii="Arial" w:cs="Arial" w:eastAsia="Arial" w:hAnsi="Arial"/>
                <w:sz w:val="16"/>
                <w:szCs w:val="16"/>
                <w:color w:val="auto"/>
              </w:rPr>
              <w:t>Income tax (benefit) expense</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12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10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and comprehensive loss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(4,996)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(9,256)</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46.0 %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60"/>
        </w:trPr>
        <w:tc>
          <w:tcPr>
            <w:tcW w:w="62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11.6%, or $5,414,000, for the first nine months of fiscal 2017 versus the first nine months of fiscal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product revenue was primarily a result of strengthening sales of Orion’s high bay lighting products in the first three quarters of fiscal 2017. Our increase in product revenue was partially offset by negative impacts resulting from our distribution sales channel transitioning to an agent driven model which did not gain traction until the second and third quarters</w:t>
      </w:r>
    </w:p>
    <w:p>
      <w:pPr>
        <w:sectPr>
          <w:pgSz w:w="11900" w:h="16838" w:orient="portrait"/>
          <w:cols w:equalWidth="0" w:num="1">
            <w:col w:w="11420"/>
          </w:cols>
          <w:pgMar w:left="240" w:top="607"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07" w:right="239" w:bottom="1440" w:gutter="0" w:footer="0" w:header="0"/>
          <w:type w:val="continuous"/>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of fiscal 2017. LED lighting revenue increased by 14.5% to $40,848,000 in the first nine months of fiscal 2017 from $32,156,000 in the first nine months of fiscal 2016. Service revenue increased 20.0%, or $440,000, primarily due to more installation project revenue and lower solar project revenue in the first nine months of fiscal 2017 when compared to the first nine months of fiscal 2016. Total revenue increased by 11.9%, or $5,854,000, primarily due to the items discussed above.</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Cost of product revenue increased 2.1%, or $760,000, in the first nine months of fiscal 2017 versus the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fiscal 2016 due primarily to higher sales and better absorption. Cost of service revenue increased 2.8%, or $48,000 in the first nine months of fiscal 2017 versus the comparable period in fiscal 2016 primarily due to higher service revenue in the first nine months of fiscal 2017. Gross margin improved from 23.2% of revenue in the first nine months of fiscal 2016 to 29.9% in the first nine months of fiscal 2017. Lighting gross margin was positively impacted by a favorable mix of higher-priced and higher-margin LED high bay fixtures, better absorption due to higher volumes, negotiated price decreases for lighting components, and the benefits of our cost containment initiatives.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0.9%, or $95,000, in the first nine months of fiscal 2017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2016, primarily due to a reduction in depreciation and amortization expense, offset by increases in employee costs, stock compensation, audit, legal and consulting expenses.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13.0%, or $1,055,000, in the first nine months of fiscal 2017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fiscal 2016. The increase was primarily due to increased commissions related to our agency channel and rebranding costs incurred in the first three quarters of fiscal 2017 when compared to the comparable period of fiscal 2016.</w:t>
      </w:r>
    </w:p>
    <w:p>
      <w:pPr>
        <w:spacing w:after="0" w:line="12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20.0% or $249,000, in the first nine months of fiscal 2017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nine months of fiscal 2016 primarily due to our investment in product innovation related to new product development.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in the first nine months of fiscal 2017 represented product royalties received from licensing agreements for our patents.</w:t>
      </w:r>
    </w:p>
    <w:p>
      <w:pPr>
        <w:spacing w:after="0" w:line="1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first nine months of fiscal 2017 decreased by 9.0%, or $20,000, from the first nine months of fiscal 2016.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our debt, other than our revolving credit facility, is attributable to the decrease in interest expense.</w:t>
      </w:r>
    </w:p>
    <w:p>
      <w:pPr>
        <w:spacing w:after="0" w:line="116"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in the first nine months of fiscal 2017 decreased by 71.0%, or $76,000, from the first nine months of fiscal 2016.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income decreased as we have entered into fewer financed projects with our customers who are using outside third party finance providers.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benefit in the first nine months of fiscal 2017 primarily represented federal tax refunds and the release of a valuation reserve.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is due primarily to minimum state tax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Orion U.S. Markets Division ("USM") sells commercial lighting systems and energy management systems to the wholesale contractor markets.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419"/>
              <w:spacing w:after="0"/>
              <w:rPr>
                <w:sz w:val="20"/>
                <w:szCs w:val="20"/>
                <w:color w:val="auto"/>
              </w:rPr>
            </w:pPr>
            <w:r>
              <w:rPr>
                <w:rFonts w:ascii="Arial" w:cs="Arial" w:eastAsia="Arial" w:hAnsi="Arial"/>
                <w:sz w:val="14"/>
                <w:szCs w:val="14"/>
                <w:b w:val="1"/>
                <w:bCs w:val="1"/>
                <w:color w:val="auto"/>
              </w:rPr>
              <w:t>For the Nine Months Ended December 31,</w:t>
            </w:r>
          </w:p>
        </w:tc>
        <w:tc>
          <w:tcPr>
            <w:tcW w:w="0" w:type="dxa"/>
            <w:vAlign w:val="bottom"/>
          </w:tcPr>
          <w:p>
            <w:pPr>
              <w:spacing w:after="0"/>
              <w:rPr>
                <w:sz w:val="1"/>
                <w:szCs w:val="1"/>
                <w:color w:val="auto"/>
              </w:rPr>
            </w:pPr>
          </w:p>
        </w:tc>
      </w:tr>
      <w:tr>
        <w:trPr>
          <w:trHeight w:val="152"/>
        </w:trPr>
        <w:tc>
          <w:tcPr>
            <w:tcW w:w="7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16,462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31,075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194.1 %</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revenue decreased from the first nine months of fiscal 2016 by 47.0%, or $14,613,000. The decrease in revenue during the first nine months of fiscal 2017 compared to the first nine months of fiscal 2016 was primarily due to our transition to more sales through manufacturer representative agents. These sales are now reflected within ODS.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7" w:name="page28"/>
    <w:bookmarkEnd w:id="27"/>
    <w:p>
      <w:pPr>
        <w:jc w:val="both"/>
        <w:ind w:firstLine="432"/>
        <w:spacing w:after="0" w:line="264" w:lineRule="auto"/>
        <w:rPr>
          <w:sz w:val="20"/>
          <w:szCs w:val="20"/>
          <w:color w:val="auto"/>
        </w:rPr>
      </w:pPr>
      <w:r>
        <w:rPr>
          <w:rFonts w:ascii="Arial" w:cs="Arial" w:eastAsia="Arial" w:hAnsi="Arial"/>
          <w:sz w:val="18"/>
          <w:szCs w:val="18"/>
          <w:color w:val="auto"/>
        </w:rPr>
        <w:t>USM segment operating income in the first nine months of fiscal 2017 increased from the operating loss for the first nine months of fiscal 2016 by $1,151,000. The increase in operating income in fiscal 2017 was primarily due to a more favorable sales mix of higher-margin LED high bay products offset by costs associated with the transition to more sales through manufacturer representative agents as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419"/>
              <w:spacing w:after="0"/>
              <w:rPr>
                <w:sz w:val="20"/>
                <w:szCs w:val="20"/>
                <w:color w:val="auto"/>
              </w:rPr>
            </w:pPr>
            <w:r>
              <w:rPr>
                <w:rFonts w:ascii="Arial" w:cs="Arial" w:eastAsia="Arial" w:hAnsi="Arial"/>
                <w:sz w:val="14"/>
                <w:szCs w:val="14"/>
                <w:b w:val="1"/>
                <w:bCs w:val="1"/>
                <w:color w:val="auto"/>
              </w:rPr>
              <w:t>For the Nine Months Ended December 31,</w:t>
            </w:r>
          </w:p>
        </w:tc>
        <w:tc>
          <w:tcPr>
            <w:tcW w:w="0" w:type="dxa"/>
            <w:vAlign w:val="bottom"/>
          </w:tcPr>
          <w:p>
            <w:pPr>
              <w:spacing w:after="0"/>
              <w:rPr>
                <w:sz w:val="1"/>
                <w:szCs w:val="1"/>
                <w:color w:val="auto"/>
              </w:rPr>
            </w:pPr>
          </w:p>
        </w:tc>
      </w:tr>
      <w:tr>
        <w:trPr>
          <w:trHeight w:val="152"/>
        </w:trPr>
        <w:tc>
          <w:tcPr>
            <w:tcW w:w="7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08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22,062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17,012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OES revenue increased in the first nine months of fiscal 2017 by 29.7%, or $5,050,000, compared to the first nine months of fiscal 2016. This increase in revenue was primarily driven by an increase in lighting revenue due to an increase in customer capital spending within the manufacturing and industrial sector. OES completed more turnkey jobs in the first nine months of fiscal 2017 when compared to the comparable period of fiscal 2016</w:t>
      </w:r>
    </w:p>
    <w:p>
      <w:pPr>
        <w:spacing w:after="0" w:line="111"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OES segment operating loss in the first nine months of fiscal 2017 improved by $2,517,000, from the first nine months of fiscal 2016. The increase was due to improvements to our first nine months of fiscal 2017 revenues, increases in gross margin related to cost decreases on LED components.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419"/>
              <w:spacing w:after="0"/>
              <w:rPr>
                <w:sz w:val="20"/>
                <w:szCs w:val="20"/>
                <w:color w:val="auto"/>
              </w:rPr>
            </w:pPr>
            <w:r>
              <w:rPr>
                <w:rFonts w:ascii="Arial" w:cs="Arial" w:eastAsia="Arial" w:hAnsi="Arial"/>
                <w:sz w:val="14"/>
                <w:szCs w:val="14"/>
                <w:b w:val="1"/>
                <w:bCs w:val="1"/>
                <w:color w:val="auto"/>
              </w:rPr>
              <w:t>For the Nine Months Ended December 31,</w:t>
            </w:r>
          </w:p>
        </w:tc>
        <w:tc>
          <w:tcPr>
            <w:tcW w:w="0" w:type="dxa"/>
            <w:vAlign w:val="bottom"/>
          </w:tcPr>
          <w:p>
            <w:pPr>
              <w:spacing w:after="0"/>
              <w:rPr>
                <w:sz w:val="1"/>
                <w:szCs w:val="1"/>
                <w:color w:val="auto"/>
              </w:rPr>
            </w:pPr>
          </w:p>
        </w:tc>
      </w:tr>
      <w:tr>
        <w:trPr>
          <w:trHeight w:val="152"/>
        </w:trPr>
        <w:tc>
          <w:tcPr>
            <w:tcW w:w="7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00" w:type="dxa"/>
            <w:vAlign w:val="bottom"/>
          </w:tcPr>
          <w:p>
            <w:pPr>
              <w:jc w:val="right"/>
              <w:ind w:right="39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16,397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ODS segment revenue increased in the first nine months of fiscal 2017 from the first nine months of fiscal 2016 by $15,417,000. The increase in revenue in fiscal 2017 was due to our transition from ESCO to distribution channel sales through manufacturer representative agents. Sales further increased due to the shift of customers from the U.S. Markets Division to this division as a result of our transition to the distribution model.</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ODS segment operating loss decreased by $25,000, in the first nine months of fiscal 2017 compared to the first nine months of fiscal 2016. The operating loss decrease was minimized by our continued investment in selling costs and increasing commission expenses due to our manufacturer representative agents as we complete our selling channel transition.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had approximately $19,118,000 in cash and cash equivalents as of December 31, 2016, compared to $15,542,000 at March 31, 2016. Our cash position as of December 31, 2016 benefited from improvements in working capital, the gross proceeds of our $2,600,000 sale and leaseback on June 30, 2016 of our manufacturing facility, and recent borrowings on our revolving credit facility.</w:t>
      </w:r>
    </w:p>
    <w:p>
      <w:pPr>
        <w:spacing w:after="0" w:line="12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future liquidity needs are dependent upon many factors, including our relative revenue, gross margins, cash management practices, capital expenditures, pending or future litigation results, cost containment measures and future potential acquisition transactions. In addition, our working capital costs and needs increase as we increase sales from existing levels. Based on our current expectations, while we anticipate realizing improved net income performance during fiscal 2017, we also currently believe that we may experience negative working capital cash flows during some future quarters. While we believe that we will likely have adequate available cash and equivalents and credit availability under our Credit Agreement to satisfy our currently anticipated working capital and liquidity requirements during the near-term, there can be no assurance to that effect.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nine months ended December 31, 2016 and 2015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Nine Months Ended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1,972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3,576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(2,544)</w:t>
            </w:r>
          </w:p>
        </w:tc>
      </w:tr>
      <w:tr>
        <w:trPr>
          <w:trHeight w:val="27"/>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or used in operating activities primarily consisted of a net loss adjusted for certain non-cash items including depreciation and amortization, stock-based compensation expenses, provisions for reserves, and the effect of changes in working capital and other activities.</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Cash provided by operating activities for the first nine months of fiscal 2017 was $266,000 and consisted of net cash provided by changes in operating assets and liabilities of $1,298,000 and a net loss adjusted for non-cash expense items of $1,032,000. Cash used by changes in operating assets and liabilities consisted of an increase of $857,000 in accounts receivable due to the increase in lighting revenue and the timing of collections from customers at period end, an increase of inventory by $169,000 due to the timing of product shipments at quarter end, a decrease of $661,000 in accrued expenses due to the payment of a state tax liability and an increase in deferred contract costs of $1,296,000 due to the timing of project completions. Cash provided by changes in operating assets and liabilities included an increase of $602,000 in accounts payable due to the timing of payments on balances at quarter end, a decrease in prepaid and other assets of $3,294,000 primarily due to the timing of project billings, and an increase in deferred revenue of $385,000 due to the timing of project completions.</w:t>
      </w:r>
    </w:p>
    <w:p>
      <w:pPr>
        <w:spacing w:after="0" w:line="13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Cash used in operating activities for the first nine months of fiscal 2016 was $3,325,000 and consisted of net cash provided by changes in operating assets and liabilities of $1,030,000 and a net loss adjusted for non-cash expense items of $4,355,000. Cash used by changes in operating assets and liabilities consisted of an increase in inventory of $4,192,000 due to the increasing mix of higher value LED component products and finished goods, a decrease in accrued expenses of $1,333,000 related to the timing of accrued project installation costs and legal costs, and decrease in deferred revenue of $117,000 due to the timing of project completion. Cash provided by changes in operating assets and liabilities included a decrease of $3,660,000 in accounts receivable due to cash collections of government projects and utility incentives related to several large national account projects, a decrease in prepaid and other expenses of $1,951,000 due to a reduction in unbilled revenue related to the timing of customer billings, an increase in accounts payable of $1,017,000 due to the timing of payments on balances at quarter end, and a reduction in deferred contract costs of $44,000.</w:t>
      </w:r>
    </w:p>
    <w:p>
      <w:pPr>
        <w:spacing w:after="0" w:line="11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Cash Flows Related to Investing Activities. </w:t>
      </w:r>
      <w:r>
        <w:rPr>
          <w:rFonts w:ascii="Arial" w:cs="Arial" w:eastAsia="Arial" w:hAnsi="Arial"/>
          <w:sz w:val="16"/>
          <w:szCs w:val="16"/>
          <w:color w:val="auto"/>
        </w:rPr>
        <w:t>Cash provided by investing activities was $1,972,000 in the first nine months of fiscal 2017 which consisted</w:t>
      </w:r>
      <w:r>
        <w:rPr>
          <w:rFonts w:ascii="Arial" w:cs="Arial" w:eastAsia="Arial" w:hAnsi="Arial"/>
          <w:sz w:val="16"/>
          <w:szCs w:val="16"/>
          <w:i w:val="1"/>
          <w:iCs w:val="1"/>
          <w:color w:val="auto"/>
        </w:rPr>
        <w:t xml:space="preserve"> </w:t>
      </w:r>
      <w:r>
        <w:rPr>
          <w:rFonts w:ascii="Arial" w:cs="Arial" w:eastAsia="Arial" w:hAnsi="Arial"/>
          <w:sz w:val="16"/>
          <w:szCs w:val="16"/>
          <w:color w:val="auto"/>
        </w:rPr>
        <w:t>of $2,600,000 of proceeds from the sale of the Manitowoc manufacturing facility. Cash used by investing activities for the first nine months of fiscal 2017 was $376,000 for capital improvements related to production enhancements and technology purchases and $252,000 of additions to patents.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07" w:right="239" w:bottom="1440" w:gutter="0" w:footer="0" w:header="0"/>
        </w:sectPr>
      </w:pPr>
    </w:p>
    <w:bookmarkStart w:id="29" w:name="page30"/>
    <w:bookmarkEnd w:id="29"/>
    <w:p>
      <w:pPr>
        <w:jc w:val="both"/>
        <w:ind w:firstLine="405"/>
        <w:spacing w:after="0" w:line="264" w:lineRule="auto"/>
        <w:rPr>
          <w:sz w:val="20"/>
          <w:szCs w:val="20"/>
          <w:color w:val="auto"/>
        </w:rPr>
      </w:pPr>
      <w:r>
        <w:rPr>
          <w:rFonts w:ascii="Arial" w:cs="Arial" w:eastAsia="Arial" w:hAnsi="Arial"/>
          <w:sz w:val="18"/>
          <w:szCs w:val="18"/>
          <w:color w:val="auto"/>
        </w:rPr>
        <w:t>Cash used in the first nine months of fiscal 2016 was $308,000 which included $6,000 for patent additions and $302,000 for capital improvements related to information systems, the build out of our Chicago innovation hub, investments for marketing and trade show signage to reflect our new brand and new product tooling.</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provided by financing activities was $1,338,000 for the first nine months of fiscal 2017. This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$814,000 cash used for the repayment of long-term debt, $11,000 for stock option exercises and stock related tax settlements, and net proceeds from the revolving credit facility of $2,163,000.</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Cash used in financing activities was $1,089,000 for the first nine months of fiscal 2016. This included increased borrowing on our credit facility of $2,473,000 and $66,000 received from stock option exercises and stock related tax settlements, partially offset by $1,450,000 related to the payment of long-term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Our net working capital as of December 31, 2016 was $31,279,000, consisting of $50,438,000 in current assets and $19,159,000 in current liabilities. Our net working capital as of March 31, 2016 was $29,239,000, consisting of $48,530,000 in current assets and $19,291,000 in current liabilities. Our current accounts receivable balance increased by $841,000 from the fiscal 2016 year end due to the increase in lighting sales and the timing of collections from customers during the first nine months of fiscal 2017. Our inventory decreased from the fiscal 2016 year end by $452,000 due to decreases in raw materials and components due to better management of purchasing activities to enable more efficient throughput, offset by an increase in finished goods. Our prepaid and other current assets decreased by $3,353,000 due to decreased unbilled revenue for completed projects from fiscal year end of 2016. Our accounts payable increased by $602,000 due to the timing of purchases and payments for the third quarter of fiscal 2017. Our accrued expenses decreased from our fiscal 2016 year end by $624,000 due to the payment of a state tax settlement offset by increases in legal and warranty accruals.</w:t>
      </w:r>
    </w:p>
    <w:p>
      <w:pPr>
        <w:spacing w:after="0" w:line="112" w:lineRule="exact"/>
        <w:rPr>
          <w:sz w:val="20"/>
          <w:szCs w:val="20"/>
          <w:color w:val="auto"/>
        </w:rPr>
      </w:pPr>
    </w:p>
    <w:p>
      <w:pPr>
        <w:jc w:val="both"/>
        <w:ind w:right="300" w:firstLine="392"/>
        <w:spacing w:after="0" w:line="264" w:lineRule="auto"/>
        <w:rPr>
          <w:sz w:val="20"/>
          <w:szCs w:val="20"/>
          <w:color w:val="auto"/>
        </w:rPr>
      </w:pPr>
      <w:r>
        <w:rPr>
          <w:rFonts w:ascii="Arial" w:cs="Arial" w:eastAsia="Arial" w:hAnsi="Arial"/>
          <w:sz w:val="18"/>
          <w:szCs w:val="18"/>
          <w:color w:val="auto"/>
        </w:rPr>
        <w:t>We generally attempt to maintain at least a three 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We have an amended credit agreement (Credit Agreement) that provides for a revolving credit facility (Credit Facility) subject to a borrowing base requirement based on eligible receivables and inventory. As of December 31, 2016, our borrowing base was approximately $9,648,000. The Credit Facility has a maturity date of February 6, 2019 and includes a $2,000,000 sublimit for the issuance of letters of credit.</w:t>
      </w:r>
    </w:p>
    <w:p>
      <w:pPr>
        <w:spacing w:after="0" w:line="11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Subject in each case to our applicable borrowing base limitations, the Credit Agreement otherwise provides for a $15,000,000 Credit Facility. This limit may increase to $20,000,000 based on a borrowing base requirement, if we satisfy certain conditions. We did not meet the requirements to increase the borrowing limit to $20,000,000 as of July 31, 2016, the most recent measurement date.</w:t>
      </w:r>
    </w:p>
    <w:p>
      <w:pPr>
        <w:spacing w:after="0" w:line="12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From and after any increase in the Credit Facility limit from $15,000,000 to $20,000,000, the Credit Agreement requires us to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w:t>
      </w:r>
    </w:p>
    <w:p>
      <w:pPr>
        <w:spacing w:after="0" w:line="124"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OTAs) and a mortgage on certain real property.</w:t>
      </w:r>
    </w:p>
    <w:p>
      <w:pPr>
        <w:spacing w:after="0" w:line="12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Borrowings under the Credit Agreement bear interest at the daily three-month LIBOR plus 3.0% per annum, with a minimum interest charge for each year or portion of a year during the term of the Credit Agreement of $130,000, regardless of usage. As of December 31, 2016, the interest rate was 4.00%. We must pay an unused line fee of 0.25% per annum of the daily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0" w:name="page31"/>
    <w:bookmarkEnd w:id="30"/>
    <w:p>
      <w:pPr>
        <w:ind w:right="260"/>
        <w:spacing w:after="0" w:line="277" w:lineRule="auto"/>
        <w:rPr>
          <w:sz w:val="20"/>
          <w:szCs w:val="20"/>
          <w:color w:val="auto"/>
        </w:rPr>
      </w:pPr>
      <w:r>
        <w:rPr>
          <w:rFonts w:ascii="Arial" w:cs="Arial" w:eastAsia="Arial" w:hAnsi="Arial"/>
          <w:sz w:val="18"/>
          <w:szCs w:val="18"/>
          <w:color w:val="auto"/>
        </w:rPr>
        <w:t>average unused amount of the Credit Facility and a letter of credit fee at the rate of 3.0% per annum on the undrawn amount of letters of credit outstanding from time to time under the Credit Facility.</w:t>
      </w:r>
    </w:p>
    <w:p>
      <w:pPr>
        <w:spacing w:after="0" w:line="116" w:lineRule="exact"/>
        <w:rPr>
          <w:sz w:val="20"/>
          <w:szCs w:val="20"/>
          <w:color w:val="auto"/>
        </w:rPr>
      </w:pPr>
    </w:p>
    <w:p>
      <w:pPr>
        <w:jc w:val="both"/>
        <w:ind w:right="280" w:firstLine="405"/>
        <w:spacing w:after="0" w:line="312" w:lineRule="auto"/>
        <w:rPr>
          <w:sz w:val="20"/>
          <w:szCs w:val="20"/>
          <w:color w:val="auto"/>
        </w:rPr>
      </w:pPr>
      <w:r>
        <w:rPr>
          <w:rFonts w:ascii="Arial" w:cs="Arial" w:eastAsia="Arial" w:hAnsi="Arial"/>
          <w:sz w:val="16"/>
          <w:szCs w:val="16"/>
          <w:color w:val="auto"/>
        </w:rPr>
        <w:t>As of December 31, 2016, Orion had no outstanding letters of credit. Borrowings outstanding as of December 31, 2016, amounted to approximately $5,882,000 and are included in non-current liabilities in the accompanying condensed consolidated balance sheet. Orion estimates that as of December 31, 2016, it was eligible to borrow an additional $2,036,554 under the Credit Facility based upon current levels of eligible inventory and accounts receivable.</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Orion was in compliance with its covenants in the Credit Agreement as of December 31,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71" w:lineRule="exact"/>
        <w:rPr>
          <w:sz w:val="20"/>
          <w:szCs w:val="20"/>
          <w:color w:val="auto"/>
        </w:rPr>
      </w:pPr>
    </w:p>
    <w:p>
      <w:pPr>
        <w:ind w:firstLine="392"/>
        <w:spacing w:after="0" w:line="276" w:lineRule="auto"/>
        <w:rPr>
          <w:sz w:val="20"/>
          <w:szCs w:val="20"/>
          <w:color w:val="auto"/>
        </w:rPr>
      </w:pPr>
      <w:r>
        <w:rPr>
          <w:rFonts w:ascii="Arial" w:cs="Arial" w:eastAsia="Arial" w:hAnsi="Arial"/>
          <w:sz w:val="17"/>
          <w:szCs w:val="17"/>
          <w:color w:val="auto"/>
        </w:rPr>
        <w:t>Our capital expenditures are primarily for general corporate purposes for our corporate headquarters and technology center, production equipment and tooling and for information technology systems. Our capital expenditures totaled $376,000 and $302,000 for the nine-month periods ended December 31, 2016 and 2015, respectively. We plan to incur approximately $200,000 in capital expenditures in the fourth quarter of fiscal 2017 and approximately $800,000 in fiscal 2018. We expect to finance these capital expenditures primarily through our existing cash, equipment secured loans and leases, to the extent needed, long-term debt financing, or by using our available capacity under our 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Backlog represents the amount of revenue that we expect to realize in the future as a result of firm, committed orders. Backlog at December 31, 2016 totaled $9,600,000 and at March 31, 2016 totaled $5,600,000. We generally expect our backlog to be recognized as revenue within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condensed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inventories, allowance for doubtful accounts, recoverability of long-lived assets, indefinite lived intangible assets, stock-based compensation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2016. For the nine months ended December 31, 2016, there were no material changes in our accounting policies.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2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2016. There have been no material changes to such exposures since March 31,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30" w:right="239" w:bottom="1440" w:gutter="0" w:footer="0" w:header="0"/>
        </w:sectPr>
      </w:pPr>
    </w:p>
    <w:bookmarkStart w:id="31" w:name="page32"/>
    <w:bookmarkEnd w:id="31"/>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on Internal Control over Financial Reporting</w:t>
      </w:r>
    </w:p>
    <w:p>
      <w:pPr>
        <w:spacing w:after="0" w:line="175"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2"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92"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jc w:val="both"/>
        <w:ind w:right="80" w:firstLine="392"/>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60" w:firstLine="392"/>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7" w:lineRule="exact"/>
        <w:rPr>
          <w:sz w:val="20"/>
          <w:szCs w:val="20"/>
          <w:color w:val="auto"/>
        </w:rPr>
      </w:pPr>
    </w:p>
    <w:p>
      <w:pPr>
        <w:ind w:right="260" w:firstLine="392"/>
        <w:spacing w:after="0" w:line="259" w:lineRule="auto"/>
        <w:rPr>
          <w:sz w:val="20"/>
          <w:szCs w:val="20"/>
          <w:color w:val="auto"/>
        </w:rPr>
      </w:pPr>
      <w:r>
        <w:rPr>
          <w:rFonts w:ascii="Arial" w:cs="Arial" w:eastAsia="Arial" w:hAnsi="Arial"/>
          <w:sz w:val="18"/>
          <w:szCs w:val="18"/>
          <w:color w:val="auto"/>
        </w:rPr>
        <w:t>As previously disclosed under "Item 9A. Controls and Procedures" in our Annual Report on Form 10-K for our fiscal year ended March 31, 2016, we identified the following material weaknesses that existed as of March 31, 2016. A material weakness is a control deficiency or a combination of control deficiencies that results in more than a remote likelihood that a material misstatement of the annual or interim financial statements will not be prevented or detected.</w:t>
      </w:r>
    </w:p>
    <w:p>
      <w:pPr>
        <w:spacing w:after="0" w:line="133" w:lineRule="exact"/>
        <w:rPr>
          <w:sz w:val="20"/>
          <w:szCs w:val="20"/>
          <w:color w:val="auto"/>
        </w:rPr>
      </w:pPr>
    </w:p>
    <w:p>
      <w:pPr>
        <w:ind w:left="660" w:right="40" w:hanging="328"/>
        <w:spacing w:after="0" w:line="254"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Risk Assessment and Monitoring Activities. </w:t>
      </w:r>
      <w:r>
        <w:rPr>
          <w:rFonts w:ascii="Arial" w:cs="Arial" w:eastAsia="Arial" w:hAnsi="Arial"/>
          <w:sz w:val="18"/>
          <w:szCs w:val="18"/>
          <w:color w:val="auto"/>
        </w:rPr>
        <w:t>We determined that our controls pertaining to risk assessment and monitoring activities did not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effectively, resulting in a material weakness pertaining to these COSO components. Specifically, (i) with respect to risk assessment, we did not sufficiently identify and address risks associated with (a) the adequacy of training needs of employees whose job functions bear upon our accounting and financial reporting; and (b) certain processes, further noted in the Control Activities discussion below, resulting in inadequate contract review activities; and (ii) with respect to monitoring activities: (a) we did not maintain effective controls for the review, supervision and monitoring of our accounting operations and for evaluating the adequacy of our internal control over financial reporting; and (b) there were insufficient procedures to effectively determine the adequacy of our internal control over financial reporting. The deficiencies in these COSO components are interrelated and represent a material weakness.</w:t>
      </w:r>
    </w:p>
    <w:p>
      <w:pPr>
        <w:spacing w:after="0" w:line="138" w:lineRule="exact"/>
        <w:rPr>
          <w:rFonts w:ascii="Arial" w:cs="Arial" w:eastAsia="Arial" w:hAnsi="Arial"/>
          <w:sz w:val="18"/>
          <w:szCs w:val="18"/>
          <w:b w:val="1"/>
          <w:bCs w:val="1"/>
          <w:i w:val="1"/>
          <w:iCs w:val="1"/>
          <w:color w:val="auto"/>
        </w:rPr>
      </w:pPr>
    </w:p>
    <w:p>
      <w:pPr>
        <w:ind w:left="660" w:right="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Control Activities - Revenue Recognition</w:t>
      </w:r>
      <w:r>
        <w:rPr>
          <w:rFonts w:ascii="Arial" w:cs="Arial" w:eastAsia="Arial" w:hAnsi="Arial"/>
          <w:sz w:val="18"/>
          <w:szCs w:val="18"/>
          <w:color w:val="auto"/>
        </w:rPr>
        <w:t>. The operating effectiveness of our controls were inadequate to ensure that the review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involving contracts and the related accounting entries was performed. Revenue recognition controls ensure that the reported amount and timing of revenue recognition are accurate.</w:t>
      </w:r>
    </w:p>
    <w:p>
      <w:pPr>
        <w:spacing w:after="0" w:line="12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For the year ended March 31, 2016 and subsequent interim periods, we enhanced our closing procedures to ensure that, in all material respects, our financial statements are presented in conformity with GAAP and free of material misstatement as of and for the periods ended March 31, 2016 and December 31,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Actions and Material Weakness Status</w:t>
      </w:r>
    </w:p>
    <w:p>
      <w:pPr>
        <w:spacing w:after="0" w:line="175"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Subsequent to our March 31, 2016 fiscal year end, we have taken the following actions to strengthen our controls and organizational structure in order to remediate the material weakness described above:</w:t>
      </w:r>
    </w:p>
    <w:p>
      <w:pPr>
        <w:spacing w:after="0" w:line="116" w:lineRule="exact"/>
        <w:rPr>
          <w:sz w:val="20"/>
          <w:szCs w:val="20"/>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Redesigned the process for the review and analysis of complex revenue transactions involving multiple elements; improved and updated the related procedures documentation; evaluated the skills of the process owners, and provided additional training over this process.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07" w:right="239" w:bottom="1440" w:gutter="0" w:footer="0" w:header="0"/>
        </w:sectPr>
      </w:pPr>
    </w:p>
    <w:bookmarkStart w:id="32" w:name="page33"/>
    <w:bookmarkEnd w:id="32"/>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Strengthened and enhanced the order entry process including: (i.) implemented a sales order audit validation and review; (ii.) provided in depth order entry training; (iii.) issued enhanced order entry process documentation, checklists, guidelines and targeted, specific guides; and (iv.) implemented and enhanced order entry system controls.</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Implemented additional revenue control enhancements including: (i.) a strengthened credit approval process; (ii.) an updated credit memo policy; and (iii.) additional review procedures over bonding fee and deferred revenue.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Implemented a revised sub-assertions process to obtain certifications from individuals across all functions and levels within the organization and provided training to all sub-assertions respondents.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Implemented a formal disclosure committee, consisting of senior management across the organization, to review the results of the quarterly sub-assertions, our internal controls environment, and financial reporting prior to issuance of the financial statements.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staffing has taken place to ensure both the adequacy of our staff and their skillset.</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implemented specific remediation actions by training process owners and allowing time for process adoption and adequate transaction volume for testing. We have provided additional training to employees whose job functions bear upon our accounting and financial reporting, including members of the sales and operations departments, in order to ensure that our employees develop a greater understanding of the control activities that they perform.</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enhanced our risk assessment process with regard to control design deficiencies and are now performing a more robust assessment of risks impacting our accounting and financial reporting. In addition, we have implemented new controls or revised existing controls to address such risks. We have enhanced our documented controls and procedures related to our revenue cycle and other key business cycles.</w:t>
      </w:r>
    </w:p>
    <w:p>
      <w:pPr>
        <w:spacing w:after="0" w:line="111"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implemented an enterprise risk management program to highlight organizational risks and develop strategies for monitoring and mitigating risks. Risk assessment and control monitoring remediation steps completed include the implementation of a number of control enhancements.</w:t>
      </w:r>
    </w:p>
    <w:p>
      <w:pPr>
        <w:spacing w:after="0" w:line="70" w:lineRule="exact"/>
        <w:rPr>
          <w:sz w:val="20"/>
          <w:szCs w:val="20"/>
          <w:color w:val="auto"/>
        </w:rPr>
      </w:pPr>
    </w:p>
    <w:p>
      <w:pPr>
        <w:ind w:right="320" w:firstLine="392"/>
        <w:spacing w:after="0" w:line="264" w:lineRule="auto"/>
        <w:rPr>
          <w:sz w:val="20"/>
          <w:szCs w:val="20"/>
          <w:color w:val="auto"/>
        </w:rPr>
      </w:pPr>
      <w:r>
        <w:rPr>
          <w:rFonts w:ascii="Arial" w:cs="Arial" w:eastAsia="Arial" w:hAnsi="Arial"/>
          <w:sz w:val="18"/>
          <w:szCs w:val="18"/>
          <w:color w:val="auto"/>
        </w:rPr>
        <w:t>We completed our remediation plan during the period ended December 31, 2016. We have tested the design and operating effectiveness of the newly implemented and enhanced controls related to the above remediation actions concluding that the controls are designed and operating effectively as of December 31, 2016.</w:t>
      </w:r>
    </w:p>
    <w:p>
      <w:pPr>
        <w:spacing w:after="0" w:line="127" w:lineRule="exact"/>
        <w:rPr>
          <w:sz w:val="20"/>
          <w:szCs w:val="20"/>
          <w:color w:val="auto"/>
        </w:rPr>
      </w:pPr>
    </w:p>
    <w:p>
      <w:pPr>
        <w:ind w:right="100" w:firstLine="392"/>
        <w:spacing w:after="0" w:line="277" w:lineRule="auto"/>
        <w:rPr>
          <w:sz w:val="20"/>
          <w:szCs w:val="20"/>
          <w:color w:val="auto"/>
        </w:rPr>
      </w:pPr>
      <w:r>
        <w:rPr>
          <w:rFonts w:ascii="Arial" w:cs="Arial" w:eastAsia="Arial" w:hAnsi="Arial"/>
          <w:sz w:val="18"/>
          <w:szCs w:val="18"/>
          <w:color w:val="auto"/>
        </w:rPr>
        <w:t>We have reviewed and obtained acceptance of completion of the remediation effort by our Chief Executive Officer, our Chief Financial Officer, and the Audit &amp; Finance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20" w:firstLine="392"/>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2016 that have materially affected, or are reasonably likely to materially affect, our internal control over financial reporting, other than with respect to the implementation of remediation efforts, as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Our management evaluated, with the participation of our Chief Executive Officer and our Chief Financial Officer, the effectiveness of the design and operation of our disclosure controls and procedures as of the end of the quarter ended December 31, 2016 pursuant to Rule 13a-15(b) of the Exchange Act of 1934. Our Chief Executive Officer and our Chief Financial Officer concluded that our disclosure controls and procedures were effective as of December 31,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3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Note 6, "Commitments and Contingencies - Litigation", to the Condensed Consolidated Financial Statements in Item 1 of this Quarterly Report on Form 10-Q.</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2016, which we filed with the SEC on June 23, 2016 and in Part 1 - Item 2 under the heading "Management's Discussion and Analysis of Financial Condition and Results of Operations" in this Form 10-Q.</w:t>
      </w:r>
    </w:p>
    <w:p>
      <w:pPr>
        <w:spacing w:after="0" w:line="19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tcPr>
          <w:p>
            <w:pPr>
              <w:ind w:left="240"/>
              <w:spacing w:after="0"/>
              <w:rPr>
                <w:sz w:val="20"/>
                <w:szCs w:val="20"/>
                <w:color w:val="auto"/>
              </w:rPr>
            </w:pPr>
            <w:r>
              <w:rPr>
                <w:rFonts w:ascii="Arial" w:cs="Arial" w:eastAsia="Arial" w:hAnsi="Arial"/>
                <w:sz w:val="18"/>
                <w:szCs w:val="18"/>
                <w:color w:val="auto"/>
                <w:w w:val="90"/>
              </w:rPr>
              <w:t>First Amendment to Credit Agreement and Security Agreement, dated as of December 27, 2016, by and among Orion Energy Systems, Inc.,</w:t>
            </w:r>
          </w:p>
        </w:tc>
      </w:tr>
      <w:tr>
        <w:trPr>
          <w:trHeight w:val="216"/>
        </w:trPr>
        <w:tc>
          <w:tcPr>
            <w:tcW w:w="90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0"/>
              </w:rPr>
              <w:t>the subsidiary Borrowers party thereto, the subsidiary Guarantors party thereto and Wells Fargo Bank, National Association [Incorporated by</w:t>
            </w:r>
          </w:p>
        </w:tc>
      </w:tr>
      <w:tr>
        <w:trPr>
          <w:trHeight w:val="216"/>
        </w:trPr>
        <w:tc>
          <w:tcPr>
            <w:tcW w:w="90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2"/>
              </w:rPr>
              <w:t>reference to Exhibit 10.1 to the Registrant's Current Report on Form 8-K filed with the Securities and Exchange Commission on December</w:t>
            </w:r>
          </w:p>
        </w:tc>
      </w:tr>
      <w:tr>
        <w:trPr>
          <w:trHeight w:val="230"/>
        </w:trPr>
        <w:tc>
          <w:tcPr>
            <w:tcW w:w="90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29, 2016 (File No. 001-33887)]</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tcPr>
          <w:p>
            <w:pPr>
              <w:ind w:left="24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 +</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 +</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 +</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00" w:type="dxa"/>
            <w:vAlign w:val="bottom"/>
          </w:tcPr>
          <w:p>
            <w:pPr>
              <w:ind w:left="240"/>
              <w:spacing w:after="0"/>
              <w:rPr>
                <w:sz w:val="20"/>
                <w:szCs w:val="20"/>
                <w:color w:val="auto"/>
              </w:rPr>
            </w:pPr>
            <w:r>
              <w:rPr>
                <w:rFonts w:ascii="Arial" w:cs="Arial" w:eastAsia="Arial" w:hAnsi="Arial"/>
                <w:sz w:val="18"/>
                <w:szCs w:val="18"/>
                <w:color w:val="auto"/>
                <w:w w:val="98"/>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 +</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175" w:lineRule="exact"/>
        <w:rPr>
          <w:sz w:val="20"/>
          <w:szCs w:val="20"/>
          <w:color w:val="auto"/>
        </w:rPr>
      </w:pPr>
    </w:p>
    <w:p>
      <w:pPr>
        <w:ind w:left="760" w:hanging="6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607" w:right="319" w:bottom="1440" w:gutter="0" w:footer="0" w:header="0"/>
        </w:sectPr>
      </w:pPr>
    </w:p>
    <w:bookmarkStart w:id="35" w:name="page36"/>
    <w:bookmarkEnd w:id="35"/>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8, 2017.</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364" w:right="3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December 31, 2016</w:t>
            </w:r>
          </w:p>
        </w:tc>
      </w:tr>
      <w:tr>
        <w:trPr>
          <w:trHeight w:val="20"/>
        </w:trPr>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65"/>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0"/>
              </w:rPr>
              <w:t>First Amendment to Credit Agreement and Security Agreement, dated as of December 27, 2016, by and among Orion Energy Systems, Inc.,</w:t>
            </w:r>
          </w:p>
        </w:tc>
      </w:tr>
      <w:tr>
        <w:trPr>
          <w:trHeight w:val="216"/>
        </w:trPr>
        <w:tc>
          <w:tcPr>
            <w:tcW w:w="900" w:type="dxa"/>
            <w:vAlign w:val="bottom"/>
          </w:tcPr>
          <w:p>
            <w:pPr>
              <w:spacing w:after="0"/>
              <w:rPr>
                <w:sz w:val="18"/>
                <w:szCs w:val="18"/>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0"/>
              </w:rPr>
              <w:t>the subsidiary Borrowers party thereto, the subsidiary Guarantors party thereto and Wells Fargo Bank, National Association [Incorporated by</w:t>
            </w:r>
          </w:p>
        </w:tc>
      </w:tr>
      <w:tr>
        <w:trPr>
          <w:trHeight w:val="216"/>
        </w:trPr>
        <w:tc>
          <w:tcPr>
            <w:tcW w:w="900" w:type="dxa"/>
            <w:vAlign w:val="bottom"/>
          </w:tcPr>
          <w:p>
            <w:pPr>
              <w:spacing w:after="0"/>
              <w:rPr>
                <w:sz w:val="18"/>
                <w:szCs w:val="18"/>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2"/>
              </w:rPr>
              <w:t>reference to Exhibit 10.1 to the Registrant's Current Report on Form 8-K filed with the Securities and Exchange Commission on December</w:t>
            </w:r>
          </w:p>
        </w:tc>
      </w:tr>
      <w:tr>
        <w:trPr>
          <w:trHeight w:val="230"/>
        </w:trPr>
        <w:tc>
          <w:tcPr>
            <w:tcW w:w="900" w:type="dxa"/>
            <w:vAlign w:val="bottom"/>
          </w:tcPr>
          <w:p>
            <w:pPr>
              <w:spacing w:after="0"/>
              <w:rPr>
                <w:sz w:val="20"/>
                <w:szCs w:val="20"/>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29, 2016 (File No. 001-33887)]</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420" w:type="dxa"/>
            <w:vAlign w:val="bottom"/>
            <w:gridSpan w:val="2"/>
          </w:tcPr>
          <w:p>
            <w:pPr>
              <w:ind w:left="4680"/>
              <w:spacing w:after="0"/>
              <w:rPr>
                <w:sz w:val="20"/>
                <w:szCs w:val="20"/>
                <w:color w:val="auto"/>
              </w:rPr>
            </w:pPr>
            <w:r>
              <w:rPr>
                <w:rFonts w:ascii="Arial" w:cs="Arial" w:eastAsia="Arial" w:hAnsi="Arial"/>
                <w:sz w:val="18"/>
                <w:szCs w:val="18"/>
                <w:color w:val="auto"/>
              </w:rPr>
              <w:t>37</w:t>
            </w:r>
          </w:p>
        </w:tc>
        <w:tc>
          <w:tcPr>
            <w:tcW w:w="2980" w:type="dxa"/>
            <w:vAlign w:val="bottom"/>
          </w:tcPr>
          <w:p>
            <w:pPr>
              <w:spacing w:after="0"/>
              <w:rPr>
                <w:sz w:val="24"/>
                <w:szCs w:val="24"/>
                <w:color w:val="auto"/>
              </w:rPr>
            </w:pPr>
          </w:p>
        </w:tc>
      </w:tr>
    </w:tbl>
    <w:p>
      <w:pPr>
        <w:sectPr>
          <w:pgSz w:w="11900" w:h="16838" w:orient="portrait"/>
          <w:cols w:equalWidth="0" w:num="1">
            <w:col w:w="11300"/>
          </w:cols>
          <w:pgMar w:left="280" w:top="351"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2017</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169545</wp:posOffset>
            </wp:positionV>
            <wp:extent cx="4613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2017</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2016,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February 8, 2017</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2016,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February 8, 2017</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169545</wp:posOffset>
            </wp:positionV>
            <wp:extent cx="3447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7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2019-12-29T08:51:16Z</dcterms:created>
  <dcterms:modified xsi:type="dcterms:W3CDTF">2019-12-29T08:51:16Z</dcterms:modified>
</cp:coreProperties>
</file>