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28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28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and posted pursuant to Rule 405 of Regulation S-T (§232.405) during the preceding 12 months (or for shorter period that the registrant was required to submit and post such</w:t>
      </w:r>
    </w:p>
    <w:p>
      <w:pPr>
        <w:spacing w:after="0" w:line="1"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files).</w:t>
        <w:tab/>
        <w:t xml:space="preserve">Yes x  No </w:t>
      </w:r>
      <w:r>
        <w:rPr>
          <w:rFonts w:ascii="MS PGothic" w:cs="MS PGothic" w:eastAsia="MS PGothic" w:hAnsi="MS PGothic"/>
          <w:sz w:val="18"/>
          <w:szCs w:val="18"/>
          <w:color w:val="auto"/>
        </w:rPr>
        <w:t>☐</w:t>
      </w:r>
    </w:p>
    <w:p>
      <w:pPr>
        <w:spacing w:after="0" w:line="162" w:lineRule="exact"/>
        <w:rPr>
          <w:sz w:val="24"/>
          <w:szCs w:val="24"/>
          <w:color w:val="auto"/>
        </w:rPr>
      </w:pPr>
    </w:p>
    <w:p>
      <w:pPr>
        <w:jc w:val="both"/>
        <w:ind w:right="4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8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280"/>
              <w:spacing w:after="0"/>
              <w:rPr>
                <w:sz w:val="20"/>
                <w:szCs w:val="20"/>
                <w:color w:val="auto"/>
              </w:rPr>
            </w:pPr>
            <w:r>
              <w:rPr>
                <w:rFonts w:ascii="Arial" w:cs="Arial" w:eastAsia="Arial" w:hAnsi="Arial"/>
                <w:sz w:val="18"/>
                <w:szCs w:val="18"/>
                <w:color w:val="auto"/>
              </w:rPr>
              <w:t>o</w:t>
            </w:r>
          </w:p>
        </w:tc>
        <w:tc>
          <w:tcPr>
            <w:tcW w:w="534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34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bl>
    <w:p>
      <w:pPr>
        <w:spacing w:after="0" w:line="40" w:lineRule="exact"/>
        <w:rPr>
          <w:sz w:val="24"/>
          <w:szCs w:val="24"/>
          <w:color w:val="auto"/>
        </w:rPr>
      </w:pPr>
    </w:p>
    <w:p>
      <w:pPr>
        <w:ind w:left="40" w:right="2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80"/>
          </w:cols>
          <w:pgMar w:left="240" w:top="274" w:right="379" w:bottom="1440" w:gutter="0" w:footer="0" w:header="0"/>
        </w:sectPr>
      </w:pPr>
    </w:p>
    <w:bookmarkStart w:id="1" w:name="page2"/>
    <w:bookmarkEnd w:id="1"/>
    <w:p>
      <w:pPr>
        <w:spacing w:after="0" w:line="207" w:lineRule="exact"/>
        <w:tabs>
          <w:tab w:leader="none" w:pos="840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There were 29,570,086 shares of the Registrant’s common stock outstanding on October 31, 2018.</w:t>
      </w:r>
    </w:p>
    <w:p>
      <w:pPr>
        <w:sectPr>
          <w:pgSz w:w="11900" w:h="16838" w:orient="portrait"/>
          <w:cols w:equalWidth="0" w:num="1">
            <w:col w:w="10219"/>
          </w:cols>
          <w:pgMar w:left="240" w:top="498"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10"/>
          </w:tcPr>
          <w:p>
            <w:pPr>
              <w:spacing w:after="0" w:line="170" w:lineRule="exact"/>
              <w:rPr>
                <w:rFonts w:ascii="Arial" w:cs="Arial" w:eastAsia="Arial" w:hAnsi="Arial"/>
                <w:sz w:val="18"/>
                <w:szCs w:val="18"/>
                <w:color w:val="auto"/>
              </w:rPr>
            </w:pPr>
            <w:hyperlink w:anchor="page4">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6"/>
          </w:tcPr>
          <w:p>
            <w:pPr>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6320" w:type="dxa"/>
            <w:vAlign w:val="bottom"/>
            <w:tcBorders>
              <w:bottom w:val="single" w:sz="8" w:color="auto"/>
            </w:tcBorders>
            <w:gridSpan w:val="12"/>
          </w:tcPr>
          <w:p>
            <w:pPr>
              <w:spacing w:after="0"/>
              <w:rPr>
                <w:rFonts w:ascii="Arial" w:cs="Arial" w:eastAsia="Arial" w:hAnsi="Arial"/>
                <w:sz w:val="18"/>
                <w:szCs w:val="18"/>
                <w:color w:val="auto"/>
                <w:w w:val="88"/>
              </w:rPr>
            </w:pPr>
            <w:hyperlink w:anchor="page4">
              <w:r>
                <w:rPr>
                  <w:rFonts w:ascii="Arial" w:cs="Arial" w:eastAsia="Arial" w:hAnsi="Arial"/>
                  <w:sz w:val="18"/>
                  <w:szCs w:val="18"/>
                  <w:color w:val="auto"/>
                  <w:w w:val="88"/>
                </w:rPr>
                <w:t>Condensed Consolidated Balance Sheets as of September 30, 2018 and March 31, 2018</w:t>
              </w:r>
            </w:hyperlink>
          </w:p>
        </w:tc>
        <w:tc>
          <w:tcPr>
            <w:tcW w:w="308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0"/>
              </w:rPr>
            </w:pPr>
            <w:hyperlink w:anchor="page5">
              <w:r>
                <w:rPr>
                  <w:rFonts w:ascii="Arial" w:cs="Arial" w:eastAsia="Arial" w:hAnsi="Arial"/>
                  <w:sz w:val="18"/>
                  <w:szCs w:val="18"/>
                  <w:color w:val="auto"/>
                  <w:w w:val="90"/>
                </w:rPr>
                <w:t>Condensed Consolidated Statements of Operations for the Three and Six Months Ended September 30, 2018 and September 30,</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84"/>
              </w:rPr>
            </w:pPr>
            <w:hyperlink w:anchor="page5">
              <w:r>
                <w:rPr>
                  <w:rFonts w:ascii="Arial" w:cs="Arial" w:eastAsia="Arial" w:hAnsi="Arial"/>
                  <w:sz w:val="18"/>
                  <w:szCs w:val="18"/>
                  <w:color w:val="auto"/>
                  <w:w w:val="84"/>
                </w:rPr>
                <w:t>2017</w:t>
              </w:r>
            </w:hyperlink>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8920" w:type="dxa"/>
            <w:vAlign w:val="bottom"/>
            <w:tcBorders>
              <w:bottom w:val="single" w:sz="8" w:color="auto"/>
            </w:tcBorders>
            <w:gridSpan w:val="14"/>
          </w:tcPr>
          <w:p>
            <w:pPr>
              <w:spacing w:after="0"/>
              <w:rPr>
                <w:rFonts w:ascii="Arial" w:cs="Arial" w:eastAsia="Arial" w:hAnsi="Arial"/>
                <w:sz w:val="18"/>
                <w:szCs w:val="18"/>
                <w:color w:val="auto"/>
                <w:w w:val="89"/>
              </w:rPr>
            </w:pPr>
            <w:hyperlink w:anchor="page6">
              <w:r>
                <w:rPr>
                  <w:rFonts w:ascii="Arial" w:cs="Arial" w:eastAsia="Arial" w:hAnsi="Arial"/>
                  <w:sz w:val="18"/>
                  <w:szCs w:val="18"/>
                  <w:color w:val="auto"/>
                  <w:w w:val="89"/>
                </w:rPr>
                <w:t>Condensed Consolidated Statements of Cash Flows for the Six Months Ended September 30, 2018 and September 30, 2017</w:t>
              </w:r>
            </w:hyperlink>
          </w:p>
        </w:tc>
        <w:tc>
          <w:tcPr>
            <w:tcW w:w="48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the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1"/>
          </w:tcPr>
          <w:p>
            <w:pPr>
              <w:spacing w:after="0"/>
              <w:rPr>
                <w:rFonts w:ascii="Arial" w:cs="Arial" w:eastAsia="Arial" w:hAnsi="Arial"/>
                <w:sz w:val="18"/>
                <w:szCs w:val="18"/>
                <w:color w:val="auto"/>
                <w:w w:val="90"/>
              </w:rPr>
            </w:pPr>
            <w:hyperlink w:anchor="page40">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auto"/>
                <w:w w:val="88"/>
              </w:rPr>
            </w:pPr>
            <w:hyperlink w:anchor="page40">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43">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6"/>
          </w:tcPr>
          <w:p>
            <w:pPr>
              <w:spacing w:after="0"/>
              <w:rPr>
                <w:rFonts w:ascii="Arial" w:cs="Arial" w:eastAsia="Arial" w:hAnsi="Arial"/>
                <w:sz w:val="18"/>
                <w:szCs w:val="18"/>
                <w:color w:val="auto"/>
              </w:rPr>
            </w:pPr>
            <w:hyperlink w:anchor="page43">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43">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1"/>
          </w:tcPr>
          <w:p>
            <w:pPr>
              <w:spacing w:after="0"/>
              <w:rPr>
                <w:rFonts w:ascii="Arial" w:cs="Arial" w:eastAsia="Arial" w:hAnsi="Arial"/>
                <w:sz w:val="18"/>
                <w:szCs w:val="18"/>
                <w:color w:val="auto"/>
              </w:rPr>
            </w:pPr>
            <w:hyperlink w:anchor="page43">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auto"/>
              </w:rPr>
            </w:pPr>
            <w:hyperlink w:anchor="page44">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45">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ectPr>
          <w:pgSz w:w="11900" w:h="16838" w:orient="portrait"/>
          <w:cols w:equalWidth="0" w:num="1">
            <w:col w:w="11180"/>
          </w:cols>
          <w:pgMar w:left="280" w:top="36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9,424</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Revenue earned but not billed</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29,453</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2,868</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45,325</w:t>
            </w:r>
          </w:p>
        </w:tc>
      </w:tr>
      <w:tr>
        <w:trPr>
          <w:trHeight w:val="67"/>
        </w:trPr>
        <w:tc>
          <w:tcPr>
            <w:tcW w:w="8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11,675</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16,424</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21,901</w:t>
            </w:r>
          </w:p>
        </w:tc>
      </w:tr>
      <w:tr>
        <w:trPr>
          <w:trHeight w:val="223"/>
        </w:trPr>
        <w:tc>
          <w:tcPr>
            <w:tcW w:w="84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ind w:left="40"/>
              <w:spacing w:after="0"/>
              <w:rPr>
                <w:sz w:val="20"/>
                <w:szCs w:val="20"/>
                <w:color w:val="auto"/>
              </w:rPr>
            </w:pPr>
            <w:r>
              <w:rPr>
                <w:rFonts w:ascii="Arial" w:cs="Arial" w:eastAsia="Arial" w:hAnsi="Arial"/>
                <w:sz w:val="18"/>
                <w:szCs w:val="18"/>
                <w:color w:val="auto"/>
                <w:w w:val="93"/>
              </w:rPr>
              <w:t>Preferred stock, $0.01 par value: Shares authorized: 30,000,000 at September 30, 2018 and March 31, 2018; no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460" w:type="dxa"/>
            <w:vAlign w:val="bottom"/>
          </w:tcPr>
          <w:p>
            <w:pPr>
              <w:ind w:left="40"/>
              <w:spacing w:after="0"/>
              <w:rPr>
                <w:sz w:val="20"/>
                <w:szCs w:val="20"/>
                <w:color w:val="auto"/>
              </w:rPr>
            </w:pPr>
            <w:r>
              <w:rPr>
                <w:rFonts w:ascii="Arial" w:cs="Arial" w:eastAsia="Arial" w:hAnsi="Arial"/>
                <w:sz w:val="18"/>
                <w:szCs w:val="18"/>
                <w:color w:val="auto"/>
              </w:rPr>
              <w:t>shares issued and outstanding at September 30, 2018 and March 31, 2018</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no par value: Shares authorized: 200,000,000 at September 30, 2018 and March 31, 2018; shares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issued: 38,974,961 at September 30, 2018 and 38,384,575 at March 31, 2018; shares outstanding: 29,537,474 at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and 28,953,183 at March 31, 2018</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155,442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155,003</w:t>
            </w:r>
          </w:p>
        </w:tc>
      </w:tr>
      <w:tr>
        <w:trPr>
          <w:trHeight w:val="27"/>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common shares: 9,437,487 at September 30, 2018 and 9,431,392 at 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(95,494)</w:t>
            </w:r>
          </w:p>
        </w:tc>
      </w:tr>
      <w:tr>
        <w:trPr>
          <w:trHeight w:val="27"/>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23,424</w:t>
            </w:r>
          </w:p>
        </w:tc>
      </w:tr>
      <w:tr>
        <w:trPr>
          <w:trHeight w:val="237"/>
        </w:trPr>
        <w:tc>
          <w:tcPr>
            <w:tcW w:w="846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45,325</w:t>
            </w:r>
          </w:p>
        </w:tc>
      </w:tr>
      <w:tr>
        <w:trPr>
          <w:trHeight w:val="27"/>
        </w:trPr>
        <w:tc>
          <w:tcPr>
            <w:tcW w:w="8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 w:name="page5"/>
    <w:bookmarkEnd w:id="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19,091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19,406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21,022</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29,488,363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28,834,868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29,280,421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28,646,188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and share equivalents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29,488,363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28,834,868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29,280,421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28,646,188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(10,233)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inventory reserves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1,014</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 earned but not billed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3,981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contract costs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patents and licenses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revolving credit facility</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(37,722)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17,307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8,671</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79"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leases office space in Jacksonville, Florida. Orion had leased office space in Chicago, Illinois, and Houston, Texas, but as of June 30, 2018, Orion had vacated these locations. During fiscal 2018, Orion had leased warehouse space in Manitowoc, Wisconsin and Augusta, Georgia, but as of March 31, 2018, Orion had vacated these storage locations.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Orion Energy Systems, Inc. and its wholly-owned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fiscal year ending March 31, 2019 or other interim periods.</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Condensed Consolidated Balance Sheets at March 31, 2018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2018 filed with the SEC on June 13,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and six months ended September 30, 2018, no supplier accounted for more than 10.0% of total cost of revenue. For the three and six months ended September 30, 2017, no supplier accounted for more than 10.0% of total cost of revenue.</w:t>
      </w:r>
    </w:p>
    <w:p>
      <w:pPr>
        <w:spacing w:after="0" w:line="12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three months ended September 30, 2018, one customer accounted for 14.0% of total revenue. For the six months ended September 30. 2018, no customers accounted for more than 10.0% of total revenue. For the three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September 30, 2017, one customer accounted for 13.7% of total revenue. For the six months ended September 30, 2017, one customer accounted for 11.9% of total revenue.</w:t>
      </w:r>
    </w:p>
    <w:p>
      <w:pPr>
        <w:spacing w:after="0" w:line="116"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As of September 30, 2018, no customer accounted for more than 10.0% of Accounts receivable. As of March 31, 2018, one customer accounted for 13.2%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(Subtopic 842). The pronouncement, and subsequent amendments, which is included in the Accounting Standards Codification as Subtopic 842 (“ASC 842”), requires that lessees recognize right-of-use assets and liabilities on the balance sheet for the rights and obligations created by long-term leases and disclose additional quantitative and qualitative information about leasing arrangements. Under ASU 842,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ASU 842 also provides guidance on the presentation of the effects of leases in the income statement and statement of cash flows. Orion will adopt this ASU and subsequent amendments on April 1, 2019 and expects to elect certain practical expedients permitted under the transition guidance. Additionally, Orion expects to elect the optional transition method that allows for a cumulative-effect adjustment in the period of adoption and will not restate prior periods. Orion has not yet completed its review of the full provisions of this ASU against its outstanding lease arrangements and is in the process of quantifying the lease liability and related right of use asset which will be recorded to its condensed consolidated balance sheets upon adoption of the ASU. In addition, management continues to assess the impact of adoption of this ASU on its condensed consolidated statements of operations, cash flows, and the related footnote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April 1, 2018, Orion adopted ASU 2014-09 and subsequent amendments, which is included in the Accounting Standards Codification as "Revenue from Contracts with Customers" (Topic 606) (“ASC 606”) and Sub-Topic 340-40 (“ASC 340-40”), using the modified retrospective approach. ASC 606 supersedes the revenue recognition requirements in “Revenue Recognition” (Topic 605) ("ASC 605") and provides guidance on the accounting for other assets and deferred costs associated with contracts with customers. ASC 606 requires entities to recognize revenue when control of the promised goods or services is transferred to customers at an amount that reflects the consideration to which the entity expects to be entitled to in exchange for those goods or services. ASC 340-40 limits the circumstances that an entity can recognize an asset from the costs incurred to obtain or fulfill a contract that are not subject to the guidance in other portions in the Accounting Standards Codification, such as those related to inventory. The provisions of ASC 606 and ASC 340-40 require entities to use more judgments and estimates than under previous guidance when allocating the total consideration in a contract to the individual promises to customers (“performance obligations”) and determining when a performance obligation has been satisfied and revenue can be recognized. The adoption of ASC 606 did not have a material effect on Orion's financial statements. Orion has updated its processes and controls necessary for implementing ASC 606, including the increased disclosure requirements.</w:t>
      </w:r>
    </w:p>
    <w:p>
      <w:pPr>
        <w:spacing w:after="0" w:line="1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provided clarification and additional guidance as to the presentation and classification of certain cash receipts and cash payments in the statement of cash flows. This ASU provided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This new ASU was effective for Orion in the first quarter of fiscal 2019 and has been applied through retrospective adjustment to all periods presented. The adoption of this ASU did not have a material impact on Orion’s condensed consolidated financial statements.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ASU were effective for Orion beginning on April 1, 2018. The adoption of this ASU did not have a material impact on Orion’s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Orion adopted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the opening balance of retained deficit within Orion’s Condensed Consolidated Statement of Shareholders’ Equity.</w:t>
      </w:r>
    </w:p>
    <w:p>
      <w:pPr>
        <w:spacing w:after="0" w:line="1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new standards are applied separately for each contract between Orion and a customer. While the impact of the new standards vary for each contract based on its specific terms, in general, the new standards result in Orion (a) delaying the recognition of some of its Product revenue from the point of shipment until a later date during the installation period, (b) recording Service revenue associated with installing lighting fixtures as such fixtures are installed instead of recording all Services revenue at the completion of the installation, and (c) recording costs associated with installing lighting fixtures as they are incurred instead of deferring such costs and recognizing them at the time Service revenue was recorded.</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adoption of the new standards also resulted in reclassifications (a) between Product revenue and Service revenue, and between Cost of service revenue and Sales and marketing expenses in Orion’s Condensed Consolidated Statement of Operations, and (b) between Accounts receivable, net, Revenue earned but not billed, Inventories, net, Deferred contract costs, Prepaid expenses and other current assets, Accounts payable, Accrued expenses and other, Deferred revenue, current, Deferred revenue, long-term, and Other long-term liabilities in Orion’s Condensed Consolidated Balance Sheets.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all adjustments and changes as a result of adopting the new standards for the current period, refer to the section “Impacts on Financial Statements” below. In accordance with the modified retrospective transition method, the historical information within the financial statements has not been restated and continues to be reported under the accounting standard in effect for those periods. As a result, Orion has disclosed the accounting policies in effect prior to April 1, 2018, as well as the policies applied starting April 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Periods prior to April 1,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is recognized in accordance with ASC 605 when the following criteria are met: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is recorded net of estimated provisions for returns, early payment discounts and rebates and other consideration paid to Orion’s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are presented net of sales tax and other sales related taxes.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Deferred revenue relates to advance customer billings and investment tax grants received related to power purchase agreement contracts still outstanding related to Orion’s legacy solar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 Commencing April 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generates revenues primarily by selling commercial lighting fixtures and components and by installing these fixtures in its customer’s facilities. Orion recognizes revenue in accordance with the guidance in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If there are multiple performance obligations in a single contract, the contract’s total sales price is allocated to each individual performance obligation based on their relative standalone selling price. A performance obligation’s standalone selling price is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07"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price at which Orion would sell a promised good or service separately to a customer. Orion uses an observable price to determine the stand-alone selling price for separate performance obligations or a cost-plus margin approach when one is not available. The cost-plus margin approach is used to determine the stand-alone selling price for the installation performance obligation and is based on average historical installation margin.</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 derived from customer contracts which include only performance obligation(s) for lighting fixtures and components is classified as Product revenue in the Condensed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3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Revenue from a customer contract which includes both the sale of fixtures and the installation of such fixtures (which Orion refers to as a turnkey project) is allocated between each lighting fixture and the installation performance obligation based on relative standalone selling prices.</w:t>
      </w:r>
    </w:p>
    <w:p>
      <w:pPr>
        <w:spacing w:after="0" w:line="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19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there is a legal transfer of ownership;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obtains physical possession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starts to receive the benefit of the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and duration of physical control that Orion maintains on the products after they are shipped to, and received at, the customer’s facility;</w:t>
      </w:r>
    </w:p>
    <w:p>
      <w:pPr>
        <w:spacing w:after="0" w:line="32"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Orion is required to maintain insurance on the lighting fixtures when they are in transit and after they are delivered to the customer’s facility;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each light fixture is physically installed and working correctly;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customer formally accepts the product;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Orion receives payment from the customer for the light fixtures.</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completely installed as of the measurement date in comparison to the total number of light fixtures to be installed under the contract.</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Most products are manufactured in accordance with Orion’s standard specifications. However, some products are manufactured to a customer’s specific requirements with no alternative use to Orion. In such cases, and when Orion has an enforceable right to payment, Product revenue is recorded on an over-time basis measured using an input methodology that calculates the costs incurred to date as compared to total expected costs. There was no over-time revenue related to custom products recognized in the three and six months ended September 30, 2018.</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Orion also records revenue in conjunction with several limited power purchase agreement (“PPA”) contracts still outstanding. Those PPA’s are supply-side agreements for the generation of electricity. The last PPA contact expires in 2031. Revenue associated with the sale of energy generated by the solar facilities under these PPA contracts is in the scope of ASC 606. Revenues are recognized over-time and are equal to the amount billed to the customer which is calculated by applying the fixed rate designated in contract to the variable 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 contracts; these revenues are not derived from contracts with customers and therefore not under the scope of ASC 606.</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When shipping and handling activities are performed after a customer obtains control of the product, Orion has elected to treat shipping and handling costs as an activity necessary to fulfill the performance obligation to transfer product to the customer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30"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and not as a separate performance obligation. Any shipping and handling costs charged to customers are recorded in Product revenue. Shipping and handling costs are accrued and included in Cost of product revenue.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Note 9, Accrued Expenses and Other for a discussion of Orion’s accounting for the warranty it provides to customers for its products and services.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Sales taxes collected from customers and remitted to governmental authorities are accounted for on a net (excluded from revenues) basis.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Fulfillment Costs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Costs associated with product sales are accumulated in inventory as the fixtures are manufactured and are transferred to Cost of product revenue at the time revenue is recorded. See Note 5, Inventories, Net. Costs associated with installation sales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7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Orion’s Product revenue includes revenue from contracts with customers accounted for under the scope of ASC 606 and revenue which is accounted for under other guidance. For the three and six months ended September 30, 2018, Product revenue included $0.3 million and $1.0 million, respectively, derived from sales-type leases for light fixtures, $0.1 million and $0.2 million, respectively, derived from the sale of tax credits generated from Orion’s legacy operation for distributing solar energy, and $18,889 and $37,777, respectively, derived from the amortization of federal grants received in 2010 and 2011 as reimbursement for a portion of the costs to construct the legacy solar facilities which are not under the scope of ASC 606. All remaining Product revenue, and all Service revenue, are derived from contracts with customers as defined in ASC 606.</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primary end-users of Orion’s lighting products and services are (a) the federal government, and (b) commercial or industrial companies.</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therefore are included within each of Orion’s segments, dependent on the sales channel.</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Footnote 16, Segments, for additional discussion concerning Orion’s reportable segments.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detail of Orion’s total revenues for the three and six months ended September 30, 2018 (dollars in thousands):</w:t>
      </w:r>
    </w:p>
    <w:p>
      <w:pPr>
        <w:sectPr>
          <w:pgSz w:w="11900" w:h="16838" w:orient="portrait"/>
          <w:cols w:equalWidth="0" w:num="1">
            <w:col w:w="11420"/>
          </w:cols>
          <w:pgMar w:left="240" w:top="530" w:right="239" w:bottom="1440" w:gutter="0" w:footer="0" w:header="0"/>
        </w:sectPr>
      </w:pPr>
    </w:p>
    <w:p>
      <w:pPr>
        <w:spacing w:after="0" w:line="242"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38100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2" w:lineRule="exact"/>
        <w:rPr>
          <w:sz w:val="20"/>
          <w:szCs w:val="20"/>
          <w:color w:val="auto"/>
        </w:rPr>
      </w:pPr>
    </w:p>
    <w:p>
      <w:pPr>
        <w:ind w:left="5420"/>
        <w:spacing w:after="0"/>
        <w:tabs>
          <w:tab w:leader="none" w:pos="6420" w:val="left"/>
          <w:tab w:leader="none" w:pos="754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Services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Six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31115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1" w:lineRule="exact"/>
        <w:rPr>
          <w:sz w:val="20"/>
          <w:szCs w:val="20"/>
          <w:color w:val="auto"/>
        </w:rPr>
      </w:pPr>
    </w:p>
    <w:p>
      <w:pPr>
        <w:spacing w:after="0"/>
        <w:tabs>
          <w:tab w:leader="none" w:pos="1000" w:val="left"/>
          <w:tab w:leader="none" w:pos="212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Services</w:t>
      </w:r>
      <w:r>
        <w:rPr>
          <w:sz w:val="20"/>
          <w:szCs w:val="20"/>
          <w:color w:val="auto"/>
        </w:rPr>
        <w:tab/>
      </w:r>
      <w:r>
        <w:rPr>
          <w:rFonts w:ascii="Arial" w:cs="Arial" w:eastAsia="Arial" w:hAnsi="Arial"/>
          <w:sz w:val="13"/>
          <w:szCs w:val="13"/>
          <w:b w:val="1"/>
          <w:bCs w:val="1"/>
          <w:color w:val="auto"/>
        </w:rPr>
        <w:t>Total</w:t>
      </w:r>
    </w:p>
    <w:p>
      <w:pPr>
        <w:spacing w:after="0" w:line="50" w:lineRule="exact"/>
        <w:rPr>
          <w:sz w:val="20"/>
          <w:szCs w:val="20"/>
          <w:color w:val="auto"/>
        </w:rPr>
      </w:pPr>
    </w:p>
    <w:p>
      <w:pPr>
        <w:sectPr>
          <w:pgSz w:w="11900" w:h="16838" w:orient="portrait"/>
          <w:cols w:equalWidth="0" w:num="2">
            <w:col w:w="7960" w:space="640"/>
            <w:col w:w="282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Revenue from contracts with customers: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Lighting revenues, by end user</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 government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11,110</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1,608</w:t>
            </w:r>
          </w:p>
        </w:tc>
        <w:tc>
          <w:tcPr>
            <w:tcW w:w="3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12,718</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23,011</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2,622</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25,633</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lighting</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12,736</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25,748</w:t>
            </w:r>
          </w:p>
        </w:tc>
      </w:tr>
      <w:tr>
        <w:trPr>
          <w:trHeight w:val="243"/>
        </w:trPr>
        <w:tc>
          <w:tcPr>
            <w:tcW w:w="5160" w:type="dxa"/>
            <w:vAlign w:val="bottom"/>
          </w:tcPr>
          <w:p>
            <w:pPr>
              <w:ind w:left="120"/>
              <w:spacing w:after="0"/>
              <w:rPr>
                <w:sz w:val="20"/>
                <w:szCs w:val="20"/>
                <w:color w:val="auto"/>
              </w:rPr>
            </w:pPr>
            <w:r>
              <w:rPr>
                <w:rFonts w:ascii="Arial" w:cs="Arial" w:eastAsia="Arial" w:hAnsi="Arial"/>
                <w:sz w:val="18"/>
                <w:szCs w:val="18"/>
                <w:color w:val="auto"/>
              </w:rPr>
              <w:t>Solar energy related revenues</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from contracts with customers</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12,754</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23,164</w:t>
            </w: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Revenue accounted for under other guidance</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Considerations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Customer payments for material only orders are due shortly after shipment.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type w:val="continuous"/>
        </w:sectPr>
      </w:pPr>
    </w:p>
    <w:bookmarkStart w:id="11" w:name="page12"/>
    <w:bookmarkEnd w:id="11"/>
    <w:p>
      <w:pPr>
        <w:jc w:val="both"/>
        <w:ind w:firstLine="405"/>
        <w:spacing w:after="0" w:line="277" w:lineRule="auto"/>
        <w:rPr>
          <w:sz w:val="20"/>
          <w:szCs w:val="20"/>
          <w:color w:val="auto"/>
        </w:rPr>
      </w:pPr>
      <w:r>
        <w:rPr>
          <w:rFonts w:ascii="Arial" w:cs="Arial" w:eastAsia="Arial" w:hAnsi="Arial"/>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Turnkey projects where the end-user is a commercial or industrial company typically span between two weeks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ASC 840, "Leases</w:t>
      </w:r>
      <w:r>
        <w:rPr>
          <w:rFonts w:ascii="Arial" w:cs="Arial" w:eastAsia="Arial" w:hAnsi="Arial"/>
          <w:sz w:val="18"/>
          <w:szCs w:val="18"/>
          <w:i w:val="1"/>
          <w:iCs w:val="1"/>
          <w:color w:val="auto"/>
        </w:rPr>
        <w:t>"</w:t>
      </w:r>
      <w:r>
        <w:rPr>
          <w:rFonts w:ascii="Arial" w:cs="Arial" w:eastAsia="Arial" w:hAnsi="Arial"/>
          <w:sz w:val="18"/>
          <w:szCs w:val="18"/>
          <w:color w:val="auto"/>
        </w:rPr>
        <w:t>.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associated with these transactions that are due during the twelve months subsequent to September 30, 2018 are included in Accounts receivable, net in Orion’s Condensed Consolidated Balance Sheets. The remaining amounts due that are associated with these transactions are included in Other long-term assets in Orion’s Condensed Consolidated Balance Sheets.</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Condensed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total amount received from the sales of these receivables during the three and six months ended September 30, 2018 was $0.9 million and $2.9 million, respectively. Orion’s losses on these sales aggregated to $0.1 million and $0.2 million for the three and six months ended September 30, 2018 and is included in Interest expense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performance obligations related to lighting fixtures typically do not exceed nine months in duration. As a result, Orion has elected the practical expedient that provides an exemption of the disclosure requirements regarding information about value assigned to remaining performance obligations on contracts that have original expected durations of one year or less.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has also adopted the practical expedient that provides an exemption of the disclosure requirement of the value assigned to performance obligations associated with contracts that were not complete as of April 1, 2018.</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earned but not billed represents revenue that has been recognized in advance of billing the customer, which is a common practice in Orion turnkey contracts. Once Orion has an unconditional right to consideration under a turnkey contract, Orion typically bills the customer accordingly and reclassifies the amount to Accounts receivable, net. Revenue earned but not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billed as of September 30, 2018 and April 1, 2018 includes $0.1 million and $0.6 million, respectively, which was not derived from contracts with customers and therefore not classified as a contract asset as defined by the new standards.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Deferred revenue, current as of September 30, 2018, included $41,425 of contract liabilities which represented consideration received from customers prior to the point that Orion has fulfilled the promises included in a performance obligation and recorded revenue.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chart shows the balance of Orion’s receivables arising from contracts with customers, contract assets and contract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April 1, 2018, after the adoption of the new standards (dollars in thousands):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7"/>
              </w:rPr>
              <w:t>September 30, 2018</w:t>
            </w: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April 1, 2018</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9,020</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1,773</w:t>
            </w:r>
          </w:p>
        </w:tc>
      </w:tr>
      <w:tr>
        <w:trPr>
          <w:trHeight w:val="27"/>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r>
      <w:tr>
        <w:trPr>
          <w:trHeight w:val="27"/>
        </w:trPr>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i w:val="1"/>
          <w:iCs w:val="1"/>
          <w:color w:val="auto"/>
        </w:rPr>
        <w:t>Impact on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 Reported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1"/>
              <w:spacing w:after="0"/>
              <w:rPr>
                <w:sz w:val="20"/>
                <w:szCs w:val="20"/>
                <w:color w:val="auto"/>
              </w:rPr>
            </w:pPr>
            <w:r>
              <w:rPr>
                <w:rFonts w:ascii="Arial" w:cs="Arial" w:eastAsia="Arial" w:hAnsi="Arial"/>
                <w:sz w:val="16"/>
                <w:szCs w:val="16"/>
                <w:b w:val="1"/>
                <w:bCs w:val="1"/>
                <w:color w:val="auto"/>
                <w:w w:val="89"/>
              </w:rPr>
              <w:t>Balances without</w:t>
            </w:r>
          </w:p>
        </w:tc>
      </w:tr>
      <w:tr>
        <w:trPr>
          <w:trHeight w:val="203"/>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application of ASC</w:t>
            </w:r>
          </w:p>
        </w:tc>
      </w:tr>
      <w:tr>
        <w:trPr>
          <w:trHeight w:val="210"/>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Arial" w:cs="Arial" w:eastAsia="Arial" w:hAnsi="Arial"/>
                <w:sz w:val="16"/>
                <w:szCs w:val="16"/>
                <w:b w:val="1"/>
                <w:bCs w:val="1"/>
                <w:color w:val="auto"/>
                <w:w w:val="89"/>
              </w:rPr>
              <w:t>606</w:t>
            </w:r>
          </w:p>
        </w:tc>
      </w:tr>
      <w:tr>
        <w:trPr>
          <w:trHeight w:val="33"/>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5,665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5,665</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Revenue earned but not billed</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20,758</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2,664</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35,805</w:t>
            </w:r>
          </w:p>
        </w:tc>
      </w:tr>
      <w:tr>
        <w:trPr>
          <w:trHeight w:val="67"/>
        </w:trPr>
        <w:tc>
          <w:tcPr>
            <w:tcW w:w="68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6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9,814</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312</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13,915</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531</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16,847</w:t>
            </w:r>
          </w:p>
        </w:tc>
      </w:tr>
      <w:tr>
        <w:trPr>
          <w:trHeight w:val="223"/>
        </w:trPr>
        <w:tc>
          <w:tcPr>
            <w:tcW w:w="68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6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9"/>
        </w:trPr>
        <w:tc>
          <w:tcPr>
            <w:tcW w:w="6860" w:type="dxa"/>
            <w:vAlign w:val="bottom"/>
          </w:tcPr>
          <w:p>
            <w:pPr>
              <w:ind w:left="40"/>
              <w:spacing w:after="0"/>
              <w:rPr>
                <w:sz w:val="20"/>
                <w:szCs w:val="20"/>
                <w:color w:val="auto"/>
              </w:rPr>
            </w:pPr>
            <w:r>
              <w:rPr>
                <w:rFonts w:ascii="Arial" w:cs="Arial" w:eastAsia="Arial" w:hAnsi="Arial"/>
                <w:sz w:val="18"/>
                <w:szCs w:val="18"/>
                <w:color w:val="auto"/>
                <w:w w:val="92"/>
              </w:rPr>
              <w:t>Preferred stock, $0.01 par value: Shares authorized: 30,000,000 at September 30, 2018 and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w w:val="89"/>
              </w:rPr>
              <w:t>March 31, 2018; no shares issued and outstanding at September 30, 2018 and March 31, 2018</w:t>
            </w:r>
          </w:p>
        </w:tc>
        <w:tc>
          <w:tcPr>
            <w:tcW w:w="1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Common stock, no par value: Shares authorized: 200,000,000 at September 30, 2018 and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March 31, 2018; shares issued: 38,974,961 at September 30, 2018 and 38,384,575 at March</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shd w:val="clear" w:color="auto" w:fill="CCEEFF"/>
              </w:rPr>
              <w:t>31, 2018; shares outstanding: 29,537,474 at September 30, 2018 and 28,953,183 at March 31,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155,442</w:t>
            </w:r>
          </w:p>
        </w:tc>
      </w:tr>
      <w:tr>
        <w:trPr>
          <w:trHeight w:val="27"/>
        </w:trPr>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Treasury stock, common shares: 9,437,487 at September 30, 2018 and 9,431,392 at March 31,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(100,394)</w:t>
            </w:r>
          </w:p>
        </w:tc>
      </w:tr>
      <w:tr>
        <w:trPr>
          <w:trHeight w:val="27"/>
        </w:trPr>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18,958</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35,937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35,805</w:t>
            </w:r>
          </w:p>
        </w:tc>
      </w:tr>
      <w:tr>
        <w:trPr>
          <w:trHeight w:val="27"/>
        </w:trPr>
        <w:tc>
          <w:tcPr>
            <w:tcW w:w="6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30" w:right="239" w:bottom="1440" w:gutter="0" w:footer="0" w:header="0"/>
          <w:type w:val="continuous"/>
        </w:sectPr>
      </w:pPr>
    </w:p>
    <w:bookmarkStart w:id="14" w:name="page15"/>
    <w:bookmarkEnd w:id="1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631"/>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711"/>
              <w:spacing w:after="0"/>
              <w:rPr>
                <w:sz w:val="20"/>
                <w:szCs w:val="20"/>
                <w:color w:val="auto"/>
              </w:rPr>
            </w:pPr>
            <w:r>
              <w:rPr>
                <w:rFonts w:ascii="Arial" w:cs="Arial" w:eastAsia="Arial" w:hAnsi="Arial"/>
                <w:sz w:val="14"/>
                <w:szCs w:val="14"/>
                <w:b w:val="1"/>
                <w:bCs w:val="1"/>
                <w:color w:val="auto"/>
              </w:rPr>
              <w:t>Six Months Ended September 30, 2018</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Balances without</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8"/>
              </w:rPr>
              <w:t>Balances without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As Reported</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Adjustments</w:t>
            </w:r>
          </w:p>
        </w:tc>
        <w:tc>
          <w:tcPr>
            <w:tcW w:w="120" w:type="dxa"/>
            <w:vAlign w:val="bottom"/>
          </w:tcPr>
          <w:p>
            <w:pPr>
              <w:spacing w:after="0"/>
              <w:rPr>
                <w:sz w:val="12"/>
                <w:szCs w:val="12"/>
                <w:color w:val="auto"/>
              </w:rPr>
            </w:pPr>
          </w:p>
        </w:tc>
        <w:tc>
          <w:tcPr>
            <w:tcW w:w="13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application of ASC</w:t>
            </w:r>
          </w:p>
        </w:tc>
        <w:tc>
          <w:tcPr>
            <w:tcW w:w="180" w:type="dxa"/>
            <w:vAlign w:val="bottom"/>
          </w:tcPr>
          <w:p>
            <w:pPr>
              <w:spacing w:after="0"/>
              <w:rPr>
                <w:sz w:val="12"/>
                <w:szCs w:val="12"/>
                <w:color w:val="auto"/>
              </w:rPr>
            </w:pPr>
          </w:p>
        </w:tc>
        <w:tc>
          <w:tcPr>
            <w:tcW w:w="10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vMerge w:val="restart"/>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application of ASC</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606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19,092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20,285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29,488,363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29,488,363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29,280,421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29,280,421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0.00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Weighted-average common shares and share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 outstanding</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29,488,363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29,488,363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29,280,421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29,280,421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4" w:right="239" w:bottom="1440" w:gutter="0" w:footer="0" w:header="0"/>
          <w:type w:val="continuous"/>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right"/>
              <w:ind w:right="591"/>
              <w:spacing w:after="0"/>
              <w:rPr>
                <w:sz w:val="20"/>
                <w:szCs w:val="20"/>
                <w:color w:val="auto"/>
              </w:rPr>
            </w:pPr>
            <w:r>
              <w:rPr>
                <w:rFonts w:ascii="Arial" w:cs="Arial" w:eastAsia="Arial" w:hAnsi="Arial"/>
                <w:sz w:val="14"/>
                <w:szCs w:val="14"/>
                <w:b w:val="1"/>
                <w:bCs w:val="1"/>
                <w:color w:val="auto"/>
              </w:rPr>
              <w:t>Six Months Ended September 30, 2018</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8"/>
              </w:rPr>
              <w:t>Balances without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6"/>
              </w:rPr>
              <w:t>application of ASC</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31"/>
              <w:spacing w:after="0"/>
              <w:rPr>
                <w:sz w:val="20"/>
                <w:szCs w:val="20"/>
                <w:color w:val="auto"/>
              </w:rPr>
            </w:pPr>
            <w:r>
              <w:rPr>
                <w:rFonts w:ascii="Arial" w:cs="Arial" w:eastAsia="Arial" w:hAnsi="Arial"/>
                <w:sz w:val="14"/>
                <w:szCs w:val="14"/>
                <w:b w:val="1"/>
                <w:bCs w:val="1"/>
                <w:color w:val="auto"/>
              </w:rPr>
              <w:t>606</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inventory reserves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Provision for bad debts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Revenue earned but not billed</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766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Additions to patents and licenses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33,011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September 30, 2018, and March 31, 2018, Orion's Accounts receivable and Allowance for doubtful accounts balances were as follows (dollars in thousands):</w:t>
      </w:r>
    </w:p>
    <w:p>
      <w:pPr>
        <w:sectPr>
          <w:pgSz w:w="11900" w:h="16838" w:orient="portrait"/>
          <w:cols w:equalWidth="0" w:num="1">
            <w:col w:w="11380"/>
          </w:cols>
          <w:pgMar w:left="240" w:top="607" w:right="279" w:bottom="1440" w:gutter="0" w:footer="0" w:header="0"/>
        </w:sectPr>
      </w:pP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76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0" w:type="dxa"/>
            <w:vAlign w:val="bottom"/>
          </w:tcPr>
          <w:p>
            <w:pPr>
              <w:spacing w:after="0"/>
              <w:rPr>
                <w:sz w:val="1"/>
                <w:szCs w:val="1"/>
                <w:color w:val="auto"/>
              </w:rPr>
            </w:pPr>
          </w:p>
        </w:tc>
      </w:tr>
      <w:tr>
        <w:trPr>
          <w:trHeight w:val="243"/>
        </w:trPr>
        <w:tc>
          <w:tcPr>
            <w:tcW w:w="8760" w:type="dxa"/>
            <w:vAlign w:val="bottom"/>
          </w:tcPr>
          <w:p>
            <w:pPr>
              <w:spacing w:after="0"/>
              <w:rPr>
                <w:sz w:val="20"/>
                <w:szCs w:val="20"/>
                <w:color w:val="auto"/>
              </w:rPr>
            </w:pPr>
            <w:r>
              <w:rPr>
                <w:rFonts w:ascii="Arial" w:cs="Arial" w:eastAsia="Arial" w:hAnsi="Arial"/>
                <w:sz w:val="18"/>
                <w:szCs w:val="18"/>
                <w:color w:val="auto"/>
              </w:rPr>
              <w:t>Accounts receivable, gross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70"/>
        </w:trPr>
        <w:tc>
          <w:tcPr>
            <w:tcW w:w="87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876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60" w:type="dxa"/>
            <w:vAlign w:val="bottom"/>
            <w:vMerge w:val="continue"/>
          </w:tcPr>
          <w:p>
            <w:pPr>
              <w:spacing w:after="0"/>
              <w:rPr>
                <w:sz w:val="20"/>
                <w:szCs w:val="20"/>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March 31, 2018, Orion's Inventory balances were as follows (dollars in thousands):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Reserve</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As of September 30, 2018</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740" w:type="dxa"/>
            <w:vAlign w:val="bottom"/>
          </w:tcPr>
          <w:p>
            <w:pPr>
              <w:ind w:left="14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774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color w:val="auto"/>
              </w:rPr>
              <w:t>As of March 31, 2018</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6,073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774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11,197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-1303020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7"/>
        <w:spacing w:after="0"/>
        <w:rPr>
          <w:sz w:val="20"/>
          <w:szCs w:val="20"/>
          <w:color w:val="auto"/>
        </w:rPr>
      </w:pPr>
      <w:r>
        <w:rPr>
          <w:rFonts w:ascii="Arial" w:cs="Arial" w:eastAsia="Arial" w:hAnsi="Arial"/>
          <w:sz w:val="14"/>
          <w:szCs w:val="14"/>
          <w:b w:val="1"/>
          <w:bCs w:val="1"/>
          <w:color w:val="auto"/>
        </w:rPr>
        <w:t>March 31, 2018</w:t>
      </w:r>
    </w:p>
    <w:p>
      <w:pPr>
        <w:spacing w:after="0" w:line="63" w:lineRule="exact"/>
        <w:rPr>
          <w:sz w:val="20"/>
          <w:szCs w:val="20"/>
          <w:color w:val="auto"/>
        </w:rPr>
      </w:pPr>
    </w:p>
    <w:p>
      <w:pPr>
        <w:ind w:left="587" w:hanging="587"/>
        <w:spacing w:after="0"/>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8,886</w:t>
      </w:r>
    </w:p>
    <w:p>
      <w:pPr>
        <w:spacing w:after="0" w:line="63" w:lineRule="exact"/>
        <w:rPr>
          <w:rFonts w:ascii="Arial" w:cs="Arial" w:eastAsia="Arial" w:hAnsi="Arial"/>
          <w:sz w:val="18"/>
          <w:szCs w:val="18"/>
          <w:color w:val="auto"/>
        </w:rPr>
      </w:pPr>
    </w:p>
    <w:p>
      <w:pPr>
        <w:ind w:left="667"/>
        <w:spacing w:after="0"/>
        <w:rPr>
          <w:rFonts w:ascii="Arial" w:cs="Arial" w:eastAsia="Arial" w:hAnsi="Arial"/>
          <w:sz w:val="18"/>
          <w:szCs w:val="18"/>
          <w:color w:val="auto"/>
        </w:rPr>
      </w:pPr>
      <w:r>
        <w:rPr>
          <w:rFonts w:ascii="Arial" w:cs="Arial" w:eastAsia="Arial" w:hAnsi="Arial"/>
          <w:sz w:val="17"/>
          <w:szCs w:val="17"/>
          <w:color w:val="auto"/>
        </w:rPr>
        <w:t>(150)</w:t>
      </w:r>
    </w:p>
    <w:p>
      <w:pPr>
        <w:spacing w:after="0" w:line="88" w:lineRule="exact"/>
        <w:rPr>
          <w:sz w:val="20"/>
          <w:szCs w:val="20"/>
          <w:color w:val="auto"/>
        </w:rPr>
      </w:pPr>
    </w:p>
    <w:p>
      <w:pPr>
        <w:ind w:left="587" w:hanging="587"/>
        <w:spacing w:after="0"/>
        <w:tabs>
          <w:tab w:leader="none" w:pos="587" w:val="left"/>
        </w:tabs>
        <w:numPr>
          <w:ilvl w:val="0"/>
          <w:numId w:val="6"/>
        </w:numPr>
        <w:rPr>
          <w:rFonts w:ascii="Arial" w:cs="Arial" w:eastAsia="Arial" w:hAnsi="Arial"/>
          <w:sz w:val="18"/>
          <w:szCs w:val="18"/>
          <w:color w:val="auto"/>
        </w:rPr>
      </w:pPr>
      <w:r>
        <w:rPr>
          <w:rFonts w:ascii="Arial" w:cs="Arial" w:eastAsia="Arial" w:hAnsi="Arial"/>
          <w:sz w:val="18"/>
          <w:szCs w:val="18"/>
          <w:color w:val="auto"/>
        </w:rPr>
        <w:t>8,736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7"/>
        <w:spacing w:after="0"/>
        <w:rPr>
          <w:sz w:val="20"/>
          <w:szCs w:val="20"/>
          <w:color w:val="auto"/>
        </w:rPr>
      </w:pPr>
      <w:r>
        <w:rPr>
          <w:rFonts w:ascii="Arial" w:cs="Arial" w:eastAsia="Arial" w:hAnsi="Arial"/>
          <w:sz w:val="14"/>
          <w:szCs w:val="14"/>
          <w:b w:val="1"/>
          <w:bCs w:val="1"/>
          <w:color w:val="auto"/>
        </w:rPr>
        <w:t>Net</w:t>
      </w:r>
    </w:p>
    <w:p>
      <w:pPr>
        <w:spacing w:after="0" w:line="334" w:lineRule="exact"/>
        <w:rPr>
          <w:sz w:val="20"/>
          <w:szCs w:val="20"/>
          <w:color w:val="auto"/>
        </w:rPr>
      </w:pPr>
    </w:p>
    <w:p>
      <w:pPr>
        <w:ind w:left="587" w:hanging="587"/>
        <w:spacing w:after="0"/>
        <w:tabs>
          <w:tab w:leader="none" w:pos="587" w:val="left"/>
        </w:tabs>
        <w:numPr>
          <w:ilvl w:val="0"/>
          <w:numId w:val="7"/>
        </w:numPr>
        <w:rPr>
          <w:rFonts w:ascii="Arial" w:cs="Arial" w:eastAsia="Arial" w:hAnsi="Arial"/>
          <w:sz w:val="18"/>
          <w:szCs w:val="18"/>
          <w:color w:val="auto"/>
        </w:rPr>
      </w:pPr>
      <w:r>
        <w:rPr>
          <w:rFonts w:ascii="Arial" w:cs="Arial" w:eastAsia="Arial" w:hAnsi="Arial"/>
          <w:sz w:val="18"/>
          <w:szCs w:val="18"/>
          <w:color w:val="auto"/>
        </w:rPr>
        <w:t>5,660</w:t>
      </w:r>
    </w:p>
    <w:p>
      <w:pPr>
        <w:spacing w:after="0" w:line="63" w:lineRule="exact"/>
        <w:rPr>
          <w:rFonts w:ascii="Arial" w:cs="Arial" w:eastAsia="Arial" w:hAnsi="Arial"/>
          <w:sz w:val="18"/>
          <w:szCs w:val="18"/>
          <w:color w:val="auto"/>
        </w:rPr>
      </w:pPr>
    </w:p>
    <w:p>
      <w:pPr>
        <w:ind w:left="727"/>
        <w:spacing w:after="0"/>
        <w:rPr>
          <w:rFonts w:ascii="Arial" w:cs="Arial" w:eastAsia="Arial" w:hAnsi="Arial"/>
          <w:sz w:val="18"/>
          <w:szCs w:val="18"/>
          <w:color w:val="auto"/>
        </w:rPr>
      </w:pPr>
      <w:r>
        <w:rPr>
          <w:rFonts w:ascii="Arial" w:cs="Arial" w:eastAsia="Arial" w:hAnsi="Arial"/>
          <w:sz w:val="18"/>
          <w:szCs w:val="18"/>
          <w:color w:val="auto"/>
        </w:rPr>
        <w:t>734</w:t>
      </w:r>
    </w:p>
    <w:p>
      <w:pPr>
        <w:spacing w:after="0" w:line="63" w:lineRule="exact"/>
        <w:rPr>
          <w:sz w:val="20"/>
          <w:szCs w:val="20"/>
          <w:color w:val="auto"/>
        </w:rPr>
      </w:pPr>
    </w:p>
    <w:p>
      <w:pPr>
        <w:ind w:left="587"/>
        <w:spacing w:after="0"/>
        <w:rPr>
          <w:sz w:val="20"/>
          <w:szCs w:val="20"/>
          <w:color w:val="auto"/>
        </w:rPr>
      </w:pPr>
      <w:r>
        <w:rPr>
          <w:rFonts w:ascii="Arial" w:cs="Arial" w:eastAsia="Arial" w:hAnsi="Arial"/>
          <w:sz w:val="18"/>
          <w:szCs w:val="18"/>
          <w:color w:val="auto"/>
        </w:rPr>
        <w:t>1,933</w:t>
      </w:r>
    </w:p>
    <w:p>
      <w:pPr>
        <w:spacing w:after="0" w:line="77" w:lineRule="exact"/>
        <w:rPr>
          <w:sz w:val="20"/>
          <w:szCs w:val="20"/>
          <w:color w:val="auto"/>
        </w:rPr>
      </w:pPr>
    </w:p>
    <w:p>
      <w:pPr>
        <w:ind w:left="587" w:hanging="587"/>
        <w:spacing w:after="0"/>
        <w:tabs>
          <w:tab w:leader="none" w:pos="587" w:val="left"/>
        </w:tabs>
        <w:numPr>
          <w:ilvl w:val="0"/>
          <w:numId w:val="8"/>
        </w:numPr>
        <w:rPr>
          <w:rFonts w:ascii="Arial" w:cs="Arial" w:eastAsia="Arial" w:hAnsi="Arial"/>
          <w:sz w:val="18"/>
          <w:szCs w:val="18"/>
          <w:color w:val="auto"/>
        </w:rPr>
      </w:pPr>
      <w:r>
        <w:rPr>
          <w:rFonts w:ascii="Arial" w:cs="Arial" w:eastAsia="Arial" w:hAnsi="Arial"/>
          <w:sz w:val="18"/>
          <w:szCs w:val="18"/>
          <w:color w:val="auto"/>
        </w:rPr>
        <w:t>8,327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87" w:hanging="587"/>
        <w:spacing w:after="0"/>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4,710</w:t>
      </w:r>
    </w:p>
    <w:p>
      <w:pPr>
        <w:spacing w:after="0" w:line="63" w:lineRule="exact"/>
        <w:rPr>
          <w:rFonts w:ascii="Arial" w:cs="Arial" w:eastAsia="Arial" w:hAnsi="Arial"/>
          <w:sz w:val="18"/>
          <w:szCs w:val="18"/>
          <w:color w:val="auto"/>
        </w:rPr>
      </w:pPr>
    </w:p>
    <w:p>
      <w:pPr>
        <w:ind w:left="727"/>
        <w:spacing w:after="0"/>
        <w:rPr>
          <w:rFonts w:ascii="Arial" w:cs="Arial" w:eastAsia="Arial" w:hAnsi="Arial"/>
          <w:sz w:val="18"/>
          <w:szCs w:val="18"/>
          <w:color w:val="auto"/>
        </w:rPr>
      </w:pPr>
      <w:r>
        <w:rPr>
          <w:rFonts w:ascii="Arial" w:cs="Arial" w:eastAsia="Arial" w:hAnsi="Arial"/>
          <w:sz w:val="18"/>
          <w:szCs w:val="18"/>
          <w:color w:val="auto"/>
        </w:rPr>
        <w:t>927</w:t>
      </w:r>
    </w:p>
    <w:p>
      <w:pPr>
        <w:spacing w:after="0" w:line="63" w:lineRule="exact"/>
        <w:rPr>
          <w:sz w:val="20"/>
          <w:szCs w:val="20"/>
          <w:color w:val="auto"/>
        </w:rPr>
      </w:pPr>
    </w:p>
    <w:p>
      <w:pPr>
        <w:ind w:left="587"/>
        <w:spacing w:after="0"/>
        <w:rPr>
          <w:sz w:val="20"/>
          <w:szCs w:val="20"/>
          <w:color w:val="auto"/>
        </w:rPr>
      </w:pPr>
      <w:r>
        <w:rPr>
          <w:rFonts w:ascii="Arial" w:cs="Arial" w:eastAsia="Arial" w:hAnsi="Arial"/>
          <w:sz w:val="18"/>
          <w:szCs w:val="18"/>
          <w:color w:val="auto"/>
        </w:rPr>
        <w:t>2,189</w:t>
      </w:r>
    </w:p>
    <w:p>
      <w:pPr>
        <w:spacing w:after="0" w:line="77" w:lineRule="exact"/>
        <w:rPr>
          <w:sz w:val="20"/>
          <w:szCs w:val="20"/>
          <w:color w:val="auto"/>
        </w:rPr>
      </w:pPr>
    </w:p>
    <w:p>
      <w:pPr>
        <w:ind w:left="587" w:hanging="587"/>
        <w:spacing w:after="0"/>
        <w:tabs>
          <w:tab w:leader="none" w:pos="5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7,826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832" w:lineRule="exact"/>
        <w:rPr>
          <w:sz w:val="20"/>
          <w:szCs w:val="20"/>
          <w:color w:val="auto"/>
        </w:rPr>
      </w:pPr>
    </w:p>
    <w:p>
      <w:pPr>
        <w:sectPr>
          <w:pgSz w:w="11900" w:h="16838" w:orient="portrait"/>
          <w:cols w:equalWidth="0" w:num="2">
            <w:col w:w="10180" w:space="133"/>
            <w:col w:w="1067"/>
          </w:cols>
          <w:pgMar w:left="240" w:top="607" w:right="27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As of September 30, 2018, and March 31, 2018, Prepaid expenses and other current assets included the following (dollars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March 31, 2018</w:t>
            </w: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 (1)</w:t>
            </w:r>
          </w:p>
        </w:tc>
        <w:tc>
          <w:tcPr>
            <w:tcW w:w="52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1,910</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5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557</w:t>
            </w:r>
          </w:p>
        </w:tc>
      </w:tr>
      <w:tr>
        <w:trPr>
          <w:trHeight w:val="27"/>
        </w:trPr>
        <w:tc>
          <w:tcPr>
            <w:tcW w:w="8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2,467</w:t>
            </w:r>
          </w:p>
        </w:tc>
      </w:tr>
      <w:tr>
        <w:trPr>
          <w:trHeight w:val="20"/>
        </w:trPr>
        <w:tc>
          <w:tcPr>
            <w:tcW w:w="8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40" w:firstLine="440"/>
        <w:spacing w:after="0" w:line="277" w:lineRule="auto"/>
        <w:tabs>
          <w:tab w:leader="none" w:pos="8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April 1, 2018, in conjunction with the adoption of ASC 606, the balance of unbilled Accounts receivable was included in Revenue earned but not billed on the Condensed Consolidated Balance Sheets.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607" w:right="2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March 31, 2018, Property and equipment, net, included the following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11,999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September 30, 2018, a triggering event occurred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In reviewing the asset group for impairment, Orion elected to bypass the qualitative impairment assessment and went directly to performing the Step 1 recoverability test. Orion performed the Step 1 recoverability test for the asset group comparing its carrying value to the group’s expected future undiscounted cash flows. Orion concluded that the undiscounted cash flows of the definite lived asset group exceeded its carrying value. As such the asset group was deemed recoverable and no impairment was recorded.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Equipment included above under capital leases was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92"/>
        </w:trPr>
        <w:tc>
          <w:tcPr>
            <w:tcW w:w="7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net</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Orion recorded depreciation expense of $0.4 and $0.7 million for the three and six months ended September 30, 2018, respectively, and $0.3 and $0.7 million for the three and six months ended September 30,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INTANGIBLE ASSETS, NET</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September 30, 2018, and March 31, 2018, the components of, and changes in, the carrying amount of Other intangible assets, net, were as follows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September 30, 2017, a triggering event occurred requiring Orion to evaluate its long-lived assets for impairment. As such Orion performed a quantitative impairment review of its indefinite lived intangible assets related to the Harris trade name applying the royalty replacement method to determine the asset’s fair value as of September 30, 2017. Under the royalty replacement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07" w:right="239" w:bottom="1440"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7"/>
          <w:szCs w:val="17"/>
          <w:color w:val="auto"/>
        </w:rPr>
        <w:t>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This fair value determination was categorized as Level 3 in the fair value hierarchy.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$0.1 and $0.2 million for the three months ended September 30, 2018 and 2017,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on intangible assets was $0.2 and $0.3 million for the six months ended September 30, 2018 and 2017, respectively.</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the weighted average remaining useful life of intangible assets was 5.2 years.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amortization expense for the remainder of fiscal 2019, the next five fiscal years and beyond is shown below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00" w:type="dxa"/>
            <w:vAlign w:val="bottom"/>
            <w:shd w:val="clear" w:color="auto" w:fill="BFE4FF"/>
          </w:tcPr>
          <w:p>
            <w:pPr>
              <w:ind w:left="40"/>
              <w:spacing w:after="0"/>
              <w:rPr>
                <w:sz w:val="20"/>
                <w:szCs w:val="20"/>
                <w:color w:val="auto"/>
              </w:rPr>
            </w:pPr>
            <w:r>
              <w:rPr>
                <w:rFonts w:ascii="Arial" w:cs="Arial" w:eastAsia="Arial" w:hAnsi="Arial"/>
                <w:sz w:val="18"/>
                <w:szCs w:val="18"/>
                <w:color w:val="auto"/>
              </w:rPr>
              <w:t>Fiscal 2019 (period remaining)</w:t>
            </w:r>
          </w:p>
        </w:tc>
        <w:tc>
          <w:tcPr>
            <w:tcW w:w="720" w:type="dxa"/>
            <w:vAlign w:val="bottom"/>
            <w:shd w:val="clear" w:color="auto" w:fill="BFE4FF"/>
          </w:tcPr>
          <w:p>
            <w:pPr>
              <w:spacing w:after="0"/>
              <w:rPr>
                <w:sz w:val="23"/>
                <w:szCs w:val="23"/>
                <w:color w:val="auto"/>
              </w:rPr>
            </w:pPr>
          </w:p>
        </w:tc>
        <w:tc>
          <w:tcPr>
            <w:tcW w:w="640" w:type="dxa"/>
            <w:vAlign w:val="bottom"/>
            <w:gridSpan w:val="2"/>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BFE4FF"/>
          </w:tcPr>
          <w:p>
            <w:pPr>
              <w:spacing w:after="0"/>
              <w:rPr>
                <w:sz w:val="23"/>
                <w:szCs w:val="23"/>
                <w:color w:val="auto"/>
              </w:rPr>
            </w:pPr>
          </w:p>
        </w:tc>
        <w:tc>
          <w:tcPr>
            <w:tcW w:w="14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2021</w:t>
            </w:r>
          </w:p>
        </w:tc>
        <w:tc>
          <w:tcPr>
            <w:tcW w:w="7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2023</w:t>
            </w:r>
          </w:p>
        </w:tc>
        <w:tc>
          <w:tcPr>
            <w:tcW w:w="72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NOTE 9 — ACCRUED EXPENSES AND OTHER</w:t>
            </w: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7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20" w:type="dxa"/>
            <w:vAlign w:val="bottom"/>
            <w:gridSpan w:val="2"/>
          </w:tcPr>
          <w:p>
            <w:pPr>
              <w:ind w:left="440"/>
              <w:spacing w:after="0"/>
              <w:rPr>
                <w:sz w:val="20"/>
                <w:szCs w:val="20"/>
                <w:color w:val="auto"/>
              </w:rPr>
            </w:pPr>
            <w:r>
              <w:rPr>
                <w:rFonts w:ascii="Arial" w:cs="Arial" w:eastAsia="Arial" w:hAnsi="Arial"/>
                <w:sz w:val="18"/>
                <w:szCs w:val="18"/>
                <w:color w:val="auto"/>
                <w:w w:val="91"/>
              </w:rPr>
              <w:t>As of September 30, 2018, and March 31, 2018, Accrued expenses and other included the following (dollars in thousands):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70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24"/>
                <w:szCs w:val="2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720" w:type="dxa"/>
            <w:vAlign w:val="bottom"/>
            <w:tcBorders>
              <w:top w:val="single" w:sz="8" w:color="auto"/>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Accrued taxes</w:t>
            </w:r>
          </w:p>
        </w:tc>
        <w:tc>
          <w:tcPr>
            <w:tcW w:w="720" w:type="dxa"/>
            <w:vAlign w:val="bottom"/>
          </w:tcPr>
          <w:p>
            <w:pPr>
              <w:spacing w:after="0"/>
              <w:rPr>
                <w:sz w:val="21"/>
                <w:szCs w:val="21"/>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Legal and professional fees</w:t>
            </w:r>
          </w:p>
        </w:tc>
        <w:tc>
          <w:tcPr>
            <w:tcW w:w="720" w:type="dxa"/>
            <w:vAlign w:val="bottom"/>
          </w:tcPr>
          <w:p>
            <w:pPr>
              <w:spacing w:after="0"/>
              <w:rPr>
                <w:sz w:val="21"/>
                <w:szCs w:val="21"/>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Sales returns reserve (1)</w:t>
            </w:r>
          </w:p>
        </w:tc>
        <w:tc>
          <w:tcPr>
            <w:tcW w:w="720" w:type="dxa"/>
            <w:vAlign w:val="bottom"/>
          </w:tcPr>
          <w:p>
            <w:pPr>
              <w:spacing w:after="0"/>
              <w:rPr>
                <w:sz w:val="21"/>
                <w:szCs w:val="21"/>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Credits due to customers (1)</w:t>
            </w: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720" w:type="dxa"/>
            <w:vAlign w:val="bottom"/>
          </w:tcPr>
          <w:p>
            <w:pPr>
              <w:spacing w:after="0"/>
              <w:rPr>
                <w:sz w:val="21"/>
                <w:szCs w:val="21"/>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13"/>
        <w:spacing w:after="0" w:line="311" w:lineRule="auto"/>
        <w:tabs>
          <w:tab w:leader="none" w:pos="8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returns reserve was previously classified in Accounts receivable, net and Credits due to customers was previously classified in Accounts payable. As of April 1, 2018, in conjunction with the adoption of ASC 606, these balances are now included in Accrued expenses and other on the Condensed Consolidated Balance Sheets.</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ballasts, LED modules, chips and drivers, control devices, and other fixture related items, which are significant components in Orion's lighting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Reclassification on adoption of ASC 606</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to product cost of revenue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Charges</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LOSS PER COMMON SHARE</w:t>
      </w:r>
    </w:p>
    <w:p>
      <w:pPr>
        <w:spacing w:after="0" w:line="94" w:lineRule="exact"/>
        <w:rPr>
          <w:sz w:val="20"/>
          <w:szCs w:val="20"/>
          <w:color w:val="auto"/>
        </w:rPr>
      </w:pPr>
    </w:p>
    <w:p>
      <w:pPr>
        <w:ind w:right="480" w:firstLine="432"/>
        <w:spacing w:after="0" w:line="258" w:lineRule="auto"/>
        <w:rPr>
          <w:sz w:val="20"/>
          <w:szCs w:val="20"/>
          <w:color w:val="auto"/>
        </w:rPr>
      </w:pPr>
      <w:r>
        <w:rPr>
          <w:rFonts w:ascii="Arial" w:cs="Arial" w:eastAsia="Arial" w:hAnsi="Arial"/>
          <w:sz w:val="18"/>
          <w:szCs w:val="18"/>
          <w:color w:val="auto"/>
        </w:rPr>
        <w:t>Basic net loss per common share is computed by dividing Basic net loss attributable to common shareholders by the Weighted-average number of common shares outstanding for the period and does not consider common stock equivalents.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three and six months ended September 30, 2018 and 2017, Orion was in a net loss position; therefore, the Basic and Diluted Weighted average shares outstanding are equal because any increase to the basic shares would be anti-dilutive. Basic and Diluted net loss per common share was calculated based upon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29,488,363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28,834,868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29,280,421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28,646,188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29,488,363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28,834,868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29,280,421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28,646,188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993,011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1,365,678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1,536,506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1,850,514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2,529,517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(dollars in thousands):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September 30, 2018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lease obligations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2018, Orion had an amended credit agreement ("Credit Agreement") that provided for a revolving credit facility ("Credit Facility") subject to a borrowing base requirement based on eligible receivables and inventory. As of September 30, 2018, Orion's borrowing base was approximately $1.5 million. The Credit Facility had a maturity date of February 6, 2021, and included a $2.0 million sublimit for the issuance of letters of credit. As of September 30, 2018, Orion had no outstanding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9"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letters of credit. Borrowings outstanding as of September 30, 2018, amounted to approximately $1.4 million and were included in non-current liabilities in the accompanying Condensed Consolidated Balance Sheets. Orion estimates that, as of September 30, 2018, it was eligible to borrow an additional $0.1 million under the Credit Facility based upon its then current levels of eligible Inventory and Accounts receivable.</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provided for a $15.0 million Credit Facility. This limit was eligible for an increase to $20.0 million based on a borrowing base requirement, if Orion satisfied certain conditions. Orion did not meet the requirements to increase the borrowing limit to $20.0 million as of July 31, 2018, the most recent measurement date.</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required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contained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September 30, 2018.</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subsidiary of Orion was a joint and several co-borrower or guarantor under the Credit Agreement, and the Credit Agreement was secured by a security interest in substantially all of Orion’s and each subsidiary’s personal property (excluding various assets relating to customer Orion Throughput Agreements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bore interest at the daily three-month LIBOR plus 3.0% per annum, with a minimum interest charge for each year or portion of a year during the term of the Credit Agreement of $0.1 million, regardless of usage. As of September 30, 2018, the interest rate was 5.40%. Orion was required to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"Subsequent Events" for a discussion of Orion's new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June 2015, Orion entered into a lease agreement with a financing company in the principal amount of $0.4 million to fund certain equipment. The lease is secured by the related equipment. The lease bears interest at a rate of 3.6%, and matures in June 2020. The lease contains a one dollar buyout option.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was secured by the OTA-related equipment and the expected future monthly payments under the supporting 25 individual OTA customer contracts. The borrowing agreement bore an interest rate of 8.36% and matured in April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September 2010, Orion entered into a note agreement with the Wisconsin Department of Commerce that provided Orion with $0.3 million to fund Orion’s rooftop solar project at its Manitowoc facility. The note matured in June 2017 and was paid in full upon maturity.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income tax provision was determined by applying an estimated annual effective tax rate based upon the facts and circumstances known to book loss before income tax, adjusting for discrete items. The actual effective tax rate is adjusted each interim period, as appropriate, for changes in facts and circumstances. For the three-month period ended September 30, 2018 and 2017, Orion recorded income tax expense of $4,117 and $0, respectively, using this methodology. For the six-month period ended September 30, 2018 and 2017, Orion recorded income tax expense of $25,748 and $0, respectively, using this methodology.</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and March 31, 2018, Orion had a full valuation allowance recorded against its deferred tax assets. Orion considers future taxable income and ongoing prudent and feasible tax planning strategies in assessing the need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valuation allowance. In the event that Orion determines that the deferred tax assets are able to be realized, an adjustment to the deferred tax asset would increase income in the period such determination is made.</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continues to evaluate the impact of the Tax Cut and Jobs Act ("Act") enacted December 22, 2017. The Act significantly changed U.S tax law by, among other things, reducing the U.S. federal corporate tax rate from 35% to 21%, imposing a one-time transition tax on earnings of certain foreign subsidiaries that were previously tax deferred, and creating new taxes on certain foreign sourced earnings.</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fiscal 2018, Orion recognized a provisional reduction to its deferred tax assets of $9.9 million related to the Act. Substantially all of this decrease was offset by a corresponding decrease to the valuation allowance. Orion also provisionally estimated it would incur no transition tax. As of September 30, 2018, Orion has not adjusted its provisional estimates. Because Orion remains in a loss position and has a full valuation allowance, Orion does not anticipate an impact to the condensed income statement if there is a change to these provisional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the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these operating leases was $0.1 million and $0.2 million for the three months ended September 30, 2018 and 2017, respectively. Rent expense under these operating leases was $0.3 million and $0.4 million for the six months ended September 30,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was a party to the proceedings described below.</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27, 2014, Orion was named as a defendant in a civil lawsuit filed by Neal R. Verfuerth, a former chief executive officer who left Orion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January 11, 2018, a three judge panel of the United States Court of Appeals Seventh Circuit unanimously affirmed the dismissal of all of the plaintiff’s claims against Orion.</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November 10, 2017, a purported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purported to bring the suit derivatively on behalf of Orion, alleged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During the first quarter of fiscal 2019, the parties reached a settlement of the claims and the case was dismissed. The settlement did not have a material impact on Orion's results of operations or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 2018, Orion was notified of a pending sales and use tax audit by the Wisconsin Department of Revenue for the period covering April 1, 2013 through March 31, 2017. Although the final resolution of Orion's sales and use tax audit is uncertain, based on current information, in the opinion of Orion's management, the ultimate disposition of these matters will not have a material adverse effect on Orion's consolidated balance sheet, statements of operations, or liquidity.</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fiscal year 2019, Orion was notified of a pending sales and use tax audit by the California Department of Tax and Fee Administration for the period covering April 1, 2015 through March 31, 2018. Although the final resolution of Orion's sales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30"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and use tax audit is uncertain, based on current information, in the opinion of Orion's management, the ultimate disposition of these matters will not have a material adverse effect on the Orion's consolidated balance sheet, statements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issued the following shares from treasury during the six months ended September 30, 2018:</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ESPP</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June 30, 2018</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866</w:t>
            </w: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$1.10</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Quarter Ended September 30, 2018</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938</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$0.96</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issued in fiscal 2019</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1,804</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$0.96 - 1.10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$4,000 of such loans remained outstanding and were reflected on Orion’s balance sheet as a contra-equity account. During the nine months ended December 31, 2017,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OPTIONS AND RESTRICTED SHARES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common stock, restricted stock, restricted stock units, incentive awards or dividend equivalent units.</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are outstanding will continue to be governed by the Former Plan. Forfeited awards originally issued under the Former Plan are canceled and are not available for subsequent issuance under the Plan. The Plan and the Former Plan also permit accelerated vesting in the event of certain changes of control of Orion as well as under other special circumstances.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70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9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20"/>
                <w:szCs w:val="20"/>
                <w:color w:val="auto"/>
              </w:rPr>
            </w:pPr>
          </w:p>
        </w:tc>
        <w:tc>
          <w:tcPr>
            <w:tcW w:w="760" w:type="dxa"/>
            <w:vAlign w:val="bottom"/>
            <w:tcBorders>
              <w:top w:val="single" w:sz="8" w:color="auto"/>
            </w:tcBorders>
          </w:tcPr>
          <w:p>
            <w:pPr>
              <w:jc w:val="right"/>
              <w:ind w:right="56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940" w:type="dxa"/>
            <w:vAlign w:val="bottom"/>
            <w:vMerge w:val="restart"/>
          </w:tcPr>
          <w:p>
            <w:pPr>
              <w:jc w:val="right"/>
              <w:ind w:right="850"/>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94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During the first six months of fiscal 2019, Orion had the following activity related to its stock-based compensation: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Restricted Shares</w:t>
            </w:r>
          </w:p>
        </w:tc>
        <w:tc>
          <w:tcPr>
            <w:tcW w:w="16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Stock Options</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1,485,799</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629,667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granted</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519,000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vested</w:t>
            </w:r>
          </w:p>
        </w:tc>
        <w:tc>
          <w:tcPr>
            <w:tcW w:w="22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(591,659)</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forfeited</w:t>
            </w:r>
          </w:p>
        </w:tc>
        <w:tc>
          <w:tcPr>
            <w:tcW w:w="2200" w:type="dxa"/>
            <w:vAlign w:val="bottom"/>
          </w:tcPr>
          <w:p>
            <w:pPr>
              <w:jc w:val="right"/>
              <w:ind w:right="213"/>
              <w:spacing w:after="0"/>
              <w:rPr>
                <w:sz w:val="20"/>
                <w:szCs w:val="20"/>
                <w:color w:val="auto"/>
              </w:rPr>
            </w:pPr>
            <w:r>
              <w:rPr>
                <w:rFonts w:ascii="Arial" w:cs="Arial" w:eastAsia="Arial" w:hAnsi="Arial"/>
                <w:sz w:val="18"/>
                <w:szCs w:val="18"/>
                <w:color w:val="auto"/>
              </w:rPr>
              <w:t>(47,462)</w:t>
            </w:r>
          </w:p>
        </w:tc>
        <w:tc>
          <w:tcPr>
            <w:tcW w:w="1680" w:type="dxa"/>
            <w:vAlign w:val="bottom"/>
          </w:tcPr>
          <w:p>
            <w:pPr>
              <w:jc w:val="right"/>
              <w:spacing w:after="0"/>
              <w:rPr>
                <w:sz w:val="20"/>
                <w:szCs w:val="20"/>
                <w:color w:val="auto"/>
              </w:rPr>
            </w:pPr>
            <w:r>
              <w:rPr>
                <w:rFonts w:ascii="Arial" w:cs="Arial" w:eastAsia="Arial" w:hAnsi="Arial"/>
                <w:sz w:val="18"/>
                <w:szCs w:val="18"/>
                <w:color w:val="auto"/>
              </w:rPr>
              <w:t>(144,831)</w:t>
            </w:r>
          </w:p>
        </w:tc>
      </w:tr>
      <w:tr>
        <w:trPr>
          <w:trHeight w:val="27"/>
        </w:trPr>
        <w:tc>
          <w:tcPr>
            <w:tcW w:w="75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2018</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1,365,678</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484,836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Per share price on grant date</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0.84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As of September 30, 2018, the amount of deferred stock-based compensation expense to be recognized, over a remaining period of 1.9 years, was approximately $1.2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16 — SEGMENTS</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Revenues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6"/>
                <w:szCs w:val="16"/>
                <w:color w:val="auto"/>
              </w:rPr>
            </w:pPr>
          </w:p>
        </w:tc>
        <w:tc>
          <w:tcPr>
            <w:tcW w:w="34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For the Three Months Ended September 30,</w:t>
            </w:r>
          </w:p>
        </w:tc>
      </w:tr>
      <w:tr>
        <w:trPr>
          <w:trHeight w:val="66"/>
        </w:trPr>
        <w:tc>
          <w:tcPr>
            <w:tcW w:w="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auto"/>
            </w:tcBorders>
          </w:tcPr>
          <w:p>
            <w:pPr>
              <w:spacing w:after="0"/>
              <w:rPr>
                <w:sz w:val="22"/>
                <w:szCs w:val="2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Orion Engineered Systems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Orion Distribution Services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Orion U.S. Markets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13,198</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Revenues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Six Months Ended September 30,</w:t>
            </w:r>
          </w:p>
        </w:tc>
        <w:tc>
          <w:tcPr>
            <w:tcW w:w="340" w:type="dxa"/>
            <w:vAlign w:val="bottom"/>
          </w:tcPr>
          <w:p>
            <w:pPr>
              <w:spacing w:after="0"/>
              <w:rPr>
                <w:sz w:val="16"/>
                <w:szCs w:val="16"/>
                <w:color w:val="auto"/>
              </w:rPr>
            </w:pPr>
          </w:p>
        </w:tc>
        <w:tc>
          <w:tcPr>
            <w:tcW w:w="34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For the Six Months Ended September 30,</w:t>
            </w:r>
          </w:p>
        </w:tc>
      </w:tr>
      <w:tr>
        <w:trPr>
          <w:trHeight w:val="66"/>
        </w:trPr>
        <w:tc>
          <w:tcPr>
            <w:tcW w:w="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8"/>
        </w:trPr>
        <w:tc>
          <w:tcPr>
            <w:tcW w:w="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jc w:val="right"/>
              <w:ind w:right="6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Orion Engineered Systems</w:t>
            </w:r>
          </w:p>
        </w:tc>
        <w:tc>
          <w:tcPr>
            <w:tcW w:w="118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8,366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Distribution Services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14,100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27,020</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60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17 — REORGANIZATION OF BUSINESS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2018, Orion executed on a cost reduction plan by entering into separation agreements with multiple employees. Orion's restructuring expense for the three and six months ended September 30, 2018 and 2017 is reflected within its Condensed Consolidated Statements of Operations as follows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4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Pr>
          <w:p>
            <w:pPr>
              <w:spacing w:after="0"/>
              <w:rPr>
                <w:sz w:val="16"/>
                <w:szCs w:val="16"/>
                <w:color w:val="auto"/>
              </w:rPr>
            </w:pPr>
          </w:p>
        </w:tc>
        <w:tc>
          <w:tcPr>
            <w:tcW w:w="21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1"/>
              </w:rPr>
              <w:t>Six Months Ended September 30,</w:t>
            </w:r>
          </w:p>
        </w:tc>
      </w:tr>
      <w:tr>
        <w:trPr>
          <w:trHeight w:val="276"/>
        </w:trPr>
        <w:tc>
          <w:tcPr>
            <w:tcW w:w="66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1,815</w:t>
            </w:r>
          </w:p>
        </w:tc>
      </w:tr>
      <w:tr>
        <w:trPr>
          <w:trHeight w:val="27"/>
        </w:trPr>
        <w:tc>
          <w:tcPr>
            <w:tcW w:w="6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6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4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7"/>
              </w:rPr>
              <w:t>Three Months Ended September 30,</w:t>
            </w:r>
          </w:p>
        </w:tc>
        <w:tc>
          <w:tcPr>
            <w:tcW w:w="220" w:type="dxa"/>
            <w:vAlign w:val="bottom"/>
          </w:tcPr>
          <w:p>
            <w:pPr>
              <w:spacing w:after="0"/>
              <w:rPr>
                <w:sz w:val="16"/>
                <w:szCs w:val="16"/>
                <w:color w:val="auto"/>
              </w:rPr>
            </w:pPr>
          </w:p>
        </w:tc>
        <w:tc>
          <w:tcPr>
            <w:tcW w:w="22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4"/>
              </w:rPr>
              <w:t>Six Months Ended September 30,</w:t>
            </w:r>
          </w:p>
        </w:tc>
      </w:tr>
      <w:tr>
        <w:trPr>
          <w:trHeight w:val="276"/>
        </w:trPr>
        <w:tc>
          <w:tcPr>
            <w:tcW w:w="65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Orion Distribution Systems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w:t>
            </w: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6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payments for employee separation costs in connection with its reorganization of its business were $6,470 and $0.2 million in the three months ended September 30, 2018 and September 30, 2017, respectively. Cash payments for employee separation costs in connection with the reorganization of its business were $0.1 million and $1.5 million in the six months ended September 30, 2018, and September 30, 2017, respectively. The remaining restructuring cost accruals as of September 30, 2018 were $0.1 million, which represents post-retirement medical benefits for one former employee which will be paid over several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October 26, 2018, Orion and its subsidiaries entered into a new secured revolving Business Financing Agreement with Western Alliance Bank, as lender (the “New Credit Agreement”). The New Credit Agreement replaced the Company’s existing Credit Agreement.</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 Pursuant to the terms of the New Credit Agreement, Orion has a borrowing base of $4.0 million. On October 26, 2018, Orion borrowed $4.0 million under the New Credit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Credit Agreement is secured by a security interest in substantially all of Orion's and its subsidiaries’ personal property.</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Borrowings under the New Credit Agreement generally bear interest at floating rates based upon the prime rate (but not be less than 5.00% per year) plus an applicable margin determined by reference to Orion’s quick ratio (defined as the aggregate amount of unrestricted cash, unrestricted marketable securities and, with certain adjustments, receivables convertible into cash divided by the total current liabilities, including the obligations under the New Credit Agreement). Among other fees, Orion is required to pay an annual facility fee equal to 0.45% of the credit limit under the New Credit Agreement due on October 26, 2018 and on each anniversary thereof. With certain exceptions, if the New Credit Agreement is terminated prior to the first anniversary of the closing date of the New Credit Agreement, Orion is required to pay a termination fee equal to 0.50% of the credit limit under the New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07" w:right="239" w:bottom="1440" w:gutter="0" w:footer="0" w:header="0"/>
        </w:sectPr>
      </w:pPr>
    </w:p>
    <w:bookmarkStart w:id="26" w:name="page27"/>
    <w:bookmarkEnd w:id="26"/>
    <w:p>
      <w:pPr>
        <w:jc w:val="both"/>
        <w:ind w:firstLine="405"/>
        <w:spacing w:after="0" w:line="302" w:lineRule="auto"/>
        <w:rPr>
          <w:sz w:val="20"/>
          <w:szCs w:val="20"/>
          <w:color w:val="auto"/>
        </w:rPr>
      </w:pPr>
      <w:r>
        <w:rPr>
          <w:rFonts w:ascii="Arial" w:cs="Arial" w:eastAsia="Arial" w:hAnsi="Arial"/>
          <w:sz w:val="16"/>
          <w:szCs w:val="16"/>
          <w:color w:val="auto"/>
        </w:rPr>
        <w:t>The New Credit Agreement requires Orion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0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if Orion becomes the subject of voluntary or involuntary proceedings under any bankruptcy or similar law, then any outstanding obligations under the New Credit Agreement will automatically become immediately due and payable.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7" w:name="page28"/>
    <w:bookmarkEnd w:id="27"/>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2018.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provide enterprise-grade light emitting diode ("LED") lighting and energy project solutions.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as the LED market continues to evolve, we have the flexibility to source products and components from third parties in order to provide versatility in our product development.</w:t>
      </w:r>
    </w:p>
    <w:p>
      <w:pPr>
        <w:spacing w:after="0" w:line="13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HIF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HIF or other legacy technologies. Although we continue to sell some lighting products using our legacy HIF technology, we do not build to stock HIF products and instead build to committed customer orders as received. We plan to maintain our primary focus on developing and selling innovative LED products.</w:t>
      </w:r>
    </w:p>
    <w:p>
      <w:pPr>
        <w:spacing w:after="0" w:line="11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ability to achieve our desired revenue growth and profitability goals depends on our ability to effectively engage distribution and sales agents, develop recurring revenue streams, implement our cost reduction initiatives, manage pricing pressures in the LED market, and improve our marketing, new product development, project execution, customer service, margin enhancement and operating expense management, as well as other factors. In addition, the gross margins of our products can vary significantly depending upon the types of products we sell, with margins typically ranging from 15% to 50%. As a result, a change in the total mix of our sales among higher or lower margin products can cause our profitability to fluctuate from period to period.</w:t>
      </w:r>
    </w:p>
    <w:p>
      <w:pPr>
        <w:spacing w:after="0" w:line="1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fiscal year ends on March 31. We refer to our current fiscal year which will end on March 31, 2019 as "fiscal 2019". We refer to our most recently completed fiscal year, which ended on March 31, 2018, as “fiscal 2018”, and our prior fiscal year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4"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which ended on March 31, 2017 as "fiscal 2017". Our fiscal first quarter of each fiscal year ends on June 30, our fiscal second quarter ends on September 30, our fiscal third quarter ends on December 31, and our fiscal fourth quarter ends on March 31.</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Engineered Systems Division ("OES"), Orion Distribution Services Division ("ODS"), and Orion U.S. Markets Division ("USM").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17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LED product end user customer pricing pressure.</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HIF lighting products.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15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During fiscal 2018, we executed on a cost reduction plan to reduce cost and streamline operations. The cost reduction plan included a reduction in headcount, restructuring of management and board compensation, and other cost reduction measures. Restructuring expenses included severance, outplacement services and continued medical benefits for terminated employees for a limited post-employment period.</w:t>
      </w:r>
    </w:p>
    <w:p>
      <w:pPr>
        <w:spacing w:after="0" w:line="2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restructuring expense for the three and six months ended September 30, 2018 and 2017 is reflected within our Condensed Consolidated Statements of Operations as follows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4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6"/>
              </w:rPr>
              <w:t>Three Months Ended September 30,</w:t>
            </w:r>
          </w:p>
        </w:tc>
        <w:tc>
          <w:tcPr>
            <w:tcW w:w="200" w:type="dxa"/>
            <w:vAlign w:val="bottom"/>
          </w:tcPr>
          <w:p>
            <w:pPr>
              <w:spacing w:after="0"/>
              <w:rPr>
                <w:sz w:val="16"/>
                <w:szCs w:val="16"/>
                <w:color w:val="auto"/>
              </w:rPr>
            </w:pPr>
          </w:p>
        </w:tc>
        <w:tc>
          <w:tcPr>
            <w:tcW w:w="21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w w:val="91"/>
              </w:rPr>
              <w:t>Six Months Ended September 30,</w:t>
            </w:r>
          </w:p>
        </w:tc>
      </w:tr>
      <w:tr>
        <w:trPr>
          <w:trHeight w:val="276"/>
        </w:trPr>
        <w:tc>
          <w:tcPr>
            <w:tcW w:w="66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1,815</w:t>
            </w:r>
          </w:p>
        </w:tc>
      </w:tr>
      <w:tr>
        <w:trPr>
          <w:trHeight w:val="27"/>
        </w:trPr>
        <w:tc>
          <w:tcPr>
            <w:tcW w:w="6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6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44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7"/>
              </w:rPr>
              <w:t>Three Months Ended September 30,</w:t>
            </w:r>
          </w:p>
        </w:tc>
        <w:tc>
          <w:tcPr>
            <w:tcW w:w="220" w:type="dxa"/>
            <w:vAlign w:val="bottom"/>
          </w:tcPr>
          <w:p>
            <w:pPr>
              <w:spacing w:after="0"/>
              <w:rPr>
                <w:sz w:val="16"/>
                <w:szCs w:val="16"/>
                <w:color w:val="auto"/>
              </w:rPr>
            </w:pPr>
          </w:p>
        </w:tc>
        <w:tc>
          <w:tcPr>
            <w:tcW w:w="224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4"/>
              </w:rPr>
              <w:t>Six Months Ended September 30,</w:t>
            </w:r>
          </w:p>
        </w:tc>
      </w:tr>
      <w:tr>
        <w:trPr>
          <w:trHeight w:val="276"/>
        </w:trPr>
        <w:tc>
          <w:tcPr>
            <w:tcW w:w="65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Orion Distribution Systems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89</w:t>
            </w:r>
          </w:p>
        </w:tc>
      </w:tr>
      <w:tr>
        <w:trPr>
          <w:trHeight w:val="27"/>
        </w:trPr>
        <w:tc>
          <w:tcPr>
            <w:tcW w:w="6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w:t>
            </w:r>
          </w:p>
        </w:tc>
      </w:tr>
      <w:tr>
        <w:trPr>
          <w:trHeight w:val="27"/>
        </w:trPr>
        <w:tc>
          <w:tcPr>
            <w:tcW w:w="65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Cash payments for employee separation costs in connection with our reorganization of our business were $6,470 and $0.2 million in the three months ended September 30, 2018 and September 30, 2017, respectively. Cash payments for employee separation costs in connection with our reorganization of our business were $0.1 million and $1.5 million in the six months ended September 30, 2018, and September 30,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Outlook</w:t>
      </w:r>
    </w:p>
    <w:p>
      <w:pPr>
        <w:spacing w:after="0" w:line="25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remain optimistic about our near-term and long-term financial performance. Our executive leadership team has developed a fiscal 2019 strategic plan to reflect our current business environment and the continuing opportunities and challenges of the LED and connected lighting marketplace. The overall goal of the plan is to build on what we achieved in fiscal 2018, both in terms or our distribution network and reinvigoration of our direct sales effort, while leveraging our achieved cost containment efforts.</w:t>
      </w:r>
    </w:p>
    <w:p>
      <w:pPr>
        <w:spacing w:after="0" w:line="29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Our outlook for the remainder of fiscal 2019 is positive, as we believe that the following factors will directly or indirectly drive customer spending on lighting solutions:</w:t>
      </w:r>
    </w:p>
    <w:p>
      <w:pPr>
        <w:spacing w:after="0" w:line="11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LED adoption continues to grow in all sectors;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and industrial sentiment remains strong;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Utility incentives continue to be 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spending is increasing;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profits are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spending remains strong.</w:t>
      </w:r>
    </w:p>
    <w:p>
      <w:pPr>
        <w:spacing w:after="0" w:line="15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Beyond the benefits of our lighting fixtures, we believe that there is also an opportunity to utilize our platform as a “connected ceiling”, or a framework or network that can support the installation and integration of other business solutions on our digital platform. This anticipated potential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13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There is a great amount of debate regarding a wide range of policy options with respect to monetary, regulatory, and trade, amongst others, that the U.S. federal government has and may pursue, including the recent imposition of tariffs on certain imports. Certain sourced finished products and certain of the components used in our products are impacted by the recently imposed tariffs on China imports. Our efforts to mitigate the impact of added costs include a variety of activities, such as sourcing from non-tariff impacted countries and raising prices. We believe that these mitigation activities will assist to offset added costs, and we currently believe that such tariffs will have a limited adverse financial effect on our results of operations. Any future policy changes that may be implemented could have a positive or negative consequence on our financial performance depending on how the changes would influence many factors, including business and consumer sentiment.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16"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adopted ASC 606 ("ASC 606") and ASC 340-40 (the “new standards”) as of April 1, 2018 for contracts with customers that were not fully complete as of April 1, 2018 using the modified retrospective transition method. The cumulative effect of initially applying the new standards was recorded as an immaterial adjustment to our opening balance of retained deficit within our condensed consolidated statement of shareholders’ equity.</w:t>
      </w:r>
    </w:p>
    <w:p>
      <w:pPr>
        <w:spacing w:after="0" w:line="11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new standards are applied separately for each contract between us and a customer. While the impact of the new standards vary for each contract based on its specific terms, in general, the new standards result in us (a) delaying the recognition of some of our Product revenue from the point of shipment until a later date during the installation period, (b) recording Service revenue associated with installing lighting fixtures as such fixtures are installed instead of recording all Services revenue at the completion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of the installation, and (c) recording costs associated with installing lighting fixtures as they are incurred instead of deferring such costs and recognizing them at the time Service revenue was recorded.</w:t>
      </w:r>
    </w:p>
    <w:p>
      <w:pPr>
        <w:spacing w:after="0" w:line="116"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adoption of the new standards also resulted in reclassifications (a) between Product revenue and Service revenue, and between Cost of service revenue and Sales and marketing expenses in our Condensed Consolidated Statement of Operations, and (b) among Accounts receivable, Revenue earned but not billed, Inventories, net, Deferred contract costs, Prepaid expenses and other current assets, Accounts payable, Accrued expenses and other, Deferred revenue, current, Deferred revenue, long-term, and Other long-term liabilities in our Condensed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 - Three Months Ended September 30, 2018 versus Three Months Ended September 30, 2017</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11,590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14,109</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87.8 %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15,422</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9,367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10,593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71.0 %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68.7 %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10,656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11,801</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80.7 %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76.5 %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3,621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2,336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2,906</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18.8 %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(3,532)</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35.4 %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21.6 %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33.6 %</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17.9%, or $2.5 million, for the second quarter of fiscal 2019 versus the second quarter of fiscal 2018. The decrease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Product revenue was principally due to a decrease in sales through our distribution channel, as well as the timing of delivery of our turnkey projects. Service revenue increased 22.5%, or $0.3 million, primarily due to the timing of project completions. Total revenue decreased by 14.4%, or $2.2 million, primarily due to the items discussed above. Excluding the impact of the adoption of ASC 606, Product revenue decreased 14.2%, or $2.0 million, Service revenue decreased 8.5%, or $0.1 million, and Total revenue decreased by 13.7%, or $2.1 million, compared to the prior year quarter.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11.6%, or $1.2 million in the second quarter of fiscal 2019 versus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2018 primarily due to the decrease in sales. Cost of service revenue increased 6.7%, or $0.1 million, in the second quarter of fiscal 2019 versus the second quarter of fiscal 2018. The increase was primarily due to the timing of project installations compared to the prior year quarter. Gross margin decreased from 23.5% of revenue in the second quarter fiscal 2018 to 19.3% in the second quarter of fiscal 2019, primarily due to the impact of fixed cost absorption on lower revenue. Excluding the impact of the adoption of ASC 606, gross margin as a percent of sales in the second quarter of fiscal 2019 was 22.3%.</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26.0%, or $0.8 million, in the second quarter of fiscal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2018, primarily due to reduced employee costs, legal expense, and consulting expense as a result of our cost reduction plan, as well as employee separation costs of $0.1 million incurred in fiscal 2018 which did not recur in fiscal 2019.</w:t>
      </w:r>
    </w:p>
    <w:p>
      <w:pPr>
        <w:spacing w:after="0" w:line="12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During the three months ended September 30, 2017, we performed a review of our definite and indefinite-lived</w:t>
      </w:r>
      <w:r>
        <w:rPr>
          <w:rFonts w:ascii="Arial" w:cs="Arial" w:eastAsia="Arial" w:hAnsi="Arial"/>
          <w:sz w:val="17"/>
          <w:szCs w:val="17"/>
          <w:i w:val="1"/>
          <w:iCs w:val="1"/>
          <w:color w:val="auto"/>
        </w:rPr>
        <w:t xml:space="preserve"> </w:t>
      </w:r>
      <w:r>
        <w:rPr>
          <w:rFonts w:ascii="Arial" w:cs="Arial" w:eastAsia="Arial" w:hAnsi="Arial"/>
          <w:sz w:val="17"/>
          <w:szCs w:val="17"/>
          <w:color w:val="auto"/>
        </w:rPr>
        <w:t>tangible and intangible assets for impairment. In conjunction with this review, we determined that the carrying value of our Harris trade name exceeded its fair value. As a result, we recorded an impairment charge of $0.7 million during the three months ended September 30,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07" w:right="239" w:bottom="1440" w:gutter="0" w:footer="0" w:header="0"/>
        </w:sectPr>
      </w:pPr>
    </w:p>
    <w:bookmarkStart w:id="32" w:name="page33"/>
    <w:bookmarkEnd w:id="32"/>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26.5%, or $0.8 million, in the second quarter of fiscal 2019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2018. Excluding the impact of the adoption of ASC 606, Sales and marketing expenses decreased 15.7%, or $0.5 million, in the second quarter of fiscal 2019 compared to the second quarter of fiscal 2018. The decrease quarter over quarter was primarily due to reduced employee costs as a result of our cost reduction plan, and lower travel and entertainment and marketing expenses.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by 6.8%, or $26,000, in the second quarter of fiscal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2018 primarily due to decreased consulting costs.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second quarter of fiscal 2019 increased by 21.6%, or $30,000, from the second quarter of fiscal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increased third party financing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second quarter of fiscal 2019 remained flat from the second quarter of fiscal 2018.</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of $4,000 in the second quarter of fiscal 2019 primarily reflected state tax liabilities. Our normal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due 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7"/>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38.9 %</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OES revenue decreased in the second quarter of fiscal 2019 by 16.3%, or $1.0 million, compared to the second quarter of fiscal 2018 primarily as a result of the timing of delivery of our turnkey projects.</w:t>
      </w:r>
    </w:p>
    <w:p>
      <w:pPr>
        <w:spacing w:after="0" w:line="116"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OES segment operating loss in the second quarter of fiscal 2019 was ($0.7 million), an improvement of $0.5 million from the second quarter of fiscal 2018. The improvement in the segment’s operating loss was the result of the benefit of lower corporate allocated costs due to the impact of cost reduction initiatives, as well as a non-recurring asset impairment charge of $0.5 million in the second quarter of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21"/>
                <w:szCs w:val="21"/>
                <w:color w:val="auto"/>
              </w:rPr>
            </w:pPr>
          </w:p>
        </w:tc>
        <w:tc>
          <w:tcPr>
            <w:tcW w:w="960" w:type="dxa"/>
            <w:vAlign w:val="bottom"/>
          </w:tcPr>
          <w:p>
            <w:pPr>
              <w:jc w:val="right"/>
              <w:ind w:right="117"/>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revenue decreased in the second quarter of fiscal 2019 by 24.5%, or $1.6 million, compared to the second quarter of fiscal 2018, primarily due to a decrease in sales volume through our distribution channel.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3" w:name="page34"/>
    <w:bookmarkEnd w:id="33"/>
    <w:p>
      <w:pPr>
        <w:ind w:right="140" w:firstLine="405"/>
        <w:spacing w:after="0" w:line="342" w:lineRule="auto"/>
        <w:rPr>
          <w:sz w:val="20"/>
          <w:szCs w:val="20"/>
          <w:color w:val="auto"/>
        </w:rPr>
      </w:pPr>
      <w:r>
        <w:rPr>
          <w:rFonts w:ascii="Arial" w:cs="Arial" w:eastAsia="Arial" w:hAnsi="Arial"/>
          <w:sz w:val="16"/>
          <w:szCs w:val="16"/>
          <w:color w:val="auto"/>
        </w:rPr>
        <w:t>ODS segment operating loss in the second quarter of fiscal 2019 was ($0.9 million), an increase of $0.9 million from the operating loss of ($47,000) in the second quarter of fiscal 2018. The increase in the segment’s operating loss was primarily due to the decrease in sales and resulting operating leverage.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479"/>
              <w:spacing w:after="0"/>
              <w:rPr>
                <w:sz w:val="20"/>
                <w:szCs w:val="20"/>
                <w:color w:val="auto"/>
              </w:rPr>
            </w:pPr>
            <w:r>
              <w:rPr>
                <w:rFonts w:ascii="Arial" w:cs="Arial" w:eastAsia="Arial" w:hAnsi="Arial"/>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increased from the second quarter of fiscal 2018 by 12.7%, or $0.4 million. The increase in revenue during the second quarter of fiscal 2019 compared to the second quarter of fiscal 2018 was primarily due to an increase in sales volume as a result of our reengagement in the sales channel.</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operating income for the second quarter of fiscal 2019 was $0.4 million, an improvement of $1.3 million over the second quarter of fiscal 2018. The improvement from the operating loss in the second quarter of 2018 represents the increase in sales volume, as well as improved operating expense leverage on lower allocated corporate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 - Six Months Ended September 30, 2018 versus Six Months Ended September 30, 2017</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Six Months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Product revenue</w:t>
            </w:r>
          </w:p>
        </w:tc>
        <w:tc>
          <w:tcPr>
            <w:tcW w:w="14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24,398</w:t>
            </w:r>
          </w:p>
        </w:tc>
        <w:tc>
          <w:tcPr>
            <w:tcW w:w="120" w:type="dxa"/>
            <w:vAlign w:val="bottom"/>
            <w:tcBorders>
              <w:top w:val="single" w:sz="8" w:color="BFE4FF"/>
            </w:tcBorders>
            <w:shd w:val="clear" w:color="auto" w:fill="BFE4FF"/>
          </w:tcPr>
          <w:p>
            <w:pPr>
              <w:spacing w:after="0"/>
              <w:rPr>
                <w:sz w:val="15"/>
                <w:szCs w:val="15"/>
                <w:color w:val="auto"/>
              </w:rPr>
            </w:pPr>
          </w:p>
        </w:tc>
        <w:tc>
          <w:tcPr>
            <w:tcW w:w="14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25,890</w:t>
            </w:r>
          </w:p>
        </w:tc>
        <w:tc>
          <w:tcPr>
            <w:tcW w:w="120" w:type="dxa"/>
            <w:vAlign w:val="bottom"/>
            <w:tcBorders>
              <w:top w:val="single" w:sz="8" w:color="BFE4FF"/>
            </w:tcBorders>
            <w:shd w:val="clear" w:color="auto" w:fill="BFE4FF"/>
          </w:tcPr>
          <w:p>
            <w:pPr>
              <w:spacing w:after="0"/>
              <w:rPr>
                <w:sz w:val="15"/>
                <w:szCs w:val="15"/>
                <w:color w:val="auto"/>
              </w:rPr>
            </w:pPr>
          </w:p>
        </w:tc>
        <w:tc>
          <w:tcPr>
            <w:tcW w:w="98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90.3 %</w:t>
            </w:r>
          </w:p>
        </w:tc>
        <w:tc>
          <w:tcPr>
            <w:tcW w:w="12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92.5 %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vMerge w:val="continue"/>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vMerge w:val="continue"/>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2,622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BFE4FF"/>
          </w:tcPr>
          <w:p>
            <w:pPr>
              <w:spacing w:after="0"/>
              <w:rPr>
                <w:sz w:val="15"/>
                <w:szCs w:val="15"/>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27,020</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27,980</w:t>
            </w:r>
          </w:p>
        </w:tc>
        <w:tc>
          <w:tcPr>
            <w:tcW w:w="120" w:type="dxa"/>
            <w:vAlign w:val="bottom"/>
            <w:shd w:val="clear" w:color="auto" w:fill="BFE4FF"/>
          </w:tcPr>
          <w:p>
            <w:pPr>
              <w:spacing w:after="0"/>
              <w:rPr>
                <w:sz w:val="15"/>
                <w:szCs w:val="15"/>
                <w:color w:val="auto"/>
              </w:rPr>
            </w:pPr>
          </w:p>
        </w:tc>
        <w:tc>
          <w:tcPr>
            <w:tcW w:w="9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19,091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19,406</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70.7 %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69.4 %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Cost of service revenue</w:t>
            </w: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2,243</w:t>
            </w:r>
          </w:p>
        </w:tc>
        <w:tc>
          <w:tcPr>
            <w:tcW w:w="120" w:type="dxa"/>
            <w:vAlign w:val="bottom"/>
            <w:shd w:val="clear" w:color="auto" w:fill="BFE4FF"/>
          </w:tcPr>
          <w:p>
            <w:pPr>
              <w:spacing w:after="0"/>
              <w:rPr>
                <w:sz w:val="17"/>
                <w:szCs w:val="17"/>
                <w:color w:val="auto"/>
              </w:rPr>
            </w:pPr>
          </w:p>
        </w:tc>
        <w:tc>
          <w:tcPr>
            <w:tcW w:w="9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4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4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4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21,649</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77.8 %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77.4 %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BFE4FF"/>
          </w:tcPr>
          <w:p>
            <w:pPr>
              <w:spacing w:after="0"/>
              <w:rPr>
                <w:sz w:val="15"/>
                <w:szCs w:val="15"/>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5,998</w:t>
            </w:r>
          </w:p>
        </w:tc>
        <w:tc>
          <w:tcPr>
            <w:tcW w:w="12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6,331</w:t>
            </w:r>
          </w:p>
        </w:tc>
        <w:tc>
          <w:tcPr>
            <w:tcW w:w="120" w:type="dxa"/>
            <w:vAlign w:val="bottom"/>
            <w:shd w:val="clear" w:color="auto" w:fill="BFE4FF"/>
          </w:tcPr>
          <w:p>
            <w:pPr>
              <w:spacing w:after="0"/>
              <w:rPr>
                <w:sz w:val="15"/>
                <w:szCs w:val="15"/>
                <w:color w:val="auto"/>
              </w:rPr>
            </w:pPr>
          </w:p>
        </w:tc>
        <w:tc>
          <w:tcPr>
            <w:tcW w:w="9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22.2 %</w:t>
            </w:r>
          </w:p>
        </w:tc>
        <w:tc>
          <w:tcPr>
            <w:tcW w:w="12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5,412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8,491</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30.3 %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Impairment of intangible assets</w:t>
            </w:r>
          </w:p>
        </w:tc>
        <w:tc>
          <w:tcPr>
            <w:tcW w:w="140" w:type="dxa"/>
            <w:vAlign w:val="bottom"/>
            <w:shd w:val="clear" w:color="auto" w:fill="BFE4FF"/>
          </w:tcPr>
          <w:p>
            <w:pPr>
              <w:spacing w:after="0"/>
              <w:rPr>
                <w:sz w:val="24"/>
                <w:szCs w:val="24"/>
                <w:color w:val="auto"/>
              </w:rPr>
            </w:pPr>
          </w:p>
        </w:tc>
        <w:tc>
          <w:tcPr>
            <w:tcW w:w="86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24"/>
                <w:szCs w:val="24"/>
                <w:color w:val="auto"/>
              </w:rPr>
            </w:pPr>
          </w:p>
        </w:tc>
        <w:tc>
          <w:tcPr>
            <w:tcW w:w="74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BFE4FF"/>
          </w:tcPr>
          <w:p>
            <w:pPr>
              <w:spacing w:after="0"/>
              <w:rPr>
                <w:sz w:val="24"/>
                <w:szCs w:val="24"/>
                <w:color w:val="auto"/>
              </w:rPr>
            </w:pPr>
          </w:p>
        </w:tc>
        <w:tc>
          <w:tcPr>
            <w:tcW w:w="1080" w:type="dxa"/>
            <w:vAlign w:val="bottom"/>
            <w:gridSpan w:val="2"/>
            <w:shd w:val="clear" w:color="auto" w:fill="BFE4FF"/>
          </w:tcPr>
          <w:p>
            <w:pPr>
              <w:ind w:left="540"/>
              <w:spacing w:after="0"/>
              <w:rPr>
                <w:sz w:val="20"/>
                <w:szCs w:val="20"/>
                <w:color w:val="auto"/>
              </w:rPr>
            </w:pPr>
            <w:r>
              <w:rPr>
                <w:rFonts w:ascii="Arial" w:cs="Arial" w:eastAsia="Arial" w:hAnsi="Arial"/>
                <w:sz w:val="14"/>
                <w:szCs w:val="14"/>
                <w:color w:val="auto"/>
              </w:rPr>
              <w:t>NM</w:t>
            </w:r>
          </w:p>
        </w:tc>
        <w:tc>
          <w:tcPr>
            <w:tcW w:w="1120" w:type="dxa"/>
            <w:vAlign w:val="bottom"/>
            <w:gridSpan w:val="2"/>
            <w:shd w:val="clear" w:color="auto" w:fill="BFE4FF"/>
          </w:tcPr>
          <w:p>
            <w:pPr>
              <w:ind w:left="66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4,713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BFE4FF"/>
          </w:tcPr>
          <w:p>
            <w:pPr>
              <w:spacing w:after="0"/>
              <w:rPr>
                <w:sz w:val="17"/>
                <w:szCs w:val="17"/>
                <w:color w:val="auto"/>
              </w:rPr>
            </w:pPr>
          </w:p>
        </w:tc>
        <w:tc>
          <w:tcPr>
            <w:tcW w:w="9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4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4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(10,034)</w:t>
            </w: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51.3 %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6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BFE4FF"/>
          </w:tcPr>
          <w:p>
            <w:pPr>
              <w:ind w:left="54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860" w:type="dxa"/>
            <w:vAlign w:val="bottom"/>
            <w:gridSpan w:val="2"/>
            <w:vMerge w:val="continue"/>
            <w:shd w:val="clear" w:color="auto" w:fill="BFE4FF"/>
          </w:tcPr>
          <w:p>
            <w:pPr>
              <w:spacing w:after="0"/>
              <w:rPr>
                <w:sz w:val="6"/>
                <w:szCs w:val="6"/>
                <w:color w:val="auto"/>
              </w:rPr>
            </w:pPr>
          </w:p>
        </w:tc>
        <w:tc>
          <w:tcPr>
            <w:tcW w:w="108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BFE4FF"/>
          </w:tcPr>
          <w:p>
            <w:pPr>
              <w:spacing w:after="0"/>
              <w:rPr>
                <w:sz w:val="17"/>
                <w:szCs w:val="17"/>
                <w:color w:val="auto"/>
              </w:rPr>
            </w:pPr>
          </w:p>
        </w:tc>
        <w:tc>
          <w:tcPr>
            <w:tcW w:w="9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BFE4FF"/>
          </w:tcPr>
          <w:p>
            <w:pPr>
              <w:spacing w:after="0"/>
              <w:rPr>
                <w:sz w:val="17"/>
                <w:szCs w:val="17"/>
                <w:color w:val="auto"/>
              </w:rPr>
            </w:pPr>
          </w:p>
        </w:tc>
        <w:tc>
          <w:tcPr>
            <w:tcW w:w="1120" w:type="dxa"/>
            <w:vAlign w:val="bottom"/>
            <w:gridSpan w:val="2"/>
            <w:vMerge w:val="restart"/>
            <w:shd w:val="clear" w:color="auto" w:fill="BFE4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9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12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(5,104)</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(10,233)</w:t>
            </w:r>
          </w:p>
        </w:tc>
        <w:tc>
          <w:tcPr>
            <w:tcW w:w="120" w:type="dxa"/>
            <w:vAlign w:val="bottom"/>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50.1 %</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BFE4FF"/>
          </w:tcPr>
          <w:p>
            <w:pPr>
              <w:spacing w:after="0"/>
              <w:rPr>
                <w:sz w:val="17"/>
                <w:szCs w:val="17"/>
                <w:color w:val="auto"/>
              </w:rPr>
            </w:pPr>
          </w:p>
        </w:tc>
        <w:tc>
          <w:tcPr>
            <w:tcW w:w="740" w:type="dxa"/>
            <w:vAlign w:val="bottom"/>
            <w:vMerge w:val="restart"/>
            <w:shd w:val="clear" w:color="auto" w:fill="BFE4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86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BFE4FF"/>
          </w:tcPr>
          <w:p>
            <w:pPr>
              <w:ind w:left="54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860" w:type="dxa"/>
            <w:vAlign w:val="bottom"/>
            <w:gridSpan w:val="2"/>
            <w:vMerge w:val="continue"/>
            <w:shd w:val="clear" w:color="auto" w:fill="BFE4FF"/>
          </w:tcPr>
          <w:p>
            <w:pPr>
              <w:spacing w:after="0"/>
              <w:rPr>
                <w:sz w:val="6"/>
                <w:szCs w:val="6"/>
                <w:color w:val="auto"/>
              </w:rPr>
            </w:pPr>
          </w:p>
        </w:tc>
        <w:tc>
          <w:tcPr>
            <w:tcW w:w="108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(5,130)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(10,233)</w:t>
            </w:r>
          </w:p>
        </w:tc>
        <w:tc>
          <w:tcPr>
            <w:tcW w:w="120" w:type="dxa"/>
            <w:vAlign w:val="bottom"/>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49.9 %</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5.8%, or $1.5 million, for the first six months of fiscal 2019 versus the first six months of fiscal 2018.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Product revenue was primarily the result of the timing of delivery of our turnkey projects, partially offset by higher sales through our distribution and reseller channels. Service revenue increased 25.5%, or $0.5 million, primarily due to the timing of project installations. Total revenue decreased by 3.4%, or $1.0 million, primarily due to the items discussed above. Excluding the impact of the adoption of ASC 606, Product revenue decreased 1.7%, or $0.4 million, Service revenue decreased 28.7%, or $0.6 million, and Total revenue decreased by 3.7%, or $1.0 million, compared to the first six months of fiscal 2018.</w:t>
      </w:r>
    </w:p>
    <w:p>
      <w:pPr>
        <w:spacing w:after="0" w:line="1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Cost of product revenue decreased 1.1%, or $0.2 million, in the first six months of fiscal 2019 versus the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fiscal 2018 primarily due to the decrease in sales. Cost of service revenue decreased 13.9%, or $0.3 million, in the first six months of fiscal 2019 versus the first six months of fiscal 2018, primarily due to significant costs incurred on a large installation project in the prior year. Gross margin decreased from 22.6% of revenue in the first six months of fiscal 2018 to 22.2% in the first six months of 2019, primarily reflecting the impact of fixed cost absorption on lower revenue. Excluding the impact of the adoption of ASC 606, gross margin as a percent of sales in the first six months of fiscal 2019 was 24.7%.</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36.3%, or $3.1 million, in the first six months of fiscal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2018, primarily due to $2.0 million in employee separation costs incurred in fiscal 2018 which did not recur in fiscal 2019, as well as a decrease in legal and consulting expense.</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24.7%, or $1.5 million, in the first six months of fiscal 2019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2018. Excluding the impact of the adoption of ASC 606, Sales and marketing expenses decreased 15.6%, or $1.0 million, in the first six months of fiscal 2019 compared to the prior year period. The decrease year over year was primarily due to reduced employee costs due to the impact of our cost reduction plan, and lower travel and entertainment and marketing expenses.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35" w:name="page36"/>
    <w:bookmarkEnd w:id="35"/>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decreased by 16.0%, or $0.1 million, in the first six months of fiscal 2019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six months of fiscal 2018 primarily due to lower consulting costs and a reduction in wages due to the impact of our cost reduction plan.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in the first six months of fiscal 2019 represented product royalties received from licensing agreements for our patents.</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first six months of fiscal 2019 increased by 25.2%, or $0.1 million, from the first six months of fiscal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due to increased third party financing costs.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in the first six months of fiscal 2018 remained relatively flat compared to the first six months of fiscal 2018.</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of $26,000 in the first six months of 2019 primarily reflected state tax liabilities. Our income tax expense is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8,366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74"/>
              <w:spacing w:after="0"/>
              <w:rPr>
                <w:sz w:val="20"/>
                <w:szCs w:val="20"/>
                <w:color w:val="auto"/>
              </w:rPr>
            </w:pPr>
            <w:r>
              <w:rPr>
                <w:rFonts w:ascii="Arial" w:cs="Arial" w:eastAsia="Arial" w:hAnsi="Arial"/>
                <w:sz w:val="18"/>
                <w:szCs w:val="18"/>
                <w:color w:val="auto"/>
              </w:rPr>
              <w:t>11,541</w:t>
            </w: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BFE4FF"/>
          </w:tcPr>
          <w:p>
            <w:pPr>
              <w:spacing w:after="0"/>
              <w:rPr>
                <w:sz w:val="21"/>
                <w:szCs w:val="21"/>
                <w:color w:val="auto"/>
              </w:rPr>
            </w:pPr>
          </w:p>
        </w:tc>
        <w:tc>
          <w:tcPr>
            <w:tcW w:w="114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OES revenue decreased in the first six months of fiscal 2019 by 27.5%, or $3.2 million, compared to the first six months of fiscal 2018 primarily as a result of the timing of delivery of our turnkey projects.</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OES segment operating loss in the first six months of fiscal 2019 was ($2.0 million), an improvement of $1.1 million from the first six months of fiscal 2018. The improvement in the segment’s operating loss was the result of the benefit of lower corporate allocated costs due to the impact of cost reduction initiatives, as well as a non-recurring asset impairment charge of $0.5 million in the second quarter of fiscal 2018.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74"/>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BFE4FF"/>
          </w:tcPr>
          <w:p>
            <w:pPr>
              <w:spacing w:after="0"/>
              <w:rPr>
                <w:sz w:val="21"/>
                <w:szCs w:val="21"/>
                <w:color w:val="auto"/>
              </w:rPr>
            </w:pPr>
          </w:p>
        </w:tc>
        <w:tc>
          <w:tcPr>
            <w:tcW w:w="114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revenue increased in the six months of fiscal 2019 by 15.4%, or $1.9 million, compared to the first six months of fiscal 2018, primarily due to an increase in sales volume through our distribution channel.</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operating loss in the first six months of fiscal 2019 was ($0.8 million), an increase in the operating loss of 7.4%, or $0.1 million, over the first six months of fiscal 2018, primarily due to an increase in selling expenses on higher sales.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3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Six Months Ended September 30,</w:t>
            </w:r>
          </w:p>
        </w:tc>
        <w:tc>
          <w:tcPr>
            <w:tcW w:w="0" w:type="dxa"/>
            <w:vAlign w:val="bottom"/>
          </w:tcPr>
          <w:p>
            <w:pPr>
              <w:spacing w:after="0"/>
              <w:rPr>
                <w:sz w:val="1"/>
                <w:szCs w:val="1"/>
                <w:color w:val="auto"/>
              </w:rPr>
            </w:pPr>
          </w:p>
        </w:tc>
      </w:tr>
      <w:tr>
        <w:trPr>
          <w:trHeight w:val="152"/>
        </w:trPr>
        <w:tc>
          <w:tcPr>
            <w:tcW w:w="7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08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ind w:right="117"/>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4"/>
              <w:spacing w:after="0"/>
              <w:rPr>
                <w:sz w:val="20"/>
                <w:szCs w:val="20"/>
                <w:color w:val="auto"/>
              </w:rPr>
            </w:pPr>
            <w:r>
              <w:rPr>
                <w:rFonts w:ascii="Arial" w:cs="Arial" w:eastAsia="Arial" w:hAnsi="Arial"/>
                <w:sz w:val="18"/>
                <w:szCs w:val="18"/>
                <w:color w:val="auto"/>
              </w:rPr>
              <w:t>4,220</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BFE4FF"/>
          </w:tcPr>
          <w:p>
            <w:pPr>
              <w:spacing w:after="0"/>
              <w:rPr>
                <w:sz w:val="21"/>
                <w:szCs w:val="21"/>
                <w:color w:val="auto"/>
              </w:rPr>
            </w:pPr>
          </w:p>
        </w:tc>
        <w:tc>
          <w:tcPr>
            <w:tcW w:w="8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BFE4FF"/>
          </w:tcPr>
          <w:p>
            <w:pPr>
              <w:spacing w:after="0"/>
              <w:rPr>
                <w:sz w:val="21"/>
                <w:szCs w:val="21"/>
                <w:color w:val="auto"/>
              </w:rPr>
            </w:pPr>
          </w:p>
        </w:tc>
        <w:tc>
          <w:tcPr>
            <w:tcW w:w="108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08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increased from the first six months of fiscal 2018 by 7.9%, or $0.3 million. The increase in revenue during the first six months of fiscal 2019 compared to the first six months of fiscal 2018 was primarily due to an increase in sales volume as a result of our reengagement in the sales channel.</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USM segment operating income for the first six months of fiscal 2019 was $0.2 million, an improvement of $2.7 million over the operating loss in the first six months of fiscal 2018. The improvement was primarily due to better operating leverage on lower allocated corporate costs, as well as a non-recurring asset impairment charge of $0.2 million in the first six months of fiscal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had approximately $5.7 million in cash and cash equivalents as of September 30, 2018, compared to $9.4 million at March 31, 2018. Our cash position decreased primarily as a result of our net loss, offset by continued progress on managing working capital and the net repayment of $2.5 million on our revolving credit facility.</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second quarter, in order to explore increasing our liquidity, we listed our corporate office location in Manitowoc, Wisconsin for sale or lease. Because of the uncertainty of a sale of the building in the next twelve months, the building continues to be classified as held and used as of September 30, 2018.</w:t>
      </w:r>
    </w:p>
    <w:p>
      <w:pPr>
        <w:spacing w:after="0" w:line="2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higher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six months ended September 30, 2018 and 2017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(8,636)</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Cash used in operating activities for the first six months of fiscal 2019 was ($1.1 million) and consisted of a net loss adjusted for non-cash expense items of ($3.8 million) and net cash provided by changes in operating assets and liabilities of $2.7 million. Cash used by changes in operating assets and liabilities consisted primarily of a decrease of ($1.9 million) in Accounts payable and ($0.6 million) in Accrued expenses due to the timing of payments. Cash provided by changes in operating assets and liabilities</w:t>
      </w:r>
    </w:p>
    <w:p>
      <w:pPr>
        <w:sectPr>
          <w:pgSz w:w="11900" w:h="16838" w:orient="portrait"/>
          <w:cols w:equalWidth="0" w:num="1">
            <w:col w:w="11420"/>
          </w:cols>
          <w:pgMar w:left="240" w:top="60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07" w:right="239" w:bottom="1440" w:gutter="0" w:footer="0" w:header="0"/>
          <w:type w:val="continuous"/>
        </w:sectPr>
      </w:pPr>
    </w:p>
    <w:bookmarkStart w:id="37" w:name="page38"/>
    <w:bookmarkEnd w:id="37"/>
    <w:p>
      <w:pPr>
        <w:jc w:val="both"/>
        <w:spacing w:after="0" w:line="286" w:lineRule="auto"/>
        <w:rPr>
          <w:sz w:val="20"/>
          <w:szCs w:val="20"/>
          <w:color w:val="auto"/>
        </w:rPr>
      </w:pPr>
      <w:r>
        <w:rPr>
          <w:rFonts w:ascii="Arial" w:cs="Arial" w:eastAsia="Arial" w:hAnsi="Arial"/>
          <w:sz w:val="17"/>
          <w:szCs w:val="17"/>
          <w:color w:val="auto"/>
        </w:rPr>
        <w:t>included a decrease of $3.2 million in Accounts receivable due to lower sales and the timing of customer collections, a decrease in Revenue earned but not billed of $1.7 million due to the timing of billing to customers, a decrease in Inventories of $0.4 million due to an increased focus on inventory management, and a decrease of $0.1 million in Prepaid expenses and other assets due to the timing of payment of those expenses.</w:t>
      </w:r>
    </w:p>
    <w:p>
      <w:pPr>
        <w:spacing w:after="0" w:line="11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Cash used in operating activities for the first six months of fiscal 2018 was ($4.7 million) and consisted of a net loss adjusted for non-cash expense items of ($7.6 million) and net cash provided by changes in operating assets and liabilities of $2.9 million. Cash used by changes in operating assets and liabilities consisted of a decrease of ($3.8 million) in accounts payable due to the timing of payments and lower inventory requirements, and a decrease in accrued expenses and other of ($0.4 million) primarily due to the timing of payment of commissions and lower accrued bonuses in the current fiscal year. Cash provided by changes in operating assets and liabilities included a decrease of $1.0 million in accounts receivable due to the decline in sales and the timing of customer collections, a decrease in inventory of $4.0 million as a result of increased focus on inventory management in consideration of the lower sales volume, a decrease of $0.8 million in deferred contract costs due to the timing of project completion, a decrease of $1.2 million in prepaid and other assets primarily due to the timing of project billings, and an increase of $0.2 million in deferred revenue due to the timing of project completions.</w:t>
      </w:r>
    </w:p>
    <w:p>
      <w:pPr>
        <w:spacing w:after="0" w:line="11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in the first six months of fiscal 2019 consisted of purchases of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additions to patents and licenses.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used by investing activities was ($0.3 million) in the first six months of fiscal 2018 which consisted of purchases of property and equipment and additions to patents and licenses.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($2.5 million) for the first six months of fiscal 2019, due almost</w:t>
      </w:r>
      <w:r>
        <w:rPr>
          <w:rFonts w:ascii="Arial" w:cs="Arial" w:eastAsia="Arial" w:hAnsi="Arial"/>
          <w:sz w:val="18"/>
          <w:szCs w:val="18"/>
          <w:i w:val="1"/>
          <w:iCs w:val="1"/>
          <w:color w:val="auto"/>
        </w:rPr>
        <w:t xml:space="preserve"> </w:t>
      </w:r>
      <w:r>
        <w:rPr>
          <w:rFonts w:ascii="Arial" w:cs="Arial" w:eastAsia="Arial" w:hAnsi="Arial"/>
          <w:sz w:val="18"/>
          <w:szCs w:val="18"/>
          <w:color w:val="auto"/>
        </w:rPr>
        <w:t>entirely to the net repayment of our Credit Facility.</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Cash used in financing activities was ($3.7 million) for the first six months of fiscal 2018 was due almost entirely to the net repayment of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Our net working capital as of September 30, 2018 was $7.1 million, consisting of $21.0 million in current assets and $13.9 million in current liabilities. Our net working capital as of March 31, 2018 was $13.0 million, consisting of $29.4 million in current assets and $16.4 in current liabilities. Our current Accounts receivable, net balance decreased by $3.0 million from the fiscal 2018 year-end primarily due to lower sales and the timing of customer collections. Our Revenue earned but not billed balance increased $0.7 million from the fiscal 2018 year-end; the change in the account included reclassifications of $2.4 million as of April 1, 2018 which were recorded in conjunction with the adoption of ASC 606, offset by billings to customers in the quarter. Our Prepaid expenses and other current assets decreased $2.1 million primarily due to the reclassification of Revenue earned not billed of $1.9 million to its own balance sheet line item in conjunction with the adoption of ASC 606. Our Inventories, net increased from the fiscal 2018 year-end by $0.5 million due to reclassifications of $0.7 million as of April 1, 2018 in conjunction with the adoption of ASC 606 and a decrease in inventory of $0.2 million due to the focus on inventory management. Our Deferred contract costs decreased $1.0 million from the fiscal 2018 year-end due to the adoption of ASC 606 and reclassification of these costs to either equity or inventory as part of the transition adjustment on April 1, 2018. Deferred costs is not used subsequent to the adoption of ASC 606. Our Accounts payable decreased $2.8 million due to reclassifications of $0.9 million of April 1, 2018 in conjunction with the adoption of ASC 606 and the timing of purchases during the quarter. Our Accrued expenses increased from our fiscal 2018 year-end by $0.7 million due to reclassifications of $1.3 million as of April 1, 2018 in conjunction with the adoption of ASC 606 offset by payments for commissions and other expenses.</w:t>
      </w:r>
    </w:p>
    <w:p>
      <w:pPr>
        <w:spacing w:after="0" w:line="121" w:lineRule="exact"/>
        <w:rPr>
          <w:sz w:val="20"/>
          <w:szCs w:val="20"/>
          <w:color w:val="auto"/>
        </w:rPr>
      </w:pPr>
    </w:p>
    <w:p>
      <w:pPr>
        <w:jc w:val="both"/>
        <w:ind w:right="320" w:firstLine="39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September 30, 2018. we had an amended credit agreement ("Credit Agreement") that provided for a revolving credit facility ("Credit Facility") subject to a borrowing base requirement based on eligible receivables and inventory. As of September 30, 2018 our borrowing base was approximately $1.5 million. The Credit Facility had a maturity date of February 6, 2021 and included a $2.0 million sublimit for the issuance of letters of credit. As of September 30, 2018, we had no outstanding letters of credit. Borrowings outstanding as of September 30, 2018, amounted to approximately $1.4 million and are included in non-current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liabilities in the accompanying Condensed Consolidated Balance Sheets. We estimate that as of September 30, 2018, we were eligible to borrow an additional $0.1 million under the Credit Facility based upon its then current levels of eligible Inventory and Accounts receivable.</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provided for a $15.0 million Credit Facility. This limit was eligible for an increase to $20.0 million based on a borrowing base requirement, if we satisfied certain conditions. We did not meet the requirements to increase the borrowing limit to $20.0 million as of July 31, 2018, the most recent measurement date.</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Credit Agreement contained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 We were in compliance with our covenants in the Credit Agreement as of September 30, 2018.</w:t>
      </w:r>
    </w:p>
    <w:p>
      <w:pPr>
        <w:spacing w:after="0" w:line="133"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Each of our subsidiaries was a joint and several co-borrower or guarantor under the Credit Agreement, and the Credit Agreement was secured by a security interest in substantially all of our and each subsidiary’s personal property and a mortgage on certain real property.</w:t>
      </w:r>
    </w:p>
    <w:p>
      <w:pPr>
        <w:spacing w:after="0" w:line="116"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Borrowings under the Credit Agreement bore interest at the daily three-month LIBOR plus 3.0% per annum, with a minimum interest charge for each year or portion of a year during the term of the Credit Agreement of $0.1 million, regardless of usage. As of September 30, 2018, the interest rate was 5.40%.</w:t>
      </w:r>
    </w:p>
    <w:p>
      <w:pPr>
        <w:spacing w:after="0" w:line="70"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On October 26, 2018, we entered into a new secured revolving Business Financing Agreement with Western Alliance Bank, as lender (the “New Credit Agreement”). The New Credit Agreement replaced our existing Credit Agreement.</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New Credit Agreement provides for a two-year revolving credit facility (the “New Credit Facility”) that matures on October 26, 2020. Borrowings under the New Credit Facility are initially limited to $20.15 million subject to a borrowing base requirement based on eligible receivables and inventory. The New Credit Agreement includes a $2.0 million sublimit for the issuance of letters of credit.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Credit Agreement is secured by a security interest in substantially all of our and our subsidiaries’ personal property.</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replacement of the Credit Agreement with the New Credit Agreement provides us with increased financing capacity and liquidity to fund our operations and implement our strategic plans. Pursuant to the terms of the New Credit Agreement, we have a borrowing base of $4.0 million, which provides us with $2.4 million in additional borrowing availability compared to the Credit Agreement. On October 26, 2018, we borrowed $4.0 million under the New Credit Agreement.</w:t>
      </w:r>
    </w:p>
    <w:p>
      <w:pPr>
        <w:spacing w:after="0" w:line="133"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Borrowings under the New Credit Agreement generally bear interest at floating rates based upon the prime rate (but not be less than 5.00% per year) plus an applicable margin determined by reference to our quick ratio (defined as the aggregate amount of unrestricted cash, unrestricted marketable securities and, with certain adjustments, receivables convertible into cash divided by the total current liabilities, including the obligations under the New Credit Agreement). Among other fees, we are required to pay an annual facility fee equal to 0.45% of the credit limit under the New Credit Agreement due on October 26, 2018 and on each anniversary thereof. With certain exceptions, if the New Credit Agreement is terminated prior to the first anniversary of the closing date of the New Credit Agreement, we are required to pay a termination fee equal to 0.50% of the credit limit under the New Credit Agreement.</w:t>
      </w:r>
    </w:p>
    <w:p>
      <w:pPr>
        <w:spacing w:after="0" w:line="111"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New Credit Agreement requires us to maintain nine months’ of “RML” as of the end of each month. For purposes of the New Credit Agreement, RML is defined as, as of the applicable determination date, unrestricted cash on deposit with Western Alliance Bank plus availability under the New Credit Agreement divided by an amount equal to, for the applicable trailing three-month period, consolidated net profit before tax, plus depreciation expense, amortization expense and stock-based compensation, minus capital lease principal payments, tested as of the end of each month.</w:t>
      </w:r>
    </w:p>
    <w:p>
      <w:pPr>
        <w:spacing w:after="0" w:line="100"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New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New Credit Agreement occurs and is continuing, then Western Alliance Bank may cease making advances under the New Credit Agreement and declare any outstanding obligations under the New Credit Agreement to be immediately due and payable. In addition, we become the subject of voluntary or involuntary proceedings under any bankruptcy or similar law, then any outstanding obligations under the New Credit Agreement will automatically become immediately due and payable.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$0.1 million and $0.3 million for the six-month periods ended September 30, 2018 and 2017, respectively. We plan to incur approximately $0.3 million in capital expenditures in fiscal 2019. We expect to finance these capital expenditures primarily through our existing cash, equipment secured loans and leases, to the extent needed, long-term debt financing, or by using our available capacity under our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Backlog totaled $8.4 million and $3.3 million as of September 30, 2018 and March 31, 2018, respectively. We generally expect our backlog to be recognized as revenue within one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2018. For the three months ended September 30, 2018, there were no material changes in our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2018. There have been no material changes to such exposures since March 31, 2018.</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jc w:val="center"/>
        <w:ind w:left="5620" w:right="920" w:hanging="5288"/>
        <w:spacing w:after="0" w:line="559"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39</w:t>
      </w:r>
    </w:p>
    <w:p>
      <w:pPr>
        <w:sectPr>
          <w:pgSz w:w="11900" w:h="16838" w:orient="portrait"/>
          <w:cols w:equalWidth="0" w:num="1">
            <w:col w:w="11420"/>
          </w:cols>
          <w:pgMar w:left="240" w:top="904" w:right="239" w:bottom="1440" w:gutter="0" w:footer="0" w:header="0"/>
        </w:sectPr>
      </w:pPr>
    </w:p>
    <w:bookmarkStart w:id="40" w:name="page41"/>
    <w:bookmarkEnd w:id="40"/>
    <w:p>
      <w:pPr>
        <w:ind w:left="660" w:right="4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2018, we identified the following material weaknesses that existed as of March 31, 2018 and continued to exist at September 30, 2018.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29" w:lineRule="exact"/>
        <w:rPr>
          <w:sz w:val="20"/>
          <w:szCs w:val="20"/>
          <w:color w:val="auto"/>
        </w:rPr>
      </w:pPr>
    </w:p>
    <w:p>
      <w:pPr>
        <w:ind w:left="660" w:right="4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Information &amp; Communication. </w:t>
      </w:r>
      <w:r>
        <w:rPr>
          <w:rFonts w:ascii="Arial" w:cs="Arial" w:eastAsia="Arial" w:hAnsi="Arial"/>
          <w:sz w:val="18"/>
          <w:szCs w:val="18"/>
          <w:color w:val="auto"/>
        </w:rPr>
        <w:t>We determined that our controls pertaining to information and communication did not operate effectively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2018, resulting 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12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Control Activities - Accounting Close. </w:t>
      </w:r>
      <w:r>
        <w:rPr>
          <w:rFonts w:ascii="Arial" w:cs="Arial" w:eastAsia="Arial" w:hAnsi="Arial"/>
          <w:sz w:val="18"/>
          <w:szCs w:val="18"/>
          <w:color w:val="auto"/>
        </w:rPr>
        <w:t>The operating effectiveness of our controls as of March 31, 2018 were inadequate related to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review controls over the accounting close process and forecasts used to support certain fair value estimates. Specifically, we did not have an accurate forecast that impacted our assessment of triggering events and potential impairment. In addition, matters identified through management review controls were not brought to a timely resolution.</w:t>
      </w:r>
    </w:p>
    <w:p>
      <w:pPr>
        <w:spacing w:after="0" w:line="13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2018 and September 30, 2018, based on the criteria in Internal Control - Integrated Framework (2013) issued by COSO.</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For the year ended March 31, 2018 and the subsequent interim period, we enhanced our closing procedures to ensure that, in all material respects, our financial statements are presented in conformity with GAAP and free of material misstatement as of and for the periods ended March 31, 2018 and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Remediation of Material Weaknesses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the audit and finance committee and management have identified additional resources to assist in the remediation effort with respect to our above mentioned material weakness and are developing and implementing new processes, procedures and internal controls to remediate the material weakness that existed in our internal control over financial reporting as it related to project cost accounting, the accounting close and forecasting processes, and our disclosure controls and procedures, as of March 31, 2018 and September 30, 2018.</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Ensure a thorough understanding of the current state, process owners, and procedural or technological gaps causing the deficiency.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a remediation action for the forecasting process, to ensure supportable and accurate forecast data are gathered, analyzed and reviewed on a timely basis.</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1" w:name="page42"/>
    <w:bookmarkEnd w:id="41"/>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Complete the review and acceptance of completion of the remediation efforts by executive management and the audit &amp; finance committee.</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taken or are in the process of taking the following steps toward completion of our Remediation Plan:</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Developed a forecast review process performed by the accounting department to confirm accuracy, completeness and reliability of forecast data.</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Improved the process to evaluate potential triggering events and impairment, including a more formal review of our forecasts and enhanced documentation of the analysis and conclusion.</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procedures and controls for project cost accounting, including enhanced communication and tracking of project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Implemented controls related to inventory valuation, accounting close, tax, revenue and project cost accounting, although additional testing is required to confirm operating effectiveness.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Strengthened management review controls and the timeliness of execution as they pertain to the accounting close.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Updated policies and procedures for process and control changes and provided additional training to key personnel.</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Remediation Plan is being administered by our Chief Financial Officer and involves key leaders from across our organization.</w:t>
      </w:r>
    </w:p>
    <w:p>
      <w:pPr>
        <w:spacing w:after="0" w:line="225" w:lineRule="exact"/>
        <w:rPr>
          <w:sz w:val="20"/>
          <w:szCs w:val="20"/>
          <w:color w:val="auto"/>
        </w:rPr>
      </w:pPr>
    </w:p>
    <w:p>
      <w:pPr>
        <w:ind w:right="20" w:firstLine="392"/>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340" w:firstLine="392"/>
        <w:spacing w:after="0" w:line="257" w:lineRule="auto"/>
        <w:rPr>
          <w:sz w:val="20"/>
          <w:szCs w:val="20"/>
          <w:color w:val="auto"/>
        </w:rPr>
      </w:pPr>
      <w:r>
        <w:rPr>
          <w:rFonts w:ascii="Arial" w:cs="Arial" w:eastAsia="Arial" w:hAnsi="Arial"/>
          <w:sz w:val="18"/>
          <w:szCs w:val="18"/>
          <w:color w:val="auto"/>
        </w:rPr>
        <w:t>Effective April 1, 2018, we adopted Topic 606, “Revenue from Contracts with Customers” ("ASC 606"), using the modified retrospective approach. Although the adoption of this standard did not have a significant impact on our financial results, we have implemented changes to our controls related to revenue recognition. These changes include enhanced reviews around customer contracts, the evaluation of contracts based on the five-step revenue recognition model, and additional ongoing monitoring activities. These enhanced controls are designed to provide reasonable assurance of the fair presentation of our financial statements and related disclosures.</w:t>
      </w:r>
    </w:p>
    <w:p>
      <w:pPr>
        <w:spacing w:after="0" w:line="134"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 other than with respect to the implementation of our Remediation Plans, as described above.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2018, which we filed with the SEC on June 13, 2018 and in Part 1 - Item 2 under the heading "Management's Discussion and Analysis of Financial Condition and Results of Operations" in this Form 10-Q.</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3" w:name="page44"/>
    <w:bookmarkEnd w:id="43"/>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tcBorders>
              <w:bottom w:val="single" w:sz="8" w:color="0000FF"/>
            </w:tcBorders>
            <w:gridSpan w:val="6"/>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Business Financing Agreement dated as of October 26, 2018 among Orion Energy Systems, Inc., Western Alliance Bank, as lender, and the</w:t>
              </w:r>
            </w:hyperlink>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subsidiary borrowers party thereto. [Incorporated by reference to Exhibit 10.1 to the Registrant's Current Report on Form 8-K filed with the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Securities and Exchange Commission on October 30, 2018 (File No. 001-3887)]</w:t>
              </w:r>
            </w:hyperlink>
          </w:p>
        </w:tc>
      </w:tr>
      <w:tr>
        <w:trPr>
          <w:trHeight w:val="20"/>
        </w:trPr>
        <w:tc>
          <w:tcPr>
            <w:tcW w:w="114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Chief Executive Officer of Orion Energy Systems, Inc. pursuant to Rule 13a-14(a) or Rule 15d-14(a) promulgated under the</w:t>
              </w:r>
            </w:hyperlink>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6">
              <w:r>
                <w:rPr>
                  <w:rFonts w:ascii="Arial" w:cs="Arial" w:eastAsia="Arial" w:hAnsi="Arial"/>
                  <w:sz w:val="18"/>
                  <w:szCs w:val="18"/>
                  <w:color w:val="0000FF"/>
                  <w:w w:val="88"/>
                </w:rPr>
                <w:t>Securities Exchange Act of 1934, as amended.</w:t>
              </w:r>
            </w:hyperlink>
          </w:p>
        </w:tc>
        <w:tc>
          <w:tcPr>
            <w:tcW w:w="6740" w:type="dxa"/>
            <w:vAlign w:val="bottom"/>
            <w:gridSpan w:val="7"/>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Financial Officer of Orion Energy Systems, Inc. pursuant to Rule 13a-14(a) or Rule 15d-14(a) promulgated under the</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7">
              <w:r>
                <w:rPr>
                  <w:rFonts w:ascii="Arial" w:cs="Arial" w:eastAsia="Arial" w:hAnsi="Arial"/>
                  <w:sz w:val="18"/>
                  <w:szCs w:val="18"/>
                  <w:color w:val="0000FF"/>
                  <w:w w:val="88"/>
                </w:rPr>
                <w:t>Securities Exchange Act of 1934, as amended.</w:t>
              </w:r>
            </w:hyperlink>
          </w:p>
        </w:tc>
        <w:tc>
          <w:tcPr>
            <w:tcW w:w="6740" w:type="dxa"/>
            <w:vAlign w:val="bottom"/>
            <w:gridSpan w:val="7"/>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Chief Executive Officer of Orion Energy Systems, Inc. pursuant to Rule 13a-14(b) promulgated under the Securities</w:t>
              </w:r>
            </w:hyperlink>
          </w:p>
        </w:tc>
        <w:tc>
          <w:tcPr>
            <w:tcW w:w="5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8"/>
          </w:tcPr>
          <w:p>
            <w:pPr>
              <w:spacing w:after="0" w:line="19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top w:val="single" w:sz="8" w:color="0000FF"/>
            </w:tcBorders>
            <w:gridSpan w:val="5"/>
          </w:tcPr>
          <w:p>
            <w:pPr>
              <w:spacing w:after="0"/>
              <w:rPr>
                <w:rFonts w:ascii="Arial" w:cs="Arial" w:eastAsia="Arial" w:hAnsi="Arial"/>
                <w:sz w:val="18"/>
                <w:szCs w:val="18"/>
                <w:color w:val="0000FF"/>
                <w:w w:val="95"/>
              </w:rPr>
            </w:pPr>
            <w:hyperlink w:anchor="page49">
              <w:r>
                <w:rPr>
                  <w:rFonts w:ascii="Arial" w:cs="Arial" w:eastAsia="Arial" w:hAnsi="Arial"/>
                  <w:sz w:val="18"/>
                  <w:szCs w:val="18"/>
                  <w:color w:val="0000FF"/>
                  <w:w w:val="95"/>
                </w:rPr>
                <w:t>Certification of Chief Financial Officer of Orion Energy Systems, Inc. pursuant to Rule 13a-14(b) promulgated under the Securities</w:t>
              </w:r>
            </w:hyperlink>
          </w:p>
        </w:tc>
        <w:tc>
          <w:tcPr>
            <w:tcW w:w="24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9460" w:type="dxa"/>
            <w:vAlign w:val="bottom"/>
            <w:gridSpan w:val="3"/>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8"/>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240" w:type="dxa"/>
            <w:vAlign w:val="bottom"/>
            <w:gridSpan w:val="3"/>
          </w:tcPr>
          <w:p>
            <w:pPr>
              <w:spacing w:after="0"/>
              <w:rPr>
                <w:sz w:val="24"/>
                <w:szCs w:val="24"/>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8"/>
          </w:tcPr>
          <w:p>
            <w:pPr>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8"/>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8"/>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8"/>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0" w:lineRule="exact"/>
        <w:rPr>
          <w:sz w:val="20"/>
          <w:szCs w:val="20"/>
          <w:color w:val="auto"/>
        </w:rPr>
      </w:pPr>
    </w:p>
    <w:p>
      <w:pPr>
        <w:spacing w:after="0" w:line="272" w:lineRule="exact"/>
        <w:rPr>
          <w:sz w:val="20"/>
          <w:szCs w:val="20"/>
          <w:color w:val="auto"/>
        </w:rPr>
      </w:pPr>
    </w:p>
    <w:p>
      <w:pPr>
        <w:ind w:left="760" w:hanging="69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607" w:right="31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13, 2018.</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240" w:top="364" w:right="3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2018,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214" w:lineRule="exact"/>
        <w:rPr>
          <w:sz w:val="20"/>
          <w:szCs w:val="20"/>
          <w:color w:val="auto"/>
        </w:rPr>
      </w:pPr>
    </w:p>
    <w:p>
      <w:pPr>
        <w:ind w:left="1060" w:hanging="4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November 13, 2018</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2018,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November 13, 2018</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lowerRoman"/>
      <w:start w:val="2"/>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2" Type="http://schemas.openxmlformats.org/officeDocument/2006/relationships/hyperlink" Target="http://www.sec.gov/Archives/edgar/data/1409375/000119312518312168/d6455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2019-12-28T17:57:48Z</dcterms:created>
  <dcterms:modified xsi:type="dcterms:W3CDTF">2019-12-28T17:57:48Z</dcterms:modified>
</cp:coreProperties>
</file>