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ind w:left="4080" w:right="1860" w:hanging="4072"/>
        <w:spacing w:after="0" w:line="289" w:lineRule="auto"/>
        <w:tabs>
          <w:tab w:leader="none" w:pos="5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color w:val="auto"/>
        </w:rPr>
        <w:t>March 31, 2025</w:t>
      </w:r>
    </w:p>
    <w:p>
      <w:pPr>
        <w:spacing w:after="0" w:line="1" w:lineRule="exact"/>
        <w:rPr>
          <w:rFonts w:ascii="MS PGothic" w:cs="MS PGothic" w:eastAsia="MS PGothic" w:hAnsi="MS PGothic"/>
          <w:sz w:val="18"/>
          <w:szCs w:val="18"/>
          <w:color w:val="auto"/>
          <w:highlight w:val="black"/>
        </w:rPr>
      </w:pPr>
    </w:p>
    <w:p>
      <w:pPr>
        <w:ind w:left="55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25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320" w:type="dxa"/>
            <w:vAlign w:val="bottom"/>
          </w:tcPr>
          <w:p>
            <w:pPr>
              <w:spacing w:after="0"/>
              <w:rPr>
                <w:sz w:val="22"/>
                <w:szCs w:val="22"/>
                <w:color w:val="auto"/>
              </w:rPr>
            </w:pPr>
          </w:p>
        </w:tc>
        <w:tc>
          <w:tcPr>
            <w:tcW w:w="4040" w:type="dxa"/>
            <w:vAlign w:val="bottom"/>
            <w:gridSpan w:val="9"/>
          </w:tcPr>
          <w:p>
            <w:pPr>
              <w:jc w:val="center"/>
              <w:ind w:left="483"/>
              <w:spacing w:after="0"/>
              <w:rPr>
                <w:sz w:val="20"/>
                <w:szCs w:val="20"/>
                <w:color w:val="auto"/>
              </w:rPr>
            </w:pPr>
            <w:r>
              <w:rPr>
                <w:rFonts w:ascii="Times New Roman" w:cs="Times New Roman" w:eastAsia="Times New Roman" w:hAnsi="Times New Roman"/>
                <w:sz w:val="18"/>
                <w:szCs w:val="18"/>
                <w:b w:val="1"/>
                <w:bCs w:val="1"/>
                <w:color w:val="auto"/>
              </w:rPr>
              <w:t>Commission File Number: 001-33887</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3320" w:type="dxa"/>
            <w:vAlign w:val="bottom"/>
          </w:tcPr>
          <w:p>
            <w:pPr>
              <w:spacing w:after="0"/>
              <w:rPr>
                <w:sz w:val="5"/>
                <w:szCs w:val="5"/>
                <w:color w:val="auto"/>
              </w:rPr>
            </w:pPr>
          </w:p>
        </w:tc>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36"/>
                <w:szCs w:val="36"/>
                <w:b w:val="1"/>
                <w:bCs w:val="1"/>
                <w:color w:val="auto"/>
              </w:rPr>
              <w:t>Orion</w:t>
            </w: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gridSpan w:val="2"/>
          </w:tcPr>
          <w:p>
            <w:pPr>
              <w:spacing w:after="0"/>
              <w:rPr>
                <w:sz w:val="5"/>
                <w:szCs w:val="5"/>
                <w:color w:val="auto"/>
              </w:rPr>
            </w:pPr>
          </w:p>
        </w:tc>
        <w:tc>
          <w:tcPr>
            <w:tcW w:w="360" w:type="dxa"/>
            <w:vAlign w:val="bottom"/>
            <w:vMerge w:val="restart"/>
          </w:tcPr>
          <w:p>
            <w:pPr>
              <w:spacing w:after="0"/>
              <w:rPr>
                <w:sz w:val="5"/>
                <w:szCs w:val="5"/>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36"/>
                <w:szCs w:val="36"/>
                <w:b w:val="1"/>
                <w:bCs w:val="1"/>
                <w:color w:val="auto"/>
              </w:rPr>
              <w:t>Inc.</w:t>
            </w: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33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240" w:type="dxa"/>
            <w:vAlign w:val="bottom"/>
            <w:gridSpan w:val="6"/>
          </w:tcPr>
          <w:p>
            <w:pPr>
              <w:jc w:val="center"/>
              <w:spacing w:after="0"/>
              <w:rPr>
                <w:sz w:val="20"/>
                <w:szCs w:val="20"/>
                <w:color w:val="auto"/>
              </w:rPr>
            </w:pPr>
            <w:r>
              <w:rPr>
                <w:rFonts w:ascii="Times New Roman" w:cs="Times New Roman" w:eastAsia="Times New Roman" w:hAnsi="Times New Roman"/>
                <w:sz w:val="36"/>
                <w:szCs w:val="36"/>
                <w:b w:val="1"/>
                <w:bCs w:val="1"/>
                <w:color w:val="auto"/>
                <w:w w:val="87"/>
              </w:rPr>
              <w:t>Energy Systems,</w:t>
            </w:r>
          </w:p>
        </w:tc>
        <w:tc>
          <w:tcPr>
            <w:tcW w:w="360" w:type="dxa"/>
            <w:vAlign w:val="bottom"/>
            <w:vMerge w:val="continue"/>
          </w:tcPr>
          <w:p>
            <w:pPr>
              <w:spacing w:after="0"/>
              <w:rPr>
                <w:sz w:val="24"/>
                <w:szCs w:val="24"/>
                <w:color w:val="auto"/>
              </w:rPr>
            </w:pPr>
          </w:p>
        </w:tc>
        <w:tc>
          <w:tcPr>
            <w:tcW w:w="780" w:type="dxa"/>
            <w:vAlign w:val="bottom"/>
            <w:gridSpan w:val="3"/>
            <w:vMerge w:val="continue"/>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4040" w:type="dxa"/>
            <w:vAlign w:val="bottom"/>
            <w:gridSpan w:val="9"/>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320" w:type="dxa"/>
            <w:vAlign w:val="bottom"/>
            <w:vMerge w:val="restart"/>
          </w:tcPr>
          <w:p>
            <w:pPr>
              <w:jc w:val="center"/>
              <w:ind w:left="2124"/>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11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360" w:type="dxa"/>
            <w:vAlign w:val="bottom"/>
            <w:vMerge w:val="restart"/>
          </w:tcPr>
          <w:p>
            <w:pPr>
              <w:jc w:val="right"/>
              <w:ind w:right="2145"/>
              <w:spacing w:after="0"/>
              <w:rPr>
                <w:sz w:val="20"/>
                <w:szCs w:val="20"/>
                <w:color w:val="auto"/>
              </w:rPr>
            </w:pPr>
            <w:r>
              <w:rPr>
                <w:rFonts w:ascii="Times New Roman" w:cs="Times New Roman" w:eastAsia="Times New Roman" w:hAnsi="Times New Roman"/>
                <w:sz w:val="18"/>
                <w:szCs w:val="18"/>
                <w:b w:val="1"/>
                <w:bCs w:val="1"/>
                <w:color w:val="auto"/>
              </w:rPr>
              <w:t>39-1847269</w:t>
            </w:r>
          </w:p>
        </w:tc>
        <w:tc>
          <w:tcPr>
            <w:tcW w:w="0" w:type="dxa"/>
            <w:vAlign w:val="bottom"/>
          </w:tcPr>
          <w:p>
            <w:pPr>
              <w:spacing w:after="0"/>
              <w:rPr>
                <w:sz w:val="1"/>
                <w:szCs w:val="1"/>
                <w:color w:val="auto"/>
              </w:rPr>
            </w:pPr>
          </w:p>
        </w:tc>
      </w:tr>
      <w:tr>
        <w:trPr>
          <w:trHeight w:val="266"/>
        </w:trPr>
        <w:tc>
          <w:tcPr>
            <w:tcW w:w="3320" w:type="dxa"/>
            <w:vAlign w:val="bottom"/>
            <w:vMerge w:val="continue"/>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6700" w:type="dxa"/>
            <w:vAlign w:val="bottom"/>
            <w:gridSpan w:val="7"/>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tcPr>
          <w:p>
            <w:pPr>
              <w:jc w:val="center"/>
              <w:ind w:right="18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51"/>
        </w:trPr>
        <w:tc>
          <w:tcPr>
            <w:tcW w:w="6700" w:type="dxa"/>
            <w:vAlign w:val="bottom"/>
            <w:gridSpan w:val="7"/>
          </w:tcPr>
          <w:p>
            <w:pPr>
              <w:jc w:val="center"/>
              <w:ind w:right="1180"/>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60" w:type="dxa"/>
            <w:vAlign w:val="bottom"/>
          </w:tcPr>
          <w:p>
            <w:pPr>
              <w:jc w:val="center"/>
              <w:ind w:right="1865"/>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38"/>
        </w:trPr>
        <w:tc>
          <w:tcPr>
            <w:tcW w:w="6700" w:type="dxa"/>
            <w:vAlign w:val="bottom"/>
            <w:gridSpan w:val="7"/>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2210 Woodland Drive, Manitowoc, WI</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jc w:val="right"/>
              <w:ind w:right="2345"/>
              <w:spacing w:after="0"/>
              <w:rPr>
                <w:sz w:val="20"/>
                <w:szCs w:val="20"/>
                <w:color w:val="auto"/>
              </w:rPr>
            </w:pPr>
            <w:r>
              <w:rPr>
                <w:rFonts w:ascii="Times New Roman" w:cs="Times New Roman" w:eastAsia="Times New Roman" w:hAnsi="Times New Roman"/>
                <w:sz w:val="18"/>
                <w:szCs w:val="18"/>
                <w:b w:val="1"/>
                <w:bCs w:val="1"/>
                <w:color w:val="auto"/>
              </w:rPr>
              <w:t>54220</w:t>
            </w:r>
          </w:p>
        </w:tc>
        <w:tc>
          <w:tcPr>
            <w:tcW w:w="0" w:type="dxa"/>
            <w:vAlign w:val="bottom"/>
          </w:tcPr>
          <w:p>
            <w:pPr>
              <w:spacing w:after="0"/>
              <w:rPr>
                <w:sz w:val="1"/>
                <w:szCs w:val="1"/>
                <w:color w:val="auto"/>
              </w:rPr>
            </w:pPr>
          </w:p>
        </w:tc>
      </w:tr>
      <w:tr>
        <w:trPr>
          <w:trHeight w:val="233"/>
        </w:trPr>
        <w:tc>
          <w:tcPr>
            <w:tcW w:w="6700" w:type="dxa"/>
            <w:vAlign w:val="bottom"/>
            <w:gridSpan w:val="7"/>
            <w:vMerge w:val="restart"/>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jc w:val="center"/>
              <w:ind w:right="1865"/>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68"/>
        </w:trPr>
        <w:tc>
          <w:tcPr>
            <w:tcW w:w="6700" w:type="dxa"/>
            <w:vAlign w:val="bottom"/>
            <w:gridSpan w:val="7"/>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320" w:type="dxa"/>
            <w:vAlign w:val="bottom"/>
          </w:tcPr>
          <w:p>
            <w:pPr>
              <w:spacing w:after="0"/>
              <w:rPr>
                <w:sz w:val="24"/>
                <w:szCs w:val="24"/>
                <w:color w:val="auto"/>
              </w:rPr>
            </w:pPr>
          </w:p>
        </w:tc>
        <w:tc>
          <w:tcPr>
            <w:tcW w:w="3340" w:type="dxa"/>
            <w:vAlign w:val="bottom"/>
            <w:gridSpan w:val="5"/>
          </w:tcPr>
          <w:p>
            <w:pPr>
              <w:jc w:val="center"/>
              <w:ind w:left="1163"/>
              <w:spacing w:after="0"/>
              <w:rPr>
                <w:sz w:val="20"/>
                <w:szCs w:val="20"/>
                <w:color w:val="auto"/>
              </w:rPr>
            </w:pPr>
            <w:r>
              <w:rPr>
                <w:rFonts w:ascii="Times New Roman" w:cs="Times New Roman" w:eastAsia="Times New Roman" w:hAnsi="Times New Roman"/>
                <w:sz w:val="18"/>
                <w:szCs w:val="18"/>
                <w:b w:val="1"/>
                <w:bCs w:val="1"/>
                <w:color w:val="auto"/>
                <w:w w:val="99"/>
              </w:rPr>
              <w:t>(920) 892-9340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20" w:type="dxa"/>
            <w:vAlign w:val="bottom"/>
          </w:tcPr>
          <w:p>
            <w:pPr>
              <w:spacing w:after="0"/>
              <w:rPr>
                <w:sz w:val="16"/>
                <w:szCs w:val="16"/>
                <w:color w:val="auto"/>
              </w:rPr>
            </w:pPr>
          </w:p>
        </w:tc>
        <w:tc>
          <w:tcPr>
            <w:tcW w:w="4040" w:type="dxa"/>
            <w:vAlign w:val="bottom"/>
            <w:gridSpan w:val="9"/>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456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tcPr>
          <w:p>
            <w:pPr>
              <w:jc w:val="center"/>
              <w:ind w:left="136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jc w:val="center"/>
              <w:ind w:right="46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9"/>
        </w:trPr>
        <w:tc>
          <w:tcPr>
            <w:tcW w:w="3320" w:type="dxa"/>
            <w:vAlign w:val="bottom"/>
            <w:vMerge w:val="restart"/>
          </w:tcPr>
          <w:p>
            <w:pPr>
              <w:jc w:val="center"/>
              <w:ind w:left="1384"/>
              <w:spacing w:after="0"/>
              <w:rPr>
                <w:sz w:val="20"/>
                <w:szCs w:val="20"/>
                <w:color w:val="auto"/>
              </w:rPr>
            </w:pPr>
            <w:r>
              <w:rPr>
                <w:rFonts w:ascii="Times New Roman" w:cs="Times New Roman" w:eastAsia="Times New Roman" w:hAnsi="Times New Roman"/>
                <w:sz w:val="14"/>
                <w:szCs w:val="14"/>
                <w:color w:val="auto"/>
              </w:rPr>
              <w:t>Common stock, no par value</w:t>
            </w: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OESX</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360" w:type="dxa"/>
            <w:vAlign w:val="bottom"/>
          </w:tcPr>
          <w:p>
            <w:pPr>
              <w:jc w:val="center"/>
              <w:ind w:right="465"/>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8"/>
        </w:trPr>
        <w:tc>
          <w:tcPr>
            <w:tcW w:w="332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tcPr>
          <w:p>
            <w:pPr>
              <w:jc w:val="center"/>
              <w:ind w:right="445"/>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r>
        <w:trPr>
          <w:trHeight w:val="320"/>
        </w:trPr>
        <w:tc>
          <w:tcPr>
            <w:tcW w:w="3320" w:type="dxa"/>
            <w:vAlign w:val="bottom"/>
          </w:tcPr>
          <w:p>
            <w:pPr>
              <w:spacing w:after="0"/>
              <w:rPr>
                <w:sz w:val="24"/>
                <w:szCs w:val="24"/>
                <w:color w:val="auto"/>
              </w:rPr>
            </w:pPr>
          </w:p>
        </w:tc>
        <w:tc>
          <w:tcPr>
            <w:tcW w:w="456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4500" w:type="dxa"/>
            <w:vAlign w:val="bottom"/>
            <w:gridSpan w:val="2"/>
          </w:tcPr>
          <w:p>
            <w:pPr>
              <w:spacing w:after="0"/>
              <w:rPr>
                <w:sz w:val="8"/>
                <w:szCs w:val="8"/>
                <w:color w:val="auto"/>
              </w:rPr>
            </w:pPr>
          </w:p>
        </w:tc>
        <w:tc>
          <w:tcPr>
            <w:tcW w:w="1360" w:type="dxa"/>
            <w:vAlign w:val="bottom"/>
            <w:tcBorders>
              <w:bottom w:val="single" w:sz="8" w:color="auto"/>
            </w:tcBorders>
            <w:gridSpan w:val="3"/>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62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3360" w:type="dxa"/>
            <w:vAlign w:val="bottom"/>
            <w:vMerge w:val="restart"/>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6"/>
        </w:trPr>
        <w:tc>
          <w:tcPr>
            <w:tcW w:w="7360" w:type="dxa"/>
            <w:vAlign w:val="bottom"/>
            <w:gridSpan w:val="10"/>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Yes</w:t>
            </w:r>
          </w:p>
        </w:tc>
        <w:tc>
          <w:tcPr>
            <w:tcW w:w="200" w:type="dxa"/>
            <w:vAlign w:val="bottom"/>
            <w:vMerge w:val="continue"/>
          </w:tcPr>
          <w:p>
            <w:pPr>
              <w:spacing w:after="0"/>
              <w:rPr>
                <w:sz w:val="20"/>
                <w:szCs w:val="20"/>
                <w:color w:val="auto"/>
              </w:rPr>
            </w:pPr>
          </w:p>
        </w:tc>
        <w:tc>
          <w:tcPr>
            <w:tcW w:w="3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360" w:type="dxa"/>
            <w:vAlign w:val="bottom"/>
            <w:gridSpan w:val="10"/>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32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336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both"/>
        <w:ind w:right="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6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6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9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9"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220" w:val="left"/>
          <w:tab w:leader="none" w:pos="78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The aggregate market value of shares of the Registrant’s common stock held by non-affiliates as of September 30, 2024, the last business day of the Registrant’s most recently completed second fiscal quarter, was approximately $28,196,921.</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May 30, 2025, there were 33,305,699 shares of the Registrant’s common stock outstanding.</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 w:name="page2"/>
    <w:bookmarkEnd w:id="1"/>
    <w:p>
      <w:pPr>
        <w:ind w:firstLine="509"/>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for the 2025 Annual Meeting of Shareholders to be held on August 7, 2025 are incorporated herein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gridSpan w:val="8"/>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ORION ENERGY SYSTEMS,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gridSpan w:val="8"/>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60" w:type="dxa"/>
            <w:vAlign w:val="bottom"/>
            <w:gridSpan w:val="9"/>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FOR THE YEAR ENDED MARCH 31, 2025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920" w:type="dxa"/>
            <w:vAlign w:val="bottom"/>
            <w:gridSpan w:val="7"/>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20" w:type="dxa"/>
            <w:vAlign w:val="bottom"/>
            <w:gridSpan w:val="6"/>
            <w:vMerge w:val="restart"/>
          </w:tcPr>
          <w:p>
            <w:pPr>
              <w:jc w:val="center"/>
              <w:ind w:right="4500"/>
              <w:spacing w:after="0"/>
              <w:rPr>
                <w:sz w:val="20"/>
                <w:szCs w:val="20"/>
                <w:color w:val="auto"/>
              </w:rPr>
            </w:pPr>
            <w:r>
              <w:rPr>
                <w:rFonts w:ascii="Times New Roman" w:cs="Times New Roman" w:eastAsia="Times New Roman" w:hAnsi="Times New Roman"/>
                <w:sz w:val="18"/>
                <w:szCs w:val="18"/>
                <w:color w:val="auto"/>
                <w:w w:val="99"/>
              </w:rPr>
              <w:t>PART I</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20" w:type="dxa"/>
            <w:vAlign w:val="bottom"/>
            <w:gridSpan w:val="6"/>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0600" w:type="dxa"/>
            <w:vAlign w:val="bottom"/>
            <w:gridSpan w:val="23"/>
          </w:tcPr>
          <w:p>
            <w:pPr>
              <w:spacing w:after="0" w:line="174" w:lineRule="exact"/>
              <w:rPr>
                <w:sz w:val="20"/>
                <w:szCs w:val="20"/>
                <w:color w:val="auto"/>
              </w:rPr>
            </w:pPr>
            <w:r>
              <w:rPr>
                <w:rFonts w:ascii="Times New Roman" w:cs="Times New Roman" w:eastAsia="Times New Roman" w:hAnsi="Times New Roman"/>
                <w:sz w:val="18"/>
                <w:szCs w:val="18"/>
                <w:color w:val="0000FF"/>
              </w:rPr>
              <w:t>Item 1 Business</w:t>
            </w: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00" w:type="dxa"/>
            <w:vAlign w:val="bottom"/>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Item 2 Properties</w:t>
            </w: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3 Legal Proceedings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7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20" w:type="dxa"/>
            <w:vAlign w:val="bottom"/>
            <w:gridSpan w:val="6"/>
          </w:tcPr>
          <w:p>
            <w:pPr>
              <w:jc w:val="center"/>
              <w:ind w:right="4480"/>
              <w:spacing w:after="0"/>
              <w:rPr>
                <w:sz w:val="20"/>
                <w:szCs w:val="20"/>
                <w:color w:val="auto"/>
              </w:rPr>
            </w:pPr>
            <w:r>
              <w:rPr>
                <w:rFonts w:ascii="Times New Roman" w:cs="Times New Roman" w:eastAsia="Times New Roman" w:hAnsi="Times New Roman"/>
                <w:sz w:val="18"/>
                <w:szCs w:val="18"/>
                <w:color w:val="auto"/>
                <w:w w:val="99"/>
              </w:rPr>
              <w:t>PART II</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0600" w:type="dxa"/>
            <w:vAlign w:val="bottom"/>
            <w:gridSpan w:val="23"/>
          </w:tcPr>
          <w:p>
            <w:pPr>
              <w:spacing w:after="0" w:line="174" w:lineRule="exact"/>
              <w:rPr>
                <w:sz w:val="20"/>
                <w:szCs w:val="20"/>
                <w:color w:val="auto"/>
              </w:rPr>
            </w:pPr>
            <w:r>
              <w:rPr>
                <w:rFonts w:ascii="Times New Roman" w:cs="Times New Roman" w:eastAsia="Times New Roman" w:hAnsi="Times New Roman"/>
                <w:sz w:val="18"/>
                <w:szCs w:val="18"/>
                <w:color w:val="0000FF"/>
              </w:rPr>
              <w:t>Item 5 Market for Registrant’s Common Equity, Related Shareholder Matters and Issuer Purchases of Equity Securities</w:t>
            </w: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6 [Reserved]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9B Other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EE"/>
            </w:tcBorders>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20" w:type="dxa"/>
            <w:vAlign w:val="bottom"/>
            <w:gridSpan w:val="6"/>
          </w:tcPr>
          <w:p>
            <w:pPr>
              <w:jc w:val="center"/>
              <w:ind w:right="4500"/>
              <w:spacing w:after="0"/>
              <w:rPr>
                <w:sz w:val="20"/>
                <w:szCs w:val="20"/>
                <w:color w:val="auto"/>
              </w:rPr>
            </w:pPr>
            <w:r>
              <w:rPr>
                <w:rFonts w:ascii="Times New Roman" w:cs="Times New Roman" w:eastAsia="Times New Roman" w:hAnsi="Times New Roman"/>
                <w:sz w:val="18"/>
                <w:szCs w:val="18"/>
                <w:color w:val="auto"/>
                <w:w w:val="99"/>
              </w:rPr>
              <w:t>PART III</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0600" w:type="dxa"/>
            <w:vAlign w:val="bottom"/>
            <w:gridSpan w:val="23"/>
          </w:tcPr>
          <w:p>
            <w:pPr>
              <w:spacing w:after="0" w:line="174"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11 Executive Compensation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Shareholder Matters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7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20" w:type="dxa"/>
            <w:vAlign w:val="bottom"/>
            <w:gridSpan w:val="6"/>
          </w:tcPr>
          <w:p>
            <w:pPr>
              <w:jc w:val="center"/>
              <w:ind w:right="4480"/>
              <w:spacing w:after="0"/>
              <w:rPr>
                <w:sz w:val="20"/>
                <w:szCs w:val="20"/>
                <w:color w:val="auto"/>
              </w:rPr>
            </w:pPr>
            <w:r>
              <w:rPr>
                <w:rFonts w:ascii="Times New Roman" w:cs="Times New Roman" w:eastAsia="Times New Roman" w:hAnsi="Times New Roman"/>
                <w:sz w:val="18"/>
                <w:szCs w:val="18"/>
                <w:color w:val="auto"/>
              </w:rPr>
              <w:t>PART IV</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0600" w:type="dxa"/>
            <w:vAlign w:val="bottom"/>
            <w:gridSpan w:val="23"/>
          </w:tcPr>
          <w:p>
            <w:pPr>
              <w:spacing w:after="0" w:line="174" w:lineRule="exact"/>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86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16 Form 10-K Summary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846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445"/>
        </w:trPr>
        <w:tc>
          <w:tcPr>
            <w:tcW w:w="8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99"/>
        <w:spacing w:after="0" w:line="252"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that are based on Orion Energy Systems, Inc.'s ("Orion", "we", "us", "our" and similar references)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89" w:lineRule="exact"/>
        <w:rPr>
          <w:sz w:val="20"/>
          <w:szCs w:val="20"/>
          <w:color w:val="auto"/>
        </w:rPr>
      </w:pPr>
    </w:p>
    <w:p>
      <w:pPr>
        <w:ind w:left="1020" w:right="1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liquidity and capital resources may not be sufficient to allow us to fund or sustain our working capital requirements or pay our contractual or debt obligations;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of the remaining Voltrek acquisition earn-out obligations may involve either payments in cash or our issuance of our common stock, which could materially affect our liquidity and/or result in significant dilution to our shareholders. In addition to the $1 million of our common stock issuable on the 14th trading day after the public announcement of our fiscal 2025 financial results, we also have the option to pay up to 20% of the then remaining earn-out obligation at maturity in shares of our outstanding common stock. Such issuances of our common stock likely will be materially dilutive to our shareholders;</w:t>
      </w:r>
    </w:p>
    <w:p>
      <w:pPr>
        <w:spacing w:after="0" w:line="75"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remaining Voltrek acquisition earn-out obligations will likely be subject to resolution by an independent accounting firm. Such finally determined earn-out amount may exceed our current accrued liability for such earn-out amount and could materially affect our future liquidity;</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equity capital or subordinated or convertible debt to provide us with additional liquidity and capital resources to help fund our operations, pay our senior debt obligations and pay our remaining Voltrek earn-out obligations. At our current stock price, any such equity capital raise would likely be materially dilutive to our shareholders;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several years, we have incurred substantial net losses and negative cash flow. If these trends continue, our liquidity and financial condition will be further materially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experiencing ongoing increasing pressures to reduce the selling price of our lighting products and incur the related negative impact on our gross margins, driven largely by the ongoing increase in competition from foreign competitors;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comply with NASDAQ’s minimum bid price requirement, including by effecting a reverse stock split, prior to September 15, 2025, our common stock may be delisted from NASDAQ. A reverse stock split may result in decreased trading volume and liquidity for our shares;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budgeted fiscal 2026 revenue expectations, and related public fiscal 2026 revenue guidance, will have a significant impact on our cash flow and stock price and ability to fund our operations and satisfy our debt obligations;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tariffs and other actions have adversely affected, and may continue to adversely affect, our business, resulting in increased costs and reduced gross margins;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incentives from the United States government for investments in EV charging infrastructure may reduce demand for public EV charging products, in addition to reducing overall demand for EVs;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major sources of recurring revenue, and we depend upon a limited number of customers in any given period to generate a substantial portion of our revenue. The reduction of revenue from our most significant customer over the past several fiscal years has had, and the potential future loss of other significant customers or a major customer would likely have, a materially adverse effect on our results of operations, financial condition and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including due to federal funding restrictions in the United States, could cause the demand for our lighting products to slow;</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implementing a new ERP system, which will involve substantial cost and potential disruption to our normal operations. Our inability to successfully manage the implementation of our new ERP system could adversely affect our ability to operate our business and otherwise negatively affect our financial reporting and the effectiveness of our internal control over financial reporting;</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revenues are derived from major project-based retrofit work that is awarded through a competitive bid process. It is generally difficult to predict the timing of projects that will be awarded, which can impact our ability to achieve our expected financial results;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emphasis on indirect distribution channels to sell our products and services to supplement our direct distribution channels has had limited success to date;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intangibles acquired through acquisitions could be impacted by our continued net losses and low levels of liquidity, thus resulting in a potential valuation impairment;</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use components and raw materials that may be subject to price fluctuations, shortages or interruptions of supply, particularly resulting from tariffs and other trade restrictions;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increasingly rely on third-party manufacturers for the manufacture and development of our products and product components;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 of a cybersecurity breach;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pressures in the markets in which we operate may adversely affect our financial results;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global economy have negatively impacted, and could in the future negatively impact, our customers, suppliers and business;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LED lighting retrofit solutions depends, in part, on our ability to claim market share away from our competitors.</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jc w:val="both"/>
        <w:ind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We provide state-of-the-art light emitting diode (“LED”) lighting systems, wireless Internet of Things (“IoT”) enabled control solutions, commercial and industrial electric vehicle "EV" charging infrastructure solutions and lighting and electrical maintenance services. We help our customers achieve their sustainability, energy savings and carbon footprint reduction goals through innovative technology and exceptional service. We sell our products and services into many vertical markets within the broader commercial and industrial market segment. Primary verticals include: big box retail, manufacturing, warehousing/logistics, commercial office, federal and municipal government, healthcare and schools. Our services consist of turnkey installation (lighting and EV) and system maintenance. Virtually all of our sales occur within North America.</w:t>
      </w:r>
    </w:p>
    <w:p>
      <w:pPr>
        <w:spacing w:after="0" w:line="187"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principal lighting customers include large national account end-users, electrical distributors, electrical contractors and energy service companies (“ESCOS”). Currently, a significant amount of our lighting products are manufactured at our leased production facility located in Manitowoc, Wisconsin, although as the LED and related IoT market continues to evolve, we are increasingly sourcing products and components from third parties in order to diversify our product offerings.</w:t>
      </w:r>
    </w:p>
    <w:p>
      <w:pPr>
        <w:spacing w:after="0" w:line="180"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differentiate ourselves from our competitors by offering very efficient light fixtures (measured in lumens per watt) coupled with our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and commissioning. In addition, we began to offer lighting and electrical maintenance services in fiscal 2021. We believe that providing these services enables us to support a long-term business relationship with our customers and results in an increase in our recurring revenue. We completed the acquisition of Stay-Lite Lighting on January 1, 2022, which further expanded our maintenance services capabilities. On October 5, 2022, we acquired Voltrek LLC ("Voltrek"), which leveraged our project management and maintenance expertise into the EV sector.</w:t>
      </w:r>
    </w:p>
    <w:p>
      <w:pPr>
        <w:spacing w:after="0" w:line="18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lighting products consist primarily of LED lighting fixtures, many of which include IoT enabled control systems provided by third parties. We believe the market for LED lighting products continues to grow. Due to their size and flexibility in application, we also believe that LED lighting systems can address opportunities for retrofit applications that cannot be satisfied by other lighting technologies.</w:t>
      </w:r>
    </w:p>
    <w:p>
      <w:pPr>
        <w:spacing w:after="0" w:line="176"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Other than our multi-year maintenance service contracts, we generally do not have long-term contracts with our customers for product or turnkey services that provide us with recurring annual revenue. We typically generate substantially all of our lighting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87"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typically sell our lighting systems in replacement of our customers’ existing lighting fixtures. We call this replacement process a "retrofit". We frequently sell our products and services directly to our customers and in many cases we provide design and installation services as well as project management services. We also sell our lighting systems on a wholesale basis, principally to electrical distributors, electrical contractors and ESCOs which then resell to their own customers.</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gross margins of our products can vary significantly depending upon the types of products we sell, with gross margins typically ranging from 10% to 50%. As a result, a change in the total mix of our sales among higher or lower gross margin products can cause our profitability to fluctuate from period to period.</w:t>
      </w:r>
    </w:p>
    <w:p>
      <w:pPr>
        <w:spacing w:after="0" w:line="176"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Our fiscal year ends on March 31. We refer to our current fiscal year which ends on March 31, 2026 as "fiscal 2026". We refer to our most recently completed fiscal year, which ended on March 31, 2025, as “fiscal 2025”, and our prior fiscal year which ended 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March 31, 2024 as "fiscal 2024". Our fiscal first quarter of each fiscal year ends on June 30, our fiscal second quarter ends on September 30, our fiscal third quarter ends on December 31, and our fiscal fourth quarter ends on March 31.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chief operating decision maker ("CODM") regularly reviews when allocating resources and assessing performance. Our CODM is our chief executive officer. Previously, we had four reportable segments: Orion Services Group Segment, Orion Distribution Services Segment, Orion U.S. Markets Segment and Orion Electric Vehicle Charging Segment. Effective during the first quarter of fiscal 2024, we began to evaluate and report the business using three segments: lighting segment, maintenance segment and the electric vehicle charging segment (the "EV segment").</w:t>
      </w:r>
    </w:p>
    <w:p>
      <w:pPr>
        <w:spacing w:after="0" w:line="18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For financial results by reportable segment, please refer to Note 17 – Segment Data in our consolidated financial statements included in Item 8.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Lighting Segment</w:t>
      </w:r>
    </w:p>
    <w:p>
      <w:pPr>
        <w:spacing w:after="0" w:line="121"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Our lighting segment sells mostly through direct sales and also through manufacturer representative agencies and to the wholesale contractor markets through ESCOs and contractors.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 Segment</w:t>
      </w:r>
    </w:p>
    <w:p>
      <w:pPr>
        <w:spacing w:after="0" w:line="121"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Our maintenance segment provides retailers, distributors and other businesses with maintenance, repair and replacement services for the lighting and related electrical components deployed in their facilities.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 Segment</w:t>
      </w:r>
    </w:p>
    <w:p>
      <w:pPr>
        <w:spacing w:after="0" w:line="121" w:lineRule="exact"/>
        <w:rPr>
          <w:sz w:val="20"/>
          <w:szCs w:val="20"/>
          <w:color w:val="auto"/>
        </w:rPr>
      </w:pPr>
    </w:p>
    <w:p>
      <w:pPr>
        <w:ind w:right="600" w:firstLine="494"/>
        <w:spacing w:after="0" w:line="282" w:lineRule="auto"/>
        <w:rPr>
          <w:sz w:val="20"/>
          <w:szCs w:val="20"/>
          <w:color w:val="auto"/>
        </w:rPr>
      </w:pPr>
      <w:r>
        <w:rPr>
          <w:rFonts w:ascii="Times New Roman" w:cs="Times New Roman" w:eastAsia="Times New Roman" w:hAnsi="Times New Roman"/>
          <w:sz w:val="18"/>
          <w:szCs w:val="18"/>
          <w:color w:val="auto"/>
        </w:rPr>
        <w:t>Our EV segment offers leading electric vehicle charging expertise and provides EV turnkey installation solutions with ongoing support to all commercial verticals.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Our historical primary focus has been the sale of our LED lighting fixtures with integrated controls technology and related installation services. We will continue to focus on these products and services, as well as on expanding our maintenance service offerings and our EV charging station solutions.</w:t>
      </w:r>
    </w:p>
    <w:p>
      <w:pPr>
        <w:spacing w:after="0" w:line="16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Currently, a significant amount of our lighting products are manufactured at our leased production facility location in Manitowoc, Wisconsin, although as the LED market continues to evolve but subject to tariff impacts, we are increasing the sourcing of products and components from third parties in order to expand our product offerings. We are focused on researching, developing and/or acquiring new innovative LED products and technologies for the retrofit markets. We plan to continue developing creative new LED retrofit products in order to offer our customers a variety of integrated energy management services, such as system design, project management and installation. We third party source all of the EV charging stations and components that are installed by our EV segment.</w:t>
      </w:r>
    </w:p>
    <w:p>
      <w:pPr>
        <w:spacing w:after="0" w:line="2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lighting and maintenance segments market fixtures for both interior and exterior use, including our LED high bay fixtures, LED troffer retrofits and smart lighting controls. Our smart lighting controls provide both lighting control options and data intelligence capabilities for building managers to log, monitor and analyze use of space, energy savings, and provide physical security of space.</w:t>
      </w:r>
    </w:p>
    <w:p>
      <w:pPr>
        <w:spacing w:after="0" w:line="176"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In addition, in October 2022, we acquired Voltrek, which offers leading EV charging expertise and provides turnkey EV installation solutions with ongoing support to all commercial verticals. We believe there are growth opportunities for Voltrek both in 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 w:name="page8"/>
    <w:bookmarkEnd w:id="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existing northeast geographic market, as well as on a national basis. We also plan to continue attempting to cross sell our EV charging solutions to our historical market channels and customers and vice versa.</w:t>
      </w:r>
    </w:p>
    <w:p>
      <w:pPr>
        <w:spacing w:after="0" w:line="160"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Products. </w:t>
      </w:r>
      <w:r>
        <w:rPr>
          <w:rFonts w:ascii="Times New Roman" w:cs="Times New Roman" w:eastAsia="Times New Roman" w:hAnsi="Times New Roman"/>
          <w:sz w:val="18"/>
          <w:szCs w:val="18"/>
          <w:color w:val="auto"/>
        </w:rPr>
        <w:t>We also offer our customers a variety of other LED fixtures to address their lighting and energy management needs,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fixtures designed for agribusinesses, parking lots, retail, mezzanine, outdoor applications and private label resale.</w:t>
      </w:r>
    </w:p>
    <w:p>
      <w:pPr>
        <w:spacing w:after="0" w:line="158"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i w:val="1"/>
          <w:iCs w:val="1"/>
          <w:color w:val="auto"/>
        </w:rPr>
        <w:t>Warranty Policy</w:t>
      </w:r>
      <w:r>
        <w:rPr>
          <w:rFonts w:ascii="Times New Roman" w:cs="Times New Roman" w:eastAsia="Times New Roman" w:hAnsi="Times New Roman"/>
          <w:sz w:val="18"/>
          <w:szCs w:val="18"/>
          <w:color w:val="auto"/>
        </w:rPr>
        <w:t>. Our warranty policy generally provides for a limited five-year warranty on our LED products, although we do offer warranties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ranging up to 10 years for certain LED products. Drivers, LED chips, EV charging stations and other electrical components are excluded from our standard warranty as they are covered by separate warranties offered by the original equipment manufacturers. We coordinate and process customer warranty inquiries and claims, including inquiries and claims relating to ballast and lamp components, through our customer service department.</w:t>
      </w:r>
    </w:p>
    <w:p>
      <w:pPr>
        <w:spacing w:after="0" w:line="2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provide a range of lighting-related energy management services to customers, including:</w:t>
      </w:r>
    </w:p>
    <w:p>
      <w:pPr>
        <w:spacing w:after="0" w:line="117" w:lineRule="exact"/>
        <w:rPr>
          <w:sz w:val="20"/>
          <w:szCs w:val="20"/>
          <w:color w:val="auto"/>
        </w:rPr>
      </w:pPr>
    </w:p>
    <w:p>
      <w:pPr>
        <w:ind w:left="880" w:right="20" w:hanging="373"/>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site assessment, which includes a review of the current lighting and controls including IoT enabled devices requirements and energy usage at the customer’s facility;</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field verification, or SFV, during which we perform a test implementation of our energy management system at a customer’s facility;</w:t>
      </w:r>
    </w:p>
    <w:p>
      <w:pPr>
        <w:spacing w:after="0" w:line="117" w:lineRule="exact"/>
        <w:rPr>
          <w:rFonts w:ascii="Times New Roman" w:cs="Times New Roman" w:eastAsia="Times New Roman" w:hAnsi="Times New Roman"/>
          <w:sz w:val="18"/>
          <w:szCs w:val="18"/>
          <w:color w:val="auto"/>
        </w:rPr>
      </w:pPr>
    </w:p>
    <w:p>
      <w:pPr>
        <w:ind w:left="880" w:hanging="373"/>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incentive and government subsidy management, where we assist our customers in identifying, applying for and obtaining available utility incentives or government subsidies;</w:t>
      </w:r>
    </w:p>
    <w:p>
      <w:pPr>
        <w:spacing w:after="0" w:line="53" w:lineRule="exact"/>
        <w:rPr>
          <w:rFonts w:ascii="Times New Roman" w:cs="Times New Roman" w:eastAsia="Times New Roman" w:hAnsi="Times New Roman"/>
          <w:sz w:val="18"/>
          <w:szCs w:val="18"/>
          <w:color w:val="auto"/>
        </w:rPr>
      </w:pPr>
    </w:p>
    <w:p>
      <w:pPr>
        <w:jc w:val="both"/>
        <w:ind w:left="880" w:hanging="373"/>
        <w:spacing w:after="0" w:line="266"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67" w:lineRule="exact"/>
        <w:rPr>
          <w:rFonts w:ascii="Times New Roman" w:cs="Times New Roman" w:eastAsia="Times New Roman" w:hAnsi="Times New Roman"/>
          <w:sz w:val="18"/>
          <w:szCs w:val="18"/>
          <w:color w:val="auto"/>
        </w:rPr>
      </w:pPr>
    </w:p>
    <w:p>
      <w:pPr>
        <w:ind w:left="880" w:hanging="373"/>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management, which involves us working with the electrical contractor in overseeing and managing all phases of implementation from delivery through installation for a single facility or through multi-facility roll-outs tied to a defined project schedule;</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services, for our products, which we provide through our national network of qualified third-party installers;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facility design commissioning of IoT enabled control devices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recycling in connection with our retrofit installations, where we remove, dispose of and recycle our customer’s legacy lighting fixtures; and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lighting and electrical system maintenance services both preventative and reactive in nature.</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also provide similar turnkey services to our EV customers that include site audit, engineering, grant filing, installation, commissioning and network services. Our maintenance business provides services that includes both preventative and reactive services. We also provide other services that comprise a small amount of our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primarily target commercial, institutional and industrial customers who have warehousing, retail, manufacturing and office facilities. In fiscal 2025, one customer accounted for 24.3% of our total revenue. In fiscal 2024, that same customer accounted for 25.2% of our total revenue, and in fiscal 2023, this same customer accounted for 16.2% of our total revenue. In fiscal 2026, we expect that our customer concentration will continue at the approximate level experienced in fiscal 2025. As we continue to attempt to diversify our customer base by expanding our reach to national accounts, ESCOs, the agent-driven distribution channel, lighting maintenance customers and the EV market, we expect to continue to derive a significant percentage of our revenue from contracts with one or a limited number of customers. These contracts are entered into in the ordinary course of business and typically provide that we will deliver products and services on a work order or purchase order basis and any purchase order may be terminated prior to shipment. Our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maintenance work orders or contracts may be for discrete projects or may have multi-year terms. These contracts generally do not guarantee that the customer will buy our products or services.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amount and concentration of our revenues with one or more customers may fluctuate on a year to year or quarter to quarter basis depending on the number of purchase orders issued by our customers. The loss of a significant customer or the termination of a material volume of purchase orders (or the underlying agreements) could have a material adverse effect on our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sell our lighting products in one of three ways: (i) directly as a result of Orion offering turnkey installation services; (ii) indirectly through independent sales agencies and broadline North American distributors; and (iii) through ESCOs. As of the end of fiscal 2025 we had 36 ESCO partners and independent lighting agencies representing us in substantially all of North America. We work cooperatively with our indirect channels through participation in national trade organizations and by providing product and sales training.</w:t>
      </w:r>
    </w:p>
    <w:p>
      <w:pPr>
        <w:spacing w:after="0" w:line="180"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have historically focused our marketing efforts on traditional direct advertising, as well as developing brand awareness through customer education and active participation in trade shows and energy management seminars. These efforts have included participating in national, regional and local trade organizations, exhibiting at trade shows, executing targeted digital campaigns, advertising in select publications, public relations campaigns, social media and other lead generation and brand-building initiatives.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market for energy-efficient lighting products, EV charging solutions and maintenance services is fragmented. We face strong competition primarily from manufacturers and distributors of lighting products and services as well as electrical contractors. We compete primarily on the basis of technology, cost, performance, quality, customer experience, energy efficiency, customer service and marketing support. We compete against other value-added resellers and electrical contractors in the EV charging market. We compete against a variety of service providers for lighting maintenance.</w:t>
      </w:r>
    </w:p>
    <w:p>
      <w:pPr>
        <w:spacing w:after="0" w:line="180"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There are a number of lighting fixture manufacturers that sell LED products that compete with our lighting product lines. Lighting companies such as Acuity Brands, Inc., Signify Co., Cree Lighting, LSI Industries, Inc. and Current Lighting Solutions, LLC, are some of our main competitors within the commercial office, retail and industrial markets. We are also facing increased competition from manufacturers in low-cost countries.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499"/>
        <w:spacing w:after="0" w:line="239" w:lineRule="auto"/>
        <w:rPr>
          <w:sz w:val="20"/>
          <w:szCs w:val="20"/>
          <w:color w:val="auto"/>
        </w:rPr>
      </w:pPr>
      <w:r>
        <w:rPr>
          <w:rFonts w:ascii="Times New Roman" w:cs="Times New Roman" w:eastAsia="Times New Roman" w:hAnsi="Times New Roman"/>
          <w:sz w:val="18"/>
          <w:szCs w:val="18"/>
          <w:color w:val="auto"/>
        </w:rPr>
        <w:t>As of March 31, 2025, we had been issued over 100 United States patents and have applied for a number of additional United States patents. The patented and patent pending technologies cover various innovative elements of our products, including our HIF and LED fixtures. Our patented LDR</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product allows for a significantly quicker installation when compared to competitor's commercial office lighting products. We offer smart lighting controls that allow our lighting fixtures to selectively provide a targeted amount of light where and when it is needed most.</w:t>
      </w:r>
    </w:p>
    <w:p>
      <w:pPr>
        <w:spacing w:after="0" w:line="20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believe that our patent portfolio as a whole is material to our business. We also believe that our patents covering our ability to manage the thermal and optical performance of our lighting products are material to our business, and that the loss of these patents could significantly and adversely affect our business, operating results and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Backlog represents the amount of revenue that we expect to realize in the future as a result of firm, committed orders. Our backlog as of March 31, 2025 and March 31, 2024 totaled $17.3 million and $22.0 million, respectively. We generally expect our backlog to be recognized as revenue within one year. Backlog does not include any amounts for contracted maintenance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Manufacturing and Distribution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lease an approximately 266,000 square foot primary manufacturing and distribution facility located in Manitowoc, Wisconsin, where most of our products are manufactured. We utilize both solar and wind power to support the energy requirements for our manufacturing facility, allowing us to reduce our carbon footprint.</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generally maintain a significant supply of raw material and purchased and manufactured component inventory. We contract with transportation companies to ship our products and manage all aspects of distribution logistics. We generally ship our products directly to the end user.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research and development efforts are centered on developing new LED products and technologies and enhancing existing products. The products, technologies and services we are developing are focused on increasing end user energy efficiency and enhancing lighting output. Over the last three fiscal years, we have focused on developing additional LED products, resulting in our development and commercialization of several new suites of LED interior high bay products.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operate a research and development lab and test facilities in our Jacksonville, Florida and Manitowoc, Wisconsin locations.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and Other Available Information</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We were incorporated as a Wisconsin corporation in April 1996 and our corporate headquarters are located at 2210 Woodland Drive, Manitowoc, Wisconsin 54220. Our Internet website address is www.orionlighting.com. Annual Reports on Form 10-K, Quarterly Reports on Form 10-Q, Current Reports on Form 8-K and amendments to those reports filed or furnished pursuant to Section 13(a) or 15(d) of the Securities Exchange Act of 1934, as amended (the "Exchange Act"), are available through the investor relations page of our internet website free of charge as soon as reasonably practicable after we electronically file such material with, or furnish it to, the Securities and Exchange Commission ("SEC"). We are not including the information contained on our website as part of, or incorporating it by reference into, this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As of March 31, 2025, we had approximately 182 full-time employees. We also employ temporary employees in our manufacturing facility as demand requires. Our employees are not represented by any labor union, and we have never experienced a work stoppage or strike due to employee relations.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an employee-centric organization, maintaining a safe and respectful environment that provides opportunity for our employees.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believe our employees are among our most important resources and are critical to our continued success. We focus significant attention on attracting and retaining talented and experienced individuals to manage and support our operations. We pay our employees competitively and offer a broad range of company-paid benefits, which we believe are competitive with others in our industry.</w:t>
      </w:r>
    </w:p>
    <w:p>
      <w:pPr>
        <w:spacing w:after="0" w:line="68"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are committed to hiring, developing and supporting a diverse and inclusive workplace. Our management teams and all of our employees are expected to exhibit and promote honest, ethical and respectful conduct in the workplace. We will not tolerate discrimination or harassment in any form. All of our employees must adhere to a code of conduct that sets standards for appropriate behavior and includes required annual training on preventing, identifying, reporting and stopping any type of unlawful discrimination.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following risk factors, and additional risks and uncertainties not currently known to us or that we currently deem immaterial, could have a material adverse effect on our business, financial condition, results of operations and future growth prospects and could cause the trading price of our common stock to decline.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100" w:firstLine="469"/>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immediately following this summary. Some of these risks are summarized below:</w:t>
      </w:r>
    </w:p>
    <w:p>
      <w:pPr>
        <w:spacing w:after="0" w:line="54" w:lineRule="exact"/>
        <w:rPr>
          <w:sz w:val="20"/>
          <w:szCs w:val="20"/>
          <w:color w:val="auto"/>
        </w:rPr>
      </w:pPr>
    </w:p>
    <w:p>
      <w:pPr>
        <w:ind w:left="1020" w:right="1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liquidity and capital resources may not be sufficient to allow us to fund or sustain our working capital requirements or pay our contractual or debt obligations.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of the remaining Voltrek acquisition earn-out obligations may involve either payments in cash or our issuance of our common stock, which could materially affect our liquidity and/or result in significant dilution to our shareholders. In addition to the $1 million of our common stock issuable on the 14th trading day after our public announcement of our fiscal 2025 financial results, we also have the option to pay up to 20% of the then remaining earn-out obligation at maturity in shares of our outstanding common stock. Such issuances of our common stock likely will be materially dilutive to our shareholders.</w:t>
      </w:r>
    </w:p>
    <w:p>
      <w:pPr>
        <w:spacing w:after="0" w:line="75"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remaining Voltrek acquisition earn-out obligations will likely be subject to resolution by an independent accounting firm. Such finally determined earn-out amount may exceed our current accrued liability for such earn-out amount and could materially affect our future liquidity;</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equity capital or subordinated or convertible debt to provide us with additional liquidity and capital resources to help fund our operations, pay our senior and anticipated subordinated debt obligations and pay our remaining Voltrek earn-out obligations. At our current stock price, any such equity capital raise would likely be materially dilutive to our shareholders.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several years, we have incurred substantial net losses and negative cash flow. If these trends continue, our liquidity and financial condition will be further materially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experiencing ongoing increasing pressures to reduce the selling price of our lighting products and incur the related negative impact on our gross margins, driven largely by the ongoing increase in competition from foreign competitors.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comply with NASDAQ’s minimum bid price requirement, including by effecting a reverse stock split, prior to September 15, 2025, our common stock may be delisted from NASDAQ. A reverse stock split may result in decreased trading volume and liquidity for our shares.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budgeted fiscal 2026 revenue expectations, and related public fiscal 2026 revenue guidance, will have a significant impact on our cash flow and stock price and ability to fund our operations and satisfy our debt obligations.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tariffs and other actions have adversely affected, and may continue to adversely affect, our business, resulting in increased costs and reduced gross margins.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incentives from the United States government for investments in EV charging infrastructure may reduce demand for public EV charging products, in addition to reducing overall demand for EVs.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major sources of recurring revenue, and we depend upon a limited number of customers in any given period to generate a substantial portion of our revenue. The reduction of revenue from our most significant customer over the past several fiscal years has had, and the potential future loss of other significant customers or a major customer would likely have, a materially adverse effect on our results of operations, financial condition and cash flows.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including due to federal funding restrictions in the United States, could cause the demand for our lighting products to slow.</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implementing a new ERP system, which will involve substantial cost and potential disruption to our normal operations. Our inability to successfully manage the implementation of our new ERP system could adversely affect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left="1020"/>
        <w:spacing w:after="0" w:line="282" w:lineRule="auto"/>
        <w:rPr>
          <w:sz w:val="20"/>
          <w:szCs w:val="20"/>
          <w:color w:val="auto"/>
        </w:rPr>
      </w:pPr>
      <w:r>
        <w:rPr>
          <w:rFonts w:ascii="Times New Roman" w:cs="Times New Roman" w:eastAsia="Times New Roman" w:hAnsi="Times New Roman"/>
          <w:sz w:val="18"/>
          <w:szCs w:val="18"/>
          <w:color w:val="auto"/>
        </w:rPr>
        <w:t>ability to operate our business and otherwise negatively affect our financial reporting and the effectiveness of our internal control over financial reporting.</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revenues are derived from major project-based retrofit work that is awarded through a competitive bid process. It is generally difficult to predict the timing of projects that will be awarded, which can impact our ability to achieve our expected financial results.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emphasis on indirect distribution channels to sell our products and services to supplement our direct distribution channels has had limited success to date.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intangibles acquired through acquisitions could be impacted by our continued net losses and low levels of liquidity, thus resulting in a potential valuation impairment.</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use components and raw materials that may be subject to price fluctuations, shortages or interruptions of supply, particularly resulting from tariffs and other trade restrictions.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increasingly rely on third-party manufacturers for the manufacture and development of our products and product components.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 of a cybersecurity breach.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pressures in the markets in which we operate may adversely affect our financial results.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global economy have negatively impacted, and could in the future negatively impact, our customers, suppliers and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LED lighting retrofit solutions depends, in part, on our ability to claim market share away from our competitors.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Our existing liquidity and capital resources may not be sufficient to allow us to fund or sustain our working capital requirements or pay our contractual or debt obligations.</w:t>
      </w:r>
    </w:p>
    <w:p>
      <w:pPr>
        <w:spacing w:after="0" w:line="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existing liquidity and capital resources may not be sufficient to allow us to effectively fund or sustain our working capital requirements or pay our contractual or debt obligations, including our senior debt to Bank of America or our remaining earn-out obligations owed in connection with our acquisition of Voltrek. If we require additional capital resources, we may not be able to obtain sufficient equity capital and/or debt financing on acceptable terms or conditions, or at all. Factors affecting the availability to us of additional equity capital or debt financing on acceptable terms and conditions, or in sufficient amounts, include:</w:t>
      </w:r>
    </w:p>
    <w:p>
      <w:pPr>
        <w:spacing w:after="0" w:line="75"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over the past several years;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frequent inability to achieve our financial results guidance or budget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senior debt and subordinated earn-out debt obligations and security interests in substantially all of our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funds to help satisfy our remaining Voltrek earn-out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collateral availability;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customer concentration;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investors’ and lenders’ view of our company, industry and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budgeted expectations or revenue guidance and the perception in the equity and debt markets of our ability to execute and sustain our business plan or achieve our operating results expectations;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volatility and trading volume and history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attain shareholder approval of, and complete, a reverse stock split that helps us to avoid being delisted from NASDAQ on September 25,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and other macroeconomic and geopolitical factors on our profitability.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Our inability to obtain the equity capital or debt financing necessary to fund our operations could force us to scale back or restructure our operations or our senior or anticipated subordinated debt obligations. If we are unable to obtain any necessary additional equity capital or debt financing, our results of operations, financial condition and cash flows could be materially adversely affected.</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payment of the remaining Voltrek acquisition earn-out obligations may involve either payments in cash or our issuance of our common stock, which could materially affect our liquidity, limit our operational and financial flexibility and/or result in significant dilution to our shareholders.</w:t>
      </w:r>
    </w:p>
    <w:p>
      <w:pPr>
        <w:spacing w:after="0" w:line="51"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On June 23, 2025, we entered into a binding term sheet (the “Term Sheet”) with Final Frontier, LLC (“Final Frontier”) and its owner, the prior owners of Voltrek, with respect to our remaining earn-out obligations owed to Final Frontier pursuant to our October 5, 2022 acquisition of Voltrek. Pursuant to the Term Sheet, on August 1, 2025, we will pay Final Frontier $875,000 in full and final payment of our Voltrek acquisition fiscal 2024 earn-out obligations. We also agreed with Final Frontier to submit the final determination of our fiscal 2025 and aggregate fiscal 2023 through fiscal 2025 earn-out obligations to binding arbitration if not otherwise mutually agreed by the parties. We agreed to pay to Final Frontier the finally determined remaining earn-out amount as follows: (i) $1.0 million in our common stock issuable 14 trading days after our fiscal 2025 earnings announcement and (ii) the remaining amount pursuant to an anticipated senior subordinated second lien note maturing on July 15, 2027 (the “Senior Subordinated Note”). We agreed to pay monthly principal payments to Final Frontier on the anticipated Senior Subordinated Note of $25,000 beginning on January 15, 2026, which will increase to $50,000 on July 15, 2026 through maturity. We will also pay interest monthly to Final Frontier at the annual rate of 7% beginning on July 15, 2025. We have the right to pay up to 20% of the remaining outstanding earn-out amount at maturity in shares of our common stock. The anticipated Senior Subordinated Note will be subordinated to our senior credit facilities with Bank of America and will be secured by a second lien on all of our assets. We and Final Frontier agreed to use our respective commercially reasonable best efforts to agree to final documentation further reflecting the terms and conditions set forth in the Term Sheet within 30 days of entering into the Term Sheet.</w:t>
      </w:r>
    </w:p>
    <w:p>
      <w:pPr>
        <w:spacing w:after="0" w:line="79"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requirement to repay our remaining Voltrek acquisition earn-out obligations, as well as our senior debt with Bank of America, may negatively impact our liquidity or limit our operational and financial flexibility, as well as divert resources from operating expenses, potentially harming relationships with suppliers, hindering growth strategies and jeopardizing our business. In addition, such obligations could result in holders of our common stock not receiving any consideration in a sale of our business, or if we were to liquidate, dissolve or wind-up, either voluntarily or involuntarily. Additionally, our payments of some of our Voltrek earn-out obligations in shares of our common stock may result in our existing shareholders experiencing significant dilution to the value of their investment in our common stock.</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remaining Voltrek acquisition earn-out obligations are likely to be subject to disagreement between us and the sellers of Voltrek and subject to final resolution by an independent accounting firm. Such finally determined earn-out amount could be in excess of our current accrued liability for such earn-out amount and could materially adversely affect our future liquidity.</w:t>
      </w:r>
    </w:p>
    <w:p>
      <w:pPr>
        <w:spacing w:after="0" w:line="67"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We may owe additional material earn-out payments based on Voltrek’s financial performance in fiscal 2025. We have currently accrued an estimated liability of approximately $3.3 million for such earn-out payments. The total amount due will be subject to acceptance between us and the sellers of Voltrek. If there is any disagreement over the final amount, it would likely be subject to final resolution by an independent accounting firm. The final earn-out amount determined to be owed by us could be in excess of our current accrued liability for such earn-out amount and could materially adversely affect our liquidity.</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need to raise additional equity capital or subordinated or convertible debt to provide us with additional liquidity and capital resources to help fund our operations and pay our senior debt to Bank of America and our remaining Voltrek acquisition earn-out obligations. At our current stock price, such an equity or convertible debt raise would likely be materially dilutive to our shareholders.</w:t>
      </w:r>
    </w:p>
    <w:p>
      <w:pPr>
        <w:spacing w:after="0" w:line="67"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We may need to raise additional equity capital or subordinated or convertible debt in order to fund our operations, pay our senior debt to Bank of America and pay our remaining Voltrek earn-out obligations, and may pursue equity or debt financings, which may be materially dilutive to our existing shareholders. At our current stock price, the issuance of additional common stock or convertible debt would significantly dilute the value our common stock held by existing shareholders. Similarly, any new securities we may issue may carry preferences, superior voting rights, or additional terms that could adversely affect shareholders of our common stock.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capital raising efforts may incur substantial costs, such as investment banking, legal and accounting fees, and could lead to non-cash expenses that further negatively impact our financial condition.</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achieve our budgeted fiscal 2026 revenue expectations, and related public fiscal 2026 revenue guidance, will have a significant impact on our cash flow and stock price and ability to fund our operations and satisfy our debt obligations.</w:t>
      </w:r>
    </w:p>
    <w:p>
      <w:pPr>
        <w:spacing w:after="0" w:line="5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have historically had difficulties in achieving our budgeted revenue expectations, and related public annual revenue guidance. Our ability to achieve our budgeted fiscal 2026 revenue expectations, and related public fiscal 2026 revenue guidance, will have a significant impact on our cash flow, financial condition and stock price and ability to fund our operations and satisfy our debt obligations.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Any economic and political uncertainty caused by tariffs posed by the United States on other countries, and any corresponding tariffs from such other countries in response, may negatively impact demand and/or increase the cost for our products and components used in our products and reduce our gross margins.</w:t>
      </w:r>
    </w:p>
    <w:p>
      <w:pPr>
        <w:spacing w:after="0" w:line="67"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The current United States administration is pursuing a wide range of monetary, regulatory and trade policies, including the imposition of significant tariffs on certain imports into the United States. Foreign governments, including the Chinese government, have announced their intent to implement or increase tariffs on imports from the United States in response. Certain sourced finished products and certain of the components used in our products are impacted by tariffs imposed on imports as currently in effect. If we are unable to successfully mitigate the impacts of these tariffs and other trade policies, our results of operations, financial condition and cash flows may be materially adversely affected. It remains unclear what the current United States administration or foreign governments will or will not do in the future with respect to tariffs or trade agreements and policies. A trade war, other governmental action related to tariffs or trade agreements, changes in United States social, political, regulatory and economic conditions or in laws and policies governing foreign trade, manufacturing, development and investment in the territories and countries where we currently purchase, manufacture and sell products and components, and any resulting negative sentiments towards the United States as a result of such changes, could have a material adverse effect on our results of operations, financial condition and cash flows.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Over the past several years we have incurred substantial net losses and negative cash flow. If these trends continue, our liquidity and financial condition will be further materially adversely affected.</w:t>
      </w:r>
    </w:p>
    <w:p>
      <w:pPr>
        <w:spacing w:after="0" w:line="5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experienced a net loss and negative cash flows in each of the last three fiscal years. There is no guarantee that we will be able to regain or sustain profitability and positive cash flows in the future. Our inability to successfully regain or sustain our profitability and positive cash flows will materially and adversely affect our ability continue our current level of operations and satisfy our debt obligations.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a significant amount of goodwill and intangible assets on our balance sheet and our results of operations may be adversely affected if we are required to recognize an impairment charge against our goodwill and intangible assets.</w:t>
      </w:r>
    </w:p>
    <w:p>
      <w:pPr>
        <w:spacing w:after="0" w:line="5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had goodwill of 1,484 thousand and net intangible assets of $3,379 thousand as of March 31, 2025.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Some factors that could lead to a goodwill impairment assessment would be:</w:t>
      </w:r>
    </w:p>
    <w:p>
      <w:pPr>
        <w:spacing w:after="0" w:line="72"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financial performance, including continued net losses and low levels of liquidity;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decline in the price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or exiting a portion of the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changes in demand for our products and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competitive considerations.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We may be required to incur material charges relating to the impairment of those assets. Such impairment charges could materially and adversely affect our business, results of operations and financial condition. In accordance with GAAP, we will continue to test goodwill for impairment at least annually or when events and circumstances trigger the requirement for an interim evaluation.</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are subject to financial and operating covenants in our senior credit agreement, and any failure to comply with such covenants, or obtain waivers in the event of non-compliance, could limit our borrowing availability or result in a default under our senior credit agreement, materially adversely impacting our liquidity. We also will be subject to similar covenants in our anticipated subordinated debt agreement evidencing our Voltrek acquisition earn-out repayment obligations.</w:t>
      </w:r>
    </w:p>
    <w:p>
      <w:pPr>
        <w:spacing w:after="0" w:line="72"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Our senior credit agreement, and our anticipated subordinated debt agreement evidencing our Voltrek acquisition earn-out obligations, contains, and will contain, provisions that limit our future borrowing availability and sets forth other customary covenants, including certain restrictions on our ability to incur additional indebtedness, consolidate or merge, enter into acquisitions, make investments, pay any dividend or distribution on our stock, redeem, repurchase or retire shares of our stock, or pledge or dispose of assets.</w:t>
      </w:r>
    </w:p>
    <w:p>
      <w:pPr>
        <w:spacing w:after="0" w:line="72"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be able to comply with the financial and other covenants in our senior and anticipated subordinated debt agreements. Our failure to comply with these covenants could cause us to be unable to borrow under the senior credit agreement and may constitute an event of default under our senior and anticipated subordinated debt agreements, which, if not cured or waived, could result in the acceleration of the maturity of any indebtedness then outstanding under our senior and subordinated debt agreements and, which would require us to pay all amounts then outstanding. Such an event would materially adversely affect our financial condition and liquidity. Additionally, such events of non-compliance could impact the terms of any additional borrowings and/or any credit renewal terms. Any failure to comply with such covenants may be a disclosable event and may be perceived negatively. Such perception could adversely affect the market price for our common stock and our ability to obtain financing in the future.</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net operating loss carry-forwards provide a future benefit only if we regain sustained profitability and may be subject to limitation based upon ownership changes.</w:t>
      </w:r>
    </w:p>
    <w:p>
      <w:pPr>
        <w:spacing w:after="0" w:line="5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We have significant federal net operating loss carry-forwards and state net operating loss carry-forwards. If we are unable to regain sustained profitability, we will not be able to fully utilize these tax benefits. Furthermore,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As a result, our ability to use our net operating loss carry-forwards attributable to the period prior to such ownership change to offset taxable income could be subject to limitations in a particular year, which could potentially result in our increased future tax liability.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meet the continued listing requirements of NASDAQ may result in the delisting of our common stock on NASDAQ, and we likely will need to seek to effect a reverse stock split of our common stock to avoid delisting by September 15, 2025.</w:t>
      </w:r>
    </w:p>
    <w:p>
      <w:pPr>
        <w:spacing w:after="0" w:line="5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Our common stock is currently listed on NASDAQ, which has qualitative and quantitative listing criteria. On September 20, 2024, we received written notice from NASDAQ that we were not in compliance with NASDAQ’s minimum bid price requirement for continued listing on NASDAQ, as the closing bid price of our common stock had been below $1.00 per share for 30 consecutive trading days. We were granted 180-calendar days, or until March 19, 2025 to regain compliance with the minimum bid price requirement. On March 19, 2025, we submitted a formal request to NASDAQ for an additional 180-calendar day period to regain compliance with the minimum bid price requirement and provided written notice to NASDAQ that we intend to effectuate a reverse stock split during the additional compliance period if necessary to regain compliance with the minimum bid price requirement.</w:t>
      </w:r>
    </w:p>
    <w:p>
      <w:pPr>
        <w:spacing w:after="0" w:line="79"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On March 20, 2025, we received a letter from NASDAQ notifying us that we were eligible for an additional 180-calendar day period, or until September 15, 2025, to regain compliance with the minimum bid price requirement. If we do not regain compliance by September 15, 2025, then NASDAQ will notify us of its determination to delist our common stock from trading on NASDAQ. Although we would have an opportunity to appeal the delisting determination to a hearings panel, under NASDAQ rules, our delisting from NASDAQ would be effective on or about September 16,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We will likely need to seek to effect a reverse stock split of our common stock prior to September 15, 2025 in order to attempt to comply with the NASDAQ minimum bid price requirements. We will likely seek shareholder approval at our 2025 annual meeting of shareholders to allow our Board to implement a reverse stock split. There can be no assurance we will be able to obtain shareholder approval for such a reverse stock split proposal. We may be unable to complete a reverse stock split, and even if we do, we may still be unable to meet the minimum bid price requirement, and we may be unable to meet other applicable NASDAQ listing requirements, including maintaining minimum levels of shareholders’ equity or market values of our common stock.</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NASDAQ delists our common stock from trading on its exchange, we expect our common stock could be quoted on an over-the-counter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were to occur, we could face significant material adverse consequences, including:</w:t>
      </w:r>
    </w:p>
    <w:p>
      <w:pPr>
        <w:spacing w:after="0" w:line="99"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level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shareholders may experience substantial dilution in the value of their investment or may otherwise have their interests impaired to the extent we issue additional shares of our common stock.</w:t>
      </w:r>
    </w:p>
    <w:p>
      <w:pPr>
        <w:spacing w:after="0" w:line="5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Our Amended and Restated Articles of Incorporation allow us to issue up to 230 million shares, consisting of 200 million shares of our common stock and 30 million shares of our preferred stock. We may in the future issue additional shares of our common stock or other securities convertible into or exchangeable for our common stock, which could result in substantial dilution to the interests of existing shareholders. For example, on the 14th trading day after we announce our fiscal 2025 financial results, we will issue Final Frontier $1.0 million in shares of our common stock. At our per share price of $0.67 on May 30, 2025, that would result in us issuing approximately 1,492,537 shares of our common stock. Additionally, we have the option to pay up to 20% of the then remaining outstanding balance of our Voltrek earn-out obligations at maturity in shares of our common stock (or over 4% of our currently outstanding common stock).</w:t>
      </w:r>
    </w:p>
    <w:p>
      <w:pPr>
        <w:spacing w:after="0" w:line="8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Additionally, to raise additional capital, we may in the future sell additional shares of our common stock or other securities convertible into or exchangeable for our common stock at prices that are lower than the prices paid by existing shareholders, and investors purchasing shares or other securities in the future could have rights superior to existing shareholders, which could result in substantial dilution to the interests of existing shareholders.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continue to publish research or publish inaccurate or unfavorable research about our business, our stock price and trading volume could decline.</w:t>
      </w:r>
    </w:p>
    <w:p>
      <w:pPr>
        <w:spacing w:after="0" w:line="5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may continue to depend, in part, on the research reports that securities or industry analysts publish about us and our peer group companies. If these analysts do not continue to provide adequate research coverage or if one or more of the analysts who covers us downgrades our stock, lowers our stock’s price target or publishes inaccurate or unfavorable research about our business, our stock price would likely decline. For example, if our common stock is delisted from NASDAQ, our analysts may not continue to provide regular reports on our company. If one or more of these analysts ceases coverage of our company or fails to publish reports on us regularly, demand for our stock could decrease, which could cause our stock price and trading volume to decline.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not currently paying dividends on our common stock and will likely continue not paying dividends for the foreseeable future.</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We currently intend to retain all available funds and any future earnings to fund the continued operation of our business and repay our senior debt and anticipated senior subordinated debt. We do not anticipate paying any cash dividends on our common stock in the foreseeable future. In addition, the terms of our existing revolving credit agreement and our senior subordinated debt restrict the payment of cash dividends on our common stock. Any future determination to pay dividends will be at the discretion of our board of directors and will depend on our financial condition, results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operations, capital requirements, contractual restrictions and other factors that our Board deems relevant. The restrictions on, and decision not to, pay dividends on our common stock may impact our ability to attract certain investors and raise funds, if necessary, in the capital markets.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Anti-takeover provisions included in the Wisconsin Business Corporation Law, provisions in our Amended and Restated Articles of Incorporation or Bylaws could delay or prevent a change of control of our company, which could adversely impact the value of our common stock and may prevent or frustrate attempts by our shareholders to replace or remove our current Board or management.</w:t>
      </w:r>
    </w:p>
    <w:p>
      <w:pPr>
        <w:spacing w:after="0" w:line="67"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and our ability to issue “blank check” preferred stock, as well as the provisions of our Amended and Restated Bylaws and Wisconsin law, could make it more difficult for shareholders or potential acquirers to obtain control of our Board or initiate actions that are opposed by our then-current Board, including to delay or impede a merger, tender offer or proxy contest involving our company or result in a lower price per share paid to our shareholders.</w:t>
      </w:r>
    </w:p>
    <w:p>
      <w:pPr>
        <w:spacing w:after="0" w:line="7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addition, our employment arrangements with senior management provide for severance payments and accelerated vesting of benefits, including accelerated vesting of stock options and restricted stock awards, upon a change of control and a subsequent qualifying termination.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could be adversely affected by future sales of our common stock in the public market by us or our executive officers and directors.</w:t>
      </w:r>
    </w:p>
    <w:p>
      <w:pPr>
        <w:spacing w:after="0" w:line="5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and our executive officers and directors may from time to time sell shares of our common stock in the public market or otherwise. We cannot predict the size or the effect, if any, that future sales of shares of our common stock by us or our executive officers and directors, or the perception of such sales, will have on the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products use components and raw materials that may be subject to price fluctuations, shortages or interruptions of supply, including semiconductor chips. If we are unable to maintain supply sources of our components and raw materials or if our sources fail to satisfy our supply requirements, we may lose sales and experience increased component costs.</w:t>
      </w:r>
    </w:p>
    <w:p>
      <w:pPr>
        <w:spacing w:after="0" w:line="67"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We are vulnerable to price increases, as well as transportation and delivery delays, for components and raw materials that we require for our products, including aluminum, copper, certain rare earth minerals, semiconductor chips, power supplies and LED chips and modules. In particular, we utilize semiconductor chips in our LED lighting products and control sensors. For example, our ability to source semiconductor chips has been adversely affected in the recent past and could occur again. Difficulty in sourcing necessary components in the past has resulted in increased component delivery lead times, delays in our product production and increased costs to obtain components with available semiconductor chips. To the extent a semiconductor chip shortage occurs or our ability to acquire the parts necessary to conduct our business operations, such as other necessary finished goods, is materially affected, our production ability and results of operations will be adversely affected.</w:t>
      </w:r>
    </w:p>
    <w:p>
      <w:pPr>
        <w:spacing w:after="0" w:line="81"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Limitations inherent within our supply chain of certain of our components, raw materials and finished goods, including competitive, governmental and legal limitations, natural disasters, and other events, could impact costs and future increases in the costs of these items. For example, the adoption of new tariffs by the United States administration or by other countries could continue to adversely affect our profitability and availability of raw materials and components, as there can be no assurance that future price increases will be successfully passed through to customers or that we will be able to find alternative suppliers. Further, suppliers’ inventories of certain components that our products require may be limited and are subject to acquisition by others and we may not, as a result, have the necessary inventory of parts and goods necessary to conduct our operations. We have in the past purchased excess quantities of certain components critical to our product manufacturing, but there is no guarantee that we will be able to follow or continue to follow this practice in the future. As a result, we have had, and may need to continue, to devote additional working capital to support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component and raw material inventory purchases that may not be used over a reasonable period to produce saleable products, and we may be required to increase our excess and obsolete inventory reserves to account for these excess quantities, particularly if demand for our products does not meet our expectations. Also, any further delays, shortages or interruptions in the supply of our components or raw materials could further disrupt our operations. If any of these events occur, our results of operations, financial condition and cash flows could be materially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success of our EV segment ultimately depends on consumers’ willingness to adopt electric vehicles in an unstable and changing market.</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Our EV segment is highly dependent upon the adoption by consumers of EVs, and we are subject to a risk of any reduced demand for EVs. If the market for EVs does not gain broader market acceptance, develops slower than we expect or faces a setback, our business, prospects, financial condition and operating results will be harmed. The market for alternative fuel vehicles is relatively new, rapidly evolving, characterized by rapidly changing technologies, price competition, additional competitors, evolving government regulation and industry standards, frequent new vehicle announcements, long development cycles for EV original equipment manufacturers, and changing consumer demands and behaviors.</w:t>
      </w:r>
    </w:p>
    <w:p>
      <w:pPr>
        <w:spacing w:after="0" w:line="75"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Recent changes in government and regulatory support for EV adoption, including incentives, mandates, infrastructure investment and emissions regulations and federal funding for EV infrastructure development, may negatively impact the adoption by consumers of EVs. For example, on January 20, 2025, President Trump signed Executive Order 14154 “Unleashing American Energy”, which may have direct implications on the policies and regulations that impact the automotive and transportation industries, including the rescission of waivers granted by the EPA for zero emission vehicle regulations. Moreover, federal support for EV adoption generally may be in jeopardy under the current administration, as prior executive orders directing the federal government to transition to an all-electric fleet of cars and trucks have been rescinded. Additionally, the Trump administration has halted significant federal funding for EV infrastructure and has ordered the termination of federal subsidy programs for EVs. Such reduction or elimination of governmental support, including federal funding, for EV infrastructure development could negatively impact demand for our products and services.</w:t>
      </w:r>
    </w:p>
    <w:p>
      <w:pPr>
        <w:spacing w:after="0" w:line="84"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The current administration has also proposed further increases of tariffs on certain foreign imports into the United States. In addition to adversely impacting our ability to source components for our charging network and the cost of such components, new or increased tariffs may also result in a suppressed EV market, fewer EVs on the road and lower demand for EV chargers, which would have an adverse effect on our business, prospects, financial condition and results of operations.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factors that may influence the purchase and use of alternative fuel vehicles, specifically EVs, include:</w:t>
      </w:r>
    </w:p>
    <w:p>
      <w:pPr>
        <w:spacing w:after="0" w:line="117" w:lineRule="exact"/>
        <w:rPr>
          <w:sz w:val="20"/>
          <w:szCs w:val="20"/>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EV quality, safety (in particular with respect to lithium-ion battery packs), design, performance and cost, especially if adverse events or accidents occur that are linked to the quality or safety of EVs;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range over which EVs may be driven on a single battery charge and concerns about running out of power while in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stability of the electrical grid;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the fuel economy of the internal combustion engine;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desire and ability to purchase a luxury automobile or one that is perceived as exclusive;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consciousness of consumers;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cost of oil and gasoline;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perceptions of the dependency of the United States on oil from unstable or hostile countries and the impact of international conflicts;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and economic incentives promoting fuel efficiency and alternate forms of energy, or the reduction or elimination thereof;</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charging stations, standardization of EV charging systems and consumers’ perceptions about convenience and cost to charge an EV;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and other governmental incentives to purchase and operate EVs or future regulation requiring increased use of nonpolluting vehicles.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influence of any of the factors described above may negatively impact the widespread consumer adoption of EVs, which could materially and adversely affect our EV segment business, operating results, financial condition and prospects.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reduction or elimination of incentives from the United States government for investments in EV charging infrastructure may reduce demand for public EV charging products, in addition to reducing overall demand for EVs.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 administration has paused and rescinded policies relating to investment in EV charging infrastructure, and there is uncertainty over what public policy with respect to EV charging infrastructure will be under the current or future administrations. For example, the current administration has directed agencies to pause disbursement of funds appropriated through two laws signed by the previous administration — the Inflation Reduction Act and Infrastructure Investment and Jobs Act — including funding for EV charging stations. The infrastructure law allocated $7.5 billion to building out a network of public plugs across the country. Additionally, spending has been halted under programs such as the National Electric Vehicle Infrastructure (NEVI) program, which provides funding for building out EV charging infrastructure, and prior approvals of funding under the NEVI program have been rescinded. The halt of, and potential elimination of, incentives from the United States Government may decrease demand for, funding of and profitability of EV charging products. In connection with the reduction in incentives for investments in EV charging infrastructure, demand for at home charging products may outpace demand for public charging products, which will adversely impact demand for our products and services.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successfully manage the implementation of a new Enterprise Resource Planning (“ERP”) system may adversely affect our business, results of operations and cash flows and may adversely impact the effectiveness of our internal controls over financial reporting.</w:t>
      </w:r>
    </w:p>
    <w:p>
      <w:pPr>
        <w:spacing w:after="0" w:line="51"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We are currently implementing a new ERP system. ERP implementations are complex, labor intensive, and time-consuming projects, which also involve substantial expenditures on system software and implementation activities. The new ERP system will be important to our ability to provide important information to our management, obtain, and deliver products, provide services and customer support, accurately maintain books and records, provide accurate, timely and reliable reports on our financial and operating results, and otherwise operate our business. ERP implementations also require transformation of business and financial processes in order to reap the benefits of the ERP system. Any such implementation involves risks inherent in the conversion to a new computer system technology solution, including loss of information and potential disruption to our normal operations. The implementation and maintenance of the new ERP system will require, the investment of significant financial and human resources, the re-engineering of processes of our business, and the attention of many employees who would otherwise be focused on other aspects of our business. Our results of operations could be adversely affected if we experience time delays or cost overruns during the ERP implementation process, or if we are unable to reap the benefits we expect from the ERP system. Any material deficiencies in the design and implementation of the new ERP system could also result in potentially materially higher costs and could adversely affect our ability to operate our business and otherwise negatively affect our financial reporting and the effectiveness of our internal control over financial reporting. Any of these consequences could have a material adverse effect on our results of operations, financial condition and cash flows.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do not have major sources of recurring revenue, and we depend upon a limited number of customers in any given period to generate a substantial portion of our revenue. The reduction of revenue from our most significant customer over the past several fiscal years has had, and the potential future loss of other significant customers or a major customer would likely have, a materially adverse effect on our results of operations, financial condition and cash flows.</w:t>
      </w:r>
    </w:p>
    <w:p>
      <w:pPr>
        <w:spacing w:after="0" w:line="72"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A substantial portion of our revenues are derived from project-based work that is awarded through a competitive bid process. It is generally difficult to predict the timing and success rate of the projects that we bid and will be awarded. In prior fiscal years, one customer represented more than 40% of total revenues, which has not recurred in recent fiscal years. The reduction of revenue from this customer has had a material adverse effect on our results of operations, financial condition and cash flow. While this customer continues to be a substantial source of business for us (24.3% of our fiscal 2025 revenue), we continue to attempt to diversify our customer base and expand our reach to national accounts, ESCOs, the agent driven distribution channel, lighting maintenance customers and the EV market, there is no assurance we will be successful in replacing this reduced revenue. Additionally, even as we progress toward diversifying our customer base, timing of execution on projects with new or additional customers is unpredictable.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achieve our desired revenue and profitability goals depends on our ability to effectively and timely execute on our key strategic initiatives.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firstLine="494"/>
        <w:spacing w:after="0" w:line="282" w:lineRule="auto"/>
        <w:rPr>
          <w:sz w:val="20"/>
          <w:szCs w:val="20"/>
          <w:color w:val="auto"/>
        </w:rPr>
      </w:pPr>
      <w:r>
        <w:rPr>
          <w:rFonts w:ascii="Times New Roman" w:cs="Times New Roman" w:eastAsia="Times New Roman" w:hAnsi="Times New Roman"/>
          <w:sz w:val="18"/>
          <w:szCs w:val="18"/>
          <w:color w:val="auto"/>
        </w:rPr>
        <w:t>Our ability to achieve our desired revenue and profitability goals depends on how effectively and timely we execute on our following key strategic initiatives:</w:t>
      </w:r>
    </w:p>
    <w:p>
      <w:pPr>
        <w:spacing w:after="0" w:line="5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and marketing our turnkey LED retrofit capabilities to large national account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our product innovation;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smart lighting systems to support IoT applications;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EV charging business, including increasing cross selling our EV charging solutions to our historical sales channels and customers;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developing and maintaining our maintenance service offerings;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the success of our ESCO and distribution sales channels.</w:t>
      </w:r>
    </w:p>
    <w:p>
      <w:pPr>
        <w:spacing w:after="0" w:line="117"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implement these initiatives or, even if implemented, that they will result in the anticipated benefits to our business.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our information technology systems security measures are breached or fail, our products may be perceived as not being secure, customers may curtail or stop buying our products, we may incur significant legal and financial exposure, and our results of operations, financial condition and cash flows could be materially adversely affected.</w:t>
      </w:r>
    </w:p>
    <w:p>
      <w:pPr>
        <w:spacing w:after="0" w:line="67"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Our information technology systems involve the storage of our confidential information and trade secrets, as well as our customers’ personal and proprietary information in our equipment, networks and corporate systems. Security breaches expose us to a risk of loss of this information, litigation and increased costs for security measures, loss of revenue, damage to our reputation and potential liability. Security breaches or unauthorized access may result in a combination of significant legal and financial exposure, increased remediation and other costs, theft and/or unauthorized use or publication of our trade secrets and other confidential business information, damage to our reputation and a loss of confidence in the security of our products, services and networks that could have an adverse effect upon our business. While we take steps to prevent unauthorized access to our corporate systems, because the techniques used to obtain unauthorized access, disable or sabotage systems change frequently or may be designed to remain dormant until a triggering event, we may be unable to anticipate these techniques or implement adequate preventative measures. Further, the risk of a security breach or disruption, particularly through cyber attacks, or cyber intrusion, including by computer hackers, foreign governments, and cyber terrorists, has generally increased as cyber attacks have become more prevalent and harder to detect and fight against. In addition, hardware, software or applications we procure from third parties may contain defects in design or manufacture or other problems that could unexpectedly compromise network and data security. Any breach or failure of our information technology systems could result in decreased revenue, increased expenses, increased capital expenditures, customer dissatisfaction and potential lawsuits, any of which could have a material adverse effect on our results of operations, financial condition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increasingly rely on third-party manufacturers for the manufacture and development of our products and product components.</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have increased our utilization of third-party manufacturers for the manufacture and development of our products and product components, some of which are located overseas. Our results of operations, financial condition and cash flows could be materially adversely affected if our third-party manufacturers were to experience problems with product quality, credit or liquidity issues, or supply chain and logistics that could cause delays in delivery of the finished products and components or the raw materials used to make such products and components.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tariffs and other actions may adversely affect our business.</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United States government has, from time to time, implemented various monetary, regulatory, and trade importation restraints, penalties, and tariffs, and as a result of changes to United States and foreign government administrative policy, there may be changes to existing trade agreements, greater restrictions on free trade generally, the imposition of or significant increases in tariffs on goods imported into the United States, and adverse responses by foreign governments to United States trade policies, among other possible changes. The current United States administration is pursuing a wide range of monetary, regulatory and trade policies, including the imposition of significant tariffs on certain imports into the United States. Foreign governments, including the Chinese government, have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announced their intent to implement or increase tariffs on imports from the United States in response. Certain sourced finished products and certain of the components used in our products have been impacted by tariffs imposed on imports. Our efforts to mitigate the impact of added costs resulting from these government actions include a variety of activities, such as sourcing from non-tariff impacted countries and raising prices. We intend to implement such changes to try to pass the impact of tariff price increases to our customers, but there can be no assurance our customers will accept such price increases or that such price increases will not reduce or ability to gain new orders. If we are unable to successfully mitigate the impacts of these tariffs and other trade policies, our results of operations may be adversely affected. It remains unclear what the current United States administration or foreign governments will or will not do in the future with respect to tariffs or trade agreements and policies. A trade war, other governmental action related to tariffs or trade agreements, changes in United States social, political, regulatory and economic conditions or in laws and policies governing foreign trade, manufacturing, development and investment in the territories and countries where we currently purchase, manufacture and sell products, and any resulting negative sentiments towards the United States as a result of such changes, could have a material adverse effect on our results of operations, financial condition and cash flows.</w:t>
      </w:r>
    </w:p>
    <w:p>
      <w:pPr>
        <w:spacing w:after="0" w:line="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Changes in government budget priorities, including the rollback of electric vehicle initiatives, political gridlock, and future potential government shutdown, have negatively impacted, and may in the future continue to negatively impact, our results of operations, financial condition and cash flows.</w:t>
      </w:r>
    </w:p>
    <w:p>
      <w:pPr>
        <w:spacing w:after="0" w:line="67"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Our business strategy may rely, in part, on regulatory support for EV adoption, including incentives, mandates, infrastructure investment and emissions regulations and federal funding for EV infrastructure development. However, on January 20, 2025, President Trump signed Executive Order 14154 “Unleashing American Energy”, which may have direct implications on the policies and regulations that impact the automotive and transportation industries, including the rescission of waivers granted by the EPA for zero emission vehicle regulations. Moreover, federal support for EV adoption generally may be in jeopardy under the current administration, as prior executive orders directing the federal government to transition to an all-electric fleet of cars and trucks have been rescinded. Additionally, the Trump administration has halted significant federal funding for EV infrastructure and has ordered the termination of federal subsidy programs for EVs.</w:t>
      </w:r>
    </w:p>
    <w:p>
      <w:pPr>
        <w:spacing w:after="0" w:line="8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Such reduction or elimination of governmental support, including federal funding, for EV infrastructure development could negatively impact demand and payment for our products and services, hinder our growth initiatives and materially affect our results of operations, financial condition and cash flows.</w:t>
      </w:r>
    </w:p>
    <w:p>
      <w:pPr>
        <w:spacing w:after="0" w:line="68"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Additionally, future actual and perceived changes in governmental budget priorities, and future potential government shutdowns, could adversely affect our results of operations, financial condition and cash flows. Certain government agencies purchase certain products and services directly from us. When the government changes budget priorities, such as in times of war, financial crisis, or a changed administration, or reallocates spending to areas unrelated to our business, our results of operations, financial condition and cash flows can be negatively impacted. For example, demand and payment for our products and services may be affected by public sector budgetary cycles, funding authorizations or rebates. Continued or additional future funding reductions or delays, including delays caused by political gridlock, and future potential government shutdowns, could negatively impact demand and payment for our products and services. If any of these events occur, our results of operations, financial condition and cash flows could be materially adversely affected.</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 which could have a material adverse effect on our results of operations, financial condition and cash flows.</w:t>
      </w:r>
    </w:p>
    <w:p>
      <w:pPr>
        <w:spacing w:after="0" w:line="67"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Reductions in (including as a result of any budgetary constraints), or the elimination of, government investment and favorable energy policies designed to accelerate the adoption of LED lighting could result in decreased demand for our products and adversely affect our results of operations, financial condition and cash flows. Further, if our products fail to qualify for any financial incentives or rebates provided by governmental agencies or utilities for which our competitors’ products qualify, such programs may diminish or eliminate our ability to compete by offering products at lower prices than ours.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Risks</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are experiencing ongoing increasing pressures to reduce the average selling price of our products and related negative impact on our gross margins driven largely by the ongoing increase in competition from foreign competitors.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Our financial performance is dependent on our ability to maintain our average selling price of our products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gross margins of our products can vary significantly, with margins ranging from 10% to 50%. While we continue to implement our strategy of emphasizing higher-margin products and services and reducing the material cost of our products, a change in the total mix of our sales toward lower margin products, the continued underutilization of our manufacturing facility and related under absorption of overhead costs, a decrease in the margins on our products as a result of competitive pressures driving down the average selling price of our products, lower sales volumes, and promotional programs to increase sales volumes significantly reduce our profitability and result in a material adverse effect on our results of operations, financial condition and cash flows. Furthermore, the average selling price of our products has been, and is likely to be further, negatively impacted by the impact of increasing foreign competition, the potential impact of tariffs or our component costs, product feature cannibalization by competitors or component providers, low-cost non-traditional sales methods by new market entrants, and comparison of our retrofit fixture products with replacement lamp equivalents. While we have previously implemented general price increases applicable to many new product orders, there is no assurance that such price increases will be accepted by our customers or succeed in increasing the average selling price of our products. In our highly competitive lighting industry, we must be able to innovate and release new products on a regular basis with features and benefits that generate increases in our average selling price and average gross margin. There can be no assurance we will be successful in achieving these goals.</w:t>
      </w:r>
    </w:p>
    <w:p>
      <w:pPr>
        <w:spacing w:after="0" w:line="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attract, incentivize and retain our third-party distributors and sales agents, or our distributors and sales agents do not sell our products and services at the levels expected, our revenues could decline and our costs could increase.</w:t>
      </w:r>
    </w:p>
    <w:p>
      <w:pPr>
        <w:spacing w:after="0" w:line="5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utilize manufacturer representative sales agencies that sell our products through distributors. Many of these sales agents and distributors are not exclusive, which means that these sales agents and distributors may sell other third-party products and services in direct competition with us. Since many of our competitors use sales agents and distributors to sell their products and services, competition for such agents and distributors is intense and may adversely affect our product pricing and gross margins. Additionally, due to mismanagement, industry trends, macro-economic developments, or other reasons, our sales agents and distributors may be unable to effectively sell our products at the levels desired or anticipated. In addition, we have historically relied on direct sales to sell our products and services, which were often made in competition with sales agents and distributors. In order to attract and form lasting partnerships with sales agents and distributors, we are attempting to overcome our historical perception as a direct sales competitor. As a result, we may have difficulty attracting and retaining sales agents and distributors and any inability to do so could have a negative effect on our ability to attract and obtain customers, which could have an adverse impact on our business.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success of our LED lighting retrofit solutions depends, in part, on our ability to claim market share away from our competitors. If we are unable to expand our customer base and increase sales in our targeted markets, our results of operations, financial condition and cash flows will likely be materially adversely affected.</w:t>
      </w:r>
    </w:p>
    <w:p>
      <w:pPr>
        <w:spacing w:after="0" w:line="67"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Participants in the LED market who are able to quickly establish customer relationships and achieve market penetration are likely to gain a competitive advantage as the lighting retrofit solutions offered by us and our competitors generally have a product life of several years following installation. If we are unable to broaden our customer base and achieve greater market penetration in the LED market in a timely manner, we may lose the opportunity to market our LED products and services to significant portions of the lighting systems retrofit market for several years and may be at a disadvantage in securing future business opportunities from customers that have previously established relationships with one or more of our competitors. These circumstances could have a material adverse effect on our results of operations, financial condition and cash flows.</w:t>
      </w:r>
    </w:p>
    <w:p>
      <w:pPr>
        <w:spacing w:after="0" w:line="7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addition, as we continue to seek to expand our customer base within our national account, agent and ESCO sales channels, our success will depend, in part, on our ability to attract and retain talent to execute on our sales model. If we are unable to attract and retain sufficient talent, we may be unable to broaden our customer base, which will adversely affect our results of operations, financial condition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Adverse conditions in the global economy, including due to changes in diplomatic and trade relationships, have negatively impacted, and could in the future negatively impact, our customers, suppliers and business.</w:t>
      </w:r>
    </w:p>
    <w:p>
      <w:pPr>
        <w:spacing w:after="0" w:line="5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Our operations and financial performance are impacted by worldwide economic conditions. Uncertainty about global economic conditions has contributed to customers postponing purchases of our products and services in response to tighter credit, unemployment, negative financial news and/or declines in income or asset values and other macroeconomic factors. The occurrence of these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will likely have a material negative effect on demand for our products and services and, accordingly, on our results of operations, financial condition and cash flows.</w:t>
      </w:r>
    </w:p>
    <w:p>
      <w:pPr>
        <w:spacing w:after="0" w:line="54"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In addition, global economic and political uncertainty has led many customers to adopt strategies for conserving cash, including limits on capital spending. Our lighting systems are often purchased as capital assets and therefore are subject to our customers’ capital availability. Uncertainty around such availability and an increasingly volatile economic outlook has led, and may continue to lead, customers to delay their purchase decisions, which has elongated the duration of our sales cycles. Additionally, price increases in raw materials, including steel and aluminum, may impact non-residential new build schedules, and may reduce demand for our products and services. Weak economic conditions in the past have adversely affected our customers’ capital budgets, purchasing decisions and facilities managers and, as a result, have adversely affected our results of operations, financial condition and cash flows. The return to a recessionary state of the global economy could potentially have negative effects on our near-term liquidity and capital resources, including slower collections of receivables, delays of existing order deliveries, postponements of incoming orders and reductions in the number and volume of purchase orders received from key customers as a result of reduced capital expenditure budgets. Our business and results of operations will be adversely affected to the extent these adverse economic conditions affect our customers’ purchasing decisions.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our common stock has been, and may continue to be, volatile.</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over a wide range, and it is likely that the price of our common stock will continue to be volatile in the future. The market price of our common stock could be impacted due to a variety of factors, including:</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or our competitors’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analysts’ results of operations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growth rate of the general LED lighting industry, our growth rates or our competitors’ growth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financial markets in general or changes in general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and unforeseen market forces and trading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governmental regulation, including taxation and tariff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or currency exchange rate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or report accurate financial results;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stock market analyst recommendations regarding our common stock, other comparable companies or our industry generally.</w:t>
      </w:r>
    </w:p>
    <w:p>
      <w:pPr>
        <w:spacing w:after="0" w:line="117"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Our quarterly revenue and operating results have fluctuated in the past and will likely vary from quarter to quarter in the future. Our results for any particular quarter are not an indication of our future performance. Our revenue and operating results may fall below the expectations of market analysts or investors in some future quarter or quarters. Our failure to meet these expectations could cause the market price of our common stock to further decline. If the price of our common stock is volatile or falls significantly, including following a potential reverse stock split, we may be the target of securities litigation or could be delisted from NASDAQ. If we become involved in this type of litigation or are delisted, regardless of the outcome, we could incur substantial legal costs, management’s attention could be diverted from the operation of our business, and our reputation could be damaged, which could adversely affect our results of operations, financial condition and cash flows.</w:t>
      </w:r>
    </w:p>
    <w:p>
      <w:pPr>
        <w:spacing w:after="0" w:line="8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 addition, due to one or more of the foregoing factors in one or more future quarters, our results of operations may fall below the expectations of securities analysts and investors. In the event any of the foregoing occur, the market price of our common stock could be highly volatile and may materially decline.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attract and retain key employees, our reseller network members or manufacturer representative agencies could adversely affect our operations and our ability to execute on our operating plan and growth strategy.</w:t>
      </w:r>
    </w:p>
    <w:p>
      <w:pPr>
        <w:spacing w:after="0" w:line="5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We rely upon the knowledge, experience and skills of key employees throughout our organization, particularly our senior management team, our sales group that requires technical knowledge or contacts in, and knowledge of, the LED industry, and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innovation and engineering team. In addition, our ability to attract talented new employees, particularly in our sales group and our innovation and engineering team, is also critical to our success. We also depend on our distribution channels and network of manufacturer sales representative agencies. If we are unable to attract and retain key employees, resellers, and manufacturer sales representative agencies because of competition or, in the case of employees, inadequate compensation or other factors, our results of operations and our ability to execute our operating plan could be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success of our business depends upon market acceptance of our energy management products and services.</w:t>
      </w:r>
    </w:p>
    <w:p>
      <w:pPr>
        <w:spacing w:after="0" w:line="121"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Our future success depends upon the continued market acceptance of our energy management products and services and obtaining additional project management retrofit contracts, as well as customer orders for new and expanded products and services to supplement our contract with our current single largest customer. If we are unable to convince current and potential new customers of the advantages of our lighting systems and energy management products and services, or our expanded product and services offerings, then our results of operations, financial condition and cash flows will likely be materially adversely affected. In addition, because the market for energy management products and services, as well as potential new customer uses for our products and services, is rapidly evolving, we may not be able to accurately assess the size of the market, and we may have limited insight into trends that may emerge and affect our business. If the market for our lighting systems and energy management products and services, as well as potential new customer uses for our products and services, does not continue to develop as we anticipate, or if the market does not accept our products or services, then our ability to grow our business could be limited and we may not be able to increase our revenue and our results of operations, financial condition and cash flows will likely be materially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pressures in the markets in which we operate or anticipate operating in the future may adversely affect our financial results.</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Geopolitical issues around the world can impact macroeconomic conditions in where we operate and where we anticipate operating in the future and could have a material adverse impact on our financial results. For example, the ultimate impact of the conflicts in Ukraine and the Middle East on fuel prices, inflation, the global supply chain and other macroeconomic conditions is unknown and could materially adversely affect global economic growth, disrupting discretionary spending habits and generally decreasing demand for our products and services. While we do not purchase any of our significant raw materials directly from Russia or Israel, disruption in the markets resulting from such conflicts could negatively impact the macroeconomy. The conflicts in Ukraine and the Middle East may also continue to exacerbate geopolitical tensions globally.</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operate in a highly competitive industry and, if we are unable to compete successfully, our results of operations, financial condition and cash flows will likely be materially adversely affected.</w:t>
      </w:r>
    </w:p>
    <w:p>
      <w:pPr>
        <w:spacing w:after="0" w:line="5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We face strong competition, primarily from manufacturers and distributors of energy management products and services, as well as from ESCOs and electrical contractors. We are also facing increased competition from manufacturers in low-cost countries as the lighting market rapidly moves away from domestically made products toward sourced products at lower price points. We compete primarily on the basis of customer relationships, price, quality, energy efficiency, customer service and marketing support. Our products are in direct competition with the expanding availability of LED products, as well as other technologies in the lighting systems retrofit market.</w:t>
      </w:r>
    </w:p>
    <w:p>
      <w:pPr>
        <w:spacing w:after="0" w:line="75"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Many of our competitors are better capitalized than we are and have strong customer relationships, greater name recognition, and more extensive engineering, manufacturing, sales and marketing capabilities. In addition, the LED market has seen increased convergence in recent years, resulting in our competition gaining increased market share and resources.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have, and may continue to, offer energy management products and services at reduced prices in order to improve their competitive positions. These competitive factors have, and may continue to, make it more difficult for us to attract and retain customers, or require us to lower our average selling prices in order to remain competitive, any of which could have a material adverse effect on our results of operations, financial condition and cash flows.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If we fail to establish and maintain effective internal controls over financial reporting, our business and financial results could be harmed.</w:t>
      </w:r>
    </w:p>
    <w:p>
      <w:pPr>
        <w:spacing w:after="0" w:line="12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consolidated financial statements or fraud. A failure to maintain an effective system of internal control over financial reporting could limit our ability to report our financial results accurately and in a timely manner or to detect and prevent fraud, could result in a restatement of our consolidated financial statements, and could also cause a loss of investor confidence and decline in the market price of our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retrofitting process frequently involves responsibility for the removal and disposal of components containing hazardous materials.</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 which may have a material adverse effect on our results of operations, financial condition and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claims could adversely affect our business, results of operations and financial condition.</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financial condition and cash flows.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protect our intellectual property, or our involvement in damaging and disruptive intellectual property litigation, could adversely affect our results of operations, financial condition and cash flows or result in the loss of use of the related product or service.</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results of operations, financial condition and cash flows.</w:t>
      </w:r>
    </w:p>
    <w:p>
      <w:pPr>
        <w:spacing w:after="0" w:line="68"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7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72"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 addition, third parties may bring infringement and other claims that could be time-consuming and expensive to defend. Also, parties making infringement and other claims against us may be able to obtain injunctive or other equitable relief that could effectively block our ability to provide our products, services or business methods and could cause us to pay substantial damages. In the event of a successful claim of infringement against us,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results of operations, financial condition and cash flows.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cost of compliance with environmental laws and regulations and any related environmental liabilities could adversely affect our results of operations, financial condition and cash flows.</w:t>
      </w:r>
    </w:p>
    <w:p>
      <w:pPr>
        <w:spacing w:after="0" w:line="5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that could adversely affect our results of operations, financial condition and cash flows</w:t>
      </w:r>
    </w:p>
    <w:p>
      <w:pPr>
        <w:spacing w:after="0" w:line="29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Board and Audit Committee oversee risks from cybersecurity threats. Our Audit Committee reviews cybersecurity risks on a quarterly basis and our Board periodically reviews cybersecurity risks as part of its overall risk management oversight and specifically reviews cybersecurity in detail at least annually. Our Board relies on management and its use of the third-party consultants for expertise for assessing and managing our risks from cybersecurity threats. In conjunction with management, our Board considers the nature of the work provided by our operations, the potential impact of a cybersecurity event, costs, potential likelihood of an event, prior events, and benefits in its general oversight of the cybersecurity risk management.</w:t>
      </w:r>
    </w:p>
    <w:p>
      <w:pPr>
        <w:spacing w:after="0" w:line="7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have experienced targeted and non-targeted cybersecurity attacks and incidents in the past that have resulted in unauthorized persons gaining limited access to our information and systems, and we could in the future experience similar attacks. To date, no cybersecurity incident or attack, or any risk from cybersecurity threats, has materially affected or has been determined to be reasonably likely to materially affect us or our business strategy, results of operations, or financial condition.</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also “Item 1A. Risk Factors — Operational Risks.”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lease our approximately 266,000 square foot manufacturing and distribution facility located in Manitowoc, Wisconsin. On January 31, 2020, we entered a new lease for the facility with a ten-year term, which had an option to terminate that expired on January 31, 2025.</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own our approximately 70,000 square foot technology center and corporate headquarters adjacent to our leased Manitowoc manufacturing and distribution facility. We also lease approximately 10,500 square feet of office space in Jacksonville, Florida and 5,375 square feet in Lawrence, Massachusetts. Additionally, Orion had a lease in Pewaukee, Wisconsin that ended in August of the current fiscal year.</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Manitowoc and Jacksonville facilities noted above are utilized by all our business segments and the Lawrence facility by our EV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are subject to various claims and legal proceedings arising in the ordinary course of business. As of the date of this report, we do not believe that the final resolution of any of such claims or legal proceedings would have a material adverse effect on our future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Shares of our common stock are traded on the NASDAQ Capital Market under the symbol “OESX”.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May 31, 2025, there were approximately 152 record holders of the 33,305,699 outstanding shares of our common stock. The number of record holders does not include shareholders for whom shares are held in a “nominee” or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senior credit agreement restrict the payment of cash dividends on our common stock. It is expected that our anticipated subordinated debt agreement evidencing our Voltrek earn-out payment obligations will contain a similar restriction. Any future determination to pay dividends will be at the discretion of our Board and will depend on our financial condition, results of operations, capital requirements, contractual restrictions (including those under our loan agreements) and other factors that our Board deems relevant.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represents shares outstanding under our 2016 Omnibus Incentive Plan as of March 31,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2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restart"/>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07"/>
        </w:trPr>
        <w:tc>
          <w:tcPr>
            <w:tcW w:w="9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right="27"/>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right="47"/>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restart"/>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right="47"/>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480" w:type="dxa"/>
            <w:vAlign w:val="bottom"/>
          </w:tcPr>
          <w:p>
            <w:pPr>
              <w:jc w:val="center"/>
              <w:ind w:right="47"/>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323"/>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323"/>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0" w:type="dxa"/>
            <w:vAlign w:val="bottom"/>
          </w:tcPr>
          <w:p>
            <w:pPr>
              <w:spacing w:after="0"/>
              <w:rPr>
                <w:sz w:val="12"/>
                <w:szCs w:val="12"/>
                <w:color w:val="auto"/>
              </w:rPr>
            </w:pPr>
          </w:p>
        </w:tc>
        <w:tc>
          <w:tcPr>
            <w:tcW w:w="14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80" w:type="dxa"/>
            <w:vAlign w:val="bottom"/>
          </w:tcPr>
          <w:p>
            <w:pPr>
              <w:jc w:val="center"/>
              <w:ind w:right="6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303"/>
              <w:spacing w:after="0" w:line="149" w:lineRule="exact"/>
              <w:rPr>
                <w:sz w:val="20"/>
                <w:szCs w:val="20"/>
                <w:color w:val="auto"/>
              </w:rPr>
            </w:pPr>
            <w:r>
              <w:rPr>
                <w:rFonts w:ascii="Times New Roman" w:cs="Times New Roman" w:eastAsia="Times New Roman" w:hAnsi="Times New Roman"/>
                <w:sz w:val="14"/>
                <w:szCs w:val="14"/>
                <w:b w:val="1"/>
                <w:bCs w:val="1"/>
                <w:color w:val="auto"/>
              </w:rPr>
              <w:t>Vesting of</w:t>
            </w:r>
          </w:p>
        </w:tc>
        <w:tc>
          <w:tcPr>
            <w:tcW w:w="120" w:type="dxa"/>
            <w:vAlign w:val="bottom"/>
          </w:tcPr>
          <w:p>
            <w:pPr>
              <w:spacing w:after="0"/>
              <w:rPr>
                <w:sz w:val="12"/>
                <w:szCs w:val="12"/>
                <w:color w:val="auto"/>
              </w:rPr>
            </w:pPr>
          </w:p>
        </w:tc>
        <w:tc>
          <w:tcPr>
            <w:tcW w:w="14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148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323"/>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14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48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Refleted in Column</w:t>
            </w:r>
          </w:p>
        </w:tc>
        <w:tc>
          <w:tcPr>
            <w:tcW w:w="0" w:type="dxa"/>
            <w:vAlign w:val="bottom"/>
          </w:tcPr>
          <w:p>
            <w:pPr>
              <w:spacing w:after="0"/>
              <w:rPr>
                <w:sz w:val="1"/>
                <w:szCs w:val="1"/>
                <w:color w:val="auto"/>
              </w:rPr>
            </w:pPr>
          </w:p>
        </w:tc>
      </w:tr>
      <w:tr>
        <w:trPr>
          <w:trHeight w:val="173"/>
        </w:trPr>
        <w:tc>
          <w:tcPr>
            <w:tcW w:w="6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40" w:type="dxa"/>
            <w:vAlign w:val="bottom"/>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4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48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0" w:type="dxa"/>
            <w:vAlign w:val="bottom"/>
          </w:tcPr>
          <w:p>
            <w:pPr>
              <w:spacing w:after="0"/>
              <w:rPr>
                <w:sz w:val="1"/>
                <w:szCs w:val="1"/>
                <w:color w:val="auto"/>
              </w:rPr>
            </w:pPr>
          </w:p>
        </w:tc>
      </w:tr>
      <w:tr>
        <w:trPr>
          <w:trHeight w:val="142"/>
        </w:trPr>
        <w:tc>
          <w:tcPr>
            <w:tcW w:w="900" w:type="dxa"/>
            <w:vAlign w:val="bottom"/>
            <w:tcBorders>
              <w:top w:val="single" w:sz="8" w:color="auto"/>
            </w:tcBorders>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center"/>
              <w:ind w:right="323"/>
              <w:spacing w:after="0" w:line="142"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center"/>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center"/>
              <w:ind w:right="47"/>
              <w:spacing w:after="0" w:line="142"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0"/>
        </w:trPr>
        <w:tc>
          <w:tcPr>
            <w:tcW w:w="68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2,861,530</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color w:val="auto"/>
              </w:rPr>
              <w:t>219,782</w:t>
            </w:r>
          </w:p>
        </w:tc>
        <w:tc>
          <w:tcPr>
            <w:tcW w:w="0" w:type="dxa"/>
            <w:vAlign w:val="bottom"/>
          </w:tcPr>
          <w:p>
            <w:pPr>
              <w:spacing w:after="0"/>
              <w:rPr>
                <w:sz w:val="1"/>
                <w:szCs w:val="1"/>
                <w:color w:val="auto"/>
              </w:rPr>
            </w:pPr>
          </w:p>
        </w:tc>
      </w:tr>
      <w:tr>
        <w:trPr>
          <w:trHeight w:val="216"/>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8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2,861,530</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color w:val="auto"/>
              </w:rPr>
              <w:t>219,782</w:t>
            </w:r>
          </w:p>
        </w:tc>
        <w:tc>
          <w:tcPr>
            <w:tcW w:w="0" w:type="dxa"/>
            <w:vAlign w:val="bottom"/>
          </w:tcPr>
          <w:p>
            <w:pPr>
              <w:spacing w:after="0"/>
              <w:rPr>
                <w:sz w:val="1"/>
                <w:szCs w:val="1"/>
                <w:color w:val="auto"/>
              </w:rPr>
            </w:pPr>
          </w:p>
        </w:tc>
      </w:tr>
      <w:tr>
        <w:trPr>
          <w:trHeight w:val="116"/>
        </w:trPr>
        <w:tc>
          <w:tcPr>
            <w:tcW w:w="900" w:type="dxa"/>
            <w:vAlign w:val="bottom"/>
            <w:tcBorders>
              <w:top w:val="single" w:sz="8" w:color="CFF0FC"/>
              <w:bottom w:val="single" w:sz="8" w:color="auto"/>
            </w:tcBorders>
          </w:tcPr>
          <w:p>
            <w:pPr>
              <w:spacing w:after="0"/>
              <w:rPr>
                <w:sz w:val="10"/>
                <w:szCs w:val="10"/>
                <w:color w:val="auto"/>
              </w:rPr>
            </w:pPr>
          </w:p>
        </w:tc>
        <w:tc>
          <w:tcPr>
            <w:tcW w:w="2100" w:type="dxa"/>
            <w:vAlign w:val="bottom"/>
            <w:tcBorders>
              <w:top w:val="single" w:sz="8" w:color="CFF0FC"/>
              <w:bottom w:val="single" w:sz="8" w:color="auto"/>
            </w:tcBorders>
          </w:tcPr>
          <w:p>
            <w:pPr>
              <w:spacing w:after="0"/>
              <w:rPr>
                <w:sz w:val="10"/>
                <w:szCs w:val="10"/>
                <w:color w:val="auto"/>
              </w:rPr>
            </w:pPr>
          </w:p>
        </w:tc>
        <w:tc>
          <w:tcPr>
            <w:tcW w:w="356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-119380</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-102235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-119380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-102235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did not purchase shares of our common stock during the fiscal year ended March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did not effect any unregistered sales of our common stock during the fiscal year ended March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right="20"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audited consolidated financial statements and related notes included in this Annual Report on Form 10-K for the fiscal year ended March 31, 2025. See also “Forward-Looking Statements” and Item 1A “Risk Factors”.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provide state-of-the-art light emitting diode (“LED”) lighting systems, wireless Internet of Things (“IoT”) enabled control solutions, project engineering, energy project management design and maintenance services and electric vehicle (“EV”) charging infrastructure solutions. We help our customers achieve their sustainability, energy savings and carbon footprint reduction goals through innovative technology and exceptional service.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the following primary market segments: commercial office and retail, area lighting, industrial applications and government, although we do sell and install products into other markets. Our services consist of turnkey installation and system maintenance. Virtually all of our sales occur within North America or for the US Department of Defense's military bases operating in foreign countries.</w:t>
      </w:r>
    </w:p>
    <w:p>
      <w:pPr>
        <w:spacing w:after="0" w:line="19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lighting products consist primarily of LED lighting fixtures, many of which include IoT enabled control systems. Our principal lighting customers include large national account end-users, federal and state government facilities, large regional account end-users, electrical distributors, electrical contractors and energy service companies (“ESCOs”). Currently, most of our interior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 and offerings.</w:t>
      </w:r>
    </w:p>
    <w:p>
      <w:pPr>
        <w:spacing w:after="0" w:line="183"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differentiate ourselves from our competitors by offering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offer lighting and electrical maintenance services which enables us to support a lifetime business relationship with our customer (which we call “Customers for Life”). We completed the acquisition of Voltrek on October 5, 2022, which further expanded our turnkey services capabilities as well as capitalized on the rapidly growing market for EV charging solutions. We completed the Stay-Lite Lighting acquisition on January 1, 2022, which further expanded our maintenance services capabilities.</w:t>
      </w:r>
    </w:p>
    <w:p>
      <w:pPr>
        <w:spacing w:after="0" w:line="18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believe the market for LED lighting products and related controls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see opportunity to cross-sell our three platforms of lighting, maintenance services and EV charging installation systems to our commercial and industrial customer base. We are pursuing opportunities to cross-sell to direct customers, as well as through select partners. We also see opportunity for further integration of our service capabilities to expand our geographic reach and we currently intend to pursue growth organically.</w:t>
      </w:r>
    </w:p>
    <w:p>
      <w:pPr>
        <w:spacing w:after="0" w:line="176"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Other than our multi-year maintenance service contracts, we generally do not have long-term contracts with our customers for product or turnkey services that provide us with recurring annual revenue.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make substantial working capital expenditures and advance inventory purchases that we intend to recoup through the completion of these or similar projects.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fiscal year ends on March 31. We refer to our just completed fiscal year, which ended on March 31, 2025, as "fiscal 2025", and our prior fiscal years which ended on March 31, 2024 and March 31, 2023 as "fiscal 2024" and “fiscal 2023”, respectively. Our fiscal first quarter of each fiscal year ends on June 30, our fiscal second quarter ends on September 30, our fiscal third quarter ends on December 31 and our fiscal fourth quarter ends on March 31.</w:t>
      </w:r>
    </w:p>
    <w:p>
      <w:pPr>
        <w:spacing w:after="0" w:line="176"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chief operating decision maker ("CODM") regularly reviews when allocating resources and assessing performance. Our CODM is our chief executive officer. Effective during the first quarter of fiscal 2024, we began to evaluate and report the business using three segments: lighting segment, maintenance segment and EV segment. Previously, we had four reportable segments: Orion Services Group Segment, Orion Distribution Services Segment, Orion U.S. Markets Division and Orion Electric Vehicle Charging.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Replacement of our CEO</w:t>
      </w:r>
    </w:p>
    <w:p>
      <w:pPr>
        <w:spacing w:after="0" w:line="121"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On April 14, 2025, Michael Jenkins’ employment was terminated by Orion, with our Board appointing Sally A. Washlow as our new Chief Executive Officer, effective as of Mr. Jenkins’ termination date.</w:t>
      </w:r>
    </w:p>
    <w:p>
      <w:pPr>
        <w:spacing w:after="0" w:line="54"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As a result of the termination, Mr. Jenkins will receive approximately $633 thousand in severance and the acceleration of approximately 322 thousand restricted stock awards. Mr. Jenkins forfeited approximately 646 thousand performance shares along with approximately $170 thousand in tandem cash awards. Additionally, Mr. Jenkins forfeited restricted stock awards not vesting within two years from the termination date, which was a forfeiture of approximately 78 thousand shares.</w:t>
      </w:r>
    </w:p>
    <w:p>
      <w:pPr>
        <w:spacing w:after="0" w:line="72"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On April 14, 2025, we entered into an Executive Employment and Severance Agreement with Ms. Washlow (the “Employment Agreement”). The Employment Agreement provides Ms. Washlow with the following compensation arrangements: (i) an annual base salary of $382,500, provided that if our other named executive officers’ base salaries are returned to their pre-reduction levels, then Ms. Washlow’s base salary will also be similarly adjusted up to $425,000; (ii) a target annual bonus of 100% (threshold 80% and maximum of 200%) of her base salary upon our relative achievement of executive incentive plan performance targets for each fiscal year; (iii) a special bonus of $100,000 if we achieve a stretch goal of $100 million in revenue for fiscal 2026; (iv) a cash signing bonus of $500,000, approximately $300,000 of was required to be used by Ms. Washlow to purchase shares of our common stock directly from us; (v) a pre-change of control severance multiplier of 1.5x and a post-change of control severance multiplier of 2.0x; (vi) an initial equity grant consisting of a non-qualified stock option exercisable for a total of 500,000 shares of our common stock; and (vii) certain other benefits and perquisites. On May 29, 2025, our board and Ms. Washlow mutually agreed to defer Ms. Washlow’s cash signing bonus and related direct purchase of common stock for up to one year, with the timing of such cash signing bonus and related direct purchase of our common stock to be reviewed quarterly and mutually agreed upon by the compensation committee and Ms. Washlow.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Voltrek Earn-Out</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Effective on October 5, 2022, we acquired all of the outstanding membership interests of Voltrek, a leading electric vehicle charging company that provides turnkey installation solutions with ongoing support to all commercial verticals. The initial purchase price consisted of $5.0 million cash and $1.0 million of common stock. We also paid $3.0 million in initial earn-out payments based on Voltrek’s financial performance in fiscal 2023. We may owe additional material earn-out payments based on Voltrek’s financial performance in fiscal 2025. We have currently accrued an estimated liability of approximately $3.3 million for such remaining earn-out payments.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On June 23, 2025, we entered into the Term Sheet with respect to our remaining earn-out obligations owed to Final Frontier pursuant to our October 5, 2022 acquisition of Voltrek. Pursuant to the Term Sheet, on August 1, 2025, we will pay Final Frontier $875,000 in full and final payment of our fiscal 2024 Voltrek acquisition earn-out obligations. We also agreed with Final Frontier to submit the final determination of our fiscal 2025 and aggregate fiscal 2023 through fiscal 2025 earn-out obligations to binding arbitration if not otherwise mutually agreed by the parties. We agreed to pay to Final Frontier the finally determined remaining earn-out amount as follows: (i) $1.0 million in our common stock issuable 14 trading days after our fiscal 2025 earnings announcement and (ii) the remaining amount pursuant to the anticipated Senior Subordinated Note. We agreed to pay monthly principal payments to Final Frontier on the anticipated Senior Subordinated Note of $25,000 beginning on January 15, 2026, which will increase to $50,000 on July 15, 2026 through maturity. We will also pay interest monthly to Final Frontier at the annual rate of 7% beginning on July 15, 2025. We have the right to pay up to 20% of the remaining outstanding earn-out amount at maturity in shares of our common stock. The anticipated Senior Subordinated Note will be subordinated to our senior credit facilities with Bank of America and will be secured by a second lien on all of our assets. We and Final Frontier agreed to use our respective commercially reasonable best efforts to agree to final documentation further reflecting the terms and conditions set forth in the Term Sheet within 30 days of entering into the Term Sheet.</w:t>
      </w:r>
    </w:p>
    <w:p>
      <w:pPr>
        <w:spacing w:after="0" w:line="82"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The final earn-out amount determined to be owed by us could be in excess of our current accrued liability for such earn-out amount and could materially adversely affect our future liquidity.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Replacing Reduced Revenue from Primary Customer</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 fiscal 2025, 2024 and 2023, one customer accounted for 24.3%, 25.2% and 16.2% of our total revenue, respectively. In fiscal 2026, we expect that our customer concentration will continue at the approximate range experienced in fiscal 2025 and 2024. We continue to attempt to diversify our customer base by expanding our reach to national accounts, ESCOs, the agent driven distribution channel, lighting maintenance customers and the EV market.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selected historical consolidated financial data are not necessarily indicative of future results.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42"/>
        </w:trPr>
        <w:tc>
          <w:tcPr>
            <w:tcW w:w="4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4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60" w:type="dxa"/>
            <w:vAlign w:val="bottom"/>
            <w:gridSpan w:val="7"/>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54,368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63,307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57,210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91,889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87,664</w:t>
            </w:r>
          </w:p>
        </w:tc>
      </w:tr>
      <w:tr>
        <w:trPr>
          <w:trHeight w:val="216"/>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25,352</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27,274</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20,173</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32,494</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29,176</w:t>
            </w: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79,720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90,581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77,383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124,383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116,840</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 (1) (2) (8)</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37,319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44,466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42,979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65,249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63,233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 (1) (3) (8)</w:t>
            </w: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22,165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25,204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16,893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25,222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23,483</w:t>
            </w:r>
          </w:p>
        </w:tc>
      </w:tr>
      <w:tr>
        <w:trPr>
          <w:trHeight w:val="210"/>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59,484</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69,670</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59,872</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90,471</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86,716</w:t>
            </w: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20,236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30,124</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 (1) (4) (8)</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18,008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16,740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19,487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11,680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11,262</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 (5)</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 (1) (5) (8)</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11,595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10,341</w:t>
            </w:r>
          </w:p>
        </w:tc>
      </w:tr>
      <w:tr>
        <w:trPr>
          <w:trHeight w:val="216"/>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 (1)(6) (8)</w:t>
            </w: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1,229</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1,685</w:t>
            </w: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6,836</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6,518</w:t>
            </w:r>
          </w:p>
        </w:tc>
      </w:tr>
      <w:tr>
        <w:trPr>
          <w:trHeight w:val="216"/>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 (7)</w:t>
            </w: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17,978</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(19,616)</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6,091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26,134</w:t>
            </w:r>
          </w:p>
        </w:tc>
      </w:tr>
      <w:tr>
        <w:trPr>
          <w:trHeight w:val="20"/>
        </w:trPr>
        <w:tc>
          <w:tcPr>
            <w:tcW w:w="4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74"/>
        </w:trPr>
        <w:tc>
          <w:tcPr>
            <w:tcW w:w="456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income per share attributable to common</w:t>
            </w: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238"/>
        </w:trPr>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0.19</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0.83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32,829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32,486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31,704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31,018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30,635</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32,829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32,486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-3654425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-3654425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-3654425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-3654425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-3088640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-3088640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-3088640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-3088640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-2256790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-2256790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-2256790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-2256790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-1425575</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-1425575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-1425575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-1425575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-1142365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-1142365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-1142365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-1142365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19030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32" w:lineRule="exact"/>
        <w:rPr>
          <w:sz w:val="20"/>
          <w:szCs w:val="20"/>
          <w:color w:val="auto"/>
        </w:rPr>
      </w:pPr>
    </w:p>
    <w:p>
      <w:pPr>
        <w:ind w:left="660" w:hanging="652"/>
        <w:spacing w:after="0" w:line="25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expense recognized under Financial Accounting Standards Board Accounting Standards Codification Topic 718, or ASC Topic 718, as follows:</w:t>
      </w:r>
    </w:p>
    <w:tbl>
      <w:tblPr>
        <w:tblLayout w:type="fixed"/>
        <w:tblInd w:w="0" w:type="dxa"/>
        <w:tblCellMar>
          <w:top w:w="0" w:type="dxa"/>
          <w:left w:w="0" w:type="dxa"/>
          <w:bottom w:w="0" w:type="dxa"/>
          <w:right w:w="0" w:type="dxa"/>
        </w:tblCellMar>
      </w:tblPr>
      <w:tr>
        <w:trPr>
          <w:trHeight w:val="156"/>
        </w:trPr>
        <w:tc>
          <w:tcPr>
            <w:tcW w:w="5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6"/>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42"/>
        </w:trPr>
        <w:tc>
          <w:tcPr>
            <w:tcW w:w="5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2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1,111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2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1,157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950</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753</w:t>
            </w: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-170815</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-170815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2025 and Fiscal 2024 includes expense of $295 thousand and $26 thousand related to restructuring, respectively.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2025 and Fiscal 2024 includes expense of $176 thousand and $48 thousand related to restructuring, respectively.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2025 and Fiscal 2024 include expenses of $442 thousand and $28 thousand related to restructuring, respectively.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2025 and Fiscal 2024 includes expense of $26 thousand and $21 thousand related to restructuring, respectively.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2025 and Fiscal 2024 includes expense of $109 thousand and $0 related to restructuring, respectively.</w:t>
      </w:r>
    </w:p>
    <w:p>
      <w:pPr>
        <w:spacing w:after="0" w:line="11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2021 includes tax benefit of $20.9 million related to the release of the valuation allowance on deferred tax assets. Fiscal 2023 includes tax expense of $17.8 million related to the recording of the valuation allowance on deferred tax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ind w:left="660" w:right="20" w:hanging="652"/>
        <w:spacing w:after="0" w:line="25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2022 includes an offset to payroll expenses of $1.6 million related to the anticipated employee retention payroll tax credit (“payroll tax credit”), as expanded and extended by the American Rescue Plan Act of 2021, as follows:</w:t>
      </w:r>
    </w:p>
    <w:tbl>
      <w:tblPr>
        <w:tblLayout w:type="fixed"/>
        <w:tblInd w:w="0" w:type="dxa"/>
        <w:tblCellMar>
          <w:top w:w="0" w:type="dxa"/>
          <w:left w:w="0" w:type="dxa"/>
          <w:bottom w:w="0" w:type="dxa"/>
          <w:right w:w="0" w:type="dxa"/>
        </w:tblCellMar>
      </w:tblPr>
      <w:tr>
        <w:trPr>
          <w:trHeight w:val="131"/>
        </w:trPr>
        <w:tc>
          <w:tcPr>
            <w:tcW w:w="9340" w:type="dxa"/>
            <w:vAlign w:val="bottom"/>
          </w:tcPr>
          <w:p>
            <w:pPr>
              <w:spacing w:after="0"/>
              <w:rPr>
                <w:sz w:val="11"/>
                <w:szCs w:val="11"/>
                <w:color w:val="auto"/>
              </w:rPr>
            </w:pPr>
          </w:p>
        </w:tc>
        <w:tc>
          <w:tcPr>
            <w:tcW w:w="190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Fiscal Year Ended March</w:t>
            </w:r>
          </w:p>
        </w:tc>
      </w:tr>
      <w:tr>
        <w:trPr>
          <w:trHeight w:val="173"/>
        </w:trPr>
        <w:tc>
          <w:tcPr>
            <w:tcW w:w="9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00" w:type="dxa"/>
            <w:vAlign w:val="bottom"/>
          </w:tcPr>
          <w:p>
            <w:pPr>
              <w:spacing w:after="0"/>
              <w:rPr>
                <w:sz w:val="15"/>
                <w:szCs w:val="15"/>
                <w:color w:val="auto"/>
              </w:rPr>
            </w:pPr>
          </w:p>
        </w:tc>
      </w:tr>
      <w:tr>
        <w:trPr>
          <w:trHeight w:val="142"/>
        </w:trPr>
        <w:tc>
          <w:tcPr>
            <w:tcW w:w="9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center"/>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FF0FC"/>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r>
      <w:tr>
        <w:trPr>
          <w:trHeight w:val="216"/>
        </w:trPr>
        <w:tc>
          <w:tcPr>
            <w:tcW w:w="9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Total payroll tax credit</w:t>
            </w: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18"/>
                <w:szCs w:val="18"/>
                <w:color w:val="auto"/>
              </w:rPr>
            </w:pP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Fiscal 2025 versus Fiscal 2024</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gridSpan w:val="2"/>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gridSpan w:val="2"/>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37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0"/>
                <w:szCs w:val="10"/>
                <w:color w:val="auto"/>
              </w:rPr>
            </w:pPr>
          </w:p>
        </w:tc>
        <w:tc>
          <w:tcPr>
            <w:tcW w:w="1260" w:type="dxa"/>
            <w:vAlign w:val="bottom"/>
            <w:tcBorders>
              <w:top w:val="single" w:sz="8" w:color="auto"/>
            </w:tcBorders>
          </w:tcPr>
          <w:p>
            <w:pPr>
              <w:jc w:val="center"/>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54,368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63,307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25,352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27,274</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79,720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90,581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44,466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22,165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25,204</w:t>
            </w: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59,484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69,670</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20,236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20,911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18,008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16,740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on Intangibles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11,595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12,988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3"/>
        </w:trPr>
        <w:tc>
          <w:tcPr>
            <w:tcW w:w="492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(Loss) income before income tax</w:t>
            </w: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(11,759)</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(11,630)</w:t>
            </w:r>
          </w:p>
        </w:tc>
        <w:tc>
          <w:tcPr>
            <w:tcW w:w="134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5"/>
        </w:trPr>
        <w:tc>
          <w:tcPr>
            <w:tcW w:w="4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-2905125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-2905125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-2905125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-2905125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-1362075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-1362075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-1362075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-933450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-916305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-933450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-916305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-933450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-916305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-933450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-916305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ind w:firstLine="4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Cost of Revenue and Gross Margin. </w:t>
      </w:r>
      <w:r>
        <w:rPr>
          <w:rFonts w:ascii="Times New Roman" w:cs="Times New Roman" w:eastAsia="Times New Roman" w:hAnsi="Times New Roman"/>
          <w:sz w:val="18"/>
          <w:szCs w:val="18"/>
          <w:color w:val="auto"/>
        </w:rPr>
        <w:t>Product revenue decreased by 14.1%, or $8.9 million, for fiscal 2025 versus fiscal 2024.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decreased by 7.0%, or $1.9 million, for fiscal 2025 versus fiscal 2024. The decrease in product revenue was primarily due to the execution of a significant government retrofit lighting segment project that ended in the second quarter of the current fiscal year. The decrease in service revenue was due to multiple customers in our maintenance segment that chose not to renew their contracts for fiscal 2025. Cost of product revenue decreased by 16.1%, or $7.1 million, in fiscal 2025 versus the comparable period in fiscal 2024. Cost of service revenue decreased by 12.1%, or $3.0 million, in fiscal 2025 versus fiscal 2024. The decreases were primarily because of decreases in revenue described above. Gross margin increased to 25.4% of revenue in fiscal 2025 from 23.1% in fiscal 2024, due primarily to a more favorable sales mix along with better overall margins in the maintenance segment.</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7.6%, or $1.3 million, in fiscal 2025 compared to fiscal 2024.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comparative increase was primarily due to increased earn-out compensation costs along with incurred severance expenses, which were partially offset by a reduction in workforce related to restructuring that occurred in the first half of fiscal 2025.</w:t>
      </w:r>
    </w:p>
    <w:p>
      <w:pPr>
        <w:spacing w:after="0" w:line="65"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Acquisition Related Costs</w:t>
      </w:r>
      <w:r>
        <w:rPr>
          <w:rFonts w:ascii="Times New Roman" w:cs="Times New Roman" w:eastAsia="Times New Roman" w:hAnsi="Times New Roman"/>
          <w:sz w:val="18"/>
          <w:szCs w:val="18"/>
          <w:color w:val="auto"/>
        </w:rPr>
        <w:t>. In fiscal 2025, we did not incur any acquisition expenses. In fiscal 2024, we incurred acquisition expenses of $56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 relating to the acquisition of Voltrek.</w:t>
      </w:r>
    </w:p>
    <w:p>
      <w:pPr>
        <w:spacing w:after="0" w:line="158"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Our sales and marketing expenses decreased 10.7%, or $1.4 million, in fiscal 2025 compared to fiscal 2024. The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decrease in commission expense on lower sales volume.</w:t>
      </w:r>
    </w:p>
    <w:p>
      <w:pPr>
        <w:spacing w:after="0" w:line="158"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17.8%, or $0.3 million, in fiscal 2025 compared to fiscal 2024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 decrease in testing costs.</w:t>
      </w:r>
    </w:p>
    <w:p>
      <w:pPr>
        <w:spacing w:after="0" w:line="158"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fiscal 2025 increased by $0.3 million to $1.0 million primarily because the term loan that was entered into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fiscal 2025 and a higher interest rate on our credit facility.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Results of Operations: Fiscal 2024 versus Fiscal 2023</w:t>
      </w:r>
    </w:p>
    <w:p>
      <w:pPr>
        <w:spacing w:after="0" w:line="121" w:lineRule="exact"/>
        <w:rPr>
          <w:sz w:val="20"/>
          <w:szCs w:val="20"/>
          <w:color w:val="auto"/>
        </w:rPr>
      </w:pPr>
    </w:p>
    <w:p>
      <w:pPr>
        <w:jc w:val="both"/>
        <w:ind w:right="20" w:firstLine="499"/>
        <w:spacing w:after="0" w:line="312" w:lineRule="auto"/>
        <w:rPr>
          <w:sz w:val="20"/>
          <w:szCs w:val="20"/>
          <w:color w:val="auto"/>
        </w:rPr>
      </w:pPr>
      <w:r>
        <w:rPr>
          <w:rFonts w:ascii="Times New Roman" w:cs="Times New Roman" w:eastAsia="Times New Roman" w:hAnsi="Times New Roman"/>
          <w:sz w:val="17"/>
          <w:szCs w:val="17"/>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5"/>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220" w:type="dxa"/>
            <w:vAlign w:val="bottom"/>
          </w:tcPr>
          <w:p>
            <w:pPr>
              <w:jc w:val="center"/>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380" w:type="dxa"/>
            <w:vAlign w:val="bottom"/>
            <w:gridSpan w:val="2"/>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top w:val="single" w:sz="8" w:color="auto"/>
            </w:tcBorders>
          </w:tcPr>
          <w:p>
            <w:pPr>
              <w:jc w:val="center"/>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0"/>
                <w:szCs w:val="10"/>
                <w:color w:val="auto"/>
              </w:rPr>
            </w:pPr>
          </w:p>
        </w:tc>
        <w:tc>
          <w:tcPr>
            <w:tcW w:w="1260" w:type="dxa"/>
            <w:vAlign w:val="bottom"/>
            <w:tcBorders>
              <w:top w:val="single" w:sz="8" w:color="auto"/>
            </w:tcBorders>
          </w:tcPr>
          <w:p>
            <w:pPr>
              <w:jc w:val="center"/>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63,307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57,210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27,274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20,173</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90,581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77,383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44,466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42,979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25,204</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16,893</w:t>
            </w: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69,670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59,872</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20,911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17,511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19,487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on intangibles</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NM</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12,988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11,392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NM</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3"/>
        </w:trPr>
        <w:tc>
          <w:tcPr>
            <w:tcW w:w="380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(Loss) income before income tax</w:t>
            </w:r>
          </w:p>
        </w:tc>
        <w:tc>
          <w:tcPr>
            <w:tcW w:w="1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(11,630)</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(16,363)</w:t>
            </w:r>
          </w:p>
        </w:tc>
        <w:tc>
          <w:tcPr>
            <w:tcW w:w="134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17,978</w:t>
            </w:r>
          </w:p>
        </w:tc>
        <w:tc>
          <w:tcPr>
            <w:tcW w:w="120" w:type="dxa"/>
            <w:vAlign w:val="bottom"/>
          </w:tcPr>
          <w:p>
            <w:pPr>
              <w:spacing w:after="0"/>
              <w:rPr>
                <w:sz w:val="18"/>
                <w:szCs w:val="18"/>
                <w:color w:val="auto"/>
              </w:rPr>
            </w:pPr>
          </w:p>
        </w:tc>
        <w:tc>
          <w:tcPr>
            <w:tcW w:w="12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5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5"/>
        </w:trPr>
        <w:tc>
          <w:tcPr>
            <w:tcW w:w="3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1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-2145665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-2145665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-2145665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-2145665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-602615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-602615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-602615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-173990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-156845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-173990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-156845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-173990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-156845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-173990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-156845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Cost of Revenue and Gross Margin. </w:t>
      </w:r>
      <w:r>
        <w:rPr>
          <w:rFonts w:ascii="Times New Roman" w:cs="Times New Roman" w:eastAsia="Times New Roman" w:hAnsi="Times New Roman"/>
          <w:sz w:val="18"/>
          <w:szCs w:val="18"/>
          <w:color w:val="auto"/>
        </w:rPr>
        <w:t>Product revenue increased by 10.7%, or $6.1 million, for fiscal 2024 versus fiscal 2023.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increased by 35.2%, or $7.1 million, for fiscal 2024 versus fiscal 2023. The increase in product and service revenue was primarily due to the execution of a significant government retrofit lighting segment project along with increased EV segment revenues. Cost of product revenue increased by 3.5%, or $1.5 million, in fiscal 2024 versus the comparable period in fiscal 2023. Cost of service revenue increased by 49.2%, or $8.3 million, in fiscal 2024 versus fiscal 2023. The increases were primarily because of increases in revenue described above along with higher cost in our maintenance segment. Gross margin increased to 23.1% of revenue in fiscal 2024 from 22.6% in fiscal 2023, due primarily to improved absorption of fixed costs on increased revenue volume and mix.</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14.1%, or $2.7 million, in fiscal 2024 compared to fiscal 2023.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comparative decrease was primarily due to a reduction in estimate of $0.9 million of earn-out compensation costs recorded in fiscal 2023 related to the Voltrek acquisition, partially offset by a full year of cost at Voltrek.</w:t>
      </w:r>
    </w:p>
    <w:p>
      <w:pPr>
        <w:spacing w:after="0" w:line="65"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Acquisition Related Costs</w:t>
      </w:r>
      <w:r>
        <w:rPr>
          <w:rFonts w:ascii="Times New Roman" w:cs="Times New Roman" w:eastAsia="Times New Roman" w:hAnsi="Times New Roman"/>
          <w:sz w:val="18"/>
          <w:szCs w:val="18"/>
          <w:color w:val="auto"/>
        </w:rPr>
        <w:t>. In fiscal 2024, we incurred acquisition costs of $56 thousand, primarily relating to the Voltrek acquisition. In fiscal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incurred acquisition expenses of $0.8 million relating to the acquisition of Voltrek.</w:t>
      </w:r>
    </w:p>
    <w:p>
      <w:pPr>
        <w:spacing w:after="0" w:line="158"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Our sales and marketing expenses increased 14.0%, or $1.6 million, in fiscal 2024 compared to fiscal 2023. The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commission expense on higher sales volume.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19.3%, or $0.4 million, in fiscal 2024 compared to fiscal 2023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 decrease in testing costs.</w:t>
      </w:r>
    </w:p>
    <w:p>
      <w:pPr>
        <w:spacing w:after="0" w:line="158"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fiscal 2024 increased by $0.4 million to $0.8 million primarily because of a full year of borrowings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a higher interest rate on our credit facility.</w:t>
      </w:r>
    </w:p>
    <w:p>
      <w:pPr>
        <w:spacing w:after="0" w:line="158"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decreased $18.0 million, or 99.9%, to $41 thousand compared to fiscal 2023. The fiscal 2023 expense included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one-time $17.8 million non-cash charge to increase the valuation allowance on a significant portion of our deferred tax assets. We do not expect to remit significant cash taxes for the next several years.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Lighting Segment</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Our lighting segment sells through ESCOs, Lighting Agents, Distributors and direct (turnkey) to end users.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lighting segment operating results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47,704</w:t>
            </w:r>
          </w:p>
        </w:tc>
        <w:tc>
          <w:tcPr>
            <w:tcW w:w="5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61,102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56,553</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(1,352)</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(5,150)</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2025 Compared to Fiscal 2024</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Lighting segment revenue decreased in fiscal 2025 by 21.9%, or $13.4 million, and operating loss increased $1.4 million, compared to fiscal 2024, due to decreased project volumes in fiscal 2025. This decrease in revenues led to a corresponding operating loss increase in this segment, along with decreased project margins.</w:t>
      </w:r>
    </w:p>
    <w:p>
      <w:pPr>
        <w:spacing w:after="0" w:line="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Lighting segment revenue increased in fiscal 2024 compared to fiscal 2023 by 8.0%, or $4.6 million, and operating income decreased $3.8 million, compared to fiscal 2023, due to increased project volume on a government retrofit project. This increase led to a corresponding operating loss decrease in this segment, along with improved project margins.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 Segment</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maintenance segment provides retailers, distributors and other businesses with maintenance, repair and replacement services for the lighting and related electrical components deployed in their facilities.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maintenance segment operating results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15,190</w:t>
            </w:r>
          </w:p>
        </w:tc>
        <w:tc>
          <w:tcPr>
            <w:tcW w:w="5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17,147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14,555</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(5,523)</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(2,221)</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2025 Compared to Fiscal 2024</w:t>
      </w:r>
    </w:p>
    <w:p>
      <w:pPr>
        <w:spacing w:after="0" w:line="121"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Maintenance segment revenue decreased $2.0 million, or 11.4%, in fiscal 2025 compared to fiscal 2024 primarily due to some legacy customers not renewing their contracts in fiscal 2025 due to increased project costs to improve segment margins. As a result,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operating loss decreased $4.3 million, or 78.5%, in fiscal 2025 compared to fiscal 2024 primarily due to better project margins throughout the segment.</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Maintenance segment revenue increased $2.6 million, or 17.8%, in fiscal 2024 compared to fiscal 2023 primarily due to increased volume at a major customer. Operating loss increased $3.3 million, or 148.6%, in fiscal 2024 compared to fiscal 2023 primarily due to increased costs on fixed price contracts.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 Segment</w:t>
      </w:r>
    </w:p>
    <w:p>
      <w:pPr>
        <w:spacing w:after="0" w:line="229" w:lineRule="exact"/>
        <w:rPr>
          <w:sz w:val="20"/>
          <w:szCs w:val="20"/>
          <w:color w:val="auto"/>
        </w:rPr>
      </w:pPr>
    </w:p>
    <w:p>
      <w:pPr>
        <w:ind w:right="600" w:firstLine="494"/>
        <w:spacing w:after="0" w:line="282" w:lineRule="auto"/>
        <w:rPr>
          <w:sz w:val="20"/>
          <w:szCs w:val="20"/>
          <w:color w:val="auto"/>
        </w:rPr>
      </w:pPr>
      <w:r>
        <w:rPr>
          <w:rFonts w:ascii="Times New Roman" w:cs="Times New Roman" w:eastAsia="Times New Roman" w:hAnsi="Times New Roman"/>
          <w:sz w:val="18"/>
          <w:szCs w:val="18"/>
          <w:color w:val="auto"/>
        </w:rPr>
        <w:t>Our EV segment offers leading electric vehicle charging expertise and provides EV turnkey installation solutions with ongoing support to all commercial verticals.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EV segment operations results (dollars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1560" w:type="dxa"/>
            <w:vAlign w:val="bottom"/>
          </w:tcPr>
          <w:p>
            <w:pPr>
              <w:jc w:val="right"/>
              <w:ind w:right="9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16,826</w:t>
            </w:r>
          </w:p>
        </w:tc>
        <w:tc>
          <w:tcPr>
            <w:tcW w:w="5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495"/>
              <w:spacing w:after="0"/>
              <w:rPr>
                <w:sz w:val="20"/>
                <w:szCs w:val="20"/>
                <w:color w:val="auto"/>
              </w:rPr>
            </w:pPr>
            <w:r>
              <w:rPr>
                <w:rFonts w:ascii="Times New Roman" w:cs="Times New Roman" w:eastAsia="Times New Roman" w:hAnsi="Times New Roman"/>
                <w:sz w:val="18"/>
                <w:szCs w:val="18"/>
                <w:color w:val="auto"/>
              </w:rPr>
              <w:t>12,332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2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5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(1,563)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(4,158)</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(14.0)%</w:t>
            </w:r>
          </w:p>
        </w:tc>
        <w:tc>
          <w:tcPr>
            <w:tcW w:w="156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rPr>
              <w:t>(12.7)%</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(66.3)%</w:t>
            </w: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2025 Compared to Fiscal 2024</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EV segment revenue increased 36.4%, or $4.5 million, in fiscal 2025 compared to fiscal 2024 primarily due to increased sales to municipalities. EV segment operating loss increased $0.8 million, or 50.7%, in fiscal 2025 compared to fiscal 2024 primarily due to increased earn-out amounts, which were partially offset by increased revenue volume in the segment, along with increased gross margins.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EV segment revenue increased 96.5%, or $6.1 million, in fiscal 2024 compared to fiscal 2023 primarily due to a full year of Voltrek results being included in segment results. EV segment operating loss decreased $2.6 million, or 62.4%, in fiscal 2024 compared to fiscal 2023 due to increased revenue volume in the segment, partially offset by reduced gross margins.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had $6.0 million in cash and cash equivalents as of March 31, 2025, compared to $5.2 million at March 31, 2024. Our cash position increased due to the results in our operations, sales of property and equipment, and proceeds from the mortgage loan entered into at the beginning of fiscal 2025. These increases were partially offset by payments made on our revolving credit facility.</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As of March 31, 2025, our borrowing base supported $15.0 million of availability under our credit facility, with $7.0 million drawn against that availability. As of March 31, 2024, our borrowing base supported $20.1 million of availability under our credit facility, with $10.0 million drawn against that availability.</w:t>
      </w:r>
    </w:p>
    <w:p>
      <w:pPr>
        <w:spacing w:after="0" w:line="176"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Effective on October 5, 2022, we acquired all of the outstanding membership interests of Voltrek, a leading electric vehicle charging company that provides turnkey installation solutions with ongoing support to all commercial verticals. We may owe additional material earn-out payments based on Voltrek’s financial performance in fiscal 2025. While we have currently accrued an estimated liability of approximately $3.3 million for such remaining earn-out payments.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On June 23, 2025, we entered into the Term Sheet with respect to our remaining earn-out obligations owed to Final Frontier pursuant to our October 5, 2022 acquisition of Voltrek. Pursuant to the Term Sheet, on August 1, 2025, we will pay Final Frontier $875,000 in full and final payment of our fiscal 2024 Voltrek acquisition earn-out obligations. We also agreed with Final Frontier to submit the final determination of our fiscal 2025 and aggregate fiscal 2023 through fiscal 2025 earn-out obligations to binding arbitration if not otherwise mutually agreed by the parties. We agreed to pay to Final Frontier the finally determined remaining earn-out amount as follows: (i) $1.0 million in our common stock issuable 14 trading days after our fiscal 2025 earnings announcement and (ii) the remaining amount pursuant to the anticipated Senior Subordinated Note. We agreed to pay monthly principal payments to Final Frontier on the anticipated Senior Subordinated Note of $25,000 beginning on January 15, 2026, which will increase to $50,000 on July 15, 2026 through maturity. We will also pay interest monthly to Final Frontier at the annual rate of 7% beginning on July 15, 2025. We have the right to pay up to 20% of the remaining outstanding earn-out amount at maturity in shares of our common stock. The anticipated Senior Subordinated Note will be subordinated to our senior credit facilities with Bank of America and will be secured by a second lien on all of our assets. We and Final Frontier agreed to use our respective commercially reasonable best efforts to agree to final documentation further reflecting the terms and conditions set forth in the Term Sheet within 30 days of entering into the Term Sheet.</w:t>
      </w:r>
    </w:p>
    <w:p>
      <w:pPr>
        <w:spacing w:after="0" w:line="19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final earn-out amount determined to be owed by us could be in excess of our current accrued liability for such earn-out amount and could materially adversely affect our liquidity.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 information on our Credit Agreement can be found in the “Indebtedness” section located below.</w:t>
      </w:r>
    </w:p>
    <w:p>
      <w:pPr>
        <w:spacing w:after="0" w:line="22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March 2023, we filed a universal shelf registration statement with the Securities and Exchange Commission. Under our shelf registration statement, we currently have the flexibility to publicly offer and sell from time to time up to $100 million of debt and/or equity securities. The filing of the shelf registration statement may help facilitate our ability to raise public equity or debt capital to expand existing businesses, fund potential acquisitions, invest in other growth opportunities, repay existing debt, or for other general corporate purposes.</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March 2021, we entered into an At Market Issuance Sales Agreement to undertake an “at the market” (ATM) public equity capital raising program pursuant to which we may offer and sell shares of our common stock, having an aggregate offering price of up to $50 million from time to time through or to the Agent, acting as sales agent or principal. In March 2025, the ATM was terminated.</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April 2024, we executed Amendment No.2 to our Loan Security Agreement to add a $3.5 million term loan to the credit facility. The amendment also expanded the pool of eligible receivables to include government receivables in the calculation of the borrowing base. See Note 12 - Long-Term Debt to our accompanying audited consolidated financial statements for more information.</w:t>
      </w:r>
    </w:p>
    <w:p>
      <w:pPr>
        <w:spacing w:after="0" w:line="176"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In October 2024, we executed Amendment No.3 to our Loan Security Agreement to extend the maturity date of the Credit Facility from December 29, 2025 to June 30, 2027.</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regularly explore various alternative sources of liquidity to help ensure that we will have the best allocation of invested capital to satisfy our working capital needs.</w:t>
      </w:r>
    </w:p>
    <w:p>
      <w:pPr>
        <w:spacing w:after="0" w:line="162"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Our future liquidity needs and forecasted cash flows are dependent upon many factors, including our relative revenue, gross margins, cash management practices, cost containment, working capital management, capital expenditures. While we believe that we will likely have adequate available cash and equivalents and credit availability under our Credit Agreement to satisfy our currently anticipated working capital and liquidity requirements, including our negotiated Voltrek acquisition earn-out payment obligations, during the next 12 months and beyond based on our current cash flow forecast, there can be no assurance to that effect, particularly if our Voltrek earn-out amounts are in excess of the liability we have currently accrued. If we experience significant liquidity constraints, we may be required to issue equity or debt securities, reduce our sales efforts, implement additional cost savings initiatives or undertake other efforts to conserve our cash.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our fiscal 2025, fiscal 2024 and fiscal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9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1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6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w:t>
            </w: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10,012</w:t>
            </w: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1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1,526</w:t>
            </w:r>
          </w:p>
        </w:tc>
      </w:tr>
      <w:tr>
        <w:trPr>
          <w:trHeight w:val="20"/>
        </w:trPr>
        <w:tc>
          <w:tcPr>
            <w:tcW w:w="6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94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939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3"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Operating Activities. </w:t>
      </w:r>
      <w:r>
        <w:rPr>
          <w:rFonts w:ascii="Times New Roman" w:cs="Times New Roman" w:eastAsia="Times New Roman" w:hAnsi="Times New Roman"/>
          <w:sz w:val="18"/>
          <w:szCs w:val="18"/>
          <w:color w:val="auto"/>
        </w:rPr>
        <w:t>Cash (used in) provided by operating activities primarily consisted of net loss adjusted for certain non-cash items, including depreciation, amortization of intangible assets, stock-based compensation, amortization of debt issue costs, provisions for reserves, and the effect of changes in working capital and other activities.</w:t>
      </w:r>
    </w:p>
    <w:p>
      <w:pPr>
        <w:spacing w:after="0" w:line="17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for fiscal 2025 was $0.6 million and consisted of our net loss of $11.8 million adjusted for non-cash expense items and net cash provided by changes in operating assets of $12.4 million, the largest of which was a decrease of $6.1 million in inventories, a $5.1 million decrease in accounts payable, and an increase of $1.9 million in accrued expenses.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fiscal 2024 was $10.1 million and consisted of our net loss of $11.7 million adjusted for non-cash expense items and net cash used in changes in operating assets of $1.6 million, the largest of which was a $5.0 million increase in accounts payable, an increase of $3.2 million in revenue earned not billed, and a $2.3 million decrease in accrued liabilities.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fiscal 2023 was $2.3 million and consisted of our net loss of $34.3 million adjusted for non-cash expense items and net cash used in changes in operating assets of $32.1 million, the largest of which was a $17.8 million decrease in deferred income tax assets as a result of the valuation allowance.</w:t>
      </w:r>
    </w:p>
    <w:p>
      <w:pPr>
        <w:spacing w:after="0" w:line="174"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Investing Activities. </w:t>
      </w:r>
      <w:r>
        <w:rPr>
          <w:rFonts w:ascii="Times New Roman" w:cs="Times New Roman" w:eastAsia="Times New Roman" w:hAnsi="Times New Roman"/>
          <w:sz w:val="18"/>
          <w:szCs w:val="18"/>
          <w:color w:val="auto"/>
        </w:rPr>
        <w:t>Cash provided by investing activities in fiscal 2025 was $0.1 million and consisted primarily of $0.2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sales of property and equipment and $0.1 million of purchases of property and equipment.</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used in investing activities in fiscal 2024 was $0.7 million and consisted primarily of $0.8 million of purchases of property and equipment.</w:t>
      </w:r>
    </w:p>
    <w:p>
      <w:pPr>
        <w:spacing w:after="0" w:line="22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 fiscal 2023 was $6.2 million and consisted primarily of the $5.6 million acquisition of Voltrek and $0.6 million of purchases of property and equipment.</w:t>
      </w:r>
    </w:p>
    <w:p>
      <w:pPr>
        <w:spacing w:after="0" w:line="376" w:lineRule="exact"/>
        <w:rPr>
          <w:sz w:val="20"/>
          <w:szCs w:val="20"/>
          <w:color w:val="auto"/>
        </w:rPr>
      </w:pPr>
    </w:p>
    <w:p>
      <w:pPr>
        <w:jc w:val="both"/>
        <w:ind w:right="20"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Financing Activities. </w:t>
      </w:r>
      <w:r>
        <w:rPr>
          <w:rFonts w:ascii="Times New Roman" w:cs="Times New Roman" w:eastAsia="Times New Roman" w:hAnsi="Times New Roman"/>
          <w:sz w:val="18"/>
          <w:szCs w:val="18"/>
          <w:color w:val="auto"/>
        </w:rPr>
        <w:t>Cash provided by financing activities in fiscal 2025 was $0.1 million and consisted primarily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the term loan that originated in the first quarter of fiscal 2025, which was partially offset by payments on the revolving credit facility.</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used in financing activities in fiscal 2024 was $14 thousand.</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provided by financing activities in fiscal 2023 was $10.0 million which consisted of proceeds from our revolving credit facility.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net working capital as of March 31, 2025 was $8.7 million, consisting of $35.5 million of current assets and $26.8 million of current liabilities. Our net working capital as of March 31, 2024 was $16.7 million, consisting of $44.8 million of current assets and $28.1 million of current liabilities. The change was primarily due to a decrease in inventories along with a decrease in accounts payable.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net working capital as of March 31, 2023 was $25.9 million, consisting of $50.4 million of current assets and $24.5 million of current liabilities. The change in our working capital in fiscal 2024 from our fiscal 2024 year-end was primarily due to a decrease in cash and cash equivalents and an increase in accounts payable, partially offset by an increase in revenue earned not billed.</w:t>
      </w:r>
    </w:p>
    <w:p>
      <w:pPr>
        <w:spacing w:after="0" w:line="68"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generally attempt to maintain a three-month supply of on-hand inventory of purchased components and raw materials to meet anticipated demand, as well as to reduce our risk of unexpected raw material or component shortages or supply interruptions.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22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credit agreement provides for a five-year $25.0 million revolving credit facility (the “Credit Facility”) that matures on June 30, 2027. Borrowings under the Credit Facility are subject to a borrowing base requirement based on eligible receivables, inventory and cash. As of March 31, 2025, the borrowing base supported approximately $15.0 million of availability under the Credit Facility with $7.0 million drawn against that availability. As of March 31, 2024, the borrowing base supported approximately $20.1 million of availability under the Credit Facility with $10.0 million drawn against that availability.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agreement is secured by a first lien security interest in substantially all of our assets.</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are permitted in the form of SOFR or prime rate-based loans and generally bear interest at floating rates plus an applicable margin determined by reference to our availability under the Credit Agreement. Among other fees, we are required to pay an annual facility fee of $15,000 and a fee of 25 basis points on the unused portion of the Credit Facility.</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credit agreement includes a springing minimum fixed cost coverage ratio of 1.0 to 1.0 when excess availability under the Credit Facility falls below $4.0 million of the committed facility. Currently, the required springing minimum fixed cost coverage ratio is not required.</w:t>
      </w:r>
    </w:p>
    <w:p>
      <w:pPr>
        <w:spacing w:after="0" w:line="16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spacing w:after="0" w:line="18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Effective April 22, 2024, we, along with our lender, executed Amendment No. 2 (“Amendment No. 2”) to the credit agreement. The primary purpose of Amendment No. 2 was to add a $3.525 million mortgage loan facility to the credit agreement secured by our office headquarters property in Manitowoc, Wisconsin. Amendment No. 2 also broadened the definition of receivables to encompass government receivables as being eligible to be included in our borrowing base calculation for the purpose of establishing our monthly borrowing availability under the credit agreement. Quarterly installments of $88,125 are due on the first day of each fiscal quarter beginning October 1, 2024.</w:t>
      </w:r>
    </w:p>
    <w:p>
      <w:pPr>
        <w:spacing w:after="0" w:line="18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Effective October 30, 2024, we and our lender, executed Amendment No. 3 ("Amendment No. 3") to our Credit Agreement. The primary purpose of Amendment No. 3 was to extend the maturity date of the Credit Facility from December 29, 2025 to June 30, 2027.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Voltrek Earn-Out</w:t>
      </w:r>
    </w:p>
    <w:p>
      <w:pPr>
        <w:spacing w:after="0" w:line="22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Effective on October 5, 2022, we acquired all of the outstanding membership interests of Voltrek, a leading electric vehicle charging company that provides turnkey installation solutions with ongoing support to all commercial verticals. The initial purchase price consisted of $5.0 million cash and $1.0 million of common stock. We also paid $3.0 million in initial earn-out payments based on Voltrek’s financial performance in fiscal 2023. We may owe additional material earn-out payments based on Voltrek’s financial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performance in fiscal 2025. We have currently accrued an estimated liability of approximately $3.3 million for such remaining earn-out payments.</w:t>
      </w:r>
    </w:p>
    <w:p>
      <w:pPr>
        <w:spacing w:after="0" w:line="225"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On June 23, 2025, we entered into the Term Sheet with respect to our remaining earn-out obligations owed to Final Frontier pursuant to our October 5, 2022 acquisition of Voltrek. Pursuant to the Term Sheet, on August 1, 2025, we will pay Final Frontier $875,000 in full and final payment of our fiscal 2024 Voltrek acquisition earn-out obligations. We also agreed with Final Frontier to submit the final determination of our fiscal 2025 and aggregate fiscal 2023 through fiscal 2025 earn-out obligations to binding arbitration if not otherwise mutually agreed by the parties. We agreed to pay to Final Frontier the finally determined remaining earn-out amount as follows: (i) $1.0 million in our common stock issuable 14 trading days after our fiscal 2025 earnings announcement and (ii) the remaining amount pursuant to the anticipated Senior Subordinated Note. We agreed to pay monthly principal payments to Final Frontier on the anticipated Senior Subordinated Note of $25,000 beginning on January 15, 2026, which will increase to $50,000 on July 15, 2026 through maturity. We will also pay interest monthly to Final Frontier at the annual rate of 7% beginning on July 15, 2025. We have the right to pay up to 20% of the remaining outstanding earn-out amount at maturity in shares of our common stock. The anticipated Senior Subordinated Note will be subordinated to our senior credit facilities with Bank of America and will be secured by a second lien on all of our assets. We and Final Frontier agreed to use our respective commercially reasonable best efforts to agree to final documentation further reflecting the terms and conditions set forth in the Term Sheet within 30 days of entering into the Term Sheet.</w:t>
      </w:r>
    </w:p>
    <w:p>
      <w:pPr>
        <w:spacing w:after="0" w:line="19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final earn-out amount determined to be owed by us could be in excess of our current accrued liability for such earn-out amount and could materially adversely affect our future liquidity.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Spending</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Our capital expenditures are primarily for general corporate purposes for our corporate headquarters and technology center, production equipment and tooling and for information technology systems. Our capital expenditures totaled $0.1 million in fiscal 2025, $0.8 million in fiscal 2024 and $0.7 million in fiscal 2023. Our capital spending plans predominantly consist of investments related to maintenance fleet vehicles, new product development tooling and equipment and information technology systems, exclusive of any capital spending for potential acquisitions. We expect to finance these capital expenditures primarily through our existing cash, equipment secured loans and leases, to the extent needed, long-term debt financing, or by using our Credit Facility. As discussed in Item 1A. Risk Factors, we will be commencing implementation efforts of a new ERP system in fiscal 2026, with an expected go-live date in the first quarter of fiscal 2027. The expected cost for the project is approximately $1.4 million, which consists of $1.1 million of capital and $0.3 million of expense.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estimates is set forth below.</w:t>
      </w:r>
    </w:p>
    <w:p>
      <w:pPr>
        <w:spacing w:after="0" w:line="187"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recognize revenue in accordance with the guidance in “Revenue from Contracts with Customers” (Topic 606) (“ASC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606”) when control of the goods or services being provided (which we refer to as a performance obligation) is transferred to a customer at an amount that reflects the consideration we expect to receive in exchange for those goods or services.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If there are multiple performance obligations in a single contract, the contract’s total transaction price per GAAP is allocated to each individual performance obligation based on their relative standalone selling price. A performance obligation’s standalone selling price is the price at which we would sell such promised good or service separately to a customer. We use an observable price to determine the stand-alone selling price for separate performance obligations or an expected cost-plus margin per GAAP approach when one is not available. When the expected cost-plus margin approach is used to determine the estimated stand-alone selling price it is based on average historical margins for that performance obligation in contracts with similar customers.</w:t>
      </w:r>
    </w:p>
    <w:p>
      <w:pPr>
        <w:spacing w:after="0" w:line="18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Revenue derived from customer contracts which include performance obligation(s) for the sale of lighting fixtures and components we manufacture, lighting fixtures we source, and EV charging stations and related software and warranty arrangements we source, are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8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Revenue from a customer contract which includes both the sale of Orion manufactured or sourced fixtures and the installation of such fixtures (which we refer to as a turnkey project) is allocated between each lighting fixture and the installation performance obligation based on relative standalone selling prices.</w:t>
      </w:r>
    </w:p>
    <w:p>
      <w:pPr>
        <w:spacing w:after="0" w:line="176"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Revenue from turnkey projects that is allocated to the single installation performance obligation is reflected in Service revenue. Service revenue is recorded over-time as we fulfill our obligation to install the light fixtures. We measure our performance toward fulfilling our performance obligations for installations using an output method that calculates the number of light fixtures completely removed and installed as of the measurement date in comparison to the total number of light fixtures to be removed and installed under the contract.</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Revenue from the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Consolidated Statement of Operations.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Consolidated Statement of Operations.</w:t>
      </w:r>
    </w:p>
    <w:p>
      <w:pPr>
        <w:spacing w:after="0" w:line="174"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Inventories consist of raw materials and components, such as drivers, metal sheet and coil stock and molded parts; work in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inventories, such as frames and reflectors; and finished goods, including completed fixtures and systems, and accessories. All inventories are stated at the lower of cost or net realizable value with cost determined using the first-in, first-out (FIFO) method. In determining the lower of cost or net realizable value, we consider assumptions such as business and economic conditions, expected demand for our products, changes in technology or customer requirements, recent historical sales activity (including usage in the preceding 9 to 12 months) and selling prices, as well as estimates of future selling prices. When the net realizable value of inventories exceeds the carrying value, Orion records, as a charge to cost of product revenue, the amount required to reduce the carrying value of inventory to net realizable value.</w:t>
      </w:r>
    </w:p>
    <w:p>
      <w:pPr>
        <w:spacing w:after="0" w:line="183"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Recoverability of Long-Lived Assets. </w:t>
      </w:r>
      <w:r>
        <w:rPr>
          <w:rFonts w:ascii="Times New Roman" w:cs="Times New Roman" w:eastAsia="Times New Roman" w:hAnsi="Times New Roman"/>
          <w:sz w:val="18"/>
          <w:szCs w:val="18"/>
          <w:color w:val="auto"/>
        </w:rPr>
        <w:t>We evaluate long-lived assets such as property, equipment and definite lived intangible assets, such as patents,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impairment whenever events or circumstances indicate that the carrying value of the assets recognized in our financial statements may not be recoverable. Factors that we consider include whether there has been a significant decrease in the market value of an asset, a significant change in the way an asset is being utilized, or a significant change, delay or departure in our strategy for that asset, or a significant change in the macroeconomic environment. Our assessment of the recoverability of long-lived assets involves significant judgment and estimation. These assessments reflect our assumptions, which, we believe, are consistent with the assumptions hypothetical marketplace participants use. Factors that we must estimate when performing recoverability and impairment tests include, among others, forecasted revenue, margin costs and the economic life of the asset. If impairment is indicated, we determine if the total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estimated future cash flows on an undiscounted basis are less than the carrying amounts of the asset or assets. If so, an impairment loss is measured and recognized.</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impairment loss calculations require that we apply judgment in identifying asset groups, estimating future cash flows, determining asset fair values, and estimating asset’s useful lives. To make these judgments, we may use internal discounted cash flow estimates, quoted market prices, when available, and independent appraisals, as appropriate, to determine fair value.</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If actual results are not consistent with our assumptions and judgments used in estimating future cash flows and asset fair values, we may be required to recognize future impairment losses which could be material to our results of operations.</w:t>
      </w:r>
    </w:p>
    <w:p>
      <w:pPr>
        <w:spacing w:after="0" w:line="160"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Indefinite Lived Intangible Assets and Goodwill. </w:t>
      </w:r>
      <w:r>
        <w:rPr>
          <w:rFonts w:ascii="Times New Roman" w:cs="Times New Roman" w:eastAsia="Times New Roman" w:hAnsi="Times New Roman"/>
          <w:sz w:val="18"/>
          <w:szCs w:val="18"/>
          <w:color w:val="auto"/>
        </w:rPr>
        <w:t>We test indefinite lived intangible assets and goodwill for impairment at least annually on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of our fiscal fourth quarter, or when indications of potential impairment exist. We monitor for the existence of potential impairment indicators throughout the fiscal year. Our annual impairment test may begin with a qualitative test to determine whether it is more likely than not that an indefinite lived intangible asset's carrying value is greater than its fair value. If our qualitative assessment reveals that asset impairment is more likely than not, we perform a quantitative impairment test by comparing the fair value of the indefinite lived intangible asset to its carrying value. Alternatively, we may bypass the qualitative test and initiate impairment testing with the quantitative impairment test.</w:t>
      </w:r>
    </w:p>
    <w:p>
      <w:pPr>
        <w:spacing w:after="0" w:line="18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performed a qualitative assessment in conjunction with our annual impairment test of our indefinite lived intangible assets and goodwill as of January 1, 2025. These qualitative assessments considered our operating results for the first nine months of fiscal 2025 in comparison to prior years as well as its anticipated fourth quarter results and fiscal 2025 plan. As a result of the conditions that existed as of the assessment date, we determined a quantitative assessment was necessary for our maintenance segment reporting unit. We concluded that the undiscounted cash flows exceeded the carrying value for the indefinite lived intangibles and goodwill, and therefore no impairment charge was recorded.</w:t>
      </w:r>
    </w:p>
    <w:p>
      <w:pPr>
        <w:spacing w:after="0" w:line="183"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performed a qualitative assessment in conjunction with our annual impairment test of our indefinite lived intangible assets and goodwill as of January 1, 2024. These qualitative assessments considered our operating results for the first nine months of fiscal 2024 in comparison to prior years as well as its anticipated fourth quarter results and fiscal 2024 plan. As a result of the conditions that existed as of the assessment date, we determined a quantitative assessment was necessary for our maintenance segment reporting unit. We concluded that the undiscounted cash flows exceeded the carrying value for the indefinite lived intangibles and goodwill, and therefore no impairment charge was recorded. As a result of the conditions that existed as of the assessment date, an asset impairment was not deemed to be more likely than not in the lighting and EV segments and a quantitative analysis was not required.</w:t>
      </w:r>
    </w:p>
    <w:p>
      <w:pPr>
        <w:spacing w:after="0" w:line="18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We currently issue time-based and performance-based restricted stock awards to our employees, executive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directors. Prior to fiscal 2015, we also issued stock options to these individuals. We apply the provisions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 these restricted stock and stock option awards which requires us to expense the estimated fair value of the awards based on the fair value of the award on the date of grant. Additionally, it is necessary to estimate the achievement of the performance-based awards to ensure the expense remains accurate. Compensation costs for equity incentives are recognized in earnings, on a straight-line basis over the requisite service period.</w:t>
      </w:r>
    </w:p>
    <w:p>
      <w:pPr>
        <w:spacing w:after="0" w:line="183"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As part of the process of preparing our consolidated financial statements, we are required to determine our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in each of the 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84"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valuation allowance accordingly. During fiscal 2023, we established a full valuation allowance on our net deferred tax assets due to end of the period of sustained profitability. In making these determinations, we considered all available positive and negative evidence, including projected future taxable income, tax planning strategies, recent financial performance and ownership changes.</w:t>
      </w:r>
    </w:p>
    <w:p>
      <w:pPr>
        <w:spacing w:after="0" w:line="176"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8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March 31, 2025, we had net operating loss carryforwards of approximately $85.4 million for federal tax purposes, $76.1 million for state tax purposes, and $0.7 million for foreign tax purposes.</w:t>
      </w:r>
    </w:p>
    <w:p>
      <w:pPr>
        <w:spacing w:after="0" w:line="16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also had federal tax credit carryforwards of $1.2 million and state tax credit carryforwards of $0.2 million, which are reserved for as part of our valuation allowance. Of these tax attributes, $36.2 million of the federal and state net operating loss carryforwards are not subject to time restrictions on use but may only be used to offset 80% of future adjusted taxable income. The $126.0 million net operating loss and tax credit carryforwards will begin to expire in varying amounts between 2025 and 2045.</w:t>
      </w:r>
    </w:p>
    <w:p>
      <w:pPr>
        <w:spacing w:after="0" w:line="18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recognize penalties and interest related to uncertain tax liabilities in income tax expense. Penalties and interest were immaterial as of the date of adoption and are included in unrecognized tax benefits.</w:t>
      </w:r>
    </w:p>
    <w:p>
      <w:pPr>
        <w:spacing w:after="0" w:line="162"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Accounting Standards Codification ("ASC") 740, Income Taxes.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2025, the balance of gross unrecognized tax benefits was approximately $0.2 million, all of which would reduce our effective tax rate if recognized. We believe that our estimates and judgments discussed herein are reasonable, however, actual results could differ, which could result in gains or losses that could be material.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See Note 3 –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60"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We have experienced increases in various input costs including labor, components and transportation in the past year. In response,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multiple price increases, and we have substantially mitigated the inflationary pressures, such that our results from operations have not been materially affected by inflation. We are monitoring input costs and cannot currently predict the future impact to our operations by inflation.</w:t>
      </w:r>
    </w:p>
    <w:p>
      <w:pPr>
        <w:spacing w:after="0" w:line="173"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Foreign Exchange Risk. </w:t>
      </w:r>
      <w:r>
        <w:rPr>
          <w:rFonts w:ascii="Times New Roman" w:cs="Times New Roman" w:eastAsia="Times New Roman" w:hAnsi="Times New Roman"/>
          <w:sz w:val="18"/>
          <w:szCs w:val="18"/>
          <w:color w:val="auto"/>
        </w:rPr>
        <w:t>We face minimal exposure to adverse movements in foreign currency exchange rates. Our foreign currency losses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periods have been nominal.</w:t>
      </w:r>
    </w:p>
    <w:p>
      <w:pPr>
        <w:spacing w:after="0" w:line="158"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do not believe that we are subject to any material risks arising from changes in interest rates, foreign currency exchange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we had $10.3 million of outstanding debt with floating interest rates.</w:t>
      </w:r>
    </w:p>
    <w:p>
      <w:pPr>
        <w:spacing w:after="0" w:line="22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We are exposed to certain commodity price risks associated with our purchases of raw materials, most significantly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aluminum purchases. During fiscal 2025, we have experienced commodity price increases; however, as of the date of this report, we are not able to predict the future impact of on this risk. A hypothetical additional 20% increase in aluminum prices would have had a negative impact of $0.7 million on our net income in fiscal 2025.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1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0"/>
        </w:trPr>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1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3"/>
        </w:trPr>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80" w:type="dxa"/>
            <w:vAlign w:val="bottom"/>
          </w:tcPr>
          <w:p>
            <w:pPr>
              <w:spacing w:after="0"/>
              <w:rPr>
                <w:sz w:val="18"/>
                <w:szCs w:val="18"/>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USA, P.C.; Milwaukee, WI; PCAOB ID#243)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696"/>
        </w:trPr>
        <w:tc>
          <w:tcPr>
            <w:tcW w:w="80" w:type="dxa"/>
            <w:vAlign w:val="bottom"/>
          </w:tcPr>
          <w:p>
            <w:pPr>
              <w:spacing w:after="0"/>
              <w:rPr>
                <w:sz w:val="24"/>
                <w:szCs w:val="24"/>
                <w:color w:val="auto"/>
              </w:rPr>
            </w:pPr>
          </w:p>
        </w:tc>
        <w:tc>
          <w:tcPr>
            <w:tcW w:w="3140" w:type="dxa"/>
            <w:vAlign w:val="bottom"/>
            <w:tcBorders>
              <w:top w:val="single" w:sz="8" w:color="0000FF"/>
            </w:tcBorders>
            <w:gridSpan w:val="4"/>
          </w:tcPr>
          <w:p>
            <w:pPr>
              <w:spacing w:after="0"/>
              <w:rPr>
                <w:sz w:val="24"/>
                <w:szCs w:val="24"/>
                <w:color w:val="auto"/>
              </w:rPr>
            </w:pPr>
          </w:p>
        </w:tc>
        <w:tc>
          <w:tcPr>
            <w:tcW w:w="6900" w:type="dxa"/>
            <w:vAlign w:val="bottom"/>
            <w:gridSpan w:val="3"/>
          </w:tcPr>
          <w:p>
            <w:pPr>
              <w:jc w:val="right"/>
              <w:ind w:right="4400"/>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Manitowoc, Wisconsin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Orion Energy Systems, Inc. (the “Company”) as of March 31, 2025 and 2024, the related consolidated statements of operations, shareholders’ equity, and cash flows for each of the three years in the period ended March 31, 2025, and the related notes (collectively referred to as the “consolidated financial statements”). In our opinion, the consolidated financial statements present fairly, in all material respects, the financial position of the Company at March 31, 2025 and 2024, and the results of its operations and its cash flows for each of the three years in the period ended March 31, 2025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 Valuation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2 to the Company’s consolidated financial statements, the Company reports inventory using the first-in, first-out (FIFO) method. The Company records the amount required to reduce the carrying value of its inventories to net realizable value as a charge to cost of product revenue. As of March 31, 2025, the Company had inventory of approximately $11.4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identified Inventory Valuation as a critical audit matter. The principal considerations for this determination were management’s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judgments utilized to determine the net realizable value of inventory, specifically the assumptions related to the recent historical sales activity (including usage in the preceding 9 to 12 months) and expected demand for the products. Auditing these elements involved especially subjective auditor judgment due to the nature and extent of audit effort required to address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5" w:lineRule="exact"/>
        <w:rPr>
          <w:sz w:val="20"/>
          <w:szCs w:val="20"/>
          <w:color w:val="auto"/>
        </w:rPr>
      </w:pPr>
    </w:p>
    <w:p>
      <w:pPr>
        <w:ind w:left="760" w:right="20" w:hanging="378"/>
        <w:spacing w:after="0" w:line="26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reasonableness of management’s assumptions over historical sales activity, including testing the completeness and accuracy of underlying data and corroborating management’s considerations of usage trends during the preceding 9 to 12 months, on a sample basis.</w:t>
      </w:r>
    </w:p>
    <w:p>
      <w:pPr>
        <w:ind w:left="760" w:hanging="378"/>
        <w:spacing w:after="0" w:line="260"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reasonableness of management’s assumptions over expected demand for products, by comparing parts identified for substitutions when applicable and testing usage subsequent to year-end and other subsequent transactions, on a sample basis.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5,972</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5,155</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12,845</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14,022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3,350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11,392</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18,246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1,939</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35,498</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44,822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8,026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9,593</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1,484</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3,379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4,462</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4,076</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2,808</w:t>
            </w:r>
          </w:p>
        </w:tc>
        <w:tc>
          <w:tcPr>
            <w:tcW w:w="0" w:type="dxa"/>
            <w:vAlign w:val="bottom"/>
          </w:tcPr>
          <w:p>
            <w:pPr>
              <w:spacing w:after="0"/>
              <w:rPr>
                <w:sz w:val="1"/>
                <w:szCs w:val="1"/>
                <w:color w:val="auto"/>
              </w:rPr>
            </w:pPr>
          </w:p>
        </w:tc>
      </w:tr>
      <w:tr>
        <w:trPr>
          <w:trHeight w:val="21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52,463</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63,169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13,272</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18,350</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12,728</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9,440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26,844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28,053</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7,000</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2,971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long-term</w:t>
            </w:r>
          </w:p>
        </w:tc>
        <w:tc>
          <w:tcPr>
            <w:tcW w:w="2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3,427</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40,579</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40,627</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Shares authorized: 30,000,000 shares</w:t>
            </w:r>
          </w:p>
        </w:tc>
        <w:tc>
          <w:tcPr>
            <w:tcW w:w="2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 March 31, 2025 and 2024; no shares issued and outstanding at</w:t>
            </w: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2025 and 2024</w:t>
            </w:r>
          </w:p>
        </w:tc>
        <w:tc>
          <w:tcPr>
            <w:tcW w:w="2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Shares authorized: 200,000,000 at</w:t>
            </w:r>
          </w:p>
        </w:tc>
        <w:tc>
          <w:tcPr>
            <w:tcW w:w="2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2025 and 2024; shares issued: 42,470,231 and</w:t>
            </w:r>
          </w:p>
        </w:tc>
        <w:tc>
          <w:tcPr>
            <w:tcW w:w="2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42,038,967 at March 31, 2025 and 2024; shares outstanding:</w:t>
            </w:r>
          </w:p>
        </w:tc>
        <w:tc>
          <w:tcPr>
            <w:tcW w:w="2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32,983,888 and 32,567,746 at March 31, 2025 and 2024</w:t>
            </w:r>
          </w:p>
        </w:tc>
        <w:tc>
          <w:tcPr>
            <w:tcW w:w="24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163,025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161,869</w:t>
            </w:r>
          </w:p>
        </w:tc>
        <w:tc>
          <w:tcPr>
            <w:tcW w:w="0" w:type="dxa"/>
            <w:vAlign w:val="bottom"/>
          </w:tcPr>
          <w:p>
            <w:pPr>
              <w:spacing w:after="0"/>
              <w:rPr>
                <w:sz w:val="1"/>
                <w:szCs w:val="1"/>
                <w:color w:val="auto"/>
              </w:rPr>
            </w:pPr>
          </w:p>
        </w:tc>
      </w:tr>
      <w:tr>
        <w:trPr>
          <w:trHeight w:val="198"/>
        </w:trPr>
        <w:tc>
          <w:tcPr>
            <w:tcW w:w="5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Treasury stock: 9,486,343 and 9,471,221 common shares at</w:t>
            </w:r>
          </w:p>
        </w:tc>
        <w:tc>
          <w:tcPr>
            <w:tcW w:w="2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2025 and 2024</w:t>
            </w:r>
          </w:p>
        </w:tc>
        <w:tc>
          <w:tcPr>
            <w:tcW w:w="24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(36,248)</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2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(114,893)</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(103,092)</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11,884</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22,542</w:t>
            </w:r>
          </w:p>
        </w:tc>
        <w:tc>
          <w:tcPr>
            <w:tcW w:w="0" w:type="dxa"/>
            <w:vAlign w:val="bottom"/>
          </w:tcPr>
          <w:p>
            <w:pPr>
              <w:spacing w:after="0"/>
              <w:rPr>
                <w:sz w:val="1"/>
                <w:szCs w:val="1"/>
                <w:color w:val="auto"/>
              </w:rPr>
            </w:pPr>
          </w:p>
        </w:tc>
      </w:tr>
      <w:tr>
        <w:trPr>
          <w:trHeight w:val="21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52,463</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63,169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2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-4714240</wp:posOffset>
            </wp:positionV>
            <wp:extent cx="120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-3856990</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-3016885</wp:posOffset>
            </wp:positionV>
            <wp:extent cx="120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-1079500</wp:posOffset>
            </wp:positionV>
            <wp:extent cx="120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54,368</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63,307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57,210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25,352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27,274</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20,173</w:t>
            </w:r>
          </w:p>
        </w:tc>
      </w:tr>
      <w:tr>
        <w:trPr>
          <w:trHeight w:val="210"/>
        </w:trPr>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79,720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90,581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77,383</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44,466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42,979</w:t>
            </w:r>
          </w:p>
        </w:tc>
      </w:tr>
      <w:tr>
        <w:trPr>
          <w:trHeight w:val="216"/>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6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22,165</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25,204</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16,893</w:t>
            </w:r>
          </w:p>
        </w:tc>
      </w:tr>
      <w:tr>
        <w:trPr>
          <w:trHeight w:val="21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revenue</w:t>
            </w:r>
          </w:p>
        </w:tc>
        <w:tc>
          <w:tcPr>
            <w:tcW w:w="1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59,484</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69,670</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59,872</w:t>
            </w:r>
          </w:p>
        </w:tc>
      </w:tr>
      <w:tr>
        <w:trPr>
          <w:trHeight w:val="209"/>
        </w:trPr>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20,236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20,911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17,511</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18,008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16,740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19,487</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Intangibles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11,595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12,988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11,392</w:t>
            </w:r>
          </w:p>
        </w:tc>
      </w:tr>
      <w:tr>
        <w:trPr>
          <w:trHeight w:val="216"/>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1,229</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1,495</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1,852</w:t>
            </w:r>
          </w:p>
        </w:tc>
      </w:tr>
      <w:tr>
        <w:trPr>
          <w:trHeight w:val="20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30,832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31,735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33,496</w:t>
            </w:r>
          </w:p>
        </w:tc>
      </w:tr>
      <w:tr>
        <w:trPr>
          <w:trHeight w:val="21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(15,985)</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4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expense</w:t>
            </w:r>
          </w:p>
        </w:tc>
        <w:tc>
          <w:tcPr>
            <w:tcW w:w="16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w:t>
            </w:r>
          </w:p>
        </w:tc>
      </w:tr>
      <w:tr>
        <w:trPr>
          <w:trHeight w:val="216"/>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17,978</w:t>
            </w:r>
          </w:p>
        </w:tc>
      </w:tr>
      <w:tr>
        <w:trPr>
          <w:trHeight w:val="21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w:t>
            </w:r>
          </w:p>
        </w:tc>
      </w:tr>
      <w:tr>
        <w:trPr>
          <w:trHeight w:val="20"/>
        </w:trPr>
        <w:tc>
          <w:tcPr>
            <w:tcW w:w="4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9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net loss per share attributable to common shareholders</w:t>
            </w:r>
          </w:p>
        </w:tc>
        <w:tc>
          <w:tcPr>
            <w:tcW w:w="19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46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32,829,470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32,486,240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31,703,712</w:t>
            </w: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198"/>
        </w:trPr>
        <w:tc>
          <w:tcPr>
            <w:tcW w:w="4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 and share equivalents</w:t>
            </w: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32,829,470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32,486,240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31,703,712</w:t>
            </w:r>
          </w:p>
        </w:tc>
      </w:tr>
      <w:tr>
        <w:trPr>
          <w:trHeight w:val="648"/>
        </w:trPr>
        <w:tc>
          <w:tcPr>
            <w:tcW w:w="4960" w:type="dxa"/>
            <w:vAlign w:val="bottom"/>
          </w:tcPr>
          <w:p>
            <w:pPr>
              <w:spacing w:after="0"/>
              <w:rPr>
                <w:sz w:val="24"/>
                <w:szCs w:val="24"/>
                <w:color w:val="auto"/>
              </w:rPr>
            </w:pPr>
          </w:p>
        </w:tc>
        <w:tc>
          <w:tcPr>
            <w:tcW w:w="16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63"/>
        </w:trPr>
        <w:tc>
          <w:tcPr>
            <w:tcW w:w="49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-4285615</wp:posOffset>
            </wp:positionV>
            <wp:extent cx="1028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-4285615</wp:posOffset>
            </wp:positionV>
            <wp:extent cx="1028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-3171190</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-3171190</wp:posOffset>
            </wp:positionV>
            <wp:extent cx="102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-2047875</wp:posOffset>
            </wp:positionV>
            <wp:extent cx="1028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-2047875</wp:posOffset>
            </wp:positionV>
            <wp:extent cx="102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-1765300</wp:posOffset>
            </wp:positionV>
            <wp:extent cx="1028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-1765300</wp:posOffset>
            </wp:positionV>
            <wp:extent cx="1028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540" w:type="dxa"/>
            <w:vAlign w:val="bottom"/>
            <w:tcBorders>
              <w:bottom w:val="single" w:sz="8" w:color="auto"/>
            </w:tcBorders>
            <w:gridSpan w:val="4"/>
          </w:tcPr>
          <w:p>
            <w:pPr>
              <w:jc w:val="right"/>
              <w:ind w:right="773"/>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2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31,097,872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158,419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(57,080)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acquisition</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620,067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stock and shares for services</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12,848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for cash</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26,646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8"/>
        </w:trPr>
        <w:tc>
          <w:tcPr>
            <w:tcW w:w="4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2,274</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536,622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198"/>
        </w:trPr>
        <w:tc>
          <w:tcPr>
            <w:tcW w:w="4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Employee tax withholdings on stock-based</w:t>
            </w: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32,295,408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160,907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33,249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stock and shares for services</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4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2,817</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260,555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198"/>
        </w:trPr>
        <w:tc>
          <w:tcPr>
            <w:tcW w:w="4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Employee tax withholdings on stock-based</w:t>
            </w: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32,567,746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161,869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22,542</w:t>
            </w:r>
          </w:p>
        </w:tc>
        <w:tc>
          <w:tcPr>
            <w:tcW w:w="0" w:type="dxa"/>
            <w:vAlign w:val="bottom"/>
          </w:tcPr>
          <w:p>
            <w:pPr>
              <w:spacing w:after="0"/>
              <w:rPr>
                <w:sz w:val="1"/>
                <w:szCs w:val="1"/>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431,264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1,156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tax withholdings on stock-based</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32,983,888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163,025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11,884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20" w:type="dxa"/>
            <w:vAlign w:val="bottom"/>
          </w:tcPr>
          <w:p>
            <w:pPr>
              <w:spacing w:after="0"/>
              <w:rPr>
                <w:sz w:val="24"/>
                <w:szCs w:val="24"/>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-1079500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-1079500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-1079500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-1079500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58"/>
        </w:trPr>
        <w:tc>
          <w:tcPr>
            <w:tcW w:w="6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5"/>
          </w:tcPr>
          <w:p>
            <w:pPr>
              <w:ind w:left="1040"/>
              <w:spacing w:after="0" w:line="157" w:lineRule="exact"/>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42"/>
        </w:trPr>
        <w:tc>
          <w:tcPr>
            <w:tcW w:w="6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w:t>
            </w: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1,369</w:t>
            </w:r>
          </w:p>
        </w:tc>
      </w:tr>
      <w:tr>
        <w:trPr>
          <w:trHeight w:val="216"/>
        </w:trPr>
        <w:tc>
          <w:tcPr>
            <w:tcW w:w="6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6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1,612</w:t>
            </w:r>
          </w:p>
        </w:tc>
      </w:tr>
      <w:tr>
        <w:trPr>
          <w:trHeight w:val="216"/>
        </w:trPr>
        <w:tc>
          <w:tcPr>
            <w:tcW w:w="6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on intangibles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17,881</w:t>
            </w:r>
          </w:p>
        </w:tc>
      </w:tr>
      <w:tr>
        <w:trPr>
          <w:trHeight w:val="216"/>
        </w:trPr>
        <w:tc>
          <w:tcPr>
            <w:tcW w:w="6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6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credit losses/bad debts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6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1,426</w:t>
            </w:r>
          </w:p>
        </w:tc>
      </w:tr>
      <w:tr>
        <w:trPr>
          <w:trHeight w:val="216"/>
        </w:trPr>
        <w:tc>
          <w:tcPr>
            <w:tcW w:w="6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6,106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1,879</w:t>
            </w:r>
          </w:p>
        </w:tc>
      </w:tr>
      <w:tr>
        <w:trPr>
          <w:trHeight w:val="216"/>
        </w:trPr>
        <w:tc>
          <w:tcPr>
            <w:tcW w:w="6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2,017</w:t>
            </w:r>
          </w:p>
        </w:tc>
      </w:tr>
      <w:tr>
        <w:trPr>
          <w:trHeight w:val="216"/>
        </w:trPr>
        <w:tc>
          <w:tcPr>
            <w:tcW w:w="6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4,990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2,372</w:t>
            </w:r>
          </w:p>
        </w:tc>
      </w:tr>
      <w:tr>
        <w:trPr>
          <w:trHeight w:val="216"/>
        </w:trPr>
        <w:tc>
          <w:tcPr>
            <w:tcW w:w="6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2,209</w:t>
            </w:r>
          </w:p>
        </w:tc>
      </w:tr>
      <w:tr>
        <w:trPr>
          <w:trHeight w:val="216"/>
        </w:trPr>
        <w:tc>
          <w:tcPr>
            <w:tcW w:w="6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4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329</w:t>
            </w:r>
          </w:p>
        </w:tc>
      </w:tr>
      <w:tr>
        <w:trPr>
          <w:trHeight w:val="210"/>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to fund acquisitions, net of cash received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r>
      <w:tr>
        <w:trPr>
          <w:trHeight w:val="216"/>
        </w:trPr>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Additions to patents and licenses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4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long-term debt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revolving credit facility</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3,525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1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Payments to settle employee tax withholdings on stock-based</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Debt issue costs</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from employee equity exercises</w:t>
            </w:r>
          </w:p>
        </w:tc>
        <w:tc>
          <w:tcPr>
            <w:tcW w:w="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10,012</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1,526</w:t>
            </w:r>
          </w:p>
        </w:tc>
      </w:tr>
      <w:tr>
        <w:trPr>
          <w:trHeight w:val="21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5,155</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15,992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14,466</w:t>
            </w: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5,972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5,155</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15,992</w:t>
            </w:r>
          </w:p>
        </w:tc>
      </w:tr>
      <w:tr>
        <w:trPr>
          <w:trHeight w:val="20"/>
        </w:trPr>
        <w:tc>
          <w:tcPr>
            <w:tcW w:w="6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1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paid for interest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assets obtained in exchange for new operating lease liabilities</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2,661</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of common stock in connection with acquisition</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r>
      <w:tr>
        <w:trPr>
          <w:trHeight w:val="630"/>
        </w:trPr>
        <w:tc>
          <w:tcPr>
            <w:tcW w:w="61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63"/>
        </w:trPr>
        <w:tc>
          <w:tcPr>
            <w:tcW w:w="6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-4533900</wp:posOffset>
            </wp:positionV>
            <wp:extent cx="1028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-4533900</wp:posOffset>
            </wp:positionV>
            <wp:extent cx="102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-3702685</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-3702685</wp:posOffset>
            </wp:positionV>
            <wp:extent cx="102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-1902460</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-1902460</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stations and related installation services to commercial and industrial businesses, and federal and local governments, predominantly in North America.</w:t>
      </w:r>
    </w:p>
    <w:p>
      <w:pPr>
        <w:spacing w:after="0" w:line="18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Orion’s corporate offices and leased primary manufacturing operations are located in Manitowoc, Wisconsin. Orion also leases office space in Jacksonville, Florida and Lawrence, Massachusetts.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net realizable value of inventory, allowance for credit losses, accruals for warranty and loss contingencies, earn-out, income taxes, impairment analyses, and certain equity transactions. Accordingly, actual results could differ from those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Orion considers all highly liquid, short-term investments with original maturities of three months or less to be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Orion’s financial instruments consist of cash and cash equivalents, accounts receivable, accounts payable, accrued expenses and other, revolving credit facility and long-term debt. In addition, other long-term assets includes an equity investment of $0.5 million that is carried at cost less impairment, of which there has been no impairment as of March 31, 2025.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Valuations are based on unadjusted quoted prices in active markets for identical assets or liabilities.</w:t>
      </w:r>
    </w:p>
    <w:p>
      <w:pPr>
        <w:spacing w:after="0" w:line="225"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4" w:name="page55"/>
    <w:bookmarkEnd w:id="54"/>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carrying amounts of Orion’s financial instruments approximate their respective fair values due to the relatively short-term nature of these instruments. Long-term debt and revolving credit facility are considered Level 2 and are reflected in the consolidated balance sheet at carrying value, which approximate fair value because the stated interest rates are similar to interest rates currently available to Orion for similar obligations.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performs ongoing evaluations of its customers and continuously monitors collections and payments. Orion estimates an allowance for credit losses based upon the historical collectability based on past due status and makes judgments about the creditworthiness of customers based on ongoing credit evaluations. We also consider customer-specific information, current market conditions, and reasonable and supportable forecasts of future economic conditions. See Note 4 – Accounts Receivable for further discussion of the allowance for credit losses.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Inventories consist of raw materials and components, such as drivers, metal sheet and coil stock and molded parts; work in process inventories, such as frames and reflectors; and finished goods, including completed fixtures and systems, and accessories. All inventories are stated at the lower of cost or net realizable value with cost determined using the first-in, first-out (FIFO) method. In determining the lower of cost or net realizable value, we consider assumptions such as business and economic conditions, expected demand for our products, changes in technology or customer requirements, recent historical sales activity (including usage in the preceding 9 to 12 months) and selling prices, as well as estimates of future selling prices. When the net realizable value of inventories exceeds the carrying value, Orion records, as a charge to cost of product revenue, the amount required to reduce the carrying value of inventory to net realizable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Orion’s human capital management and compensation committee annually approves an executive annual cash incentive program. Based upon the results for the fiscal years ended March 31, 2025, 2024, and 2023, Orion accrued approximately $0.1 million, $0.2 million and $0 million expense related to these programs,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Orion generates revenues primarily by selling commercial lighting fixtures and components, installing these fixtures in its customer’s facilities, and providing maintenance services including repairs and replacements for the lighting and related electrical components deployed in its customer’s facilities. Orion recognizes revenue in accordance with the guidance in “Revenue from Contracts with Customers” (Topic 606)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either for the contract as a whole or for the hourly rates that will be charged for the type of maintenance services delivered.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8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If there are multiple performance obligations in a single contract, the contract’s total transaction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an expected cost-plus margin approach when one is not available. When the expected cost-plus margin approach is used to determine the estimated stand-alone selling price it is based on average historical margins for that performance obligation in contracts with similar customers.</w:t>
      </w:r>
    </w:p>
    <w:p>
      <w:pPr>
        <w:spacing w:after="0" w:line="18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Revenue derived from customer contracts which include only performance obligation(s) for the sale of Orion manufactured or sourced lighting fixtures and components is classified as Product revenue in the Consolidated Statements of Operations. The revenue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Revenue from a customer contract, which includes both the sale of Orion manufactured or sourced fixtures and the installation of such fixtures (which Orion refers to as a turnkey project), is allocated between each lighting fixture and the installation performance obligation based on relative standalone selling prices.</w:t>
      </w:r>
    </w:p>
    <w:p>
      <w:pPr>
        <w:spacing w:after="0" w:line="176"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w:t>
      </w:r>
    </w:p>
    <w:p>
      <w:pPr>
        <w:spacing w:after="0" w:line="3" w:lineRule="exact"/>
        <w:rPr>
          <w:sz w:val="20"/>
          <w:szCs w:val="20"/>
          <w:color w:val="auto"/>
        </w:rPr>
      </w:pPr>
    </w:p>
    <w:p>
      <w:pPr>
        <w:jc w:val="both"/>
        <w:ind w:firstLine="8"/>
        <w:spacing w:after="0" w:line="253" w:lineRule="auto"/>
        <w:tabs>
          <w:tab w:leader="none" w:pos="2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individual light fixture is installed and working correctly, or (d) when the customer acknowledges that the entire installation project is substantially complete. Determining the point in time when a customer obtains control of the lighting fixtures in a turnkey project is applied separately for each individual light fixture included in a contract. In making this judgment, management considers the timing of various factors, including, but not limited to, those detailed below:</w:t>
      </w:r>
    </w:p>
    <w:p>
      <w:pPr>
        <w:spacing w:after="0" w:line="9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there is a legal transfer of ownership;</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obtains physical possession of the products;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starts to receive the benefit of the products;</w:t>
      </w:r>
    </w:p>
    <w:p>
      <w:pPr>
        <w:spacing w:after="0" w:line="117" w:lineRule="exact"/>
        <w:rPr>
          <w:rFonts w:ascii="Times New Roman" w:cs="Times New Roman" w:eastAsia="Times New Roman" w:hAnsi="Times New Roman"/>
          <w:sz w:val="18"/>
          <w:szCs w:val="18"/>
          <w:color w:val="auto"/>
        </w:rPr>
      </w:pPr>
    </w:p>
    <w:p>
      <w:pPr>
        <w:ind w:left="880" w:hanging="373"/>
        <w:spacing w:after="0" w:line="282"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duration of physical control that Orion maintains on the products after they are shipped to, and received at, the customer’s facility;</w:t>
      </w:r>
    </w:p>
    <w:p>
      <w:pPr>
        <w:spacing w:after="0" w:line="53" w:lineRule="exact"/>
        <w:rPr>
          <w:rFonts w:ascii="Times New Roman" w:cs="Times New Roman" w:eastAsia="Times New Roman" w:hAnsi="Times New Roman"/>
          <w:sz w:val="18"/>
          <w:szCs w:val="18"/>
          <w:color w:val="auto"/>
        </w:rPr>
      </w:pPr>
    </w:p>
    <w:p>
      <w:pPr>
        <w:ind w:left="880" w:hanging="373"/>
        <w:spacing w:after="0" w:line="282"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Orion is required to maintain insurance on the lighting fixtures when they are in transit and after they are delivered to the customer’s facility;</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each light fixture is physically installed and working correctly;</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formally accepts the product; and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Orion receives payment from the customer for the light fixtures.</w:t>
      </w:r>
    </w:p>
    <w:p>
      <w:pPr>
        <w:spacing w:after="0" w:line="22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removed and installed as of the measurement date in comparison to the total number of light fixtures to be removed and installed under the contract.</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Revenue from the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Consolidated Statement of Operations.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176"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also records revenue in conjunction with several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2023, Orion acquired Voltrek LLC ("Voltrek"), which sells and installs sourced electric vehicle charging stations and related software subscriptions and renewals. The results of Voltrek are included in the Orion EV segment and compliment Orion’s existing turnkey installation model.</w:t>
      </w:r>
    </w:p>
    <w:p>
      <w:pPr>
        <w:spacing w:after="0" w:line="176"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sale of charging stations and related software subscriptions, renewals and extended warranty is presented in Product revenue. Orion is the principal in the sales of charging stations as it has control of the physical products prior to transfer to the customer. Accordingly, revenue is recognized on a gross basis. For certain sales, primarily software subscriptions, renewals and extended warranty,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spacing w:after="0" w:line="18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Consolidated Statement of Operations.</w:t>
      </w:r>
    </w:p>
    <w:p>
      <w:pPr>
        <w:spacing w:after="0" w:line="176"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From time to time, the EV segment enters into bill and hold arrangements, whereby the Company sells EV charging stations and the charging stations are warehoused at a Company location for a specified period of time in accordance with directions received from the Company's customers. Even though the charging stations are held at a Company location, a sale is recognized at the point in time when the customer obtains control of the product. Control is transferred to the customer in a bill and hold arrangement when: customer acceptance specifications have been met, legal title has transferred, the customer has a present obligation to pay for the product and the risk and rewards of ownership have transferred to the customer. Additionally, all the following bill and hold criteria have been met in order for control to be transferred to the customer: the reason for the bill and hold arrangement is substantive -the customer has requested the product be warehoused, the product has been identified as separately belonging to the customer, the product is currently ready for physical transfer to the customer, and the Company does not have the ability to use the product or direct it to another customer.</w:t>
      </w:r>
    </w:p>
    <w:p>
      <w:pPr>
        <w:spacing w:after="0" w:line="192"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See Note 10 – Accrued Expenses and Other for a discussion of Orion’s accounting for the limited warranty it provides to customers for its products and services.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taxes collected from customers and remitted to governmental authorities are accounted for on a net (excluded from revenues) basis.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records costs incurred in connection with shipping and handling of products as cost of product revenue. Amounts billed to customers in connection with these costs are included in product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expenses research and development costs as incurred. Amounts are included in the Consolidated Statement of Operations on the line item Research and development.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recognizes deferred tax assets and liabilities for the future tax consequences of temporary differences between financial reporting and income tax basis of assets and liabilities, measured using the enacted tax rates and laws expected to be in effect when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For the fiscal year ended March 31, 2025 and 2024, Orion recognized a valuation allowance for all of its net deferred tax assets.</w:t>
      </w:r>
    </w:p>
    <w:p>
      <w:pPr>
        <w:spacing w:after="0" w:line="17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 xml:space="preserve">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Orion’s share-based payments to employees are measured at fair value and are recognized against earnings, on a straight-line basis over the requisite service period.</w:t>
      </w:r>
    </w:p>
    <w:p>
      <w:pPr>
        <w:spacing w:after="0" w:line="16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As more fully described in Note 16 – Restricted Shares, Orion currently awards non-vested restricted stock (and in some cases, in conjunction with associated cash award accounted for as a liability) to employees, executive officers and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Related Costs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Acquisition related costs includes legal fees, consulting and success fees, and other integration related costs.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Orion’s cash is primarily deposited with one financial institution.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purchases components necessary for its lighting products, including lamps and LED components, from multiple suppliers. For fiscal 2025, 2024 and 2023, no supplier accounted for more than 10% of total cost of revenue.</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 fiscal 2025, one customer accounted for 24.3% of revenue. In fiscal 2024, one customer accounted for 25.2% of total revenue. In fiscal 2023, one customer accounted for 16.2% of total revenue. The revenue from this customer is recorded in Orion's lighting and maintenance segments.</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March 31, 2025, one customer accounted for 13.0% of accounts receivable. As of March 31, 2024, two customers accounted for 17.3% and 11.7% of accounts receivable.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Continued Listing Standards of the Nasdaq Capital Market (“NASDAQ”)</w:t>
      </w:r>
    </w:p>
    <w:p>
      <w:pPr>
        <w:spacing w:after="0" w:line="22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On September 20, 2024, the Company received written notice from NASDAQ that it was not in compliance with NASDAQ’s minimum bid price requirement for continued listing on NASDAQ, as the closing bid price of the Company’s common stock had been below $1.00 per share for 30 consecutive trading days, and the Company was granted 180-calendar days, or until March 19, 2025 to regain compliance with the minimum bid price requirement. On March 19, 2025, the Company submitted a formal request to NASDAQ for an additional 180-calendar day period to regain compliance with the minimum bid price requirement and provided written notice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NASDAQ that it intends to effectuate a reverse stock split during the additional compliance period if necessary to regain compliance with the minimum bid price requirement.</w:t>
      </w:r>
    </w:p>
    <w:p>
      <w:pPr>
        <w:spacing w:after="0" w:line="16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On March 20, 2025, the Company received a letter from NASDAQ notifying it that the Company was eligible for an additional 180-calendar day period, or until September 15, 2025, to regain compliance with the minimum bid price requirement. If the Company does not regain compliance by September 15, 2025, then NASDAQ will notify the Company of its determination to delist the Company’s common stock from trading on NASDAQ. Although the Company would have an opportunity to appeal the delisting determination to a hearings panel, under NASDAQ rules, the Company’s delisting from NASDAQ would be effective on or about September 16, 2025.</w:t>
      </w:r>
    </w:p>
    <w:p>
      <w:pPr>
        <w:spacing w:after="0" w:line="183" w:lineRule="exact"/>
        <w:rPr>
          <w:sz w:val="20"/>
          <w:szCs w:val="20"/>
          <w:color w:val="auto"/>
        </w:rPr>
      </w:pPr>
    </w:p>
    <w:p>
      <w:pPr>
        <w:jc w:val="both"/>
        <w:ind w:right="20" w:firstLine="499"/>
        <w:spacing w:after="0" w:line="261" w:lineRule="auto"/>
        <w:rPr>
          <w:sz w:val="20"/>
          <w:szCs w:val="20"/>
          <w:color w:val="auto"/>
        </w:rPr>
      </w:pPr>
      <w:r>
        <w:rPr>
          <w:rFonts w:ascii="Times New Roman" w:cs="Times New Roman" w:eastAsia="Times New Roman" w:hAnsi="Times New Roman"/>
          <w:sz w:val="18"/>
          <w:szCs w:val="18"/>
          <w:color w:val="auto"/>
        </w:rPr>
        <w:t>The Company intends to monitor the closing bid price of its common stock and likely will need to seek to effect a reverse stock split of the Company’s common stock to regain compliance with NASDAQ’s minimum bid price requirement by September 15, 2025 in order to avoid delisting. There can be no assurance that the Company will be able to regain compliance with NASDAQ’s minimum bid price requirement, even if it maintains compliance with the other NASDAQ listing requirements.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Changes to U.S. GAAP are typically established by the Financial Accounting Standards Board (“FASB”) in the form of accounting standards updates (“ASUs”) to the FASB’s Accounting Standards Codification (“ASC”). Orion considers the applicability and impact of all ASUs.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Standards</w:t>
      </w:r>
    </w:p>
    <w:p>
      <w:pPr>
        <w:spacing w:after="0" w:line="337"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modifies the disclosure and presentation requirements of reportable segments. The amendments in the update require the disclosure of significant segment expenses that are regularly provided to the chief operating decision maker (the “CODM”) and included within each reported measure of segment profit and loss. The amendments also require disclosure of all other segment items by reportable segment and a description of its composition. Additionally, the amendments require disclosure of the title and position of the CODM and an explanation of how the CODM uses the reported measure(s) of segment profit or loss in assessing segment performance and deciding how to allocate resources. Orion adopted this standard on April 1, 2024 and adoption had no impact on the financial statements, only the accompanying footnotes. See Note 17, Segment Data, for the updated segment disclosures as a result of adopting this ASU.</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Not Yet Adopted</w:t>
      </w:r>
    </w:p>
    <w:p>
      <w:pPr>
        <w:spacing w:after="0" w:line="337"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which modifies the disclosure and presentation requirements relating to expenses shown on the income statement. The amendments in the update require disclosure, in the notes to financial statements, of specified information about certain costs and expenses. The amendments require that at each interim and annual reporting period an entity: 1 . Disclose the amounts of (a) purchases of inventory, (b) employee compensation, (c) depreciation, (d) intangible asset amortization, and (e) depreciation, depletion, and amortization recognized as part of oil and gas-producing activities. 2. Include certain amounts that are already required to be disclosed under current generally accepted accounting principles in the same disclosure as the other disaggregation requirements. 3. Disclose a qualitative description of the amounts remaining in relevant expense captions that are not separately disaggregated quantitatively. 4. Disclose the total amount of selling expense and, in annual reporting periods, an entity's definition of selling expenses. The amendments in this update are effective for annual reporting periods beginning after December 15, 2026, and interim reporting periods beginning after December 15, 2027. Early adoption is permitted. Orion is currently evaluating the impact that this guidance will have on the presentation of its consolidated financial statements and accompanying notes.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2025. Orion is currently evaluating the impact that this guidance will have on the presentation of its consolidated financial statements and accompanying notes.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 Summary of Significant Accounting Policies for a discussion of Orion’s accounting policies related to revenue recognition.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Fulfillment Costs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Costs associated with product sales are accumulated in inventory as the fixtures are manufactured and are transferred to Cost of product revenue at the time revenue is recorded. See Note 5 – Inventories. Costs associated with installation sales are expensed as incurred.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primary end-users of Orion’s lighting products and services are (a) the federal government, and (b) commercial or industrial companies.</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lighting and EV segments.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Footnote 17 - Segment Data, for additional discussion concerning Orion’s reportable segments.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 of Orion’s total revenues for the year ended March 31, 2025, 2024, and 2023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7"/>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Year Ended March 31, 2025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7"/>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Year Ended March 31, 2024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March 31, 2023</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8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 from contracts with customers:</w:t>
            </w: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Lighting product and installation</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39,247</w:t>
            </w: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7,659</w:t>
            </w:r>
          </w:p>
        </w:tc>
        <w:tc>
          <w:tcPr>
            <w:tcW w:w="3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46,906</w:t>
            </w: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50,229</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10,783</w:t>
            </w: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61,012</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46,500</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7,088</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Maintenance services</w:t>
            </w: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5,902</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9,288</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4,687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3,266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Electric vehicle charging</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8,421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16,826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Solar energy-related revenues</w:t>
            </w: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5"/>
        </w:trPr>
        <w:tc>
          <w:tcPr>
            <w:tcW w:w="39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color w:val="auto"/>
              </w:rPr>
              <w:t>Total revenues from contracts with customers</w:t>
            </w: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53,587</w:t>
            </w:r>
          </w:p>
        </w:tc>
        <w:tc>
          <w:tcPr>
            <w:tcW w:w="26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25,352</w:t>
            </w:r>
          </w:p>
        </w:tc>
        <w:tc>
          <w:tcPr>
            <w:tcW w:w="26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78,939</w:t>
            </w:r>
          </w:p>
        </w:tc>
        <w:tc>
          <w:tcPr>
            <w:tcW w:w="2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63,245</w:t>
            </w: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27,274</w:t>
            </w: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90,519</w:t>
            </w: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54,245</w:t>
            </w: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20,173</w:t>
            </w: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74,418</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line="189" w:lineRule="exact"/>
              <w:rPr>
                <w:sz w:val="20"/>
                <w:szCs w:val="20"/>
                <w:color w:val="auto"/>
              </w:rPr>
            </w:pPr>
            <w:r>
              <w:rPr>
                <w:rFonts w:ascii="Times New Roman" w:cs="Times New Roman" w:eastAsia="Times New Roman" w:hAnsi="Times New Roman"/>
                <w:sz w:val="14"/>
                <w:szCs w:val="14"/>
                <w:color w:val="auto"/>
              </w:rPr>
              <w:t xml:space="preserve">Revenue accounted for under other guidance </w:t>
            </w:r>
            <w:r>
              <w:rPr>
                <w:rFonts w:ascii="Times New Roman" w:cs="Times New Roman" w:eastAsia="Times New Roman" w:hAnsi="Times New Roman"/>
                <w:sz w:val="19"/>
                <w:szCs w:val="19"/>
                <w:color w:val="auto"/>
                <w:vertAlign w:val="superscript"/>
              </w:rPr>
              <w:t>(1)</w:t>
            </w: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781</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781</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2,965</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54,368</w:t>
            </w:r>
          </w:p>
        </w:tc>
        <w:tc>
          <w:tcPr>
            <w:tcW w:w="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25,352</w:t>
            </w:r>
          </w:p>
        </w:tc>
        <w:tc>
          <w:tcPr>
            <w:tcW w:w="3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79,720</w:t>
            </w:r>
          </w:p>
        </w:tc>
        <w:tc>
          <w:tcPr>
            <w:tcW w:w="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63,307</w:t>
            </w: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27,274</w:t>
            </w: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90,581</w:t>
            </w: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57,210</w:t>
            </w: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20,173</w:t>
            </w:r>
          </w:p>
        </w:tc>
        <w:tc>
          <w:tcPr>
            <w:tcW w:w="3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77,383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-334010</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-334010</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-334010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-334010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-334010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-334010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-334010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-334010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028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86" w:lineRule="exact"/>
        <w:rPr>
          <w:sz w:val="20"/>
          <w:szCs w:val="20"/>
          <w:color w:val="auto"/>
        </w:rPr>
      </w:pPr>
    </w:p>
    <w:p>
      <w:pPr>
        <w:jc w:val="both"/>
        <w:ind w:left="500" w:hanging="492"/>
        <w:spacing w:after="0" w:line="258"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accounted for under other guidance is recognized as Product revenue in the consolidated statements of operations and includes $0.7 million, $0 and $2.8 million derived from sales-type leases for light fixtures for the fiscal years ended March 31, 2025, 2024, and 2023, respectively; $0, $0.1 million, and $0.1 million derived from the sale of tax credits generated from Orion’s legacy operation for distributing solar energy for the fiscal years ended March 31, 2025, 2024, and 2023, respectively; and $0.1 million derived from the amortization of federal grants received in 2010 and 2011 as reimbursement for a portion of the costs to construct the legacy solar facilities for the fiscal years ended March 31, 2025, 2024, and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ind w:right="1920" w:firstLine="494"/>
        <w:spacing w:after="0" w:line="399" w:lineRule="auto"/>
        <w:rPr>
          <w:sz w:val="20"/>
          <w:szCs w:val="20"/>
          <w:color w:val="auto"/>
        </w:rPr>
      </w:pPr>
      <w:r>
        <w:rPr>
          <w:rFonts w:ascii="Times New Roman" w:cs="Times New Roman" w:eastAsia="Times New Roman" w:hAnsi="Times New Roman"/>
          <w:sz w:val="18"/>
          <w:szCs w:val="18"/>
          <w:color w:val="auto"/>
        </w:rPr>
        <w:t xml:space="preserve">Bill and hold revenue that had not shipped was $0.1 million and $0.8 million as of March 31, 2025 and 2024, respectively. </w:t>
      </w:r>
      <w:r>
        <w:rPr>
          <w:rFonts w:ascii="Times New Roman" w:cs="Times New Roman" w:eastAsia="Times New Roman" w:hAnsi="Times New Roman"/>
          <w:sz w:val="18"/>
          <w:szCs w:val="18"/>
          <w:i w:val="1"/>
          <w:iCs w:val="1"/>
          <w:color w:val="auto"/>
        </w:rPr>
        <w:t>Cash Flow Considerations</w:t>
      </w: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Material only orders are short-term in nature generally having terms of significantly less than one year. We record revenue from these contracts when the customer obtains control of those goods, which is generally consistent with the payment due date. There is not a significant impact on the nature, amount, timing, and uncertainty of revenue or cash flows based on when control transfers.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Turnkey projects and repair services provided to commercial or industrial companies typically span between one week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76"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62"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the guidance for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8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payments associated with these transactions that are due during the twelve months subsequent to March 31, 2025 are included in Accounts receivable, net in Orion’s Consolidated Balance Sheets. The remaining amounts due that are associated with these transactions are included in Long-term accounts receivable in Orion’s Consolidated Balance Sheets. As of March 31, 2025 and 2024, there were no such transactions included in Long-term accounts receivable.</w:t>
      </w:r>
    </w:p>
    <w:p>
      <w:pPr>
        <w:spacing w:after="0" w:line="180"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customer’s monthly payment obligation commences after completion of the turnkey project. Orion generally sells the receivable from the customer to a financial institution either during, or shortly after completion of, the installation period. Upon execution of the receivables purchase / sales agreement, all amounts due from the customer are included in Revenues earned but not billed on Orion’s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8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total amount received from the sales of these receivables during the twelve months ended March 31, 2025, 2024, and 2023 was $1.8 million, $0 and $6.3 million, respectively. Orion’s losses on these sales aggregated to $0.1 million, $0 and $0.1 million for the fiscal years ended March 31, 2025, 2024, and 2023, respectively, and are included in Interest expense in the Consolidated Statements of Operations.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119"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Orion’s performance obligations related to lighting fixtures and EV charging stations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6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Revenue earned but not billed represents revenue that has been recognized in advance of billing the customer, which is a common practice in Orion contracts for turnkey installations and repairs / replacement services. Once Orion has an unconditional right to consideration under these contracts, Orion typically bills the customer accordingly and reclassifies the amount to Accounts receivable, net. The change in contract assets is due to higher fiscal 2024 revenue and timing of project completions and invoicing.</w:t>
      </w:r>
    </w:p>
    <w:p>
      <w:pPr>
        <w:spacing w:after="0" w:line="180"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Deferred revenue, current as of March 31, 2025, includes $0.4 million of contract liabilities which represent consideration received from customers on which installation has not yet begun or is partially complete and Orion has not fulfilled its contractual obligations. The amount of revenues recognized in the period that were included in the opening deferred revenue balances were $0.1 million, $0.5 million, and $0 for the years ended March 31, 2025, 2024, and 2023 respectively. This revenue consists primarily of work performed on previous billings to customers. The difference between the opening and closing balances of Orion's deferred revenue primarily results from the timing of Orion's billings in relation to the performance of work.</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chart shows the balance of Orion’s receivables arising from contracts with customers, contract assets and contract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March 31, 2024 (dollars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12,845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14,022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Revenue earned but not billed (1)</w:t>
            </w:r>
          </w:p>
        </w:tc>
        <w:tc>
          <w:tcPr>
            <w:tcW w:w="2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2,908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4,539</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(2)</w:t>
            </w:r>
          </w:p>
        </w:tc>
        <w:tc>
          <w:tcPr>
            <w:tcW w:w="2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367</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124</w:t>
            </w:r>
          </w:p>
        </w:tc>
      </w:tr>
    </w:tbl>
    <w:p>
      <w:pPr>
        <w:spacing w:after="0" w:line="200" w:lineRule="exact"/>
        <w:rPr>
          <w:sz w:val="20"/>
          <w:szCs w:val="20"/>
          <w:color w:val="auto"/>
        </w:rPr>
      </w:pPr>
    </w:p>
    <w:p>
      <w:pPr>
        <w:spacing w:after="0" w:line="214" w:lineRule="exact"/>
        <w:rPr>
          <w:sz w:val="20"/>
          <w:szCs w:val="20"/>
          <w:color w:val="auto"/>
        </w:rPr>
      </w:pPr>
    </w:p>
    <w:p>
      <w:pPr>
        <w:jc w:val="center"/>
        <w:ind w:left="500" w:hanging="492"/>
        <w:spacing w:after="0" w:line="282" w:lineRule="auto"/>
        <w:tabs>
          <w:tab w:leader="none" w:pos="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revenue earned not billed line on the condensed consolidated balance sheet, $0.4 million in fiscal 2025 is accounted for as a sales type lease under ASC 842, and therefore has been excluded from this table since it is not considered a "contract asset", which is an asset defined by ASC 606.</w:t>
      </w:r>
    </w:p>
    <w:p>
      <w:pPr>
        <w:spacing w:after="0" w:line="161" w:lineRule="exact"/>
        <w:rPr>
          <w:rFonts w:ascii="Times New Roman" w:cs="Times New Roman" w:eastAsia="Times New Roman" w:hAnsi="Times New Roman"/>
          <w:sz w:val="18"/>
          <w:szCs w:val="18"/>
          <w:color w:val="auto"/>
        </w:rPr>
      </w:pPr>
    </w:p>
    <w:p>
      <w:pPr>
        <w:ind w:left="500" w:hanging="492"/>
        <w:spacing w:after="0" w:line="266" w:lineRule="auto"/>
        <w:tabs>
          <w:tab w:leader="none" w:pos="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ASC 606.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NOTE 4 — ACCOUNTS RECEIVABLE</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Orion’s accounts receivable are due from companies in the commercial, governmental,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Orion expects to collect from outstanding balances. Orion provides for probable uncollectible amounts through a charge to earnings and a credit to an allowance for credit losses based on its assessment of the current status of individual accounts. Balances that are still outstanding after Orion has used reasonable collection efforts are written off through a charge to the allowance for doubtful accounts and a credit to accounts receivable. Orion's accounts receivable and allowance for credit losses balances were as follows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38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12,909</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14,094</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8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12,845</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14,022</w:t>
            </w: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28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200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00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Orion’s allowance for credit losses were as follows (dollars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60" w:type="dxa"/>
            <w:vAlign w:val="bottom"/>
          </w:tcPr>
          <w:p>
            <w:pPr>
              <w:spacing w:after="0"/>
              <w:rPr>
                <w:sz w:val="12"/>
                <w:szCs w:val="12"/>
                <w:color w:val="auto"/>
              </w:rPr>
            </w:pPr>
          </w:p>
        </w:tc>
        <w:tc>
          <w:tcPr>
            <w:tcW w:w="92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84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loss/bad debt expense</w:t>
            </w:r>
          </w:p>
        </w:tc>
        <w:tc>
          <w:tcPr>
            <w:tcW w:w="9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Write-off</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5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84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r>
        <w:trPr>
          <w:trHeight w:val="790"/>
        </w:trPr>
        <w:tc>
          <w:tcPr>
            <w:tcW w:w="6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tc>
        <w:tc>
          <w:tcPr>
            <w:tcW w:w="9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81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As of March 31, 2025 and 2024, Orion's inventory balances were as follows (dollars in thousands):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6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March 31, 2025</w:t>
            </w: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tcBorders>
              <w:bottom w:val="single" w:sz="8" w:color="auto"/>
            </w:tcBorders>
          </w:tcPr>
          <w:p>
            <w:pPr>
              <w:spacing w:after="0"/>
              <w:rPr>
                <w:sz w:val="18"/>
                <w:szCs w:val="18"/>
                <w:color w:val="auto"/>
              </w:rPr>
            </w:pPr>
          </w:p>
        </w:tc>
      </w:tr>
      <w:tr>
        <w:trPr>
          <w:trHeight w:val="250"/>
        </w:trPr>
        <w:tc>
          <w:tcPr>
            <w:tcW w:w="65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11,392</w:t>
            </w:r>
          </w:p>
        </w:tc>
        <w:tc>
          <w:tcPr>
            <w:tcW w:w="100" w:type="dxa"/>
            <w:vAlign w:val="bottom"/>
            <w:shd w:val="clear" w:color="auto" w:fill="CFF0FC"/>
          </w:tcPr>
          <w:p>
            <w:pPr>
              <w:spacing w:after="0"/>
              <w:rPr>
                <w:sz w:val="21"/>
                <w:szCs w:val="21"/>
                <w:color w:val="auto"/>
              </w:rPr>
            </w:pPr>
          </w:p>
        </w:tc>
      </w:tr>
      <w:tr>
        <w:trPr>
          <w:trHeight w:val="197"/>
        </w:trPr>
        <w:tc>
          <w:tcPr>
            <w:tcW w:w="6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As of March 31, 2024</w:t>
            </w:r>
          </w:p>
        </w:tc>
        <w:tc>
          <w:tcPr>
            <w:tcW w:w="920" w:type="dxa"/>
            <w:vAlign w:val="bottom"/>
            <w:tcBorders>
              <w:top w:val="single" w:sz="8" w:color="CFF0FC"/>
            </w:tcBorders>
          </w:tcPr>
          <w:p>
            <w:pPr>
              <w:spacing w:after="0"/>
              <w:rPr>
                <w:sz w:val="17"/>
                <w:szCs w:val="17"/>
                <w:color w:val="auto"/>
              </w:rPr>
            </w:pPr>
          </w:p>
        </w:tc>
        <w:tc>
          <w:tcPr>
            <w:tcW w:w="46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7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16"/>
        </w:trPr>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r>
      <w:tr>
        <w:trPr>
          <w:trHeight w:val="216"/>
        </w:trPr>
        <w:tc>
          <w:tcPr>
            <w:tcW w:w="6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9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10,760</w:t>
            </w:r>
          </w:p>
        </w:tc>
        <w:tc>
          <w:tcPr>
            <w:tcW w:w="100" w:type="dxa"/>
            <w:vAlign w:val="bottom"/>
            <w:tcBorders>
              <w:bottom w:val="single" w:sz="8" w:color="auto"/>
            </w:tcBorders>
            <w:shd w:val="clear" w:color="auto" w:fill="CFF0FC"/>
          </w:tcPr>
          <w:p>
            <w:pPr>
              <w:spacing w:after="0"/>
              <w:rPr>
                <w:sz w:val="18"/>
                <w:szCs w:val="18"/>
                <w:color w:val="auto"/>
              </w:rPr>
            </w:pPr>
          </w:p>
        </w:tc>
      </w:tr>
      <w:tr>
        <w:trPr>
          <w:trHeight w:val="210"/>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18,246</w:t>
            </w: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-2442210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-2425065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-2442210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-2425065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Costs associated with the procurement and warehousing of inventories, such as inbound freight charges and purchasing and receiving costs, are also included in cost of product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PREPAID EXPENSES AND OTHER CURRENT ASSETS</w:t>
      </w:r>
    </w:p>
    <w:p>
      <w:pPr>
        <w:spacing w:after="0" w:line="31" w:lineRule="exact"/>
        <w:rPr>
          <w:sz w:val="20"/>
          <w:szCs w:val="20"/>
          <w:color w:val="auto"/>
        </w:rPr>
      </w:pPr>
    </w:p>
    <w:p>
      <w:pPr>
        <w:jc w:val="both"/>
        <w:ind w:right="20" w:firstLine="499"/>
        <w:spacing w:after="0" w:line="260" w:lineRule="auto"/>
        <w:rPr>
          <w:sz w:val="20"/>
          <w:szCs w:val="20"/>
          <w:color w:val="auto"/>
        </w:rPr>
      </w:pPr>
      <w:r>
        <w:rPr>
          <w:rFonts w:ascii="Times New Roman" w:cs="Times New Roman" w:eastAsia="Times New Roman" w:hAnsi="Times New Roman"/>
          <w:sz w:val="18"/>
          <w:szCs w:val="18"/>
          <w:color w:val="auto"/>
        </w:rPr>
        <w:t>Prepaid expenses consists primarily of prepaid insurance premiums, debt issue costs, prepaid subscription fees and sales tax receivable. Prepaid expenses totaled $1.3 million as of March 31, 2025 and March 31, 2024.</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3" w:name="page64"/>
    <w:bookmarkEnd w:id="63"/>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Other current assets as of March 31, 2025 and March 31, 2024 consists primarily of $0.6 million and $1.6 million, respectively, of prepaid software and services.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Expenditures for additions and improvements are capitalized, while replacements, maintenance and repairs, which do not improve or extend the lives of the respective assets, are expensed as incurred. Properties and equipment sold, or otherwise disposed of, are removed from the property and equipment accounts, with gains or losses on disposal credited or charged to income from operations.</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periodically reviews the carrying values of property and equipment for impairment in accordance with ASC 360, Property, Plant and Equipment,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433</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9,552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9,504</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7,886</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7,941</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leased to customers</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4,997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4,997</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11,011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11,142</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w:t>
            </w: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959</w:t>
            </w:r>
          </w:p>
        </w:tc>
      </w:tr>
      <w:tr>
        <w:trPr>
          <w:trHeight w:val="209"/>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34,836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35,516</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(26,810)</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(25,923)</w:t>
            </w:r>
          </w:p>
        </w:tc>
      </w:tr>
      <w:tr>
        <w:trPr>
          <w:trHeight w:val="209"/>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8,026</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9,593</w:t>
            </w:r>
          </w:p>
        </w:tc>
      </w:tr>
      <w:tr>
        <w:trPr>
          <w:trHeight w:val="20"/>
        </w:trPr>
        <w:tc>
          <w:tcPr>
            <w:tcW w:w="7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200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Depreciation is recognized over the estimated useful lives of the respective assets, using the straight-line method. Orion recorded depreciation expense of $1.3 million, $1.4 million and $1.4 million for the years ended March 31, 2025, 2024 and 2023,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Depreciable lives by asset category are as follows:</w:t>
            </w:r>
          </w:p>
        </w:tc>
        <w:tc>
          <w:tcPr>
            <w:tcW w:w="4880" w:type="dxa"/>
            <w:vAlign w:val="bottom"/>
          </w:tcPr>
          <w:p>
            <w:pPr>
              <w:spacing w:after="0"/>
              <w:rPr>
                <w:sz w:val="20"/>
                <w:szCs w:val="20"/>
                <w:color w:val="auto"/>
              </w:rPr>
            </w:pPr>
          </w:p>
        </w:tc>
      </w:tr>
      <w:tr>
        <w:trPr>
          <w:trHeight w:val="243"/>
        </w:trPr>
        <w:tc>
          <w:tcPr>
            <w:tcW w:w="6360" w:type="dxa"/>
            <w:vAlign w:val="bottom"/>
          </w:tcPr>
          <w:p>
            <w:pPr>
              <w:spacing w:after="0"/>
              <w:rPr>
                <w:sz w:val="21"/>
                <w:szCs w:val="21"/>
                <w:color w:val="auto"/>
              </w:rPr>
            </w:pPr>
          </w:p>
        </w:tc>
        <w:tc>
          <w:tcPr>
            <w:tcW w:w="4880" w:type="dxa"/>
            <w:vAlign w:val="bottom"/>
          </w:tcPr>
          <w:p>
            <w:pPr>
              <w:spacing w:after="0"/>
              <w:rPr>
                <w:sz w:val="21"/>
                <w:szCs w:val="21"/>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48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10-15 years</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8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10-39 years</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48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2-10 years</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8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Shorter of asset life or life of lease</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leased to customers under Power Purchase Agreements</w:t>
            </w:r>
          </w:p>
        </w:tc>
        <w:tc>
          <w:tcPr>
            <w:tcW w:w="48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48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w:t>
            </w:r>
          </w:p>
        </w:tc>
        <w:tc>
          <w:tcPr>
            <w:tcW w:w="48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5-7 years</w:t>
            </w: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75" w:lineRule="exact"/>
        <w:rPr>
          <w:sz w:val="20"/>
          <w:szCs w:val="20"/>
          <w:color w:val="auto"/>
        </w:rPr>
      </w:pPr>
    </w:p>
    <w:p>
      <w:pPr>
        <w:jc w:val="both"/>
        <w:ind w:right="20" w:firstLine="464"/>
        <w:spacing w:after="0" w:line="282" w:lineRule="auto"/>
        <w:rPr>
          <w:sz w:val="20"/>
          <w:szCs w:val="20"/>
          <w:color w:val="auto"/>
        </w:rPr>
      </w:pPr>
      <w:r>
        <w:rPr>
          <w:rFonts w:ascii="Times New Roman" w:cs="Times New Roman" w:eastAsia="Times New Roman" w:hAnsi="Times New Roman"/>
          <w:sz w:val="18"/>
          <w:szCs w:val="18"/>
          <w:color w:val="auto"/>
        </w:rPr>
        <w:t>From time to time, Orion leases assets from third parties. Orion also leases certain assets to third parties. Leases are accounted for, and reported upon, following the requirements of ASC 842, Leases.</w:t>
      </w:r>
    </w:p>
    <w:p>
      <w:pPr>
        <w:spacing w:after="0" w:line="10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Whether it is the lessee or the lessor, Orion’s determination of whether a contract includes a lease, and assessing how the lease should be accounted for, is a matter of judgment based on whether the risks and rewards, as well as substantive control of the assets specified in the contract, have been transferred from the lessor to the lessee. The judgment considers matters such as whether the assets are transferred from the lessor to the lessee at the end of the contract, the term of the agreement in relation to the asset’s remaining economic useful life, and whether the assets are of such a specialized nature that the lessor will not have an alternative use for such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assets at the termination of the agreement. Other matters requiring judgment are the lease term when the agreement includes renewal or termination options and the interest rate used when initially determining the ROU asset and lease liability.</w:t>
      </w:r>
    </w:p>
    <w:p>
      <w:pPr>
        <w:spacing w:after="0" w:line="108" w:lineRule="exact"/>
        <w:rPr>
          <w:sz w:val="20"/>
          <w:szCs w:val="20"/>
          <w:color w:val="auto"/>
        </w:rPr>
      </w:pPr>
    </w:p>
    <w:p>
      <w:pPr>
        <w:jc w:val="both"/>
        <w:ind w:firstLine="464"/>
        <w:spacing w:after="0" w:line="254" w:lineRule="auto"/>
        <w:rPr>
          <w:sz w:val="20"/>
          <w:szCs w:val="20"/>
          <w:color w:val="auto"/>
        </w:rPr>
      </w:pPr>
      <w:r>
        <w:rPr>
          <w:rFonts w:ascii="Times New Roman" w:cs="Times New Roman" w:eastAsia="Times New Roman" w:hAnsi="Times New Roman"/>
          <w:sz w:val="18"/>
          <w:szCs w:val="18"/>
          <w:color w:val="auto"/>
        </w:rPr>
        <w:t>ROU assets represent Orion’s right to use an underlying asset for the lease term and lease liabilities represent Orion’s obligation to make lease payments arising from the lease. Under ASC 842, both finance and operating lease ROU assets and lease liabilities for leases with initial terms in excess of 12 months are recognized at the commencement date based on the present value of lease payments over the lease term. When available, Orion uses the implicit interest rate in the lease when completing this calculation. However, as most of Orion’s operating lease agreements generating ROU assets do not provide the implicit rate, Orion’s incremental borrowing rate under its line of credit, adjusted for differences in duration and the relative collateral value in relation to the payment obligation, at the commencement of the lease is generally used in this calculation. The lease term includes options to extend or renew the agreement, or for early termination of the agreement, when it is reasonably certain that Orion will exercise such option. ROU assets are depreciated using the straight-line method over the lease term.</w:t>
      </w:r>
    </w:p>
    <w:p>
      <w:pPr>
        <w:spacing w:after="0" w:line="138" w:lineRule="exact"/>
        <w:rPr>
          <w:sz w:val="20"/>
          <w:szCs w:val="20"/>
          <w:color w:val="auto"/>
        </w:rPr>
      </w:pPr>
    </w:p>
    <w:p>
      <w:pPr>
        <w:jc w:val="both"/>
        <w:ind w:right="20" w:firstLine="464"/>
        <w:spacing w:after="0" w:line="282" w:lineRule="auto"/>
        <w:rPr>
          <w:sz w:val="20"/>
          <w:szCs w:val="20"/>
          <w:color w:val="auto"/>
        </w:rPr>
      </w:pPr>
      <w:r>
        <w:rPr>
          <w:rFonts w:ascii="Times New Roman" w:cs="Times New Roman" w:eastAsia="Times New Roman" w:hAnsi="Times New Roman"/>
          <w:sz w:val="18"/>
          <w:szCs w:val="18"/>
          <w:color w:val="auto"/>
        </w:rPr>
        <w:t>Orion recognizes lease expense for leases with an initial term of 12 months or less, referred to as short term leases, on a straight-line basis over the lease term.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Orion Leases from Other Parties</w:t>
      </w:r>
    </w:p>
    <w:p>
      <w:pPr>
        <w:spacing w:after="0" w:line="17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On January 31, 2020, Orion entered into the current lease for its primary manufacturing and distribution facility in Manitowoc, WI. The lease has a 10-year term, with the option to terminate after six years. As of January 31, 2025, Orion did not find it reasonable to exercise the early termination of the lease, causing a triggering event which led to a reassessment of lease assets and liabilities. The lease also has an option to renew for two additional successive periods of five years each. The renewal option is not in the calculation of the right of use asset or liability. Orion is responsible for the costs of insurance and utilities for the facility. These costs are considered variable lease costs. The agreement is classified as an operating lease.</w:t>
      </w:r>
    </w:p>
    <w:p>
      <w:pPr>
        <w:spacing w:after="0" w:line="129"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In February 2014, Orion entered into a multi-year lease agreement for use of office space in a multi-use office building in Jacksonville, Florida. The lease has since been extended, most recently during the first quarter of fiscal 2024, and presently terminates on June 30, 2026. The agreement is classified as an operating lease.</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lease office space in Lawrence, Massachusetts. The lease presently terminates in October, 2026. The agreement is classified as an operating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w:t>
      </w:r>
    </w:p>
    <w:p>
      <w:pPr>
        <w:spacing w:after="0" w:line="153"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Additionally, we had a lease in Pewaukee, Wisconsin that was terminated early in August of the current fiscal year. The agreement was classified as an operating lease. Additional details regarding the early termination can be seen in Note 19 - Restructuring Expense and Other Related Costs.</w:t>
      </w:r>
    </w:p>
    <w:p>
      <w:pPr>
        <w:spacing w:after="0" w:line="108"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Orion has leased other assets from third parties, principally office and production equipment. The terms of our other leases vary from contract to contract and expire at various dates in the next five years.</w:t>
      </w:r>
    </w:p>
    <w:p>
      <w:pPr>
        <w:spacing w:after="0" w:line="108"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for Orion’s lease obligations as of March 31, 2025 and 2024 is 6.8% and 5.3%, respectively. The weighted average remaining lease term as of March 31, 2025 and 2024 is 4.5 years and 2.1 years, respectively.</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Orion’s assets leased from third parties follows (dollars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4160" w:type="dxa"/>
            <w:vAlign w:val="bottom"/>
            <w:gridSpan w:val="2"/>
          </w:tcPr>
          <w:p>
            <w:pPr>
              <w:jc w:val="right"/>
              <w:ind w:right="163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10"/>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shd w:val="clear" w:color="auto" w:fill="CFF0FC"/>
          </w:tcPr>
          <w:p>
            <w:pPr>
              <w:spacing w:after="0"/>
              <w:rPr>
                <w:sz w:val="18"/>
                <w:szCs w:val="18"/>
                <w:color w:val="auto"/>
              </w:rPr>
            </w:pPr>
          </w:p>
        </w:tc>
        <w:tc>
          <w:tcPr>
            <w:tcW w:w="33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780" w:type="dxa"/>
            <w:vAlign w:val="bottom"/>
          </w:tcPr>
          <w:p>
            <w:pPr>
              <w:spacing w:after="0"/>
              <w:rPr>
                <w:sz w:val="18"/>
                <w:szCs w:val="18"/>
                <w:color w:val="auto"/>
              </w:rPr>
            </w:pP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3,456</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80" w:type="dxa"/>
            <w:vAlign w:val="bottom"/>
            <w:shd w:val="clear" w:color="auto" w:fill="CFF0FC"/>
          </w:tcPr>
          <w:p>
            <w:pPr>
              <w:spacing w:after="0"/>
              <w:rPr>
                <w:sz w:val="18"/>
                <w:szCs w:val="18"/>
                <w:color w:val="auto"/>
              </w:rPr>
            </w:pPr>
          </w:p>
        </w:tc>
        <w:tc>
          <w:tcPr>
            <w:tcW w:w="3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80" w:type="dxa"/>
            <w:vAlign w:val="bottom"/>
            <w:shd w:val="clear" w:color="auto" w:fill="CFF0FC"/>
          </w:tcPr>
          <w:p>
            <w:pPr>
              <w:spacing w:after="0"/>
              <w:rPr>
                <w:sz w:val="18"/>
                <w:szCs w:val="18"/>
                <w:color w:val="auto"/>
              </w:rPr>
            </w:pPr>
          </w:p>
        </w:tc>
        <w:tc>
          <w:tcPr>
            <w:tcW w:w="3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794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7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80" w:type="dxa"/>
            <w:vAlign w:val="bottom"/>
            <w:tcBorders>
              <w:bottom w:val="single" w:sz="8" w:color="CFF0FC"/>
            </w:tcBorders>
            <w:shd w:val="clear" w:color="auto" w:fill="CFF0FC"/>
          </w:tcPr>
          <w:p>
            <w:pPr>
              <w:spacing w:after="0"/>
              <w:rPr>
                <w:sz w:val="18"/>
                <w:szCs w:val="18"/>
                <w:color w:val="auto"/>
              </w:rPr>
            </w:pPr>
          </w:p>
        </w:tc>
        <w:tc>
          <w:tcPr>
            <w:tcW w:w="33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2,829</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09"/>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7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3,623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4160" w:type="dxa"/>
            <w:vAlign w:val="bottom"/>
            <w:gridSpan w:val="2"/>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700" w:type="dxa"/>
            <w:vAlign w:val="bottom"/>
          </w:tcPr>
          <w:p>
            <w:pPr>
              <w:spacing w:after="0"/>
              <w:rPr>
                <w:sz w:val="24"/>
                <w:szCs w:val="24"/>
                <w:color w:val="auto"/>
              </w:rPr>
            </w:pPr>
          </w:p>
        </w:tc>
        <w:tc>
          <w:tcPr>
            <w:tcW w:w="41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-1079500</wp:posOffset>
            </wp:positionV>
            <wp:extent cx="1289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5" w:name="page66"/>
    <w:bookmarkEnd w:id="65"/>
    <w:p>
      <w:pPr>
        <w:ind w:left="480"/>
        <w:spacing w:after="0"/>
        <w:rPr>
          <w:sz w:val="20"/>
          <w:szCs w:val="20"/>
          <w:color w:val="auto"/>
        </w:rPr>
      </w:pPr>
      <w:r>
        <w:rPr>
          <w:rFonts w:ascii="Times New Roman" w:cs="Times New Roman" w:eastAsia="Times New Roman" w:hAnsi="Times New Roman"/>
          <w:sz w:val="18"/>
          <w:szCs w:val="18"/>
          <w:color w:val="auto"/>
        </w:rPr>
        <w:t>Orion had operating lease costs of $1.2 million for the year ended March 31, 2025. This includes short-term leases and variable lease costs, which</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are immaterial.</w:t>
            </w: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91"/>
        </w:trPr>
        <w:tc>
          <w:tcPr>
            <w:tcW w:w="9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estimated maturity of lease liabilities for each of the future years is shown below (dollars in thousands):</w:t>
            </w: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38"/>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220" w:type="dxa"/>
            <w:vAlign w:val="bottom"/>
          </w:tcPr>
          <w:p>
            <w:pPr>
              <w:spacing w:after="0"/>
              <w:rPr>
                <w:sz w:val="20"/>
                <w:szCs w:val="20"/>
                <w:color w:val="auto"/>
              </w:rPr>
            </w:pPr>
          </w:p>
        </w:tc>
        <w:tc>
          <w:tcPr>
            <w:tcW w:w="1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6"/>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2026</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Fiscal 2027</w:t>
            </w:r>
          </w:p>
        </w:tc>
        <w:tc>
          <w:tcPr>
            <w:tcW w:w="220" w:type="dxa"/>
            <w:vAlign w:val="bottom"/>
          </w:tcPr>
          <w:p>
            <w:pPr>
              <w:spacing w:after="0"/>
              <w:rPr>
                <w:sz w:val="18"/>
                <w:szCs w:val="18"/>
                <w:color w:val="auto"/>
              </w:rPr>
            </w:pP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886</w:t>
            </w:r>
          </w:p>
        </w:tc>
      </w:tr>
      <w:tr>
        <w:trPr>
          <w:trHeight w:val="216"/>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2028</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Fiscal 2029</w:t>
            </w:r>
          </w:p>
        </w:tc>
        <w:tc>
          <w:tcPr>
            <w:tcW w:w="220" w:type="dxa"/>
            <w:vAlign w:val="bottom"/>
          </w:tcPr>
          <w:p>
            <w:pPr>
              <w:spacing w:after="0"/>
              <w:rPr>
                <w:sz w:val="18"/>
                <w:szCs w:val="18"/>
                <w:color w:val="auto"/>
              </w:rPr>
            </w:pP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9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2030</w:t>
            </w:r>
          </w:p>
        </w:tc>
        <w:tc>
          <w:tcPr>
            <w:tcW w:w="22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r>
      <w:tr>
        <w:trPr>
          <w:trHeight w:val="209"/>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4,242</w:t>
            </w:r>
          </w:p>
        </w:tc>
      </w:tr>
      <w:tr>
        <w:trPr>
          <w:trHeight w:val="209"/>
        </w:trPr>
        <w:tc>
          <w:tcPr>
            <w:tcW w:w="90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10"/>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3,623</w:t>
            </w:r>
          </w:p>
        </w:tc>
      </w:tr>
      <w:tr>
        <w:trPr>
          <w:trHeight w:val="20"/>
        </w:trPr>
        <w:tc>
          <w:tcPr>
            <w:tcW w:w="9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Orion Leases to Other Parties</w:t>
      </w:r>
    </w:p>
    <w:p>
      <w:pPr>
        <w:spacing w:after="0" w:line="17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Orion provides long-term financing to one customer who frequently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w:t>
      </w:r>
    </w:p>
    <w:p>
      <w:pPr>
        <w:spacing w:after="0" w:line="129"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w:t>
      </w:r>
    </w:p>
    <w:p>
      <w:pPr>
        <w:spacing w:after="0" w:line="12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Revenues, and production and acquisition costs, associated with sales-type leases are included in Product revenue and Costs of product revenues in the Consolidated Statement of Operations. These amounts are recorded for each fixture separately based on the customer’s monthly acknowledgment that specified fixtures have been installed and are operating as specified. The execution of the acknowledgment is considered the commencement date as defined in ASC 842.</w:t>
      </w:r>
    </w:p>
    <w:p>
      <w:pPr>
        <w:spacing w:after="0" w:line="126"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The following chart shows the amount of revenue and cost of sales arising from sales-type leases during the year ended March 31, 2025, 2024 and 2023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30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20" w:type="dxa"/>
            <w:vAlign w:val="bottom"/>
          </w:tcPr>
          <w:p>
            <w:pPr>
              <w:spacing w:after="0"/>
              <w:rPr>
                <w:sz w:val="15"/>
                <w:szCs w:val="15"/>
                <w:color w:val="auto"/>
              </w:rPr>
            </w:pPr>
          </w:p>
        </w:tc>
        <w:tc>
          <w:tcPr>
            <w:tcW w:w="17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3080" w:type="dxa"/>
            <w:vAlign w:val="bottom"/>
            <w:shd w:val="clear" w:color="auto" w:fill="CFF0FC"/>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781</w:t>
            </w:r>
          </w:p>
        </w:tc>
        <w:tc>
          <w:tcPr>
            <w:tcW w:w="1720" w:type="dxa"/>
            <w:vAlign w:val="bottom"/>
            <w:shd w:val="clear" w:color="auto" w:fill="CFF0FC"/>
          </w:tcPr>
          <w:p>
            <w:pPr>
              <w:jc w:val="right"/>
              <w:ind w:right="14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2,818</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308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785</w:t>
            </w:r>
          </w:p>
        </w:tc>
        <w:tc>
          <w:tcPr>
            <w:tcW w:w="1720" w:type="dxa"/>
            <w:vAlign w:val="bottom"/>
          </w:tcPr>
          <w:p>
            <w:pPr>
              <w:spacing w:after="0"/>
              <w:rPr>
                <w:sz w:val="20"/>
                <w:szCs w:val="20"/>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7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2,771</w:t>
            </w:r>
          </w:p>
        </w:tc>
      </w:tr>
    </w:tbl>
    <w:p>
      <w:pPr>
        <w:spacing w:after="0" w:line="179"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The Consolidated Balance Sheet as of March 31, 2025 includes a net investment of $0.4 million in sales-type leases as all amounts due from the customer associated with lighting fixtures that were acknowledged to be installed and working correctly prior to period end were not transferred to the financing institution prior to the balance sheet date. During fiscal 2025, Orion sold receivables having an aggregate face value of $2.6 million to the financing institution in exchange for cash proceeds of $2.4 million. Related servicing fees for the period were immaterial.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Agreements where Orion is the Lessor</w:t>
      </w:r>
    </w:p>
    <w:p>
      <w:pPr>
        <w:spacing w:after="0" w:line="175"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were not material in the years ended March 31, 2025, 2024 and 2023. Orion has accounted for these transactions as operating leases.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NOTE 9 — GOODWILL AND OTHER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Orion has $0.9 million of goodwill related to its purchase of Voltrek in the third quarter of fiscal 2023, which is assigned to the EV segment.</w:t>
      </w:r>
    </w:p>
    <w:p>
      <w:pPr>
        <w:spacing w:after="0" w:line="117"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has $0.6 million of goodwill related to its purchase of Stay-Lite Lighting during fiscal year 2022, which is assigned to the Orion maintenance segment.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18 – Acquisition for further discussion of the Voltrek acquisition.</w:t>
      </w:r>
    </w:p>
    <w:p>
      <w:pPr>
        <w:spacing w:after="0" w:line="117"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costs of specifically identifiable intangible assets that do not have an indefinite life are amortized over their estimated useful lives. Goodwill and intangible assets with indefinite lives are not amortized.</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Amortizable intangible assets are amortized over their estimated economic useful life to reflect the pattern of economic benefits consumed based upon the following lives and methods: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w:t>
            </w:r>
          </w:p>
        </w:tc>
        <w:tc>
          <w:tcPr>
            <w:tcW w:w="22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10-17 years</w:t>
            </w:r>
          </w:p>
        </w:tc>
        <w:tc>
          <w:tcPr>
            <w:tcW w:w="63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Straight-line</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22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7-13 years</w:t>
            </w:r>
          </w:p>
        </w:tc>
        <w:tc>
          <w:tcPr>
            <w:tcW w:w="6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Straight-line</w:t>
            </w:r>
          </w:p>
        </w:tc>
      </w:tr>
      <w:tr>
        <w:trPr>
          <w:trHeight w:val="198"/>
        </w:trPr>
        <w:tc>
          <w:tcPr>
            <w:tcW w:w="2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Customer relationships</w:t>
            </w:r>
          </w:p>
        </w:tc>
        <w:tc>
          <w:tcPr>
            <w:tcW w:w="2280" w:type="dxa"/>
            <w:vAlign w:val="bottom"/>
            <w:shd w:val="clear" w:color="auto" w:fill="CFF0FC"/>
          </w:tcPr>
          <w:p>
            <w:pPr>
              <w:ind w:left="920"/>
              <w:spacing w:after="0" w:line="198" w:lineRule="exact"/>
              <w:rPr>
                <w:sz w:val="20"/>
                <w:szCs w:val="20"/>
                <w:color w:val="auto"/>
              </w:rPr>
            </w:pPr>
            <w:r>
              <w:rPr>
                <w:rFonts w:ascii="Times New Roman" w:cs="Times New Roman" w:eastAsia="Times New Roman" w:hAnsi="Times New Roman"/>
                <w:sz w:val="18"/>
                <w:szCs w:val="18"/>
                <w:color w:val="auto"/>
              </w:rPr>
              <w:t>5-8 years</w:t>
            </w:r>
          </w:p>
        </w:tc>
        <w:tc>
          <w:tcPr>
            <w:tcW w:w="6380" w:type="dxa"/>
            <w:vAlign w:val="bottom"/>
            <w:shd w:val="clear" w:color="auto" w:fill="CFF0FC"/>
          </w:tcPr>
          <w:p>
            <w:pPr>
              <w:ind w:left="540"/>
              <w:spacing w:after="0" w:line="198" w:lineRule="exact"/>
              <w:rPr>
                <w:sz w:val="20"/>
                <w:szCs w:val="20"/>
                <w:color w:val="auto"/>
              </w:rPr>
            </w:pPr>
            <w:r>
              <w:rPr>
                <w:rFonts w:ascii="Times New Roman" w:cs="Times New Roman" w:eastAsia="Times New Roman" w:hAnsi="Times New Roman"/>
                <w:sz w:val="18"/>
                <w:szCs w:val="18"/>
                <w:color w:val="auto"/>
              </w:rPr>
              <w:t>Accelerated based upon the pattern of economic benefits</w:t>
            </w:r>
          </w:p>
        </w:tc>
      </w:tr>
      <w:tr>
        <w:trPr>
          <w:trHeight w:val="234"/>
        </w:trPr>
        <w:tc>
          <w:tcPr>
            <w:tcW w:w="2580" w:type="dxa"/>
            <w:vAlign w:val="bottom"/>
            <w:shd w:val="clear" w:color="auto" w:fill="CFF0FC"/>
          </w:tcPr>
          <w:p>
            <w:pPr>
              <w:spacing w:after="0"/>
              <w:rPr>
                <w:sz w:val="20"/>
                <w:szCs w:val="20"/>
                <w:color w:val="auto"/>
              </w:rPr>
            </w:pPr>
          </w:p>
        </w:tc>
        <w:tc>
          <w:tcPr>
            <w:tcW w:w="2280" w:type="dxa"/>
            <w:vAlign w:val="bottom"/>
            <w:shd w:val="clear" w:color="auto" w:fill="CFF0FC"/>
          </w:tcPr>
          <w:p>
            <w:pPr>
              <w:spacing w:after="0"/>
              <w:rPr>
                <w:sz w:val="20"/>
                <w:szCs w:val="20"/>
                <w:color w:val="auto"/>
              </w:rPr>
            </w:pPr>
          </w:p>
        </w:tc>
        <w:tc>
          <w:tcPr>
            <w:tcW w:w="63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consumed</w:t>
            </w:r>
          </w:p>
        </w:tc>
      </w:tr>
      <w:tr>
        <w:trPr>
          <w:trHeight w:val="198"/>
        </w:trPr>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Vendor relationships</w:t>
            </w:r>
          </w:p>
        </w:tc>
        <w:tc>
          <w:tcPr>
            <w:tcW w:w="2280" w:type="dxa"/>
            <w:vAlign w:val="bottom"/>
          </w:tcPr>
          <w:p>
            <w:pPr>
              <w:ind w:left="920"/>
              <w:spacing w:after="0" w:line="198" w:lineRule="exact"/>
              <w:rPr>
                <w:sz w:val="20"/>
                <w:szCs w:val="20"/>
                <w:color w:val="auto"/>
              </w:rPr>
            </w:pPr>
            <w:r>
              <w:rPr>
                <w:rFonts w:ascii="Times New Roman" w:cs="Times New Roman" w:eastAsia="Times New Roman" w:hAnsi="Times New Roman"/>
                <w:sz w:val="18"/>
                <w:szCs w:val="18"/>
                <w:color w:val="auto"/>
              </w:rPr>
              <w:t>5-8 years</w:t>
            </w:r>
          </w:p>
        </w:tc>
        <w:tc>
          <w:tcPr>
            <w:tcW w:w="6380" w:type="dxa"/>
            <w:vAlign w:val="bottom"/>
          </w:tcPr>
          <w:p>
            <w:pPr>
              <w:ind w:left="540"/>
              <w:spacing w:after="0" w:line="198" w:lineRule="exact"/>
              <w:rPr>
                <w:sz w:val="20"/>
                <w:szCs w:val="20"/>
                <w:color w:val="auto"/>
              </w:rPr>
            </w:pPr>
            <w:r>
              <w:rPr>
                <w:rFonts w:ascii="Times New Roman" w:cs="Times New Roman" w:eastAsia="Times New Roman" w:hAnsi="Times New Roman"/>
                <w:sz w:val="18"/>
                <w:szCs w:val="18"/>
                <w:color w:val="auto"/>
              </w:rPr>
              <w:t>Accelerated based upon the pattern of economic benefits</w:t>
            </w:r>
          </w:p>
        </w:tc>
      </w:tr>
      <w:tr>
        <w:trPr>
          <w:trHeight w:val="234"/>
        </w:trPr>
        <w:tc>
          <w:tcPr>
            <w:tcW w:w="2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consumed</w:t>
            </w:r>
          </w:p>
        </w:tc>
      </w:tr>
      <w:tr>
        <w:trPr>
          <w:trHeight w:val="198"/>
        </w:trPr>
        <w:tc>
          <w:tcPr>
            <w:tcW w:w="2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Developed technology</w:t>
            </w:r>
          </w:p>
        </w:tc>
        <w:tc>
          <w:tcPr>
            <w:tcW w:w="2280" w:type="dxa"/>
            <w:vAlign w:val="bottom"/>
            <w:shd w:val="clear" w:color="auto" w:fill="CFF0FC"/>
          </w:tcPr>
          <w:p>
            <w:pPr>
              <w:ind w:left="920"/>
              <w:spacing w:after="0" w:line="198" w:lineRule="exact"/>
              <w:rPr>
                <w:sz w:val="20"/>
                <w:szCs w:val="20"/>
                <w:color w:val="auto"/>
              </w:rPr>
            </w:pPr>
            <w:r>
              <w:rPr>
                <w:rFonts w:ascii="Times New Roman" w:cs="Times New Roman" w:eastAsia="Times New Roman" w:hAnsi="Times New Roman"/>
                <w:sz w:val="18"/>
                <w:szCs w:val="18"/>
                <w:color w:val="auto"/>
              </w:rPr>
              <w:t>8 years</w:t>
            </w:r>
          </w:p>
        </w:tc>
        <w:tc>
          <w:tcPr>
            <w:tcW w:w="6380" w:type="dxa"/>
            <w:vAlign w:val="bottom"/>
            <w:shd w:val="clear" w:color="auto" w:fill="CFF0FC"/>
          </w:tcPr>
          <w:p>
            <w:pPr>
              <w:ind w:left="540"/>
              <w:spacing w:after="0" w:line="198" w:lineRule="exact"/>
              <w:rPr>
                <w:sz w:val="20"/>
                <w:szCs w:val="20"/>
                <w:color w:val="auto"/>
              </w:rPr>
            </w:pPr>
            <w:r>
              <w:rPr>
                <w:rFonts w:ascii="Times New Roman" w:cs="Times New Roman" w:eastAsia="Times New Roman" w:hAnsi="Times New Roman"/>
                <w:sz w:val="18"/>
                <w:szCs w:val="18"/>
                <w:color w:val="auto"/>
              </w:rPr>
              <w:t>Accelerated based upon the pattern of economic benefits</w:t>
            </w:r>
          </w:p>
        </w:tc>
      </w:tr>
      <w:tr>
        <w:trPr>
          <w:trHeight w:val="234"/>
        </w:trPr>
        <w:tc>
          <w:tcPr>
            <w:tcW w:w="2580" w:type="dxa"/>
            <w:vAlign w:val="bottom"/>
            <w:shd w:val="clear" w:color="auto" w:fill="CFF0FC"/>
          </w:tcPr>
          <w:p>
            <w:pPr>
              <w:spacing w:after="0"/>
              <w:rPr>
                <w:sz w:val="20"/>
                <w:szCs w:val="20"/>
                <w:color w:val="auto"/>
              </w:rPr>
            </w:pPr>
          </w:p>
        </w:tc>
        <w:tc>
          <w:tcPr>
            <w:tcW w:w="2280" w:type="dxa"/>
            <w:vAlign w:val="bottom"/>
            <w:shd w:val="clear" w:color="auto" w:fill="CFF0FC"/>
          </w:tcPr>
          <w:p>
            <w:pPr>
              <w:spacing w:after="0"/>
              <w:rPr>
                <w:sz w:val="20"/>
                <w:szCs w:val="20"/>
                <w:color w:val="auto"/>
              </w:rPr>
            </w:pPr>
          </w:p>
        </w:tc>
        <w:tc>
          <w:tcPr>
            <w:tcW w:w="63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consumed</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Tradename</w:t>
            </w:r>
          </w:p>
        </w:tc>
        <w:tc>
          <w:tcPr>
            <w:tcW w:w="22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5-10 years</w:t>
            </w:r>
          </w:p>
        </w:tc>
        <w:tc>
          <w:tcPr>
            <w:tcW w:w="6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Straight-line</w:t>
            </w:r>
          </w:p>
        </w:tc>
      </w:tr>
    </w:tbl>
    <w:p>
      <w:pPr>
        <w:spacing w:after="0" w:line="206"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Intangible assets that have a definite life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the asset may be deemed to be impaired and accordingly a write-down of the value of the asset determined by a discounted cash flow analysis or shorter amortization period may be required.</w:t>
      </w:r>
    </w:p>
    <w:p>
      <w:pPr>
        <w:spacing w:after="0" w:line="180"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Indefinite lived intangible assets and goodwill are evaluated for impairment at least annually on the first day of Orion’s fiscal fourth quarter, or when indications of potential impairment exist. This annual impairment review may begin with a qualitative test to determine whether it is more likely than not that an indefinite lived intangible asset's carrying value is greater than its fair value. If the qualitative assessment reveals that asset impairment is more likely than not, a quantitative impairment test is performed comparing the fair value of the indefinite lived intangible asset to its carrying value. Alternatively, the qualitative test may be bypassed and the quantitative impairment test may be immediately performed. If the fair value of the indefinite lived intangible asset exceeds its carrying value, the indefinite lived intangible asset is not impaired and no further review is performed. If the carrying value of the indefinite lived intangible asset exceeds its fair value, an impairment loss would be recognized in an amount equal to such excess. Once an impairment loss is recognized, the adjusted carrying value becomes the new accounting basis of the indefinite lived intangible asset.</w:t>
      </w:r>
    </w:p>
    <w:p>
      <w:pPr>
        <w:spacing w:after="0" w:line="19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performed a qualitative assessment in conjunction with its annual impairment test of its indefinite lived intangible assets and goodwill as of January 1, 2025. This qualitative assessment considered Orion’s operating results for the first nine months of fiscal 2025 in comparison to prior years as well as its anticipated fourth quarter results and fiscal 2025 plan. As a result of the conditions that existed as of the assessment date, an asset impairment was not deemed to be more likely than not and a quantitative analysis was not required.</w:t>
      </w:r>
    </w:p>
    <w:p>
      <w:pPr>
        <w:spacing w:after="0" w:line="180"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Orion performed a qualitative assessment in conjunction with its annual impairment test of its indefinite lived intangible assets as of January 1, 2024. This qualitative assessment considered Orion’s operating results for the first nine months of fiscal 2024 in comparison to prior years as well as its anticipated fourth quarter results and fiscal 2024 plan. Orion determined a triggering event existed with the acquired intangible assets from the Stay-Lite acquisition, which represents the asset group, within the maintenance segment, resulting in the need for a quantitative assessment on the definite-lived intangible assets. The Company recognized non-cash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8"/>
          <w:szCs w:val="18"/>
          <w:color w:val="auto"/>
        </w:rPr>
        <w:t>intangible impairment losses of $0.5 million in general and administrative expense in fiscal 2024 related to the acquired Stay-Lite trade name and customer list within the maintenance segment. We utilized the relief from royalty method and multi-period excess earnings method under the income approach to estimate fair value. The impairment charges are due to sustained expectations of declining revenue growth in future years and decreased margin expectations related to those acquired assets. After these impairments, the aggregate carrying amount of these intangible assets was $0.</w:t>
      </w:r>
    </w:p>
    <w:p>
      <w:pPr>
        <w:spacing w:after="0" w:line="180"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Orion performed a qualitative assessment in conjunction with its annual impairment test of its goodwill as of January 1, 2024. This qualitative assessment considered Orion segment's operating results for the first nine months of fiscal 2024 in comparison to prior years as well as its anticipated fourth quarter results and fiscal 2024 plan. As a result of the conditions that existed as of the assessment date, Orion determined a triggering event existed and a quantitative assessment was required for the goodwill within the maintenance segment. We utilized the multi-period excess earnings method under the income approach to estimate fair value. The quantitative assessment determined the undiscounted future cash flows exceeded the carrying value of the assets, and as such impairment conditions did not exist at the measurement date. No triggering event existed in the EV segment, and as such an asset impairment was not deemed to be more likely than not and a quantitative analysis was not required.</w:t>
      </w: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and changes in, the carrying amount of other intangible assets were as follows (dollars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920" w:type="dxa"/>
            <w:vAlign w:val="bottom"/>
            <w:gridSpan w:val="2"/>
          </w:tcPr>
          <w:p>
            <w:pPr>
              <w:jc w:val="center"/>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920" w:type="dxa"/>
            <w:vAlign w:val="bottom"/>
            <w:gridSpan w:val="2"/>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100" w:type="dxa"/>
            <w:vAlign w:val="bottom"/>
          </w:tcPr>
          <w:p>
            <w:pPr>
              <w:spacing w:after="0"/>
              <w:rPr>
                <w:sz w:val="12"/>
                <w:szCs w:val="12"/>
                <w:color w:val="auto"/>
              </w:rPr>
            </w:pPr>
          </w:p>
        </w:tc>
        <w:tc>
          <w:tcPr>
            <w:tcW w:w="82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120" w:type="dxa"/>
            <w:vAlign w:val="bottom"/>
          </w:tcPr>
          <w:p>
            <w:pPr>
              <w:spacing w:after="0"/>
              <w:rPr>
                <w:sz w:val="15"/>
                <w:szCs w:val="15"/>
                <w:color w:val="auto"/>
              </w:rPr>
            </w:pPr>
          </w:p>
        </w:tc>
        <w:tc>
          <w:tcPr>
            <w:tcW w:w="8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00" w:type="dxa"/>
            <w:vAlign w:val="bottom"/>
          </w:tcPr>
          <w:p>
            <w:pPr>
              <w:spacing w:after="0"/>
              <w:rPr>
                <w:sz w:val="15"/>
                <w:szCs w:val="15"/>
                <w:color w:val="auto"/>
              </w:rPr>
            </w:pPr>
          </w:p>
        </w:tc>
        <w:tc>
          <w:tcPr>
            <w:tcW w:w="8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1,895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327</w:t>
            </w:r>
          </w:p>
        </w:tc>
        <w:tc>
          <w:tcPr>
            <w:tcW w:w="82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2,521</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12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82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237</w:t>
            </w:r>
          </w:p>
        </w:tc>
        <w:tc>
          <w:tcPr>
            <w:tcW w:w="82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Vendor relationships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1,675</w:t>
            </w:r>
          </w:p>
        </w:tc>
        <w:tc>
          <w:tcPr>
            <w:tcW w:w="82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2,600</w:t>
            </w: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16"/>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10,753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2,389</w:t>
            </w:r>
          </w:p>
        </w:tc>
        <w:tc>
          <w:tcPr>
            <w:tcW w:w="82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11,379</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1,010</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11,743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3,379</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12,389</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4,462</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80" w:type="dxa"/>
            <w:vAlign w:val="bottom"/>
            <w:gridSpan w:val="12"/>
          </w:tcPr>
          <w:p>
            <w:pPr>
              <w:ind w:left="500"/>
              <w:spacing w:after="0"/>
              <w:rPr>
                <w:sz w:val="20"/>
                <w:szCs w:val="20"/>
                <w:color w:val="auto"/>
              </w:rPr>
            </w:pPr>
            <w:r>
              <w:rPr>
                <w:rFonts w:ascii="Times New Roman" w:cs="Times New Roman" w:eastAsia="Times New Roman" w:hAnsi="Times New Roman"/>
                <w:sz w:val="18"/>
                <w:szCs w:val="18"/>
                <w:color w:val="auto"/>
              </w:rPr>
              <w:t>The estimated amortization expense for each of the next five years is shown below (dollars in thousands):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2026</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Fiscal 2027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2028</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Fiscal 2029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2030</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9"/>
        </w:trPr>
        <w:tc>
          <w:tcPr>
            <w:tcW w:w="4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629"/>
        </w:trPr>
        <w:tc>
          <w:tcPr>
            <w:tcW w:w="43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jc w:val="right"/>
              <w:ind w:right="47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6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7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-2271395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-2253615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-2271395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-2253615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-2271395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-2253615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-2271395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-2253615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-2271395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-2253615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left="500"/>
        <w:spacing w:after="0"/>
        <w:rPr>
          <w:sz w:val="20"/>
          <w:szCs w:val="20"/>
          <w:color w:val="auto"/>
        </w:rPr>
      </w:pPr>
      <w:r>
        <w:rPr>
          <w:rFonts w:ascii="Times New Roman" w:cs="Times New Roman" w:eastAsia="Times New Roman" w:hAnsi="Times New Roman"/>
          <w:sz w:val="18"/>
          <w:szCs w:val="18"/>
          <w:color w:val="auto"/>
        </w:rPr>
        <w:t>Amortization expense is set forth in the following table (dollars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included in cost of sales:</w:t>
            </w:r>
          </w:p>
        </w:tc>
        <w:tc>
          <w:tcPr>
            <w:tcW w:w="16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25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18"/>
                <w:szCs w:val="18"/>
                <w:color w:val="auto"/>
              </w:rPr>
            </w:pPr>
          </w:p>
        </w:tc>
      </w:tr>
      <w:tr>
        <w:trPr>
          <w:trHeight w:val="210"/>
        </w:trPr>
        <w:tc>
          <w:tcPr>
            <w:tcW w:w="4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Amortization included in operating expenses:</w:t>
            </w:r>
          </w:p>
        </w:tc>
        <w:tc>
          <w:tcPr>
            <w:tcW w:w="168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5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Vendor relationships</w:t>
            </w: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r>
      <w:tr>
        <w:trPr>
          <w:trHeight w:val="216"/>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w:t>
            </w:r>
          </w:p>
        </w:tc>
        <w:tc>
          <w:tcPr>
            <w:tcW w:w="16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r>
      <w:tr>
        <w:trPr>
          <w:trHeight w:val="22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25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FF0FC"/>
          </w:tcPr>
          <w:p>
            <w:pPr>
              <w:spacing w:after="0"/>
              <w:rPr>
                <w:sz w:val="19"/>
                <w:szCs w:val="19"/>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-873760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-873760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-316865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-316865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Orion’s management periodically reviews the carrying value of patent applications and related costs. When a patent application is probable of being unsuccessful or a patent is no longer in use, Orion writes off the remaining carrying value as a charge to general and administrative expense within its Consolidated Statements of Operations. In fiscal years 2025, 2024, and 2023, write-offs were immaterial.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ACCRUED EXPENSES AND OTHER</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and March 31, 2024, Accrued expenses and other included the following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acquisition earn-out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3,263</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1,854</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2,424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2,255</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Credits due to customers</w:t>
            </w: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1,167</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project costs</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2,283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2,366</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Warranty</w:t>
            </w: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tax</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returns reserve</w:t>
            </w: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12,728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9,440</w:t>
            </w:r>
          </w:p>
        </w:tc>
      </w:tr>
      <w:tr>
        <w:trPr>
          <w:trHeight w:val="20"/>
        </w:trPr>
        <w:tc>
          <w:tcPr>
            <w:tcW w:w="7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200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jc w:val="both"/>
        <w:ind w:firstLine="558"/>
        <w:spacing w:after="0" w:line="266" w:lineRule="auto"/>
        <w:rPr>
          <w:sz w:val="20"/>
          <w:szCs w:val="20"/>
          <w:color w:val="auto"/>
        </w:rPr>
      </w:pPr>
      <w:r>
        <w:rPr>
          <w:rFonts w:ascii="Times New Roman" w:cs="Times New Roman" w:eastAsia="Times New Roman" w:hAnsi="Times New Roman"/>
          <w:sz w:val="18"/>
          <w:szCs w:val="18"/>
          <w:color w:val="auto"/>
        </w:rPr>
        <w:t>Orion generally offers a limited warranty of one to 10 years on its lighting products including the pass through of standard warranties offered by major original equipment component manufacturers. The manufacturers’ warranties cover lamps, ballasts, LED modules, LED chips, LED drivers, control devices, and other fixture related items, which are significant components in Orion's lighting products.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Orion’s warranty accrual (both current and long-term) were as follows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88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646</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Accruals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claims (net of vendor reimbursements)</w:t>
            </w:r>
          </w:p>
        </w:tc>
        <w:tc>
          <w:tcPr>
            <w:tcW w:w="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80" w:type="dxa"/>
            <w:vAlign w:val="bottom"/>
            <w:gridSpan w:val="2"/>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725</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646</w:t>
            </w: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-170815</wp:posOffset>
            </wp:positionV>
            <wp:extent cx="1028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1028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Effective on October 5, 2022, Orion acquired all the membership interests of Voltrek, an electric vehicle charging station solutions provider (the "Voltrek Acquisition"). The Voltrek Acquisition agreement provided that, depending upon the relative EBITDA growth of Voltrek's business in fiscal 2023, 2024 and 2025, Orion could pay up to an additional $3.0 million, $3.5 million and $7.15 million, respectively, in earn-out payments. These compensatory payments do not fall within the scope of ASC 805, Business Combinations, and have been expensed over the course of the earn-out periods to the extent they were earned. As of March 31, 2025, Orion has recorded $3.3 million to accrued acquisition earn-out that remains unpaid.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NOTE 11 — NET (LOSS) INCOME PER COMMON SHARE</w:t>
      </w:r>
    </w:p>
    <w:p>
      <w:pPr>
        <w:spacing w:after="0" w:line="121"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Basic net (loss) income per common share is computed by dividing net (loss) income by the weighted-average number of common shares outstanding for the period and does not consider common stock equivalents.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Diluted net (loss) income per common share reflects the dilution that would occur if stock options were exercised and restricted shares vested. In the computation of diluted net (loss) income per common share, Orion uses the treasury stock method for outstanding options and restricted shares. Net (loss) income per common share is calculated based upon the following shares: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(dollars in thousands)</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32,829,470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32,486,240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31,703,712</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effect of assumed conversion of stock options and restricted stock</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and share equivalents outstanding</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32,829,470</w:t>
            </w: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32,486,240</w:t>
            </w: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31,703,712</w:t>
            </w:r>
          </w:p>
        </w:tc>
      </w:tr>
      <w:tr>
        <w:trPr>
          <w:trHeight w:val="20"/>
        </w:trPr>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63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common share:</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-582295</wp:posOffset>
            </wp:positionV>
            <wp:extent cx="1028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-582295</wp:posOffset>
            </wp:positionV>
            <wp:extent cx="1028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number of potentially dilutive securities excluded from the calculation of Diluted net (loss) income per common share because their inclusion would have been anti-dilutive. The number of shares is as of the end of each period: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42"/>
        </w:trPr>
        <w:tc>
          <w:tcPr>
            <w:tcW w:w="6560" w:type="dxa"/>
            <w:vAlign w:val="bottom"/>
          </w:tcPr>
          <w:p>
            <w:pPr>
              <w:spacing w:after="0"/>
              <w:rPr>
                <w:sz w:val="12"/>
                <w:szCs w:val="12"/>
                <w:color w:val="auto"/>
              </w:rPr>
            </w:pPr>
          </w:p>
        </w:tc>
        <w:tc>
          <w:tcPr>
            <w:tcW w:w="150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8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8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Time-Based Restricted Shares</w:t>
            </w:r>
          </w:p>
        </w:tc>
        <w:tc>
          <w:tcPr>
            <w:tcW w:w="15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1,331,594</w:t>
            </w:r>
          </w:p>
        </w:tc>
        <w:tc>
          <w:tcPr>
            <w:tcW w:w="16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1,014,104</w:t>
            </w:r>
          </w:p>
        </w:tc>
        <w:tc>
          <w:tcPr>
            <w:tcW w:w="15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612,819</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Shares</w:t>
            </w: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1,529,936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708,377</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130,635</w:t>
            </w:r>
          </w:p>
        </w:tc>
      </w:tr>
      <w:tr>
        <w:trPr>
          <w:trHeight w:val="250"/>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2,861,530</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1,722,481</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743,454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77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including the revolving credit facility as of March 31, 2025 and 2024 consisted of the following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9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7,000</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980" w:type="dxa"/>
            <w:vAlign w:val="bottom"/>
            <w:gridSpan w:val="2"/>
          </w:tcPr>
          <w:p>
            <w:pPr>
              <w:jc w:val="right"/>
              <w:ind w:right="82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3,324</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debt obligations</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10,324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10,003</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980" w:type="dxa"/>
            <w:vAlign w:val="bottom"/>
            <w:gridSpan w:val="2"/>
          </w:tcPr>
          <w:p>
            <w:pPr>
              <w:jc w:val="right"/>
              <w:ind w:right="82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9,971</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7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-453390</wp:posOffset>
            </wp:positionV>
            <wp:extent cx="1200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200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On December 29, 2020, Orion entered into a Loan and Security Agreement with Bank of America, N.A., as lender (the “Credit Agreement”). The Credit Agreement provides for a five-year $25.0 million revolving credit facility (the “Credit Facility”) that matures on June 30, 2027. Borrowings under the Credit Facility are subject to a borrowing base requirement based on eligible receivables, inventory and cash. As of March 31, 2025, the borrowing base of the Credit Facility supports $15.0 million of availability, with $8.0 million remaining availability subject to a $1 million availability block, net of $7.0 million borrowed.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Agreement is secured by a first lien security interest in substantially all of Orion’s assets.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0" w:name="page71"/>
    <w:bookmarkEnd w:id="70"/>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are permitted in the form of SOFR or prime rate-based loans and generally bear interest at floating rates plus an applicable margin determined by reference to Orion’s availability under the Credit Agreement. Among other fees, Orion is required to pay an annual facility fee and a fee on the unused portion of the Credit Facility.</w:t>
      </w:r>
    </w:p>
    <w:p>
      <w:pPr>
        <w:spacing w:after="0" w:line="68"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The Credit Agreement includes a springing minimum fixed cost coverage ratio of 1.0 to 1.0 when excess availability under the Credit Facility falls below $4.0 million of the committed facility. Currently, the required springing minimum fixed cost coverage ratio is not required.</w:t>
      </w:r>
    </w:p>
    <w:p>
      <w:pPr>
        <w:spacing w:after="0" w:line="54"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spacing w:after="0" w:line="79"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Effective November 4, 2022, Orion, with Bank of America, N.A. as lender, executed Amendment No. 1 to its Credit Agreement. The primary purpose of the amendment was to include the assets of the acquired subsidiaries, Stay-Lite Lighting and Voltrek, as secured collateral under the Credit Agreement and to document the conversion from LIBOR to SOFR based loans. Accordingly, eligible assets of Stay-Lite and Voltrek will be included in the borrowing base calculation for the purpose of establishing the monthly borrowing availability under the Credit Agreement. The amendment also clarifies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spacing w:after="0" w:line="7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Effective April 22, 2024, the Company, with Bank of America, N.A. as lender, executed Amendment No. 2 to its Credit Agreement (“Amendment No. 2”). The primary purpose of Amendment No. 2 was to add a $3.525 million mortgage loan facility to the Credit Agreement secured by the Company’s office headquarters property in Manitowoc, Wisconsin. Amendment No. 2 also broadened the definition of receivables to encompass government receivables as being eligible to be included in the Company’s borrowing base calculation for the purpose of establishing the Company’s monthly borrowing availability under the Credit Agreement. Quarterly installments of $88,125 are due on the first day of each fiscal quarter beginning October 1, 2024.</w:t>
      </w:r>
    </w:p>
    <w:p>
      <w:pPr>
        <w:spacing w:after="0" w:line="75"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Effective October 30, 2024, the Company, with Bank of America, N.A. as lender, executed Amendment No. 3 ("Amendment No. 3") to its Credit Agreement. The primary purpose of Amendment No. 3 was to extend the maturity date of the Credit Facility from December 29, 2025 to June 30, 2027.</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Orion was in compliance with all debt covenants.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Maturities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aggregate maturities of long-term debt, including the revolving credit facility were as follows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2026</w:t>
            </w:r>
          </w:p>
        </w:tc>
        <w:tc>
          <w:tcPr>
            <w:tcW w:w="680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Fiscal 2027</w:t>
            </w:r>
          </w:p>
        </w:tc>
        <w:tc>
          <w:tcPr>
            <w:tcW w:w="6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2028</w:t>
            </w:r>
          </w:p>
        </w:tc>
        <w:tc>
          <w:tcPr>
            <w:tcW w:w="60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9,618</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68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10,324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606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71</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18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total provision (benefit) for income taxes consists of the following for the fiscal years ended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36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6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17,881</w:t>
            </w:r>
          </w:p>
        </w:tc>
      </w:tr>
      <w:tr>
        <w:trPr>
          <w:trHeight w:val="24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17,978</w:t>
            </w:r>
          </w:p>
        </w:tc>
      </w:tr>
      <w:tr>
        <w:trPr>
          <w:trHeight w:val="345"/>
        </w:trPr>
        <w:tc>
          <w:tcPr>
            <w:tcW w:w="3960" w:type="dxa"/>
            <w:vAlign w:val="bottom"/>
            <w:tcBorders>
              <w:top w:val="single" w:sz="8" w:color="CFF0FC"/>
            </w:tcBorders>
          </w:tcPr>
          <w:p>
            <w:pPr>
              <w:spacing w:after="0"/>
              <w:rPr>
                <w:sz w:val="24"/>
                <w:szCs w:val="24"/>
                <w:color w:val="auto"/>
              </w:rPr>
            </w:pPr>
          </w:p>
        </w:tc>
        <w:tc>
          <w:tcPr>
            <w:tcW w:w="2680" w:type="dxa"/>
            <w:vAlign w:val="bottom"/>
            <w:tcBorders>
              <w:top w:val="single" w:sz="8" w:color="CFF0FC"/>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Current</w:t>
            </w:r>
          </w:p>
        </w:tc>
        <w:tc>
          <w:tcPr>
            <w:tcW w:w="36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Federal, Deferred</w:t>
            </w:r>
          </w:p>
        </w:tc>
        <w:tc>
          <w:tcPr>
            <w:tcW w:w="26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14,557</w:t>
            </w:r>
          </w:p>
        </w:tc>
      </w:tr>
      <w:tr>
        <w:trPr>
          <w:trHeight w:val="20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Federal</w:t>
            </w:r>
          </w:p>
        </w:tc>
        <w:tc>
          <w:tcPr>
            <w:tcW w:w="36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14,557</w:t>
            </w:r>
          </w:p>
        </w:tc>
      </w:tr>
      <w:tr>
        <w:trPr>
          <w:trHeight w:val="210"/>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State, Current</w:t>
            </w:r>
          </w:p>
        </w:tc>
        <w:tc>
          <w:tcPr>
            <w:tcW w:w="268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Deferred</w:t>
            </w:r>
          </w:p>
        </w:tc>
        <w:tc>
          <w:tcPr>
            <w:tcW w:w="26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3,324</w:t>
            </w:r>
          </w:p>
        </w:tc>
      </w:tr>
      <w:tr>
        <w:trPr>
          <w:trHeight w:val="20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State</w:t>
            </w:r>
          </w:p>
        </w:tc>
        <w:tc>
          <w:tcPr>
            <w:tcW w:w="364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3,421</w:t>
            </w:r>
          </w:p>
        </w:tc>
      </w:tr>
      <w:tr>
        <w:trPr>
          <w:trHeight w:val="20"/>
        </w:trPr>
        <w:tc>
          <w:tcPr>
            <w:tcW w:w="39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17,978</w:t>
            </w: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26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-1285240</wp:posOffset>
            </wp:positionV>
            <wp:extent cx="1028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-1268095</wp:posOffset>
            </wp:positionV>
            <wp:extent cx="1028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-1285240</wp:posOffset>
            </wp:positionV>
            <wp:extent cx="1028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-1268095</wp:posOffset>
            </wp:positionV>
            <wp:extent cx="1028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-599440</wp:posOffset>
            </wp:positionV>
            <wp:extent cx="1028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-599440</wp:posOffset>
            </wp:positionV>
            <wp:extent cx="1028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-316230</wp:posOffset>
            </wp:positionV>
            <wp:extent cx="1028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-316230</wp:posOffset>
            </wp:positionV>
            <wp:extent cx="1028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1028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1028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102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1028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and effective income tax rate is as follows:</w:t>
      </w:r>
    </w:p>
    <w:p>
      <w:pPr>
        <w:spacing w:after="0" w:line="24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6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federal tax rate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 credits, net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tax credit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reserve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tax contingency reserve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cancellations</w:t>
            </w:r>
          </w:p>
        </w:tc>
        <w:tc>
          <w:tcPr>
            <w:tcW w:w="1680" w:type="dxa"/>
            <w:vAlign w:val="bottom"/>
            <w:gridSpan w:val="3"/>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return to provision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0"/>
        </w:trPr>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629"/>
        </w:trPr>
        <w:tc>
          <w:tcPr>
            <w:tcW w:w="632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72</w:t>
            </w:r>
          </w:p>
        </w:tc>
        <w:tc>
          <w:tcPr>
            <w:tcW w:w="8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763"/>
        </w:trPr>
        <w:tc>
          <w:tcPr>
            <w:tcW w:w="6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-933450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-916305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-933450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-916305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2" w:name="page73"/>
    <w:bookmarkEnd w:id="72"/>
    <w:p>
      <w:pPr>
        <w:ind w:left="500"/>
        <w:spacing w:after="0"/>
        <w:rPr>
          <w:sz w:val="20"/>
          <w:szCs w:val="20"/>
          <w:color w:val="auto"/>
        </w:rPr>
      </w:pPr>
      <w:r>
        <w:rPr>
          <w:rFonts w:ascii="Times New Roman" w:cs="Times New Roman" w:eastAsia="Times New Roman" w:hAnsi="Times New Roman"/>
          <w:sz w:val="18"/>
          <w:szCs w:val="18"/>
          <w:color w:val="auto"/>
        </w:rPr>
        <w:t>The net deferred tax assets reported in the accompanying consolidated financial statements include the following components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Inventory, accruals and reserves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742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deduction carry-forward</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 and state operating loss carry-forwards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22,332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20,515</w:t>
            </w: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1,367</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1,459</w:t>
            </w: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 compensation</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922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1,871</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1,296</w:t>
            </w: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1,206</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1,164</w:t>
            </w:r>
          </w:p>
        </w:tc>
      </w:tr>
      <w:tr>
        <w:trPr>
          <w:trHeight w:val="210"/>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29,226</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26,167</w:t>
            </w: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(28,149)</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(25,367)</w:t>
            </w:r>
          </w:p>
        </w:tc>
      </w:tr>
      <w:tr>
        <w:trPr>
          <w:trHeight w:val="209"/>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1,077</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800</w:t>
            </w:r>
          </w:p>
        </w:tc>
      </w:tr>
      <w:tr>
        <w:trPr>
          <w:trHeight w:val="210"/>
        </w:trPr>
        <w:tc>
          <w:tcPr>
            <w:tcW w:w="7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ROU asset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Fixed assets</w:t>
            </w:r>
          </w:p>
        </w:tc>
        <w:tc>
          <w:tcPr>
            <w:tcW w:w="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1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09"/>
        </w:trPr>
        <w:tc>
          <w:tcPr>
            <w:tcW w:w="77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net deferred tax (liabilities) assets</w:t>
            </w:r>
          </w:p>
        </w:tc>
        <w:tc>
          <w:tcPr>
            <w:tcW w:w="960" w:type="dxa"/>
            <w:vAlign w:val="bottom"/>
            <w:gridSpan w:val="2"/>
          </w:tcPr>
          <w:p>
            <w:pPr>
              <w:jc w:val="right"/>
              <w:ind w:right="80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7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-1019810</wp:posOffset>
            </wp:positionV>
            <wp:extent cx="1200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-474980</wp:posOffset>
            </wp:positionV>
            <wp:extent cx="145415" cy="179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5415" cy="1797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200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5"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For fiscal year ended March 31, 2025, Orion’s deferred tax assets were primarily the result of U.S. NOL and tax credit carryforwards. Orion recorded a valuation allowance of $28.1 million and $25.4 million against its net deferred tax asset balance as of March 31, 2025 and March 31, 2024, respectively, due to the uncertainty of its realization value in the future. For fiscal years ended March 31, 2025 and March 31, 2024, the valuation allowance against Orion’s deferred tax assets increased by $2.7 million, primarily due to the current and prior year book losses.</w:t>
      </w:r>
    </w:p>
    <w:p>
      <w:pPr>
        <w:spacing w:after="0" w:line="180"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w:t>
      </w:r>
    </w:p>
    <w:p>
      <w:pPr>
        <w:spacing w:after="0" w:line="180"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As of March 31, 2025, Orion has federal NOL carryforwards of approximately $85.4 million, state NOL carryforwards of approximately $76.1 million, and foreign NOL carryforwards of approximately $0.7 million. Orion also had federal tax credit carryforwards of approximately $1.2 million and state tax credits of $0.2 million. All of Orion’s tax credit carryforwards and $126.0 million of its NOL carryforwards will begin to expire in varying amounts between 2025 and 2045. The remaining $36.2 million of its federal and state NOL carryforwards are not subject to time restrictions but may only be used to offset 80% of adjusted taxable income. Orion believes it is more likely than not that the benefit from its state credit carryforwards, foreign NOL carryforwards, federal credit carryforwards, and state loss carryforwards will not be realized. In recognition of this risk, Orion has provided a net valuation allowance of $28.1 million on the deferred tax assets related to these carryforwards.</w:t>
      </w:r>
    </w:p>
    <w:p>
      <w:pPr>
        <w:spacing w:after="0" w:line="18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Generally, a change of more than 50% in the ownership of Orion's stock, by value, over a three-year period constitutes an ownership change for federal income tax purposes as defined under Section 382 of the Internal Revenue Code. As a result, Orion's ability to use its net operating loss carryforwards, attributable to the period prior to such ownership change, to offset taxable income can be subject to limitations in a particular year, which could potentially result in increased future tax liability for Orion. There was no limitation of NOL carryforwards that occurred for fiscal 2025, fiscal 2024, or fiscal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3" w:name="page74"/>
    <w:bookmarkEnd w:id="73"/>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Orion records its tax provision based on the respective tax rules and regulations for the jurisdictions in which it operates. Where Orion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83" w:lineRule="exact"/>
        <w:rPr>
          <w:sz w:val="20"/>
          <w:szCs w:val="20"/>
          <w:color w:val="auto"/>
        </w:rPr>
      </w:pPr>
    </w:p>
    <w:p>
      <w:pPr>
        <w:jc w:val="both"/>
        <w:ind w:right="20" w:firstLine="494"/>
        <w:spacing w:after="0" w:line="266" w:lineRule="auto"/>
        <w:rPr>
          <w:sz w:val="20"/>
          <w:szCs w:val="20"/>
          <w:color w:val="auto"/>
        </w:rPr>
      </w:pPr>
      <w:r>
        <w:rPr>
          <w:rFonts w:ascii="Times New Roman" w:cs="Times New Roman" w:eastAsia="Times New Roman" w:hAnsi="Times New Roman"/>
          <w:sz w:val="18"/>
          <w:szCs w:val="18"/>
          <w:color w:val="auto"/>
        </w:rPr>
        <w:t>Orion files income tax returns in the United States federal jurisdiction and in several state jurisdictions. The Company's federal tax returns for tax years beginning April 1, 2020 or later are open. For states in which Orion files state income tax returns, the statute of limitations is generally open for tax years beginning April 1, 2020 or later.</w:t>
      </w:r>
    </w:p>
    <w:p>
      <w:pPr>
        <w:spacing w:after="0" w:line="176"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 notification to the states. Orion currently has no state income tax return positions in the process of examination, administrative appeals or litigation.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March 31, 2025, the balance of gross unrecognized tax benefits was approximately $0.2 million, all of which would affect Orion’s effective tax rate if recognized.</w:t>
      </w:r>
    </w:p>
    <w:p>
      <w:pPr>
        <w:spacing w:after="0" w:line="16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included in the unrecognized tax benefits. Accrued interest and penalties for such unrecognized tax benefits as of March 31, 2025 and 2024 were $0.1 million. Orion had the following unrecognized tax benefit activity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as of beginning of fiscal year</w:t>
            </w:r>
          </w:p>
        </w:tc>
        <w:tc>
          <w:tcPr>
            <w:tcW w:w="90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 positions</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as of end of fiscal year</w:t>
            </w:r>
          </w:p>
        </w:tc>
        <w:tc>
          <w:tcPr>
            <w:tcW w:w="900" w:type="dxa"/>
            <w:vAlign w:val="bottom"/>
            <w:gridSpan w:val="2"/>
          </w:tcPr>
          <w:p>
            <w:pPr>
              <w:jc w:val="right"/>
              <w:ind w:right="74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225</w:t>
            </w: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-170815</wp:posOffset>
            </wp:positionV>
            <wp:extent cx="1028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1028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enters into non-cancellable purchase commitments for certain inventory items in order to secure better pricing and ensure materials on hand. As of March 31, 2025, Orion had entered into $3.6 million of purchase commitments related primarily to inventory purchases. Orion expects the purchase commitments to be fulfilled during fiscal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Plan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sponsors a tax deferred retirement savings plan that permits eligible employees to contribute varying percentages of their compensation up to the limit allowed by the Internal Revenue Service. This plan also provides for discretionary contributions by Orion. In fiscal 2025, 2024 and 2023, Orion made matching contributions of approximately $0.1 million, $0.2 million, and $0.2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is subject to various claims and legal proceedings arising in the ordinary course of business. As of the date of this report, Orion does not believe that the final resolution of any of such claims or legal proceedings would have a material adverse effect on its future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NOTE 15 — SHAREHOLDERS’ EQUITY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In August 2010, Orion’s Board of Directors approved a non-compensatory employee stock purchase plan, or ESPP. The ESPP authorizes 2,500,000 shares to be issued from treasury or authorized shares to satisfy employee share purchases under the ESPP. All full-time employees of Orion are eligible to be granted a non-transferable purchase right each calendar quarter to purchase directly from Orion up to $20,000 of Orion’s common stock at a purchase price equal to 100% of the closing sale price of Orion’s common stock on The NASDAQ Capital Market on the last trading day of each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shares</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In March 2023, Orion filed a universal shelf registration statement with the Securities and Exchange Commission. Under the shelf registration statement, Orion currently has the flexibility to publicly offer and sell from time to time up to $100 million 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 March 2021, Orion entered into an At Market Issuance Sales Agreement to undertake an “at the market” (ATM) public equity capital raising program pursuant to which Orion may offer and sell shares of common stock, having an aggregate offering price of up to $50 million from time to time through or to the Agent, acting as sales agent or principal. In March 2025, the ATM was terminated.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RESTRICTED SHARES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At Orion’s 2023 annual meeting of shareholders, Orion’s shareholders approved the Orion Energy Systems, Inc. 2016 Omnibus Incentive Plan, as amended and restated (the “Amended 2016 Plan”). Approval of the Amended 2016 Plan increased the number of shares of Orion’s common stock available for issuance under the Amended 2016 Plan from 3,500,000 shares to 6,000,000 shares (an increase of 2,500,000 shares). As of March 31, 2025, the number of shares available for grant under the Amended 2016 Plan was 219,782.</w:t>
      </w:r>
    </w:p>
    <w:p>
      <w:pPr>
        <w:spacing w:after="0" w:line="180"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76"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Prior to the Amended 2016 Plan, the Company maintained its 2004 Stock and Incentive Awards Plan, as amended, which authorized the grant of cash and equity awards to employees (the “2004 Plan”). No new awards are being granted under the 2004 Plan; and no awards granted under the 2004 Plan remain outstanding. Forfeited awards originally issued under the 2004 Plan are canceled and are not available for subsequent issuance under the 2004 Plan or under the Amended 2016 Plan.</w:t>
      </w:r>
    </w:p>
    <w:p>
      <w:pPr>
        <w:spacing w:after="0" w:line="180"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Certain non-employee directors have from time to time elected to receive stock awards in lieu of cash compensation pursuant to elections made under Orion’s non-employee director compensation program. The Amended 2016 Plan also permits accelerated vesting in the event of certain changes of control of Orion as well as under other special circumstances.</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historically granted stock options and restricted stock under the 2004 Plan. Orion did not issue stock options from fiscal 2015 through fiscal 2025 and instead has issued restricted stock.</w:t>
      </w:r>
    </w:p>
    <w:p>
      <w:pPr>
        <w:spacing w:after="0" w:line="16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Orion recognizes forfeitures as they occur.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5" w:name="page76"/>
    <w:bookmarkEnd w:id="75"/>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Orion added performance conditions to a portion of the annual long-term incentive grants for Orion's executive compensation program. The performance-vesting restricted stock will vest to the extent Orion achieves revenue growth targets over a three-year period. Orion recognizes performance-vesting restricted stock expense ratably over the requisite service period based on the likelihood of meeting the performance conditions. As of March 31, 2025, 2024, and 2023 Orion recognized $0.0 million, $0.3 million, and $0.0 million in stock-based compensation expense for performance-vesting restricted stock, respectively.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amounts of stock-based compensation expense for restricted shares were recorded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4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30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2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1,596</w:t>
            </w: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420" w:type="dxa"/>
            <w:vAlign w:val="bottom"/>
            <w:shd w:val="clear" w:color="auto" w:fill="CFF0FC"/>
          </w:tcPr>
          <w:p>
            <w:pPr>
              <w:spacing w:after="0"/>
              <w:rPr>
                <w:sz w:val="19"/>
                <w:szCs w:val="19"/>
                <w:color w:val="auto"/>
              </w:rPr>
            </w:pPr>
          </w:p>
        </w:tc>
        <w:tc>
          <w:tcPr>
            <w:tcW w:w="30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1,612</w:t>
            </w: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1028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1028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1028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1028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(1) As discussed in Note 20 - Subsequent Event, the termination of Michael Jenkins on April 14, 2025, led to the acceleration of approximately $251 thousand in relation to approximately 322 thousand restricted shares. Mr. Jenkins forfeited approximately 646 thousand performance shares and approximately 78 thousand shares of restricted stock in connection with his termination. The expense was recognized as of March 31, 2025 as it was determined estimable. The shares were accelerated and forfeited as of the termination date, April 14, 2025.</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performance-vesting restricted stock and time vesting-restricted stock activity: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0" w:type="dxa"/>
            <w:vAlign w:val="bottom"/>
          </w:tcPr>
          <w:p>
            <w:pPr>
              <w:spacing w:after="0"/>
              <w:rPr>
                <w:sz w:val="1"/>
                <w:szCs w:val="1"/>
                <w:color w:val="auto"/>
              </w:rPr>
            </w:pPr>
          </w:p>
        </w:tc>
      </w:tr>
      <w:tr>
        <w:trPr>
          <w:trHeight w:val="117"/>
        </w:trPr>
        <w:tc>
          <w:tcPr>
            <w:tcW w:w="5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center"/>
              <w:ind w:right="27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19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1,014,104</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708,377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785,322</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821,559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vested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(430,164)</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Shares 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(37,668)</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0.99</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outstanding at March 31, 2025</w:t>
            </w:r>
          </w:p>
        </w:tc>
        <w:tc>
          <w:tcPr>
            <w:tcW w:w="12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1,331,594</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1,529,936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Per share price on grant date</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$0.74 - 1.09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fiscal 2025, Orion recognized $1.2 million of stock-based compensation expense related to restricted shares.</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As of March 31, 2025, 2024 and 2023, the weighted average grant-date fair value of restricted shares granted was $1.07, $1.42 and $2.16, respectively. The total fair value of shares vested during fiscal years ended March 31, 2025, 2024 and 2023 are $0.9 million, $0.8 million and $1.0 million, respectively.</w:t>
      </w:r>
    </w:p>
    <w:p>
      <w:pPr>
        <w:spacing w:after="0" w:line="176"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Unrecognized compensation cost related to non-vested common stock-based compensation as of March 31, 2025 is expected to be recognized as follows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2026</w:t>
            </w:r>
          </w:p>
        </w:tc>
        <w:tc>
          <w:tcPr>
            <w:tcW w:w="564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Fiscal 2027</w:t>
            </w:r>
          </w:p>
        </w:tc>
        <w:tc>
          <w:tcPr>
            <w:tcW w:w="4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2028</w:t>
            </w:r>
          </w:p>
        </w:tc>
        <w:tc>
          <w:tcPr>
            <w:tcW w:w="48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86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weighted average expected years</w:t>
            </w:r>
          </w:p>
        </w:tc>
        <w:tc>
          <w:tcPr>
            <w:tcW w:w="4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r>
      <w:tr>
        <w:trPr>
          <w:trHeight w:val="648"/>
        </w:trPr>
        <w:tc>
          <w:tcPr>
            <w:tcW w:w="4380" w:type="dxa"/>
            <w:vAlign w:val="bottom"/>
          </w:tcPr>
          <w:p>
            <w:pPr>
              <w:spacing w:after="0"/>
              <w:rPr>
                <w:sz w:val="24"/>
                <w:szCs w:val="24"/>
                <w:color w:val="auto"/>
              </w:rPr>
            </w:pPr>
          </w:p>
        </w:tc>
        <w:tc>
          <w:tcPr>
            <w:tcW w:w="4860" w:type="dxa"/>
            <w:vAlign w:val="bottom"/>
          </w:tcPr>
          <w:p>
            <w:pPr>
              <w:jc w:val="right"/>
              <w:ind w:right="3430"/>
              <w:spacing w:after="0"/>
              <w:rPr>
                <w:sz w:val="20"/>
                <w:szCs w:val="20"/>
                <w:color w:val="auto"/>
              </w:rPr>
            </w:pPr>
            <w:r>
              <w:rPr>
                <w:rFonts w:ascii="Times New Roman" w:cs="Times New Roman" w:eastAsia="Times New Roman" w:hAnsi="Times New Roman"/>
                <w:sz w:val="18"/>
                <w:szCs w:val="18"/>
                <w:color w:val="auto"/>
              </w:rPr>
              <w:t>76</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NOTE 17 — SEGMENT DATA</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Orion evaluates and reports its business using three segments: Orion lighting segment, Orion maintenance segment and Orion electric vehicle charging segment. Orion configured its fiscal 2025 budget in order to compare actual performance to plan performance for these segments. Orion's CODM is the chief executive officer. The Company's CODM focuses primarily on each segment's ability to generate sufficient revenues and manage cost of services along with operating expenses. As such, the CODM measures operating performance at the segment level based on operating income or loss, including evaluation of budget to actual variances. Reportable segments are components of an entity that have separate financial data that the CODM regularly reviews when allocating resources and assessing performance.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Lighting Segment</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lighting segment develops and sells lighting products and provides construction and engineering services for Orion's commercial lighting and energy management systems. The lighting segment provides engineering, design, lighting products and in many cases turnkey solutions for large national accounts, governments, municipalities, schools and other customers. The lighting segment sells mostly through direct sales, but it also sells lighting products though manufacturer representative agencies and to the wholesale contractor markets through energy service companies and contractors.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Maintenance Segment</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maintenance segment provides retailers, distributors and other businesses with maintenance, repair and replacement services for the lighting and related electrical components deployed in their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 Segment</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EV segment offers leading electric vehicle charging expertise, sells and installs sourced electric vehicle charging stations with related software subscriptions and renewals and provides EV turnkey installation solutions with ongoing support to all commercial verticals.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Corporate and other is comprised of operating expenses not directly allocated to Orion’s segments and adjustments to reconcile to consolidated results.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March 31, 2025</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Lighting</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Maintenance</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EV</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 - Product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Cost of Sales - Service</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(2,763)</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(1,188)</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(4,289)</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(10,596)</w:t>
            </w:r>
          </w:p>
        </w:tc>
        <w:tc>
          <w:tcPr>
            <w:tcW w:w="0" w:type="dxa"/>
            <w:vAlign w:val="bottom"/>
          </w:tcPr>
          <w:p>
            <w:pPr>
              <w:spacing w:after="0"/>
              <w:rPr>
                <w:sz w:val="1"/>
                <w:szCs w:val="1"/>
                <w:color w:val="auto"/>
              </w:rPr>
            </w:pPr>
          </w:p>
        </w:tc>
      </w:tr>
      <w:tr>
        <w:trPr>
          <w:trHeight w:val="209"/>
        </w:trPr>
        <w:tc>
          <w:tcPr>
            <w:tcW w:w="3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before tax</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(11,759)</w:t>
            </w:r>
          </w:p>
        </w:tc>
        <w:tc>
          <w:tcPr>
            <w:tcW w:w="0" w:type="dxa"/>
            <w:vAlign w:val="bottom"/>
          </w:tcPr>
          <w:p>
            <w:pPr>
              <w:spacing w:after="0"/>
              <w:rPr>
                <w:sz w:val="1"/>
                <w:szCs w:val="1"/>
                <w:color w:val="auto"/>
              </w:rPr>
            </w:pPr>
          </w:p>
        </w:tc>
      </w:tr>
      <w:tr>
        <w:trPr>
          <w:trHeight w:val="629"/>
        </w:trPr>
        <w:tc>
          <w:tcPr>
            <w:tcW w:w="39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jc w:val="right"/>
              <w:ind w:right="9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-3188335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-3188335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-3188335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-3188335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-2348230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-2348230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-2348230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-2348230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-2056765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-2056765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-2056765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-2056765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March 31, 2024</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Lighting</w:t>
            </w:r>
          </w:p>
        </w:tc>
        <w:tc>
          <w:tcPr>
            <w:tcW w:w="14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Maintenance</w:t>
            </w:r>
          </w:p>
        </w:tc>
        <w:tc>
          <w:tcPr>
            <w:tcW w:w="320" w:type="dxa"/>
            <w:vAlign w:val="bottom"/>
          </w:tcPr>
          <w:p>
            <w:pPr>
              <w:spacing w:after="0"/>
              <w:rPr>
                <w:sz w:val="20"/>
                <w:szCs w:val="20"/>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EV</w:t>
            </w:r>
          </w:p>
        </w:tc>
        <w:tc>
          <w:tcPr>
            <w:tcW w:w="12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 - Product</w:t>
            </w:r>
          </w:p>
        </w:tc>
        <w:tc>
          <w:tcPr>
            <w:tcW w:w="220" w:type="dxa"/>
            <w:vAlign w:val="bottom"/>
            <w:shd w:val="clear" w:color="auto" w:fill="DEEBF7"/>
          </w:tcPr>
          <w:p>
            <w:pPr>
              <w:spacing w:after="0"/>
              <w:rPr>
                <w:sz w:val="18"/>
                <w:szCs w:val="18"/>
                <w:color w:val="auto"/>
              </w:rPr>
            </w:pPr>
          </w:p>
        </w:tc>
        <w:tc>
          <w:tcPr>
            <w:tcW w:w="1140" w:type="dxa"/>
            <w:vAlign w:val="bottom"/>
            <w:shd w:val="clear" w:color="auto" w:fill="DEEBF7"/>
          </w:tcPr>
          <w:p>
            <w:pPr>
              <w:jc w:val="right"/>
              <w:spacing w:after="0"/>
              <w:rPr>
                <w:sz w:val="20"/>
                <w:szCs w:val="20"/>
                <w:color w:val="auto"/>
              </w:rPr>
            </w:pPr>
            <w:r>
              <w:rPr>
                <w:rFonts w:ascii="Times New Roman" w:cs="Times New Roman" w:eastAsia="Times New Roman" w:hAnsi="Times New Roman"/>
                <w:sz w:val="18"/>
                <w:szCs w:val="18"/>
                <w:color w:val="auto"/>
              </w:rPr>
              <w:t>36,490</w:t>
            </w:r>
          </w:p>
        </w:tc>
        <w:tc>
          <w:tcPr>
            <w:tcW w:w="100" w:type="dxa"/>
            <w:vAlign w:val="bottom"/>
            <w:shd w:val="clear" w:color="auto" w:fill="DEEBF7"/>
          </w:tcPr>
          <w:p>
            <w:pPr>
              <w:spacing w:after="0"/>
              <w:rPr>
                <w:sz w:val="18"/>
                <w:szCs w:val="18"/>
                <w:color w:val="auto"/>
              </w:rPr>
            </w:pPr>
          </w:p>
        </w:tc>
        <w:tc>
          <w:tcPr>
            <w:tcW w:w="140" w:type="dxa"/>
            <w:vAlign w:val="bottom"/>
            <w:shd w:val="clear" w:color="auto" w:fill="DEEBF7"/>
          </w:tcPr>
          <w:p>
            <w:pPr>
              <w:spacing w:after="0"/>
              <w:rPr>
                <w:sz w:val="18"/>
                <w:szCs w:val="18"/>
                <w:color w:val="auto"/>
              </w:rPr>
            </w:pPr>
          </w:p>
        </w:tc>
        <w:tc>
          <w:tcPr>
            <w:tcW w:w="1220" w:type="dxa"/>
            <w:vAlign w:val="bottom"/>
            <w:shd w:val="clear" w:color="auto" w:fill="DEEBF7"/>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DEEBF7"/>
          </w:tcPr>
          <w:p>
            <w:pPr>
              <w:spacing w:after="0"/>
              <w:rPr>
                <w:sz w:val="18"/>
                <w:szCs w:val="18"/>
                <w:color w:val="auto"/>
              </w:rPr>
            </w:pPr>
          </w:p>
        </w:tc>
        <w:tc>
          <w:tcPr>
            <w:tcW w:w="320" w:type="dxa"/>
            <w:vAlign w:val="bottom"/>
            <w:shd w:val="clear" w:color="auto" w:fill="DEEBF7"/>
          </w:tcPr>
          <w:p>
            <w:pPr>
              <w:spacing w:after="0"/>
              <w:rPr>
                <w:sz w:val="18"/>
                <w:szCs w:val="18"/>
                <w:color w:val="auto"/>
              </w:rPr>
            </w:pPr>
          </w:p>
        </w:tc>
        <w:tc>
          <w:tcPr>
            <w:tcW w:w="1020" w:type="dxa"/>
            <w:vAlign w:val="bottom"/>
            <w:shd w:val="clear" w:color="auto" w:fill="DEEBF7"/>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20" w:type="dxa"/>
            <w:vAlign w:val="bottom"/>
            <w:shd w:val="clear" w:color="auto" w:fill="DEEBF7"/>
          </w:tcPr>
          <w:p>
            <w:pPr>
              <w:spacing w:after="0"/>
              <w:rPr>
                <w:sz w:val="18"/>
                <w:szCs w:val="18"/>
                <w:color w:val="auto"/>
              </w:rPr>
            </w:pPr>
          </w:p>
        </w:tc>
        <w:tc>
          <w:tcPr>
            <w:tcW w:w="120" w:type="dxa"/>
            <w:vAlign w:val="bottom"/>
            <w:shd w:val="clear" w:color="auto" w:fill="DEEBF7"/>
          </w:tcPr>
          <w:p>
            <w:pPr>
              <w:spacing w:after="0"/>
              <w:rPr>
                <w:sz w:val="18"/>
                <w:szCs w:val="18"/>
                <w:color w:val="auto"/>
              </w:rPr>
            </w:pPr>
          </w:p>
        </w:tc>
        <w:tc>
          <w:tcPr>
            <w:tcW w:w="1240" w:type="dxa"/>
            <w:vAlign w:val="bottom"/>
            <w:shd w:val="clear" w:color="auto" w:fill="DEEBF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EEBF7"/>
          </w:tcPr>
          <w:p>
            <w:pPr>
              <w:spacing w:after="0"/>
              <w:rPr>
                <w:sz w:val="18"/>
                <w:szCs w:val="18"/>
                <w:color w:val="auto"/>
              </w:rPr>
            </w:pPr>
          </w:p>
        </w:tc>
        <w:tc>
          <w:tcPr>
            <w:tcW w:w="20" w:type="dxa"/>
            <w:vAlign w:val="bottom"/>
            <w:shd w:val="clear" w:color="auto" w:fill="DEEBF7"/>
          </w:tcPr>
          <w:p>
            <w:pPr>
              <w:spacing w:after="0"/>
              <w:rPr>
                <w:sz w:val="18"/>
                <w:szCs w:val="18"/>
                <w:color w:val="auto"/>
              </w:rPr>
            </w:pPr>
          </w:p>
        </w:tc>
        <w:tc>
          <w:tcPr>
            <w:tcW w:w="280" w:type="dxa"/>
            <w:vAlign w:val="bottom"/>
            <w:shd w:val="clear" w:color="auto" w:fill="DEEBF7"/>
          </w:tcPr>
          <w:p>
            <w:pPr>
              <w:spacing w:after="0"/>
              <w:rPr>
                <w:sz w:val="18"/>
                <w:szCs w:val="18"/>
                <w:color w:val="auto"/>
              </w:rPr>
            </w:pPr>
          </w:p>
        </w:tc>
        <w:tc>
          <w:tcPr>
            <w:tcW w:w="1100" w:type="dxa"/>
            <w:vAlign w:val="bottom"/>
            <w:shd w:val="clear" w:color="auto" w:fill="DEEBF7"/>
          </w:tcPr>
          <w:p>
            <w:pPr>
              <w:jc w:val="right"/>
              <w:spacing w:after="0"/>
              <w:rPr>
                <w:sz w:val="20"/>
                <w:szCs w:val="20"/>
                <w:color w:val="auto"/>
              </w:rPr>
            </w:pPr>
            <w:r>
              <w:rPr>
                <w:rFonts w:ascii="Times New Roman" w:cs="Times New Roman" w:eastAsia="Times New Roman" w:hAnsi="Times New Roman"/>
                <w:sz w:val="18"/>
                <w:szCs w:val="18"/>
                <w:color w:val="auto"/>
              </w:rPr>
              <w:t>44,466</w:t>
            </w:r>
          </w:p>
        </w:tc>
        <w:tc>
          <w:tcPr>
            <w:tcW w:w="100" w:type="dxa"/>
            <w:vAlign w:val="bottom"/>
            <w:shd w:val="clear" w:color="auto" w:fill="DEEB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Service</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44,290</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16,399</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Impairment of assets</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(1,347)</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(5,523)</w:t>
            </w:r>
          </w:p>
        </w:tc>
        <w:tc>
          <w:tcPr>
            <w:tcW w:w="3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(10,824)</w:t>
            </w: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tax</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(11,630)</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 the Year Ended March 31, 2023</w:t>
            </w: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Lighting</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Maintenance</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EV</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49,465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 - Product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Cost of Sales - Service</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(5,150)</w:t>
            </w: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(2,221)</w:t>
            </w:r>
          </w:p>
        </w:tc>
        <w:tc>
          <w:tcPr>
            <w:tcW w:w="3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(4,158)</w:t>
            </w:r>
          </w:p>
        </w:tc>
        <w:tc>
          <w:tcPr>
            <w:tcW w:w="1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-5649595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-5649595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-5649595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-5649595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-5649595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-5083810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-5083810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-5083810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-5083810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-5083810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-3969385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-3969385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-3969385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-3969385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-3969385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-1277620</wp:posOffset>
            </wp:positionV>
            <wp:extent cx="7132320" cy="1414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414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and 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Amortization of Debt Issuance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Loss on Debt Extinguishment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tax</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34</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(339)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(73)</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86550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(16,363)</w:t>
      </w:r>
    </w:p>
    <w:p>
      <w:pPr>
        <w:spacing w:after="0" w:line="235" w:lineRule="exact"/>
        <w:rPr>
          <w:sz w:val="20"/>
          <w:szCs w:val="20"/>
          <w:color w:val="auto"/>
        </w:rPr>
      </w:pPr>
    </w:p>
    <w:p>
      <w:pPr>
        <w:sectPr>
          <w:pgSz w:w="11900" w:h="16838" w:orient="portrait"/>
          <w:cols w:equalWidth="0" w:num="2">
            <w:col w:w="9840" w:space="720"/>
            <w:col w:w="680"/>
          </w:cols>
          <w:pgMar w:left="320" w:top="1228"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6"/>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60" w:type="dxa"/>
            <w:vAlign w:val="bottom"/>
            <w:gridSpan w:val="7"/>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2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gridSpan w:val="3"/>
          </w:tcPr>
          <w:p>
            <w:pPr>
              <w:jc w:val="center"/>
              <w:ind w:left="4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Segments:</w:t>
            </w:r>
          </w:p>
        </w:tc>
        <w:tc>
          <w:tcPr>
            <w:tcW w:w="1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Lighting Segment</w:t>
            </w:r>
          </w:p>
        </w:tc>
        <w:tc>
          <w:tcPr>
            <w:tcW w:w="1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52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Segment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EV Segment</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2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4"/>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9"/>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Lighting Segment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20,646</w:t>
            </w:r>
          </w:p>
        </w:tc>
        <w:tc>
          <w:tcPr>
            <w:tcW w:w="1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25,911</w:t>
            </w: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Maintenance Segment</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8,827</w:t>
            </w:r>
          </w:p>
        </w:tc>
        <w:tc>
          <w:tcPr>
            <w:tcW w:w="0" w:type="dxa"/>
            <w:vAlign w:val="bottom"/>
          </w:tcPr>
          <w:p>
            <w:pPr>
              <w:spacing w:after="0"/>
              <w:rPr>
                <w:sz w:val="1"/>
                <w:szCs w:val="1"/>
                <w:color w:val="auto"/>
              </w:rPr>
            </w:pP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 Segment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11,963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15,291</w:t>
            </w:r>
          </w:p>
        </w:tc>
        <w:tc>
          <w:tcPr>
            <w:tcW w:w="0" w:type="dxa"/>
            <w:vAlign w:val="bottom"/>
          </w:tcPr>
          <w:p>
            <w:pPr>
              <w:spacing w:after="0"/>
              <w:rPr>
                <w:sz w:val="1"/>
                <w:szCs w:val="1"/>
                <w:color w:val="auto"/>
              </w:rPr>
            </w:pPr>
          </w:p>
        </w:tc>
      </w:tr>
      <w:tr>
        <w:trPr>
          <w:trHeight w:val="216"/>
        </w:trPr>
        <w:tc>
          <w:tcPr>
            <w:tcW w:w="2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15,470</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13,140</w:t>
            </w: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52,463</w:t>
            </w:r>
          </w:p>
        </w:tc>
        <w:tc>
          <w:tcPr>
            <w:tcW w:w="1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63,169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200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Orion’s lighting segment revenue outside the United States in Germany was $1.8 million, $6.4 million and $0.2 in for the fiscal years ended March 31, 2025, 2024 and 2023, respectively. All other revenues are generated from the United States. Orion attributes revenues from external customers to individual countries based on the geographic location in which the work is performed. Orion has no long-lived assets outside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Voltrek</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Effective on October 5, 2022, Orion acquired all the membership interests of Voltrek, an electric vehicle charging station solutions provider for a purchase price of $5.0 million in cash and $1.0 million of shares of common stock of Orion, subject to normal and customary closing adjustments of $0.9 million (the “Voltrek Acquisition”). In addition, depending upon the relative EBITDA growth of Voltrek’s business in fiscal 2023, 2024 and 2025, Orion could pay up to an additional $3.0 million, $3.5 million and $7.15 million, respectively, in earn-out payments. These compensatory payments do not fall within the scope of ASC 805, Business Combinations, and will be expensed over the course of the earn-out periods to the extent they are earned. As of March 31, 2025, Orion paid $3.0 million related to the fiscal 2023 earn-out opportunity and recorded $3.3 million to accrued expenses for the fiscal 2024, 2025, and cumulative earn-out opportunities. The Voltrek Acquisition was funded with cash and Orion shares. Voltrek operates as Voltrek, an Orion Energy Systems business. The Voltrek Acquisition leverages Orion’s project management and maintenance expertise into a rapidly growing sector.</w:t>
      </w:r>
    </w:p>
    <w:p>
      <w:pPr>
        <w:spacing w:after="0" w:line="8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accounted for the Voltrek Acquisition as a business combination. Orion preliminarily allocated the purchase price of approximately $6.9 million to the assets acquired and liabilities assumed at estimated fair values, and the excess of the purchase price over the aggregate fair values is recorded as goodwill. The purchase price and closing adjustments were paid in cash and 620,067 shares of common stock with a total fair market value of $1.0 million, which was recorded in the opening balance sheet at fair value of $0.8 million, the discount on which is due to lock-up requirements on the shares.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purchase price allocation for Voltrek: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73"/>
        </w:trPr>
        <w:tc>
          <w:tcPr>
            <w:tcW w:w="9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Opening Balance Sheet</w:t>
            </w:r>
          </w:p>
        </w:tc>
      </w:tr>
      <w:tr>
        <w:trPr>
          <w:trHeight w:val="210"/>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1,363</w:t>
            </w: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18"/>
                <w:szCs w:val="18"/>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8"/>
                <w:szCs w:val="18"/>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920</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Pr>
          <w:p>
            <w:pPr>
              <w:spacing w:after="0"/>
              <w:rPr>
                <w:sz w:val="18"/>
                <w:szCs w:val="18"/>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4,300</w:t>
            </w: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9"/>
        </w:trPr>
        <w:tc>
          <w:tcPr>
            <w:tcW w:w="9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purchase consideration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6,871</w:t>
            </w:r>
          </w:p>
        </w:tc>
      </w:tr>
    </w:tbl>
    <w:p>
      <w:pPr>
        <w:spacing w:after="0" w:line="30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Goodwill recorded from the Voltrek Acquisition is attributable to the skillset of the acquired workforce. The goodwill resulting from the Voltrek Acquisition is expected to be deductible for tax purposes. The intangible assets include amounts recognized for the fair value of the trade name, vendor relationship and customer relationships.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tradename intangible asset was valued using a relief from royalty method. The significant assumptions used include the estimated revenue and royalty rate, among other factors.</w:t>
      </w:r>
    </w:p>
    <w:p>
      <w:pPr>
        <w:spacing w:after="0" w:line="54"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 vendor relationship intangible asset was valued using the income approach - excess earnings method. The significant assumptions include estimated revenue, cost of goods sold, and probability of renewal, among other factors.</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customer relationship intangible asset was valued using the income approach - with-and-without method. The significant assumptions include estimated cash flows (including appropriate revenue, cost of revenue and operating expenses attributable to the asset, retention rate, among other factors), and discount rate, reflecting the risks inherent in the future cash flow stream, among other factors.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categorization of the framework used to measure fair value of the intangible assets is considered to be within the Level 3 valuation hierarchy due to the subjective nature of the unobservable inputs used.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details of the intangible assets acquired at the date of Voltrek Acquisition (dollars in thousands):</w:t>
      </w:r>
    </w:p>
    <w:tbl>
      <w:tblPr>
        <w:tblLayout w:type="fixed"/>
        <w:tblInd w:w="0" w:type="dxa"/>
        <w:tblCellMar>
          <w:top w:w="0" w:type="dxa"/>
          <w:left w:w="0" w:type="dxa"/>
          <w:bottom w:w="0" w:type="dxa"/>
          <w:right w:w="0" w:type="dxa"/>
        </w:tblCellMar>
      </w:tblPr>
      <w:tr>
        <w:trPr>
          <w:trHeight w:val="151"/>
        </w:trPr>
        <w:tc>
          <w:tcPr>
            <w:tcW w:w="4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497"/>
              <w:spacing w:after="0" w:line="15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720" w:type="dxa"/>
            <w:vAlign w:val="bottom"/>
          </w:tcPr>
          <w:p>
            <w:pPr>
              <w:jc w:val="right"/>
              <w:ind w:right="197"/>
              <w:spacing w:after="0" w:line="151" w:lineRule="exact"/>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73"/>
        </w:trPr>
        <w:tc>
          <w:tcPr>
            <w:tcW w:w="47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w:t>
            </w:r>
          </w:p>
        </w:tc>
        <w:tc>
          <w:tcPr>
            <w:tcW w:w="3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300</w:t>
            </w:r>
          </w:p>
        </w:tc>
        <w:tc>
          <w:tcPr>
            <w:tcW w:w="17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Vendor relationship</w:t>
            </w:r>
          </w:p>
        </w:tc>
        <w:tc>
          <w:tcPr>
            <w:tcW w:w="3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2,600</w:t>
            </w:r>
          </w:p>
        </w:tc>
        <w:tc>
          <w:tcPr>
            <w:tcW w:w="17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1,400</w:t>
            </w:r>
          </w:p>
        </w:tc>
        <w:tc>
          <w:tcPr>
            <w:tcW w:w="17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w:t>
            </w:r>
          </w:p>
        </w:tc>
      </w:tr>
    </w:tbl>
    <w:p>
      <w:pPr>
        <w:spacing w:after="0" w:line="9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Voltrek's post-acquisition results of operations since October 5, 2022 are included in Orion’s Consolidated Statements of Operations. The operating results of Voltrek are included in the EV segment. See note 17 - Segments, for results.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Transaction costs related to the Voltrek Acquisition are recorded in acquisition related costs in the Consolidated Statements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totaled $0.1 million in the twelve months ending March 31, 2024 and $0.8 million in the twelve months ended March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RESTRUCTURING EXPENSE AND OTHER RELATED COSTS</w:t>
      </w:r>
    </w:p>
    <w:p>
      <w:pPr>
        <w:spacing w:after="0" w:line="33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As part of Orion's restructuring effort, a further reduction in workforce was completed in the fourth quarter of fiscal 2025. Total severance expense for fiscal 2025 was approximately $595 thousand. In addition, an inventory write-off of approximately $197 thousand was recognized in the first quarter of fiscal 2025 for inventory related to a customer Orion no longer does business with due to the restructuring, along with a lease breakage fee of $125 thousand that occurred in the second quarter of fiscal 2025 due to the closing of the Pewaukee office. Orion's restructuring expense and other related costs for the 12 months ended March 31 2025, 2024 and 2023 are reflected within its consolidated statement of operations as follows (dollars in thousands):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82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820" w:type="dxa"/>
            <w:vAlign w:val="bottom"/>
          </w:tcPr>
          <w:p>
            <w:pPr>
              <w:jc w:val="right"/>
              <w:ind w:right="69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5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Total restructuring expense and other related costs by segment was recorded as follows (dollars in thousands):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vMerge w:val="continue"/>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Lighting</w:t>
            </w:r>
          </w:p>
        </w:tc>
        <w:tc>
          <w:tcPr>
            <w:tcW w:w="82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EV</w:t>
            </w: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Borders>
              <w:right w:val="single" w:sz="8" w:color="CFF0FC"/>
            </w:tcBorders>
            <w:shd w:val="clear" w:color="auto" w:fill="CFF0FC"/>
          </w:tcPr>
          <w:p>
            <w:pPr>
              <w:spacing w:after="0"/>
              <w:rPr>
                <w:sz w:val="19"/>
                <w:szCs w:val="19"/>
                <w:color w:val="auto"/>
              </w:rPr>
            </w:pPr>
          </w:p>
        </w:tc>
        <w:tc>
          <w:tcPr>
            <w:tcW w:w="82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-1473835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-1473835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Replacement of our CEO</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April 14, 2025, Michael Jenkins’ employment as the Chief Executive Officer was terminated by Orion with the Board appointing Sally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Washlow as Orion’s new Chief Executive Officer, effective as of Mr. Jenkins’ termination date.</w:t>
      </w:r>
    </w:p>
    <w:p>
      <w:pPr>
        <w:spacing w:after="0" w:line="9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As a result of the termination Mr. Jenkins will receive approximately $633 thousand in severance and the acceleration of approximately 322 thousand restricted stock awards. Mr. Jenkins forfeited approximately 646 thousand performance shares along with approximately $170 thousand in tandem cash awards. Additionally, Mr. Jenkins forfeited restricted stock awards not vesting within two years from the termination date, which was a forfeiture of approximately 78 thousand shares. All expenses were recognized as of March 31, 2025 as they were estimable as of that date. The acceleration and forfeiture of shares were recognized as of the termination date, April 14, 2025.</w:t>
      </w:r>
    </w:p>
    <w:p>
      <w:pPr>
        <w:spacing w:after="0" w:line="75"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On April 14, 2025, we entered into an Executive Employment and Severance Agreement with Ms. Washlow (the “Employment Agreement”). The Employment Agreement provides Ms. Washlow with the following compensation arrangements: (i) an annual base salary of $382,500, provided that if our other named executive officers’ base salaries are returned to their pre-reduction levels, then Ms. Washlow’s base salary will also be similarly adjusted up to $425,000; (ii) a target annual bonus of 100% (threshold 80% and maximum of 200%) of her base salary upon our relative achievement of executive incentive plan performance targets for each fiscal year; (iii) a special bonus of $100,000 if we achieve a stretch goal of $100 million in revenue for fiscal 2026; (iv) a cash signing bonus of $500,000, approximately $300,000 of was required to be used by Ms. Washlow to purchase shares of our common stock directly from us; (v) a pre-change of control severance multiplier of 1.5x and a post-change of control severance multiplier of 2.0x; (vi) on the 15th trading day after the Company announces its fiscal 2025 financial results, an initial equity grant consisting of a non-qualified stock option exercisable for a total of 500,000 shares of our common stock; and (vii) certain other benefits and perquisites. On May 29, 2025, our board and Ms. Washlow mutually agreed to defer Ms. Washlow’s cash signing bonus and related direct purchase of common stock for up to one year, with the timing of such cash signing bonus and related direct purchase of our common stock to be reviewed quarterly and mutually agreed upon by the compensation committee and Ms. Washlow.</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Voltrek Earn-Out</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On June 23, 2025, Orion entered into a binding term sheet (the “Term Sheet”) with Final Frontier, LLC (“Final Frontier”) and its owner, the prior owners of Voltrek, with respect to its remaining earn-out obligations owed to Final Frontier pursuant to our October 5, 2022 acquisition of Voltrek. Pursuant to the Term Sheet, on August 1, 2025, Orion will pay Final Frontier $875,000 in full and final payment of its fiscal 2024 Voltrek acquisition earn-out obligations. Orion also agreed with Final Frontier to submit the final determination of our fiscal 2025 and aggregate fiscal 2023 through fiscal 2025 earn-out obligations to binding arbitration if not otherwise mutually agreed by the parties. Orion agreed to pay to Final Frontier the finally determined remaining earn-out amount as follows: (i)</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2" w:name="page83"/>
    <w:bookmarkEnd w:id="82"/>
    <w:p>
      <w:pPr>
        <w:jc w:val="both"/>
        <w:spacing w:after="0" w:line="254" w:lineRule="auto"/>
        <w:rPr>
          <w:sz w:val="20"/>
          <w:szCs w:val="20"/>
          <w:color w:val="auto"/>
        </w:rPr>
      </w:pPr>
      <w:r>
        <w:rPr>
          <w:rFonts w:ascii="Times New Roman" w:cs="Times New Roman" w:eastAsia="Times New Roman" w:hAnsi="Times New Roman"/>
          <w:sz w:val="18"/>
          <w:szCs w:val="18"/>
          <w:color w:val="auto"/>
        </w:rPr>
        <w:t>$1.0 million in common stock issuable 14 trading days after Orion’s fiscal 2025 earnings announcement and (ii) the remaining amount pursuant to an anticipated senior subordinated second lien note maturing on July 15, 2027 (the “Senior Subordinated Note”). Orion agreed to pay monthly principal payments to Final Frontier on the anticipated Senior Subordinated Note of $25,000 beginning on January 15, 2026, which will increase to $50,000 on July 15, 2026 through maturity. Orion will also pay interest monthly to Final Frontier at the annual rate of 7% beginning on July 15, 2025. Orion has the right to pay up to 20% of the remaining outstanding earn-out amount at maturity in shares of its common stock. The anticipated Senior Subordinated Note will be subordinated to Orion’s senior credit facilities with Bank of America and will be secured by a second lien on all of Orion’s assets. Orion and Final Frontier agreed to use their respective commercially reasonable best efforts to agree to final documentation further reflecting the terms and conditions set forth in the Term Sheet within 30 days of entering into the Term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We maintain disclosure controls and procedures that are designed to ensure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18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management evaluated, with the participation of our Chief Executive Officer and our Chief Financial Officer, the effectiveness of our disclosure controls and procedures and our internal control over financial reporting as of March 31, 2025, pursuant to Exchange Act Rule 13a-15(b) and 15d-15. Based on that evaluation, our Chief Executive Officer and our Chief Financial Officer have concluded that our disclosure controls and procedures were effective at a level of reasonable assurance as of March 31, 2025.</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believes the consolidated financial statements included in this Annual Report on Form 10-K fairly represent in all material respects our financial condition, results of operations and cash flows at and for the periods presented in accordance with GAAP.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75" w:lineRule="exact"/>
        <w:rPr>
          <w:sz w:val="20"/>
          <w:szCs w:val="20"/>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880" w:right="20" w:hanging="373"/>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53" w:lineRule="exact"/>
        <w:rPr>
          <w:rFonts w:ascii="Times New Roman" w:cs="Times New Roman" w:eastAsia="Times New Roman" w:hAnsi="Times New Roman"/>
          <w:sz w:val="18"/>
          <w:szCs w:val="18"/>
          <w:color w:val="auto"/>
        </w:rPr>
      </w:pPr>
    </w:p>
    <w:p>
      <w:pPr>
        <w:ind w:left="880" w:hanging="373"/>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 Based on our assessment, management believes that, as of March 31, 2025, our internal control over financial reporting was effective.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2025,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section 16 officer of the Company adopted or terminated a "Rule 10b5-1 trading arrangement" or a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Voluntary Director Resignations and Re-Appointments to Rebalance Board Classes</w:t>
      </w:r>
    </w:p>
    <w:p>
      <w:pPr>
        <w:spacing w:after="0" w:line="229"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To assist the Board in rebalancing the classes of directors on the Board so that each class will be nearly as equal as possible, on June 23, 2025, each of Richard Shapiro and Heather Wishart-Smith agreed to resign as a Class II director (with a term originally expiring at the Company’s 2027 annual meeting of shareholders) and the Board immediately appointed each of Richard Shapiro and Heather Wishart-Smith as a Class I director (with a term expiring at the Company’s 2026 annual meeting of shareholders). The resignation of each of Mr. Shapiro and Ms. Wishart-Smith as a Class II director was effected solely in connection with the rebalancing of the Board classes and not due to any disagreement with respect to the Company’s operations, policies or practices.</w:t>
      </w:r>
    </w:p>
    <w:p>
      <w:pPr>
        <w:spacing w:after="0" w:line="187"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After the rebalancing, each of Richard Shapiro and Heather Wishart-Smith will serve as a Class I director (with a term expiring at the Company’s 2026 annual meeting of shareholders), Ellen Richstone will serve as a Class II director (with a term expiring at the Company’s 2027 annual meeting of shareholders) and each of Anthony Otten and Sally Washlow will serve as a Class III director (with a term expiring at the Company’s 2025 annual meeting of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Term Sheet</w:t>
      </w:r>
    </w:p>
    <w:p>
      <w:pPr>
        <w:spacing w:after="0" w:line="229"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On June 23, 2025, we entered into the Term Sheet, with respect to our remaining earn-out obligations owed to Final Frontier pursuant to our October 5, 2022 acquisition of Voltrek. Pursuant to the Term Sheet, on August 1, 2025, we will pay Final Frontier $875,000 in full and final payment of our fiscal 2024 Voltrek acquisition earn-out obligations. We also agreed with Final Frontier to submit the final determination of our fiscal 2025 and aggregate fiscal 2023 through fiscal 2025 earn-out obligations to binding arbitration if not otherwise mutually agreed by the parties. We agreed to pay to Final Frontier the finally determined remaining earn-out amount as follows: (i) $1.0 million in our common stock issuable 14 trading days after our fiscal 2025 earnings announcement and (ii) the remaining amount pursuant to the anticipated Senior Subordinated Note. We agreed to pay monthly principal payments to Final Frontier on the Senior Subordinated Note of $25,000 beginning on January 15, 2026, which will increase to $50,000 on July 15, 2026 through maturity. We will also pay interest monthly to Final Frontier at the annual rate of 7% beginning on July 15, 2025. We have the right to pay up to 20% of the remaining outstanding earn-out amount at maturity in shares of our common stock. The Senior Subordinated Note will be subordinated to our senior credit facilities with Bank of America and will be secured by a second lien on all of our assets. We and Final Frontier agreed to use our respective commercially reasonable best efforts to agree to final documentation further reflecting the terms and conditions set forth in the Term Sheet within 30 days of entering into the Term Sheet.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executive officers and corporate governance is incorporated by reference to our Proxy Statement for our 2025 Annual Meeting of Shareholders to be filed with the SEC within 120 days after the end of the fiscal year ended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www.orionlighting.com. Future material amendments or waivers relating to the Code of Conduct will be disclosed on our web site referenced in this paragraph within four business days following the date of such amendment or waiver.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Meeting of Shareholders to be filed with the SEC within 120 days after the end of the fiscal year ended March 31, 2025.</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4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See Item 5, </w:t>
      </w:r>
      <w:r>
        <w:rPr>
          <w:rFonts w:ascii="Times New Roman" w:cs="Times New Roman" w:eastAsia="Times New Roman" w:hAnsi="Times New Roman"/>
          <w:sz w:val="18"/>
          <w:szCs w:val="18"/>
          <w:i w:val="1"/>
          <w:iCs w:val="1"/>
          <w:color w:val="auto"/>
        </w:rPr>
        <w:t>Market for Registrant’s Common Equity, Related Shareholder Matters and Issuer Purchaser of Securities</w:t>
      </w:r>
      <w:r>
        <w:rPr>
          <w:rFonts w:ascii="Times New Roman" w:cs="Times New Roman" w:eastAsia="Times New Roman" w:hAnsi="Times New Roman"/>
          <w:sz w:val="18"/>
          <w:szCs w:val="18"/>
          <w:color w:val="auto"/>
        </w:rPr>
        <w:t>, under the heading “Equity Compensation Plan Information” for information regarding our securities authorized for issuance under equity compensation plans. The additional information required by this item is incorporated by reference to our Proxy Statement for its 2025 Annual Meeting of Shareholders to be filed with the SEC within 120 days after the end of the fiscal year ended March 31,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Meeting of Shareholders to be filed with the SEC within 120 days after the end of the fiscal year ended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Meeting of Shareholders to be filed with the SEC within 120 days after the end of the fiscal year ended March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(a)</w:t>
        <w:tab/>
        <w:t>Financial Statements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financial statements are set forth in Item 8 of this Form 10-K.</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87" w:name="page88"/>
    <w:bookmarkEnd w:id="87"/>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Exhibit Title</w:t>
      </w:r>
    </w:p>
    <w:p>
      <w:pPr>
        <w:spacing w:after="0" w:line="115" w:lineRule="exact"/>
        <w:rPr>
          <w:sz w:val="20"/>
          <w:szCs w:val="20"/>
          <w:color w:val="auto"/>
        </w:rPr>
      </w:pPr>
    </w:p>
    <w:p>
      <w:pPr>
        <w:ind w:left="940" w:hanging="795"/>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322">
        <w:r>
          <w:rPr>
            <w:rFonts w:ascii="Times New Roman" w:cs="Times New Roman" w:eastAsia="Times New Roman" w:hAnsi="Times New Roman"/>
            <w:sz w:val="18"/>
            <w:szCs w:val="18"/>
            <w:u w:val="single" w:color="auto"/>
            <w:color w:val="0000FF"/>
          </w:rPr>
          <w:t>Amended and Restated Articles of Incorporation of Orion Energy Systems, Inc., filed as Exhibit 3.3 to the Registrant’s Form S-1 filed</w:t>
        </w:r>
      </w:hyperlink>
      <w:r>
        <w:rPr>
          <w:rFonts w:ascii="Times New Roman" w:cs="Times New Roman" w:eastAsia="Times New Roman" w:hAnsi="Times New Roman"/>
          <w:sz w:val="18"/>
          <w:szCs w:val="18"/>
          <w:u w:val="single" w:color="auto"/>
          <w:color w:val="0000FF"/>
        </w:rPr>
        <w:t xml:space="preserve"> </w:t>
      </w:r>
      <w:hyperlink r:id="rId322">
        <w:r>
          <w:rPr>
            <w:rFonts w:ascii="Times New Roman" w:cs="Times New Roman" w:eastAsia="Times New Roman" w:hAnsi="Times New Roman"/>
            <w:sz w:val="18"/>
            <w:szCs w:val="18"/>
            <w:u w:val="single" w:color="auto"/>
            <w:color w:val="0000FF"/>
          </w:rPr>
          <w:t>August 20, 2007,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41985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24618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2461895" cy="8255"/>
                    </a:xfrm>
                    <a:prstGeom prst="rect">
                      <a:avLst/>
                    </a:prstGeom>
                    <a:noFill/>
                  </pic:spPr>
                </pic:pic>
              </a:graphicData>
            </a:graphic>
          </wp:anchor>
        </w:drawing>
      </w:r>
    </w:p>
    <w:p>
      <w:pPr>
        <w:spacing w:after="0" w:line="47" w:lineRule="exact"/>
        <w:rPr>
          <w:sz w:val="20"/>
          <w:szCs w:val="20"/>
          <w:color w:val="auto"/>
        </w:rPr>
      </w:pPr>
    </w:p>
    <w:p>
      <w:pPr>
        <w:ind w:left="160"/>
        <w:spacing w:after="0"/>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325">
        <w:r>
          <w:rPr>
            <w:rFonts w:ascii="Times New Roman" w:cs="Times New Roman" w:eastAsia="Times New Roman" w:hAnsi="Times New Roman"/>
            <w:sz w:val="18"/>
            <w:szCs w:val="18"/>
            <w:u w:val="single" w:color="auto"/>
            <w:color w:val="0000FF"/>
          </w:rPr>
          <w:t>Second Amended and Restated Bylaws of Orion Energy Systems, Inc., filed as Exhibit 3.1 to the Registrant’s Form 8-K filed November 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-7620</wp:posOffset>
            </wp:positionV>
            <wp:extent cx="641794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6417945" cy="8255"/>
                    </a:xfrm>
                    <a:prstGeom prst="rect">
                      <a:avLst/>
                    </a:prstGeom>
                    <a:noFill/>
                  </pic:spPr>
                </pic:pic>
              </a:graphicData>
            </a:graphic>
          </wp:anchor>
        </w:drawing>
      </w:r>
    </w:p>
    <w:p>
      <w:pPr>
        <w:spacing w:after="0" w:line="7" w:lineRule="exact"/>
        <w:rPr>
          <w:sz w:val="20"/>
          <w:szCs w:val="20"/>
          <w:color w:val="auto"/>
        </w:rPr>
      </w:pPr>
    </w:p>
    <w:p>
      <w:pPr>
        <w:ind w:left="940"/>
        <w:spacing w:after="0"/>
        <w:rPr>
          <w:rFonts w:ascii="Times New Roman" w:cs="Times New Roman" w:eastAsia="Times New Roman" w:hAnsi="Times New Roman"/>
          <w:sz w:val="18"/>
          <w:szCs w:val="18"/>
          <w:u w:val="single" w:color="auto"/>
          <w:color w:val="0000FF"/>
        </w:rPr>
      </w:pPr>
      <w:hyperlink r:id="rId325">
        <w:r>
          <w:rPr>
            <w:rFonts w:ascii="Times New Roman" w:cs="Times New Roman" w:eastAsia="Times New Roman" w:hAnsi="Times New Roman"/>
            <w:sz w:val="18"/>
            <w:szCs w:val="18"/>
            <w:u w:val="single" w:color="auto"/>
            <w:color w:val="0000FF"/>
          </w:rPr>
          <w:t>2022,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-19050</wp:posOffset>
            </wp:positionV>
            <wp:extent cx="19316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1931670" cy="8255"/>
                    </a:xfrm>
                    <a:prstGeom prst="rect">
                      <a:avLst/>
                    </a:prstGeom>
                    <a:noFill/>
                  </pic:spPr>
                </pic:pic>
              </a:graphicData>
            </a:graphic>
          </wp:anchor>
        </w:drawing>
      </w:r>
    </w:p>
    <w:p>
      <w:pPr>
        <w:spacing w:after="0" w:line="92" w:lineRule="exact"/>
        <w:rPr>
          <w:sz w:val="20"/>
          <w:szCs w:val="20"/>
          <w:color w:val="auto"/>
        </w:rPr>
      </w:pPr>
    </w:p>
    <w:p>
      <w:pPr>
        <w:ind w:left="160"/>
        <w:spacing w:after="0"/>
        <w:tabs>
          <w:tab w:leader="none" w:pos="9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0000FF"/>
        </w:rPr>
        <w:t>Description of Orion Energy Systems, Inc. Capital Stock.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-7620</wp:posOffset>
            </wp:positionV>
            <wp:extent cx="272034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2720340" cy="8255"/>
                    </a:xfrm>
                    <a:prstGeom prst="rect">
                      <a:avLst/>
                    </a:prstGeom>
                    <a:noFill/>
                  </pic:spPr>
                </pic:pic>
              </a:graphicData>
            </a:graphic>
          </wp:anchor>
        </w:drawing>
      </w:r>
    </w:p>
    <w:p>
      <w:pPr>
        <w:spacing w:after="0" w:line="111" w:lineRule="exact"/>
        <w:rPr>
          <w:sz w:val="20"/>
          <w:szCs w:val="20"/>
          <w:color w:val="auto"/>
        </w:rPr>
      </w:pPr>
    </w:p>
    <w:p>
      <w:pPr>
        <w:jc w:val="both"/>
        <w:ind w:left="940" w:hanging="839"/>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329">
        <w:r>
          <w:rPr>
            <w:rFonts w:ascii="Times New Roman" w:cs="Times New Roman" w:eastAsia="Times New Roman" w:hAnsi="Times New Roman"/>
            <w:sz w:val="18"/>
            <w:szCs w:val="18"/>
            <w:u w:val="single" w:color="auto"/>
            <w:color w:val="0000FF"/>
          </w:rPr>
          <w:t>Loan and Security Agreement dated as of December 29, 2020 among Orion Energy Systems, Inc., Bank of America, N.A., as lender, and</w:t>
        </w:r>
      </w:hyperlink>
      <w:r>
        <w:rPr>
          <w:rFonts w:ascii="Times New Roman" w:cs="Times New Roman" w:eastAsia="Times New Roman" w:hAnsi="Times New Roman"/>
          <w:sz w:val="18"/>
          <w:szCs w:val="18"/>
          <w:u w:val="single" w:color="auto"/>
          <w:color w:val="0000FF"/>
        </w:rPr>
        <w:t xml:space="preserve"> </w:t>
      </w:r>
      <w:hyperlink r:id="rId329">
        <w:r>
          <w:rPr>
            <w:rFonts w:ascii="Times New Roman" w:cs="Times New Roman" w:eastAsia="Times New Roman" w:hAnsi="Times New Roman"/>
            <w:sz w:val="18"/>
            <w:szCs w:val="18"/>
            <w:u w:val="single" w:color="auto"/>
            <w:color w:val="0000FF"/>
          </w:rPr>
          <w:t>the subsidiary borrowers party thereto, filed as Exhibit 10.1 to Registrant’s Form 8-K filed on January 5, 2021, is hereby incorporated by</w:t>
        </w:r>
      </w:hyperlink>
      <w:r>
        <w:rPr>
          <w:rFonts w:ascii="Times New Roman" w:cs="Times New Roman" w:eastAsia="Times New Roman" w:hAnsi="Times New Roman"/>
          <w:sz w:val="18"/>
          <w:szCs w:val="18"/>
          <w:u w:val="single" w:color="auto"/>
          <w:color w:val="0000FF"/>
        </w:rPr>
        <w:t xml:space="preserve"> </w:t>
      </w:r>
      <w:hyperlink r:id="rId329">
        <w:r>
          <w:rPr>
            <w:rFonts w:ascii="Times New Roman" w:cs="Times New Roman" w:eastAsia="Times New Roman" w:hAnsi="Times New Roman"/>
            <w:sz w:val="18"/>
            <w:szCs w:val="18"/>
            <w:u w:val="single" w:color="auto"/>
            <w:color w:val="0000FF"/>
          </w:rPr>
          <w:t>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601980</wp:posOffset>
            </wp:positionH>
            <wp:positionV relativeFrom="paragraph">
              <wp:posOffset>-313055</wp:posOffset>
            </wp:positionV>
            <wp:extent cx="641540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641540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-175895</wp:posOffset>
            </wp:positionV>
            <wp:extent cx="64147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6414770"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-38735</wp:posOffset>
            </wp:positionV>
            <wp:extent cx="4533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453390"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940" w:right="60" w:hanging="839"/>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333">
        <w:r>
          <w:rPr>
            <w:rFonts w:ascii="Times New Roman" w:cs="Times New Roman" w:eastAsia="Times New Roman" w:hAnsi="Times New Roman"/>
            <w:sz w:val="18"/>
            <w:szCs w:val="18"/>
            <w:u w:val="single" w:color="auto"/>
            <w:color w:val="0000FF"/>
          </w:rPr>
          <w:t>Agreement No. 1 to Loan and Security Agreement, dated effective as of November 4, 2022, among Orion Energy Systems, Inc., Bank of</w:t>
        </w:r>
      </w:hyperlink>
      <w:r>
        <w:rPr>
          <w:rFonts w:ascii="Times New Roman" w:cs="Times New Roman" w:eastAsia="Times New Roman" w:hAnsi="Times New Roman"/>
          <w:sz w:val="18"/>
          <w:szCs w:val="18"/>
          <w:u w:val="single" w:color="auto"/>
          <w:color w:val="0000FF"/>
        </w:rPr>
        <w:t xml:space="preserve"> </w:t>
      </w:r>
      <w:hyperlink r:id="rId333">
        <w:r>
          <w:rPr>
            <w:rFonts w:ascii="Times New Roman" w:cs="Times New Roman" w:eastAsia="Times New Roman" w:hAnsi="Times New Roman"/>
            <w:sz w:val="18"/>
            <w:szCs w:val="18"/>
            <w:u w:val="single" w:color="auto"/>
            <w:color w:val="0000FF"/>
          </w:rPr>
          <w:t>America, N.A., as lender, and the subsidiary borrowers party thereto, filed as Exhibit 10.4 to the Registrant’s Quarterly Report on Form 10-</w:t>
        </w:r>
      </w:hyperlink>
      <w:hyperlink r:id="rId333">
        <w:r>
          <w:rPr>
            <w:rFonts w:ascii="Times New Roman" w:cs="Times New Roman" w:eastAsia="Times New Roman" w:hAnsi="Times New Roman"/>
            <w:sz w:val="18"/>
            <w:szCs w:val="18"/>
            <w:u w:val="single" w:color="auto"/>
            <w:color w:val="0000FF"/>
          </w:rPr>
          <w:t>Q filed November 8, 2022, is hereby incorporated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601980</wp:posOffset>
            </wp:positionH>
            <wp:positionV relativeFrom="paragraph">
              <wp:posOffset>-313055</wp:posOffset>
            </wp:positionV>
            <wp:extent cx="628523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628523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-175895</wp:posOffset>
            </wp:positionV>
            <wp:extent cx="63836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638365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-38735</wp:posOffset>
            </wp:positionV>
            <wp:extent cx="29057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940" w:right="40" w:hanging="839"/>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337">
        <w:r>
          <w:rPr>
            <w:rFonts w:ascii="Times New Roman" w:cs="Times New Roman" w:eastAsia="Times New Roman" w:hAnsi="Times New Roman"/>
            <w:sz w:val="18"/>
            <w:szCs w:val="18"/>
            <w:u w:val="single" w:color="auto"/>
            <w:color w:val="0000FF"/>
          </w:rPr>
          <w:t>Amendment No. 2 to Loan and Security Agreement, dated effective as of April 22, 2024, among Orion Energy Systems, Inc., Bank of</w:t>
        </w:r>
      </w:hyperlink>
      <w:r>
        <w:rPr>
          <w:rFonts w:ascii="Times New Roman" w:cs="Times New Roman" w:eastAsia="Times New Roman" w:hAnsi="Times New Roman"/>
          <w:sz w:val="18"/>
          <w:szCs w:val="18"/>
          <w:u w:val="single" w:color="auto"/>
          <w:color w:val="0000FF"/>
        </w:rPr>
        <w:t xml:space="preserve"> </w:t>
      </w:r>
      <w:hyperlink r:id="rId337">
        <w:r>
          <w:rPr>
            <w:rFonts w:ascii="Times New Roman" w:cs="Times New Roman" w:eastAsia="Times New Roman" w:hAnsi="Times New Roman"/>
            <w:sz w:val="18"/>
            <w:szCs w:val="18"/>
            <w:u w:val="single" w:color="auto"/>
            <w:color w:val="0000FF"/>
          </w:rPr>
          <w:t>America, N.A., as lender, and the subsidiary borrowers party thereto, filed as Exhibit 10.1 to Registrant’s Form 8-K filed on April 24, 2024,</w:t>
        </w:r>
      </w:hyperlink>
      <w:r>
        <w:rPr>
          <w:rFonts w:ascii="Times New Roman" w:cs="Times New Roman" w:eastAsia="Times New Roman" w:hAnsi="Times New Roman"/>
          <w:sz w:val="18"/>
          <w:szCs w:val="18"/>
          <w:u w:val="single" w:color="auto"/>
          <w:color w:val="0000FF"/>
        </w:rPr>
        <w:t xml:space="preserve"> </w:t>
      </w:r>
      <w:hyperlink r:id="rId337">
        <w:r>
          <w:rPr>
            <w:rFonts w:ascii="Times New Roman" w:cs="Times New Roman" w:eastAsia="Times New Roman" w:hAnsi="Times New Roman"/>
            <w:sz w:val="18"/>
            <w:szCs w:val="18"/>
            <w:u w:val="single" w:color="auto"/>
            <w:color w:val="0000FF"/>
          </w:rPr>
          <w:t>is hereby incorporated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601980</wp:posOffset>
            </wp:positionH>
            <wp:positionV relativeFrom="paragraph">
              <wp:posOffset>-313055</wp:posOffset>
            </wp:positionV>
            <wp:extent cx="615886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615886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-175895</wp:posOffset>
            </wp:positionV>
            <wp:extent cx="642048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-38735</wp:posOffset>
            </wp:positionV>
            <wp:extent cx="161734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161734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940" w:right="160" w:hanging="839"/>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341">
        <w:r>
          <w:rPr>
            <w:rFonts w:ascii="Times New Roman" w:cs="Times New Roman" w:eastAsia="Times New Roman" w:hAnsi="Times New Roman"/>
            <w:sz w:val="18"/>
            <w:szCs w:val="18"/>
            <w:u w:val="single" w:color="auto"/>
            <w:color w:val="0000FF"/>
          </w:rPr>
          <w:t>Amendment No. 3 to Loan and Security Agreement, dated effective as of October 30, 2024, among Orion Energy Systems, Inc., Bank of</w:t>
        </w:r>
      </w:hyperlink>
      <w:r>
        <w:rPr>
          <w:rFonts w:ascii="Times New Roman" w:cs="Times New Roman" w:eastAsia="Times New Roman" w:hAnsi="Times New Roman"/>
          <w:sz w:val="18"/>
          <w:szCs w:val="18"/>
          <w:u w:val="single" w:color="auto"/>
          <w:color w:val="0000FF"/>
        </w:rPr>
        <w:t xml:space="preserve"> </w:t>
      </w:r>
      <w:hyperlink r:id="rId341">
        <w:r>
          <w:rPr>
            <w:rFonts w:ascii="Times New Roman" w:cs="Times New Roman" w:eastAsia="Times New Roman" w:hAnsi="Times New Roman"/>
            <w:sz w:val="18"/>
            <w:szCs w:val="18"/>
            <w:u w:val="single" w:color="auto"/>
            <w:color w:val="0000FF"/>
          </w:rPr>
          <w:t>America, N.A., as lender, and the subsidiary borrowers party thereto, file as Exhibit 10.1 to Registrant's Current Report on Form 8-K filed</w:t>
        </w:r>
      </w:hyperlink>
      <w:r>
        <w:rPr>
          <w:rFonts w:ascii="Times New Roman" w:cs="Times New Roman" w:eastAsia="Times New Roman" w:hAnsi="Times New Roman"/>
          <w:sz w:val="18"/>
          <w:szCs w:val="18"/>
          <w:u w:val="single" w:color="auto"/>
          <w:color w:val="0000FF"/>
        </w:rPr>
        <w:t xml:space="preserve"> </w:t>
      </w:r>
      <w:hyperlink r:id="rId341">
        <w:r>
          <w:rPr>
            <w:rFonts w:ascii="Times New Roman" w:cs="Times New Roman" w:eastAsia="Times New Roman" w:hAnsi="Times New Roman"/>
            <w:sz w:val="18"/>
            <w:szCs w:val="18"/>
            <w:u w:val="single" w:color="auto"/>
            <w:color w:val="0000FF"/>
          </w:rPr>
          <w:t>on October 31, 2024, is hereby incorporated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601980</wp:posOffset>
            </wp:positionH>
            <wp:positionV relativeFrom="paragraph">
              <wp:posOffset>-313055</wp:posOffset>
            </wp:positionV>
            <wp:extent cx="628523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6285230"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-175895</wp:posOffset>
            </wp:positionV>
            <wp:extent cx="634428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634428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-38735</wp:posOffset>
            </wp:positionV>
            <wp:extent cx="26428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2642870"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100"/>
        <w:spacing w:after="0"/>
        <w:tabs>
          <w:tab w:leader="none" w:pos="9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u w:val="single" w:color="auto"/>
          <w:color w:val="0000FF"/>
        </w:rPr>
        <w:t>Term Sheet, dated June 23, 2025, by and between Orion Energy Systems, Inc., Final Frontier, LLC and Kathleen Connors.+</w:t>
      </w:r>
    </w:p>
    <w:p>
      <w:pPr>
        <w:spacing w:after="0" w:line="131" w:lineRule="exact"/>
        <w:rPr>
          <w:rFonts w:ascii="Times New Roman" w:cs="Times New Roman" w:eastAsia="Times New Roman" w:hAnsi="Times New Roman"/>
          <w:sz w:val="18"/>
          <w:szCs w:val="18"/>
          <w:u w:val="single" w:color="auto"/>
          <w:color w:val="0000FF"/>
        </w:rPr>
      </w:pPr>
    </w:p>
    <w:p>
      <w:pPr>
        <w:ind w:left="100"/>
        <w:spacing w:after="0"/>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345">
        <w:r>
          <w:rPr>
            <w:rFonts w:ascii="Times New Roman" w:cs="Times New Roman" w:eastAsia="Times New Roman" w:hAnsi="Times New Roman"/>
            <w:sz w:val="18"/>
            <w:szCs w:val="18"/>
            <w:u w:val="single" w:color="auto"/>
            <w:color w:val="0000FF"/>
          </w:rPr>
          <w:t>Orion Energy Systems, Inc. 2004 Stock and Incentive Awards Plan, filed as Exhibit 10.9 to the Registrant’s Form S-1 filed August 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601980</wp:posOffset>
            </wp:positionH>
            <wp:positionV relativeFrom="paragraph">
              <wp:posOffset>-7620</wp:posOffset>
            </wp:positionV>
            <wp:extent cx="61849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6184900"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940"/>
        <w:spacing w:after="0"/>
        <w:rPr>
          <w:rFonts w:ascii="Times New Roman" w:cs="Times New Roman" w:eastAsia="Times New Roman" w:hAnsi="Times New Roman"/>
          <w:sz w:val="18"/>
          <w:szCs w:val="18"/>
          <w:u w:val="single" w:color="auto"/>
          <w:color w:val="0000FF"/>
        </w:rPr>
      </w:pPr>
      <w:hyperlink r:id="rId345">
        <w:r>
          <w:rPr>
            <w:rFonts w:ascii="Times New Roman" w:cs="Times New Roman" w:eastAsia="Times New Roman" w:hAnsi="Times New Roman"/>
            <w:sz w:val="18"/>
            <w:szCs w:val="18"/>
            <w:u w:val="single" w:color="auto"/>
            <w:color w:val="0000FF"/>
          </w:rPr>
          <w:t>2007, is hereby incorporated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601980</wp:posOffset>
            </wp:positionH>
            <wp:positionV relativeFrom="paragraph">
              <wp:posOffset>-19050</wp:posOffset>
            </wp:positionV>
            <wp:extent cx="19888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92" w:lineRule="exact"/>
        <w:rPr>
          <w:rFonts w:ascii="Times New Roman" w:cs="Times New Roman" w:eastAsia="Times New Roman" w:hAnsi="Times New Roman"/>
          <w:sz w:val="18"/>
          <w:szCs w:val="18"/>
          <w:u w:val="single" w:color="auto"/>
          <w:color w:val="0000FF"/>
        </w:rPr>
      </w:pPr>
    </w:p>
    <w:p>
      <w:pPr>
        <w:ind w:left="940" w:right="760" w:hanging="839"/>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348">
        <w:r>
          <w:rPr>
            <w:rFonts w:ascii="Times New Roman" w:cs="Times New Roman" w:eastAsia="Times New Roman" w:hAnsi="Times New Roman"/>
            <w:sz w:val="18"/>
            <w:szCs w:val="18"/>
            <w:u w:val="single" w:color="auto"/>
            <w:color w:val="0000FF"/>
          </w:rPr>
          <w:t>Amendment to Orion Energy Systems, Inc. 2004 Stock and Incentive Awards Plan, filed September 9, 2011 as Appendix A to the</w:t>
        </w:r>
      </w:hyperlink>
      <w:r>
        <w:rPr>
          <w:rFonts w:ascii="Times New Roman" w:cs="Times New Roman" w:eastAsia="Times New Roman" w:hAnsi="Times New Roman"/>
          <w:sz w:val="18"/>
          <w:szCs w:val="18"/>
          <w:u w:val="single" w:color="auto"/>
          <w:color w:val="0000FF"/>
        </w:rPr>
        <w:t xml:space="preserve"> </w:t>
      </w:r>
      <w:hyperlink r:id="rId348">
        <w:r>
          <w:rPr>
            <w:rFonts w:ascii="Times New Roman" w:cs="Times New Roman" w:eastAsia="Times New Roman" w:hAnsi="Times New Roman"/>
            <w:sz w:val="18"/>
            <w:szCs w:val="18"/>
            <w:u w:val="single" w:color="auto"/>
            <w:color w:val="0000FF"/>
          </w:rPr>
          <w:t>Registrant’s definitive proxy statement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59683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596836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351218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3512185" cy="8890"/>
                    </a:xfrm>
                    <a:prstGeom prst="rect">
                      <a:avLst/>
                    </a:prstGeom>
                    <a:noFill/>
                  </pic:spPr>
                </pic:pic>
              </a:graphicData>
            </a:graphic>
          </wp:anchor>
        </w:drawing>
      </w:r>
    </w:p>
    <w:p>
      <w:pPr>
        <w:spacing w:after="0" w:line="47" w:lineRule="exact"/>
        <w:rPr>
          <w:sz w:val="20"/>
          <w:szCs w:val="20"/>
          <w:color w:val="auto"/>
        </w:rPr>
      </w:pPr>
    </w:p>
    <w:p>
      <w:pPr>
        <w:ind w:left="940" w:hanging="839"/>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351">
        <w:r>
          <w:rPr>
            <w:rFonts w:ascii="Times New Roman" w:cs="Times New Roman" w:eastAsia="Times New Roman" w:hAnsi="Times New Roman"/>
            <w:sz w:val="18"/>
            <w:szCs w:val="18"/>
            <w:u w:val="single" w:color="auto"/>
            <w:color w:val="0000FF"/>
          </w:rPr>
          <w:t>Form of Stock Option Agreement under the Orion Energy Systems, Inc. 2004 Equity Incentive Plan, filed as Exhibit 10.10 to the</w:t>
        </w:r>
      </w:hyperlink>
      <w:r>
        <w:rPr>
          <w:rFonts w:ascii="Times New Roman" w:cs="Times New Roman" w:eastAsia="Times New Roman" w:hAnsi="Times New Roman"/>
          <w:sz w:val="18"/>
          <w:szCs w:val="18"/>
          <w:u w:val="single" w:color="auto"/>
          <w:color w:val="0000FF"/>
        </w:rPr>
        <w:t xml:space="preserve"> </w:t>
      </w:r>
      <w:hyperlink r:id="rId351">
        <w:r>
          <w:rPr>
            <w:rFonts w:ascii="Times New Roman" w:cs="Times New Roman" w:eastAsia="Times New Roman" w:hAnsi="Times New Roman"/>
            <w:sz w:val="18"/>
            <w:szCs w:val="18"/>
            <w:u w:val="single" w:color="auto"/>
            <w:color w:val="0000FF"/>
          </w:rPr>
          <w:t>Registrant’s Form S-1 filed August 20, 2007,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41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2">
                      <a:extLst>
                        <a:ext uri="{28A0092B-C50C-407E-A947-70E740481C1C}"/>
                      </a:extLst>
                    </a:blip>
                    <a:srcRect/>
                    <a:stretch>
                      <a:fillRect/>
                    </a:stretch>
                  </pic:blipFill>
                  <pic:spPr bwMode="auto">
                    <a:xfrm>
                      <a:off x="0" y="0"/>
                      <a:ext cx="641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380111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3">
                      <a:extLst>
                        <a:ext uri="{28A0092B-C50C-407E-A947-70E740481C1C}"/>
                      </a:extLst>
                    </a:blip>
                    <a:srcRect/>
                    <a:stretch>
                      <a:fillRect/>
                    </a:stretch>
                  </pic:blipFill>
                  <pic:spPr bwMode="auto">
                    <a:xfrm>
                      <a:off x="0" y="0"/>
                      <a:ext cx="3801110" cy="8255"/>
                    </a:xfrm>
                    <a:prstGeom prst="rect">
                      <a:avLst/>
                    </a:prstGeom>
                    <a:noFill/>
                  </pic:spPr>
                </pic:pic>
              </a:graphicData>
            </a:graphic>
          </wp:anchor>
        </w:drawing>
      </w:r>
    </w:p>
    <w:p>
      <w:pPr>
        <w:spacing w:after="0" w:line="47" w:lineRule="exact"/>
        <w:rPr>
          <w:sz w:val="20"/>
          <w:szCs w:val="20"/>
          <w:color w:val="auto"/>
        </w:rPr>
      </w:pPr>
    </w:p>
    <w:p>
      <w:pPr>
        <w:ind w:left="940" w:right="20" w:hanging="839"/>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354">
        <w:r>
          <w:rPr>
            <w:rFonts w:ascii="Times New Roman" w:cs="Times New Roman" w:eastAsia="Times New Roman" w:hAnsi="Times New Roman"/>
            <w:sz w:val="18"/>
            <w:szCs w:val="18"/>
            <w:u w:val="single" w:color="auto"/>
            <w:color w:val="0000FF"/>
          </w:rPr>
          <w:t>Form of Stock Option Agreement as of May 14, 2013 under the Orion Energy Systems, Inc. 2004 Stock and Incentive Awards Plan, filed as</w:t>
        </w:r>
      </w:hyperlink>
      <w:r>
        <w:rPr>
          <w:rFonts w:ascii="Times New Roman" w:cs="Times New Roman" w:eastAsia="Times New Roman" w:hAnsi="Times New Roman"/>
          <w:sz w:val="18"/>
          <w:szCs w:val="18"/>
          <w:u w:val="single" w:color="auto"/>
          <w:color w:val="0000FF"/>
        </w:rPr>
        <w:t xml:space="preserve"> </w:t>
      </w:r>
      <w:hyperlink r:id="rId354">
        <w:r>
          <w:rPr>
            <w:rFonts w:ascii="Times New Roman" w:cs="Times New Roman" w:eastAsia="Times New Roman" w:hAnsi="Times New Roman"/>
            <w:sz w:val="18"/>
            <w:szCs w:val="18"/>
            <w:u w:val="single" w:color="auto"/>
            <w:color w:val="0000FF"/>
          </w:rPr>
          <w:t>Exhibit 10.7 to the Registrant’s Form 10-K filed on June 13, 2014,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4204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477837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4778375" cy="8255"/>
                    </a:xfrm>
                    <a:prstGeom prst="rect">
                      <a:avLst/>
                    </a:prstGeom>
                    <a:noFill/>
                  </pic:spPr>
                </pic:pic>
              </a:graphicData>
            </a:graphic>
          </wp:anchor>
        </w:drawing>
      </w:r>
    </w:p>
    <w:p>
      <w:pPr>
        <w:spacing w:after="0" w:line="47" w:lineRule="exact"/>
        <w:rPr>
          <w:sz w:val="20"/>
          <w:szCs w:val="20"/>
          <w:color w:val="auto"/>
        </w:rPr>
      </w:pPr>
    </w:p>
    <w:p>
      <w:pPr>
        <w:ind w:left="940" w:right="160" w:hanging="885"/>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357">
        <w:r>
          <w:rPr>
            <w:rFonts w:ascii="Times New Roman" w:cs="Times New Roman" w:eastAsia="Times New Roman" w:hAnsi="Times New Roman"/>
            <w:sz w:val="18"/>
            <w:szCs w:val="18"/>
            <w:u w:val="single" w:color="auto"/>
            <w:color w:val="0000FF"/>
          </w:rPr>
          <w:t>Orion Energy Systems, Inc. 2016 Omnibus Incentive Plan, as amended and restated, filed as Annex A to the Registrant’s Definitive Proxy</w:t>
        </w:r>
      </w:hyperlink>
      <w:r>
        <w:rPr>
          <w:rFonts w:ascii="Times New Roman" w:cs="Times New Roman" w:eastAsia="Times New Roman" w:hAnsi="Times New Roman"/>
          <w:sz w:val="18"/>
          <w:szCs w:val="18"/>
          <w:u w:val="single" w:color="auto"/>
          <w:color w:val="0000FF"/>
        </w:rPr>
        <w:t xml:space="preserve"> </w:t>
      </w:r>
      <w:hyperlink r:id="rId357">
        <w:r>
          <w:rPr>
            <w:rFonts w:ascii="Times New Roman" w:cs="Times New Roman" w:eastAsia="Times New Roman" w:hAnsi="Times New Roman"/>
            <w:sz w:val="18"/>
            <w:szCs w:val="18"/>
            <w:u w:val="single" w:color="auto"/>
            <w:color w:val="0000FF"/>
          </w:rPr>
          <w:t>Statement on Schedule 14A filed on June 30, 2023,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34936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8">
                      <a:extLst>
                        <a:ext uri="{28A0092B-C50C-407E-A947-70E740481C1C}"/>
                      </a:extLst>
                    </a:blip>
                    <a:srcRect/>
                    <a:stretch>
                      <a:fillRect/>
                    </a:stretch>
                  </pic:blipFill>
                  <pic:spPr bwMode="auto">
                    <a:xfrm>
                      <a:off x="0" y="0"/>
                      <a:ext cx="634936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407987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9">
                      <a:extLst>
                        <a:ext uri="{28A0092B-C50C-407E-A947-70E740481C1C}"/>
                      </a:extLst>
                    </a:blip>
                    <a:srcRect/>
                    <a:stretch>
                      <a:fillRect/>
                    </a:stretch>
                  </pic:blipFill>
                  <pic:spPr bwMode="auto">
                    <a:xfrm>
                      <a:off x="0" y="0"/>
                      <a:ext cx="4079875" cy="8890"/>
                    </a:xfrm>
                    <a:prstGeom prst="rect">
                      <a:avLst/>
                    </a:prstGeom>
                    <a:noFill/>
                  </pic:spPr>
                </pic:pic>
              </a:graphicData>
            </a:graphic>
          </wp:anchor>
        </w:drawing>
      </w:r>
    </w:p>
    <w:p>
      <w:pPr>
        <w:spacing w:after="0" w:line="47" w:lineRule="exact"/>
        <w:rPr>
          <w:sz w:val="20"/>
          <w:szCs w:val="20"/>
          <w:color w:val="auto"/>
        </w:rPr>
      </w:pPr>
    </w:p>
    <w:p>
      <w:pPr>
        <w:ind w:left="940" w:right="440" w:hanging="885"/>
        <w:spacing w:after="0" w:line="312"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360">
        <w:r>
          <w:rPr>
            <w:rFonts w:ascii="Times New Roman" w:cs="Times New Roman" w:eastAsia="Times New Roman" w:hAnsi="Times New Roman"/>
            <w:sz w:val="17"/>
            <w:szCs w:val="17"/>
            <w:u w:val="single" w:color="auto"/>
            <w:color w:val="0000FF"/>
          </w:rPr>
          <w:t>Form of Non-Employee Director Tandem Restricted Stock and Cash Award Agreement under the Orion Energy Systems, Inc. 2016</w:t>
        </w:r>
      </w:hyperlink>
      <w:r>
        <w:rPr>
          <w:rFonts w:ascii="Times New Roman" w:cs="Times New Roman" w:eastAsia="Times New Roman" w:hAnsi="Times New Roman"/>
          <w:sz w:val="17"/>
          <w:szCs w:val="17"/>
          <w:u w:val="single" w:color="auto"/>
          <w:color w:val="0000FF"/>
        </w:rPr>
        <w:t xml:space="preserve"> </w:t>
      </w:r>
      <w:hyperlink r:id="rId360">
        <w:r>
          <w:rPr>
            <w:rFonts w:ascii="Times New Roman" w:cs="Times New Roman" w:eastAsia="Times New Roman" w:hAnsi="Times New Roman"/>
            <w:sz w:val="17"/>
            <w:szCs w:val="17"/>
            <w:u w:val="single" w:color="auto"/>
            <w:color w:val="0000FF"/>
          </w:rPr>
          <w:t>Omnibus Incentive Plan, filed as Exhibit 4.5 to the Registrant’s Form S-8 filed August 10, 2016,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-198755</wp:posOffset>
            </wp:positionV>
            <wp:extent cx="60540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605409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-61595</wp:posOffset>
            </wp:positionV>
            <wp:extent cx="614616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line="25" w:lineRule="exact"/>
        <w:rPr>
          <w:sz w:val="20"/>
          <w:szCs w:val="20"/>
          <w:color w:val="auto"/>
        </w:rPr>
      </w:pPr>
    </w:p>
    <w:p>
      <w:pPr>
        <w:ind w:left="940" w:right="140" w:hanging="885"/>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363">
        <w:r>
          <w:rPr>
            <w:rFonts w:ascii="Times New Roman" w:cs="Times New Roman" w:eastAsia="Times New Roman" w:hAnsi="Times New Roman"/>
            <w:sz w:val="18"/>
            <w:szCs w:val="18"/>
            <w:u w:val="single" w:color="auto"/>
            <w:color w:val="0000FF"/>
          </w:rPr>
          <w:t>Form of Non-Employee Director Restricted Stock Award Agreement under the Orion Energy Systems, Inc. 2016 Omnibus Incentive Plan,</w:t>
        </w:r>
      </w:hyperlink>
      <w:r>
        <w:rPr>
          <w:rFonts w:ascii="Times New Roman" w:cs="Times New Roman" w:eastAsia="Times New Roman" w:hAnsi="Times New Roman"/>
          <w:sz w:val="18"/>
          <w:szCs w:val="18"/>
          <w:u w:val="single" w:color="auto"/>
          <w:color w:val="0000FF"/>
        </w:rPr>
        <w:t xml:space="preserve"> </w:t>
      </w:r>
      <w:hyperlink r:id="rId363">
        <w:r>
          <w:rPr>
            <w:rFonts w:ascii="Times New Roman" w:cs="Times New Roman" w:eastAsia="Times New Roman" w:hAnsi="Times New Roman"/>
            <w:sz w:val="18"/>
            <w:szCs w:val="18"/>
            <w:u w:val="single" w:color="auto"/>
            <w:color w:val="0000FF"/>
          </w:rPr>
          <w:t>filed as Exhibit 4.6 to the Registrant’s Form S-8 filed August 10, 2016,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36206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6362065"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498475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4984750" cy="8255"/>
                    </a:xfrm>
                    <a:prstGeom prst="rect">
                      <a:avLst/>
                    </a:prstGeom>
                    <a:noFill/>
                  </pic:spPr>
                </pic:pic>
              </a:graphicData>
            </a:graphic>
          </wp:anchor>
        </w:drawing>
      </w:r>
    </w:p>
    <w:p>
      <w:pPr>
        <w:spacing w:after="0" w:line="47" w:lineRule="exact"/>
        <w:rPr>
          <w:sz w:val="20"/>
          <w:szCs w:val="20"/>
          <w:color w:val="auto"/>
        </w:rPr>
      </w:pPr>
    </w:p>
    <w:p>
      <w:pPr>
        <w:ind w:left="940" w:right="220" w:hanging="885"/>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366">
        <w:r>
          <w:rPr>
            <w:rFonts w:ascii="Times New Roman" w:cs="Times New Roman" w:eastAsia="Times New Roman" w:hAnsi="Times New Roman"/>
            <w:sz w:val="18"/>
            <w:szCs w:val="18"/>
            <w:u w:val="single" w:color="auto"/>
            <w:color w:val="0000FF"/>
          </w:rPr>
          <w:t>Form of Executive Tandem Restricted Stock and Cash Award Agreement under the Orion Energy Systems, Inc. 2016 Omnibus Incentive</w:t>
        </w:r>
      </w:hyperlink>
      <w:r>
        <w:rPr>
          <w:rFonts w:ascii="Times New Roman" w:cs="Times New Roman" w:eastAsia="Times New Roman" w:hAnsi="Times New Roman"/>
          <w:sz w:val="18"/>
          <w:szCs w:val="18"/>
          <w:u w:val="single" w:color="auto"/>
          <w:color w:val="0000FF"/>
        </w:rPr>
        <w:t xml:space="preserve"> </w:t>
      </w:r>
      <w:hyperlink r:id="rId366">
        <w:r>
          <w:rPr>
            <w:rFonts w:ascii="Times New Roman" w:cs="Times New Roman" w:eastAsia="Times New Roman" w:hAnsi="Times New Roman"/>
            <w:sz w:val="18"/>
            <w:szCs w:val="18"/>
            <w:u w:val="single" w:color="auto"/>
            <w:color w:val="0000FF"/>
          </w:rPr>
          <w:t>Plan, filed as Exhibit 4.7 to the Registrant’s Form S-8 filed August 10, 2016,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3049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7">
                      <a:extLst>
                        <a:ext uri="{28A0092B-C50C-407E-A947-70E740481C1C}"/>
                      </a:extLst>
                    </a:blip>
                    <a:srcRect/>
                    <a:stretch>
                      <a:fillRect/>
                    </a:stretch>
                  </pic:blipFill>
                  <pic:spPr bwMode="auto">
                    <a:xfrm>
                      <a:off x="0" y="0"/>
                      <a:ext cx="630491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52451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8">
                      <a:extLst>
                        <a:ext uri="{28A0092B-C50C-407E-A947-70E740481C1C}"/>
                      </a:extLst>
                    </a:blip>
                    <a:srcRect/>
                    <a:stretch>
                      <a:fillRect/>
                    </a:stretch>
                  </pic:blipFill>
                  <pic:spPr bwMode="auto">
                    <a:xfrm>
                      <a:off x="0" y="0"/>
                      <a:ext cx="5245100" cy="8890"/>
                    </a:xfrm>
                    <a:prstGeom prst="rect">
                      <a:avLst/>
                    </a:prstGeom>
                    <a:noFill/>
                  </pic:spPr>
                </pic:pic>
              </a:graphicData>
            </a:graphic>
          </wp:anchor>
        </w:drawing>
      </w:r>
    </w:p>
    <w:p>
      <w:pPr>
        <w:spacing w:after="0" w:line="47" w:lineRule="exact"/>
        <w:rPr>
          <w:sz w:val="20"/>
          <w:szCs w:val="20"/>
          <w:color w:val="auto"/>
        </w:rPr>
      </w:pPr>
    </w:p>
    <w:p>
      <w:pPr>
        <w:ind w:left="60"/>
        <w:spacing w:after="0"/>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369">
        <w:r>
          <w:rPr>
            <w:rFonts w:ascii="Times New Roman" w:cs="Times New Roman" w:eastAsia="Times New Roman" w:hAnsi="Times New Roman"/>
            <w:sz w:val="18"/>
            <w:szCs w:val="18"/>
            <w:u w:val="single" w:color="auto"/>
            <w:color w:val="0000FF"/>
          </w:rPr>
          <w:t>Form of Executive Restricted Stock Award Agreement under the Orion Energy Systems, Inc. 2016 Omnibus Incentive Plan, filed as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-7620</wp:posOffset>
            </wp:positionV>
            <wp:extent cx="642048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7" w:lineRule="exact"/>
        <w:rPr>
          <w:sz w:val="20"/>
          <w:szCs w:val="20"/>
          <w:color w:val="auto"/>
        </w:rPr>
      </w:pPr>
    </w:p>
    <w:p>
      <w:pPr>
        <w:ind w:left="940"/>
        <w:spacing w:after="0"/>
        <w:rPr>
          <w:rFonts w:ascii="Times New Roman" w:cs="Times New Roman" w:eastAsia="Times New Roman" w:hAnsi="Times New Roman"/>
          <w:sz w:val="18"/>
          <w:szCs w:val="18"/>
          <w:u w:val="single" w:color="auto"/>
          <w:color w:val="0000FF"/>
        </w:rPr>
      </w:pPr>
      <w:hyperlink r:id="rId369">
        <w:r>
          <w:rPr>
            <w:rFonts w:ascii="Times New Roman" w:cs="Times New Roman" w:eastAsia="Times New Roman" w:hAnsi="Times New Roman"/>
            <w:sz w:val="18"/>
            <w:szCs w:val="18"/>
            <w:u w:val="single" w:color="auto"/>
            <w:color w:val="0000FF"/>
          </w:rPr>
          <w:t>4.8 to the Registrant’s Form S-8 filed August 10, 2016,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-19050</wp:posOffset>
            </wp:positionV>
            <wp:extent cx="425831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4258310" cy="8890"/>
                    </a:xfrm>
                    <a:prstGeom prst="rect">
                      <a:avLst/>
                    </a:prstGeom>
                    <a:noFill/>
                  </pic:spPr>
                </pic:pic>
              </a:graphicData>
            </a:graphic>
          </wp:anchor>
        </w:drawing>
      </w:r>
    </w:p>
    <w:p>
      <w:pPr>
        <w:spacing w:after="0" w:line="92" w:lineRule="exact"/>
        <w:rPr>
          <w:sz w:val="20"/>
          <w:szCs w:val="20"/>
          <w:color w:val="auto"/>
        </w:rPr>
      </w:pPr>
    </w:p>
    <w:p>
      <w:pPr>
        <w:ind w:left="940" w:hanging="885"/>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372">
        <w:r>
          <w:rPr>
            <w:rFonts w:ascii="Times New Roman" w:cs="Times New Roman" w:eastAsia="Times New Roman" w:hAnsi="Times New Roman"/>
            <w:sz w:val="18"/>
            <w:szCs w:val="18"/>
            <w:u w:val="single" w:color="auto"/>
            <w:color w:val="0000FF"/>
          </w:rPr>
          <w:t>Orion Energy Systems, Inc. Non-Employee Director Compensation Plan, effective as of February 16, 2023, filed as Exhibit 10.12 to the</w:t>
        </w:r>
      </w:hyperlink>
      <w:r>
        <w:rPr>
          <w:rFonts w:ascii="Times New Roman" w:cs="Times New Roman" w:eastAsia="Times New Roman" w:hAnsi="Times New Roman"/>
          <w:sz w:val="18"/>
          <w:szCs w:val="18"/>
          <w:u w:val="single" w:color="auto"/>
          <w:color w:val="0000FF"/>
        </w:rPr>
        <w:t xml:space="preserve"> </w:t>
      </w:r>
      <w:hyperlink r:id="rId372">
        <w:r>
          <w:rPr>
            <w:rFonts w:ascii="Times New Roman" w:cs="Times New Roman" w:eastAsia="Times New Roman" w:hAnsi="Times New Roman"/>
            <w:sz w:val="18"/>
            <w:szCs w:val="18"/>
            <w:u w:val="single" w:color="auto"/>
            <w:color w:val="0000FF"/>
          </w:rPr>
          <w:t>Registrant's Form 10-K filed on June 12, 2023,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41921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3">
                      <a:extLst>
                        <a:ext uri="{28A0092B-C50C-407E-A947-70E740481C1C}"/>
                      </a:extLst>
                    </a:blip>
                    <a:srcRect/>
                    <a:stretch>
                      <a:fillRect/>
                    </a:stretch>
                  </pic:blipFill>
                  <pic:spPr bwMode="auto">
                    <a:xfrm>
                      <a:off x="0" y="0"/>
                      <a:ext cx="6419215"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39103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4">
                      <a:extLst>
                        <a:ext uri="{28A0092B-C50C-407E-A947-70E740481C1C}"/>
                      </a:extLst>
                    </a:blip>
                    <a:srcRect/>
                    <a:stretch>
                      <a:fillRect/>
                    </a:stretch>
                  </pic:blipFill>
                  <pic:spPr bwMode="auto">
                    <a:xfrm>
                      <a:off x="0" y="0"/>
                      <a:ext cx="3910330" cy="8255"/>
                    </a:xfrm>
                    <a:prstGeom prst="rect">
                      <a:avLst/>
                    </a:prstGeom>
                    <a:noFill/>
                  </pic:spPr>
                </pic:pic>
              </a:graphicData>
            </a:graphic>
          </wp:anchor>
        </w:drawing>
      </w:r>
    </w:p>
    <w:p>
      <w:pPr>
        <w:spacing w:after="0" w:line="47" w:lineRule="exact"/>
        <w:rPr>
          <w:sz w:val="20"/>
          <w:szCs w:val="20"/>
          <w:color w:val="auto"/>
        </w:rPr>
      </w:pPr>
    </w:p>
    <w:p>
      <w:pPr>
        <w:ind w:left="940" w:hanging="885"/>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375">
        <w:r>
          <w:rPr>
            <w:rFonts w:ascii="Times New Roman" w:cs="Times New Roman" w:eastAsia="Times New Roman" w:hAnsi="Times New Roman"/>
            <w:sz w:val="18"/>
            <w:szCs w:val="18"/>
            <w:u w:val="single" w:color="auto"/>
            <w:color w:val="0000FF"/>
          </w:rPr>
          <w:t>Executive Employment and Severance Agreement, effective as of October 19, 2020, between Orion Energy Systems, Inc. and J. Per Brodin,</w:t>
        </w:r>
      </w:hyperlink>
      <w:r>
        <w:rPr>
          <w:rFonts w:ascii="Times New Roman" w:cs="Times New Roman" w:eastAsia="Times New Roman" w:hAnsi="Times New Roman"/>
          <w:sz w:val="18"/>
          <w:szCs w:val="18"/>
          <w:u w:val="single" w:color="auto"/>
          <w:color w:val="0000FF"/>
        </w:rPr>
        <w:t xml:space="preserve"> </w:t>
      </w:r>
      <w:hyperlink r:id="rId375">
        <w:r>
          <w:rPr>
            <w:rFonts w:ascii="Times New Roman" w:cs="Times New Roman" w:eastAsia="Times New Roman" w:hAnsi="Times New Roman"/>
            <w:sz w:val="18"/>
            <w:szCs w:val="18"/>
            <w:u w:val="single" w:color="auto"/>
            <w:color w:val="0000FF"/>
          </w:rPr>
          <w:t>filed as Exhibit 10.1 to the Registrant's Form 8-K filed on October 15, 2020,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42048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6420485"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522414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5224145" cy="8890"/>
                    </a:xfrm>
                    <a:prstGeom prst="rect">
                      <a:avLst/>
                    </a:prstGeom>
                    <a:noFill/>
                  </pic:spPr>
                </pic:pic>
              </a:graphicData>
            </a:graphic>
          </wp:anchor>
        </w:drawing>
      </w:r>
    </w:p>
    <w:p>
      <w:pPr>
        <w:spacing w:after="0" w:line="26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981" w:right="339" w:bottom="1440" w:gutter="0" w:footer="0" w:header="0"/>
        </w:sectPr>
      </w:pPr>
    </w:p>
    <w:bookmarkStart w:id="88" w:name="page89"/>
    <w:bookmarkEnd w:id="88"/>
    <w:p>
      <w:pPr>
        <w:jc w:val="both"/>
        <w:ind w:left="88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379">
        <w:r>
          <w:rPr>
            <w:rFonts w:ascii="Times New Roman" w:cs="Times New Roman" w:eastAsia="Times New Roman" w:hAnsi="Times New Roman"/>
            <w:sz w:val="18"/>
            <w:szCs w:val="18"/>
            <w:u w:val="single" w:color="auto"/>
            <w:color w:val="0000FF"/>
          </w:rPr>
          <w:t>Amended and Restated Executive Employment and Severance Agreement, dated as of June 1, 2020, by and between Orion Energy Systems,</w:t>
        </w:r>
      </w:hyperlink>
      <w:r>
        <w:rPr>
          <w:rFonts w:ascii="Times New Roman" w:cs="Times New Roman" w:eastAsia="Times New Roman" w:hAnsi="Times New Roman"/>
          <w:sz w:val="18"/>
          <w:szCs w:val="18"/>
          <w:u w:val="single" w:color="auto"/>
          <w:color w:val="0000FF"/>
        </w:rPr>
        <w:t xml:space="preserve"> </w:t>
      </w:r>
      <w:hyperlink r:id="rId379">
        <w:r>
          <w:rPr>
            <w:rFonts w:ascii="Times New Roman" w:cs="Times New Roman" w:eastAsia="Times New Roman" w:hAnsi="Times New Roman"/>
            <w:sz w:val="18"/>
            <w:szCs w:val="18"/>
            <w:u w:val="single" w:color="auto"/>
            <w:color w:val="0000FF"/>
          </w:rPr>
          <w:t>Inc. and Scott A. Green, filed as Exhibit 10.17 to the Registrant's Form 10-K filed on June 1, 2021,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1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0">
                      <a:extLst>
                        <a:ext uri="{28A0092B-C50C-407E-A947-70E740481C1C}"/>
                      </a:extLst>
                    </a:blip>
                    <a:srcRect/>
                    <a:stretch>
                      <a:fillRect/>
                    </a:stretch>
                  </pic:blipFill>
                  <pic:spPr bwMode="auto">
                    <a:xfrm>
                      <a:off x="0" y="0"/>
                      <a:ext cx="641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62585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1">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47" w:lineRule="exact"/>
        <w:rPr>
          <w:sz w:val="20"/>
          <w:szCs w:val="20"/>
          <w:color w:val="auto"/>
        </w:rPr>
      </w:pPr>
    </w:p>
    <w:p>
      <w:pPr>
        <w:ind w:left="880" w:right="40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382">
        <w:r>
          <w:rPr>
            <w:rFonts w:ascii="Times New Roman" w:cs="Times New Roman" w:eastAsia="Times New Roman" w:hAnsi="Times New Roman"/>
            <w:sz w:val="18"/>
            <w:szCs w:val="18"/>
            <w:u w:val="single" w:color="auto"/>
            <w:color w:val="0000FF"/>
          </w:rPr>
          <w:t>At Market Issuance Sales Agreement between Orion Energy Systems, Inc. and B. Riley Securities, Inc., dated March 26, 2021, filed as</w:t>
        </w:r>
      </w:hyperlink>
      <w:r>
        <w:rPr>
          <w:rFonts w:ascii="Times New Roman" w:cs="Times New Roman" w:eastAsia="Times New Roman" w:hAnsi="Times New Roman"/>
          <w:sz w:val="18"/>
          <w:szCs w:val="18"/>
          <w:u w:val="single" w:color="auto"/>
          <w:color w:val="0000FF"/>
        </w:rPr>
        <w:t xml:space="preserve"> </w:t>
      </w:r>
      <w:hyperlink r:id="rId382">
        <w:r>
          <w:rPr>
            <w:rFonts w:ascii="Times New Roman" w:cs="Times New Roman" w:eastAsia="Times New Roman" w:hAnsi="Times New Roman"/>
            <w:sz w:val="18"/>
            <w:szCs w:val="18"/>
            <w:u w:val="single" w:color="auto"/>
            <w:color w:val="0000FF"/>
          </w:rPr>
          <w:t>Exhibit 10.1 to the Registrant's Form 8-K filed on March 26, 2021,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1963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619633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473519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4735195" cy="8890"/>
                    </a:xfrm>
                    <a:prstGeom prst="rect">
                      <a:avLst/>
                    </a:prstGeom>
                    <a:noFill/>
                  </pic:spPr>
                </pic:pic>
              </a:graphicData>
            </a:graphic>
          </wp:anchor>
        </w:drawing>
      </w:r>
    </w:p>
    <w:p>
      <w:pPr>
        <w:spacing w:after="0" w:line="47" w:lineRule="exact"/>
        <w:rPr>
          <w:sz w:val="20"/>
          <w:szCs w:val="20"/>
          <w:color w:val="auto"/>
        </w:rPr>
      </w:pPr>
    </w:p>
    <w:p>
      <w:pPr>
        <w:jc w:val="both"/>
        <w:ind w:left="880" w:hanging="885"/>
        <w:spacing w:after="0" w:line="26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385">
        <w:r>
          <w:rPr>
            <w:rFonts w:ascii="Times New Roman" w:cs="Times New Roman" w:eastAsia="Times New Roman" w:hAnsi="Times New Roman"/>
            <w:sz w:val="18"/>
            <w:szCs w:val="18"/>
            <w:u w:val="single" w:color="auto"/>
            <w:color w:val="0000FF"/>
          </w:rPr>
          <w:t>Amended Executive Employment and Severance Agreement, effective as of November 10, 2022, by and between Orion Energy Systems,</w:t>
        </w:r>
      </w:hyperlink>
      <w:r>
        <w:rPr>
          <w:rFonts w:ascii="Times New Roman" w:cs="Times New Roman" w:eastAsia="Times New Roman" w:hAnsi="Times New Roman"/>
          <w:sz w:val="18"/>
          <w:szCs w:val="18"/>
          <w:u w:val="single" w:color="auto"/>
          <w:color w:val="0000FF"/>
        </w:rPr>
        <w:t xml:space="preserve"> </w:t>
      </w:r>
      <w:hyperlink r:id="rId385">
        <w:r>
          <w:rPr>
            <w:rFonts w:ascii="Times New Roman" w:cs="Times New Roman" w:eastAsia="Times New Roman" w:hAnsi="Times New Roman"/>
            <w:sz w:val="18"/>
            <w:szCs w:val="18"/>
            <w:u w:val="single" w:color="auto"/>
            <w:color w:val="0000FF"/>
          </w:rPr>
          <w:t>Inc. and Michael H. Jenkins, filed as Exhibit 10.2 to the Registrant's Form 8-K filed on August 3, 2022, is hereby incorporated by</w:t>
        </w:r>
      </w:hyperlink>
      <w:r>
        <w:rPr>
          <w:rFonts w:ascii="Times New Roman" w:cs="Times New Roman" w:eastAsia="Times New Roman" w:hAnsi="Times New Roman"/>
          <w:sz w:val="18"/>
          <w:szCs w:val="18"/>
          <w:u w:val="single" w:color="auto"/>
          <w:color w:val="0000FF"/>
        </w:rPr>
        <w:t xml:space="preserve"> </w:t>
      </w:r>
      <w:hyperlink r:id="rId385">
        <w:r>
          <w:rPr>
            <w:rFonts w:ascii="Times New Roman" w:cs="Times New Roman" w:eastAsia="Times New Roman" w:hAnsi="Times New Roman"/>
            <w:sz w:val="18"/>
            <w:szCs w:val="18"/>
            <w:u w:val="single" w:color="auto"/>
            <w:color w:val="0000FF"/>
          </w:rPr>
          <w:t>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-313055</wp:posOffset>
            </wp:positionV>
            <wp:extent cx="64135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6">
                      <a:extLst>
                        <a:ext uri="{28A0092B-C50C-407E-A947-70E740481C1C}"/>
                      </a:extLst>
                    </a:blip>
                    <a:srcRect/>
                    <a:stretch>
                      <a:fillRect/>
                    </a:stretch>
                  </pic:blipFill>
                  <pic:spPr bwMode="auto">
                    <a:xfrm>
                      <a:off x="0" y="0"/>
                      <a:ext cx="641350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-175895</wp:posOffset>
            </wp:positionV>
            <wp:extent cx="641731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7">
                      <a:extLst>
                        <a:ext uri="{28A0092B-C50C-407E-A947-70E740481C1C}"/>
                      </a:extLst>
                    </a:blip>
                    <a:srcRect/>
                    <a:stretch>
                      <a:fillRect/>
                    </a:stretch>
                  </pic:blipFill>
                  <pic:spPr bwMode="auto">
                    <a:xfrm>
                      <a:off x="0" y="0"/>
                      <a:ext cx="641731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-38735</wp:posOffset>
            </wp:positionV>
            <wp:extent cx="51054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8">
                      <a:extLst>
                        <a:ext uri="{28A0092B-C50C-407E-A947-70E740481C1C}"/>
                      </a:extLst>
                    </a:blip>
                    <a:srcRect/>
                    <a:stretch>
                      <a:fillRect/>
                    </a:stretch>
                  </pic:blipFill>
                  <pic:spPr bwMode="auto">
                    <a:xfrm>
                      <a:off x="0" y="0"/>
                      <a:ext cx="51054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88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389">
        <w:r>
          <w:rPr>
            <w:rFonts w:ascii="Times New Roman" w:cs="Times New Roman" w:eastAsia="Times New Roman" w:hAnsi="Times New Roman"/>
            <w:sz w:val="18"/>
            <w:szCs w:val="18"/>
            <w:u w:val="single" w:color="auto"/>
            <w:color w:val="0000FF"/>
          </w:rPr>
          <w:t>Executive Employment and Severance Agreement, dated April 14, 2025, by and between Orion Energy Systems, Inc. and Sally A.</w:t>
        </w:r>
      </w:hyperlink>
      <w:r>
        <w:rPr>
          <w:rFonts w:ascii="Times New Roman" w:cs="Times New Roman" w:eastAsia="Times New Roman" w:hAnsi="Times New Roman"/>
          <w:sz w:val="18"/>
          <w:szCs w:val="18"/>
          <w:u w:val="single" w:color="auto"/>
          <w:color w:val="0000FF"/>
        </w:rPr>
        <w:t xml:space="preserve"> </w:t>
      </w:r>
      <w:hyperlink r:id="rId389">
        <w:r>
          <w:rPr>
            <w:rFonts w:ascii="Times New Roman" w:cs="Times New Roman" w:eastAsia="Times New Roman" w:hAnsi="Times New Roman"/>
            <w:sz w:val="18"/>
            <w:szCs w:val="18"/>
            <w:u w:val="single" w:color="auto"/>
            <w:color w:val="0000FF"/>
          </w:rPr>
          <w:t>Washlow, filed as Exhibit 10.1 to the Registrant's Form 8-K filed on April 14, 2025,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1731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641731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558609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1">
                      <a:extLst>
                        <a:ext uri="{28A0092B-C50C-407E-A947-70E740481C1C}"/>
                      </a:extLst>
                    </a:blip>
                    <a:srcRect/>
                    <a:stretch>
                      <a:fillRect/>
                    </a:stretch>
                  </pic:blipFill>
                  <pic:spPr bwMode="auto">
                    <a:xfrm>
                      <a:off x="0" y="0"/>
                      <a:ext cx="5586095" cy="8255"/>
                    </a:xfrm>
                    <a:prstGeom prst="rect">
                      <a:avLst/>
                    </a:prstGeom>
                    <a:noFill/>
                  </pic:spPr>
                </pic:pic>
              </a:graphicData>
            </a:graphic>
          </wp:anchor>
        </w:drawing>
      </w:r>
    </w:p>
    <w:p>
      <w:pPr>
        <w:spacing w:after="0" w:line="47" w:lineRule="exact"/>
        <w:rPr>
          <w:sz w:val="20"/>
          <w:szCs w:val="20"/>
          <w:color w:val="auto"/>
        </w:rPr>
      </w:pPr>
    </w:p>
    <w:p>
      <w:pPr>
        <w:jc w:val="both"/>
        <w:ind w:left="880" w:right="20" w:hanging="885"/>
        <w:spacing w:after="0" w:line="26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392">
        <w:r>
          <w:rPr>
            <w:rFonts w:ascii="Times New Roman" w:cs="Times New Roman" w:eastAsia="Times New Roman" w:hAnsi="Times New Roman"/>
            <w:sz w:val="18"/>
            <w:szCs w:val="18"/>
            <w:u w:val="single" w:color="auto"/>
            <w:color w:val="0000FF"/>
          </w:rPr>
          <w:t>Mutual Termination and Severance Agreement and Complete and Permanent Mutual Release of All Claims, dated as of May 5, 2025, but</w:t>
        </w:r>
      </w:hyperlink>
      <w:r>
        <w:rPr>
          <w:rFonts w:ascii="Times New Roman" w:cs="Times New Roman" w:eastAsia="Times New Roman" w:hAnsi="Times New Roman"/>
          <w:sz w:val="18"/>
          <w:szCs w:val="18"/>
          <w:u w:val="single" w:color="auto"/>
          <w:color w:val="0000FF"/>
        </w:rPr>
        <w:t xml:space="preserve"> </w:t>
      </w:r>
      <w:hyperlink r:id="rId392">
        <w:r>
          <w:rPr>
            <w:rFonts w:ascii="Times New Roman" w:cs="Times New Roman" w:eastAsia="Times New Roman" w:hAnsi="Times New Roman"/>
            <w:sz w:val="18"/>
            <w:szCs w:val="18"/>
            <w:u w:val="single" w:color="auto"/>
            <w:color w:val="0000FF"/>
          </w:rPr>
          <w:t>effective as of April 14, 2025, by and between Orion Energy Systems, Inc. and Michael H. Jenkins, filed as Exhibit 10.1 to the Registrant's</w:t>
        </w:r>
      </w:hyperlink>
      <w:r>
        <w:rPr>
          <w:rFonts w:ascii="Times New Roman" w:cs="Times New Roman" w:eastAsia="Times New Roman" w:hAnsi="Times New Roman"/>
          <w:sz w:val="18"/>
          <w:szCs w:val="18"/>
          <w:u w:val="single" w:color="auto"/>
          <w:color w:val="0000FF"/>
        </w:rPr>
        <w:t xml:space="preserve"> </w:t>
      </w:r>
      <w:hyperlink r:id="rId392">
        <w:r>
          <w:rPr>
            <w:rFonts w:ascii="Times New Roman" w:cs="Times New Roman" w:eastAsia="Times New Roman" w:hAnsi="Times New Roman"/>
            <w:sz w:val="18"/>
            <w:szCs w:val="18"/>
            <w:u w:val="single" w:color="auto"/>
            <w:color w:val="0000FF"/>
          </w:rPr>
          <w:t>Form 8-K filed on May 5, 2025, is hereby incorporated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-313055</wp:posOffset>
            </wp:positionV>
            <wp:extent cx="64141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3">
                      <a:extLst>
                        <a:ext uri="{28A0092B-C50C-407E-A947-70E740481C1C}"/>
                      </a:extLst>
                    </a:blip>
                    <a:srcRect/>
                    <a:stretch>
                      <a:fillRect/>
                    </a:stretch>
                  </pic:blipFill>
                  <pic:spPr bwMode="auto">
                    <a:xfrm>
                      <a:off x="0" y="0"/>
                      <a:ext cx="64141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-175895</wp:posOffset>
            </wp:positionV>
            <wp:extent cx="64141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4">
                      <a:extLst>
                        <a:ext uri="{28A0092B-C50C-407E-A947-70E740481C1C}"/>
                      </a:extLst>
                    </a:blip>
                    <a:srcRect/>
                    <a:stretch>
                      <a:fillRect/>
                    </a:stretch>
                  </pic:blipFill>
                  <pic:spPr bwMode="auto">
                    <a:xfrm>
                      <a:off x="0" y="0"/>
                      <a:ext cx="64141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-38735</wp:posOffset>
            </wp:positionV>
            <wp:extent cx="32042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5">
                      <a:extLst>
                        <a:ext uri="{28A0092B-C50C-407E-A947-70E740481C1C}"/>
                      </a:extLst>
                    </a:blip>
                    <a:srcRect/>
                    <a:stretch>
                      <a:fillRect/>
                    </a:stretch>
                  </pic:blipFill>
                  <pic:spPr bwMode="auto">
                    <a:xfrm>
                      <a:off x="0" y="0"/>
                      <a:ext cx="320421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880" w:right="2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396">
        <w:r>
          <w:rPr>
            <w:rFonts w:ascii="Times New Roman" w:cs="Times New Roman" w:eastAsia="Times New Roman" w:hAnsi="Times New Roman"/>
            <w:sz w:val="18"/>
            <w:szCs w:val="18"/>
            <w:u w:val="single" w:color="auto"/>
            <w:color w:val="0000FF"/>
          </w:rPr>
          <w:t>Form of Executive Performance Share Award Agreement under the Orion Energy Systems, Inc. 2016 Omnibus Incentive Plan, filed as</w:t>
        </w:r>
      </w:hyperlink>
      <w:r>
        <w:rPr>
          <w:rFonts w:ascii="Times New Roman" w:cs="Times New Roman" w:eastAsia="Times New Roman" w:hAnsi="Times New Roman"/>
          <w:sz w:val="18"/>
          <w:szCs w:val="18"/>
          <w:u w:val="single" w:color="auto"/>
          <w:color w:val="0000FF"/>
        </w:rPr>
        <w:t xml:space="preserve"> </w:t>
      </w:r>
      <w:hyperlink r:id="rId396">
        <w:r>
          <w:rPr>
            <w:rFonts w:ascii="Times New Roman" w:cs="Times New Roman" w:eastAsia="Times New Roman" w:hAnsi="Times New Roman"/>
            <w:sz w:val="18"/>
            <w:szCs w:val="18"/>
            <w:u w:val="single" w:color="auto"/>
            <w:color w:val="0000FF"/>
          </w:rPr>
          <w:t>Exhibit 10.19 to the Registrant's Form 10-K filed on June 10, 2022,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135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48183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4818380" cy="8890"/>
                    </a:xfrm>
                    <a:prstGeom prst="rect">
                      <a:avLst/>
                    </a:prstGeom>
                    <a:noFill/>
                  </pic:spPr>
                </pic:pic>
              </a:graphicData>
            </a:graphic>
          </wp:anchor>
        </w:drawing>
      </w:r>
    </w:p>
    <w:p>
      <w:pPr>
        <w:spacing w:after="0" w:line="47" w:lineRule="exact"/>
        <w:rPr>
          <w:sz w:val="20"/>
          <w:szCs w:val="20"/>
          <w:color w:val="auto"/>
        </w:rPr>
      </w:pPr>
    </w:p>
    <w:p>
      <w:pPr>
        <w:jc w:val="both"/>
        <w:ind w:left="88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399">
        <w:r>
          <w:rPr>
            <w:rFonts w:ascii="Times New Roman" w:cs="Times New Roman" w:eastAsia="Times New Roman" w:hAnsi="Times New Roman"/>
            <w:sz w:val="18"/>
            <w:szCs w:val="18"/>
            <w:u w:val="single" w:color="auto"/>
            <w:color w:val="0000FF"/>
          </w:rPr>
          <w:t>Form of Non-Employee Director Restricted Stock Award Agreement under the Orion Energy Systems, Inc. 2016 Omnibus Incentive Plan,</w:t>
        </w:r>
      </w:hyperlink>
      <w:r>
        <w:rPr>
          <w:rFonts w:ascii="Times New Roman" w:cs="Times New Roman" w:eastAsia="Times New Roman" w:hAnsi="Times New Roman"/>
          <w:sz w:val="18"/>
          <w:szCs w:val="18"/>
          <w:u w:val="single" w:color="auto"/>
          <w:color w:val="0000FF"/>
        </w:rPr>
        <w:t xml:space="preserve"> </w:t>
      </w:r>
      <w:hyperlink r:id="rId399">
        <w:r>
          <w:rPr>
            <w:rFonts w:ascii="Times New Roman" w:cs="Times New Roman" w:eastAsia="Times New Roman" w:hAnsi="Times New Roman"/>
            <w:sz w:val="18"/>
            <w:szCs w:val="18"/>
            <w:u w:val="single" w:color="auto"/>
            <w:color w:val="0000FF"/>
          </w:rPr>
          <w:t>filed as Exhibit 10.20 to the Registrant's Form 10-K filed on June 10, 2022, is hereby incorporated by reference.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1921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0">
                      <a:extLst>
                        <a:ext uri="{28A0092B-C50C-407E-A947-70E740481C1C}"/>
                      </a:extLst>
                    </a:blip>
                    <a:srcRect/>
                    <a:stretch>
                      <a:fillRect/>
                    </a:stretch>
                  </pic:blipFill>
                  <pic:spPr bwMode="auto">
                    <a:xfrm>
                      <a:off x="0" y="0"/>
                      <a:ext cx="6419215"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52082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1">
                      <a:extLst>
                        <a:ext uri="{28A0092B-C50C-407E-A947-70E740481C1C}"/>
                      </a:extLst>
                    </a:blip>
                    <a:srcRect/>
                    <a:stretch>
                      <a:fillRect/>
                    </a:stretch>
                  </pic:blipFill>
                  <pic:spPr bwMode="auto">
                    <a:xfrm>
                      <a:off x="0" y="0"/>
                      <a:ext cx="5208270" cy="8255"/>
                    </a:xfrm>
                    <a:prstGeom prst="rect">
                      <a:avLst/>
                    </a:prstGeom>
                    <a:noFill/>
                  </pic:spPr>
                </pic:pic>
              </a:graphicData>
            </a:graphic>
          </wp:anchor>
        </w:drawing>
      </w:r>
    </w:p>
    <w:p>
      <w:pPr>
        <w:spacing w:after="0" w:line="47" w:lineRule="exact"/>
        <w:rPr>
          <w:sz w:val="20"/>
          <w:szCs w:val="20"/>
          <w:color w:val="auto"/>
        </w:rPr>
      </w:pPr>
    </w:p>
    <w:p>
      <w:pPr>
        <w:jc w:val="both"/>
        <w:ind w:left="880" w:right="2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402">
        <w:r>
          <w:rPr>
            <w:rFonts w:ascii="Times New Roman" w:cs="Times New Roman" w:eastAsia="Times New Roman" w:hAnsi="Times New Roman"/>
            <w:sz w:val="18"/>
            <w:szCs w:val="18"/>
            <w:u w:val="single" w:color="auto"/>
            <w:color w:val="0000FF"/>
          </w:rPr>
          <w:t>Form of Executive Tandem Restricted Stock and Cash Award Agreement under the Orion Energy Systems, Inc. 2016 Omnibus Incentive</w:t>
        </w:r>
      </w:hyperlink>
      <w:r>
        <w:rPr>
          <w:rFonts w:ascii="Times New Roman" w:cs="Times New Roman" w:eastAsia="Times New Roman" w:hAnsi="Times New Roman"/>
          <w:sz w:val="18"/>
          <w:szCs w:val="18"/>
          <w:u w:val="single" w:color="auto"/>
          <w:color w:val="0000FF"/>
        </w:rPr>
        <w:t xml:space="preserve"> </w:t>
      </w:r>
      <w:hyperlink r:id="rId402">
        <w:r>
          <w:rPr>
            <w:rFonts w:ascii="Times New Roman" w:cs="Times New Roman" w:eastAsia="Times New Roman" w:hAnsi="Times New Roman"/>
            <w:sz w:val="18"/>
            <w:szCs w:val="18"/>
            <w:u w:val="single" w:color="auto"/>
            <w:color w:val="0000FF"/>
          </w:rPr>
          <w:t>Plan, filed as Exhibit 10.21 to the Registrant's Form 10-K filed on June 10, 2022, is hereby incorporated by reference.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135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54686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5468620" cy="8255"/>
                    </a:xfrm>
                    <a:prstGeom prst="rect">
                      <a:avLst/>
                    </a:prstGeom>
                    <a:noFill/>
                  </pic:spPr>
                </pic:pic>
              </a:graphicData>
            </a:graphic>
          </wp:anchor>
        </w:drawing>
      </w:r>
    </w:p>
    <w:p>
      <w:pPr>
        <w:spacing w:after="0" w:line="47" w:lineRule="exact"/>
        <w:rPr>
          <w:sz w:val="20"/>
          <w:szCs w:val="20"/>
          <w:color w:val="auto"/>
        </w:rPr>
      </w:pPr>
    </w:p>
    <w:p>
      <w:pPr>
        <w:jc w:val="both"/>
        <w:ind w:left="880" w:hanging="885"/>
        <w:spacing w:after="0" w:line="266" w:lineRule="auto"/>
        <w:tabs>
          <w:tab w:leader="none" w:pos="86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10.25</w:t>
      </w:r>
      <w:r>
        <w:rPr>
          <w:sz w:val="20"/>
          <w:szCs w:val="20"/>
          <w:color w:val="auto"/>
        </w:rPr>
        <w:tab/>
      </w:r>
      <w:hyperlink r:id="rId405">
        <w:r>
          <w:rPr>
            <w:rFonts w:ascii="Times New Roman" w:cs="Times New Roman" w:eastAsia="Times New Roman" w:hAnsi="Times New Roman"/>
            <w:sz w:val="18"/>
            <w:szCs w:val="18"/>
            <w:u w:val="single" w:color="auto"/>
            <w:color w:val="0000FF"/>
          </w:rPr>
          <w:t>Form of Non-Employee Director Tandem Restricted Stock and Cash Award Agreement under the Orion Energy Systems, Inc. 2016</w:t>
        </w:r>
      </w:hyperlink>
      <w:r>
        <w:rPr>
          <w:rFonts w:ascii="Times New Roman" w:cs="Times New Roman" w:eastAsia="Times New Roman" w:hAnsi="Times New Roman"/>
          <w:sz w:val="18"/>
          <w:szCs w:val="18"/>
          <w:u w:val="single" w:color="auto"/>
          <w:color w:val="0000FF"/>
        </w:rPr>
        <w:t xml:space="preserve"> </w:t>
      </w:r>
      <w:hyperlink r:id="rId405">
        <w:r>
          <w:rPr>
            <w:rFonts w:ascii="Times New Roman" w:cs="Times New Roman" w:eastAsia="Times New Roman" w:hAnsi="Times New Roman"/>
            <w:sz w:val="18"/>
            <w:szCs w:val="18"/>
            <w:u w:val="single" w:color="auto"/>
            <w:color w:val="0000FF"/>
          </w:rPr>
          <w:t>Omnibus Incentive Plan, filed as Exhibit 10.22 to the Registrant's Form 10-K filed on June 10, 2022, is hereby incorporated by reference.</w:t>
        </w:r>
      </w:hyperlink>
      <w:r>
        <w:rPr>
          <w:rFonts w:ascii="Times New Roman" w:cs="Times New Roman" w:eastAsia="Times New Roman" w:hAnsi="Times New Roman"/>
          <w:sz w:val="18"/>
          <w:szCs w:val="18"/>
          <w:u w:val="single" w:color="auto"/>
          <w:color w:val="0000FF"/>
        </w:rPr>
        <w:t xml:space="preserve"> </w:t>
      </w:r>
      <w:hyperlink r:id="rId405">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-313055</wp:posOffset>
            </wp:positionV>
            <wp:extent cx="64198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-175895</wp:posOffset>
            </wp:positionV>
            <wp:extent cx="64128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641286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-38735</wp:posOffset>
            </wp:positionV>
            <wp:extent cx="5715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spacing w:after="0"/>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409">
        <w:r>
          <w:rPr>
            <w:rFonts w:ascii="Times New Roman" w:cs="Times New Roman" w:eastAsia="Times New Roman" w:hAnsi="Times New Roman"/>
            <w:sz w:val="18"/>
            <w:szCs w:val="18"/>
            <w:u w:val="single" w:color="auto"/>
            <w:color w:val="0000FF"/>
          </w:rPr>
          <w:t>Form of Executive Restricted Stock Award Agreement under the Orion Energy Systems, Inc. 2016 Omnibus Incentive Plan, filed as Exhibit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642048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880"/>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u w:val="single" w:color="auto"/>
            <w:color w:val="0000FF"/>
          </w:rPr>
          <w:t>10.23 to the Registrant's Form 10-K filed on June 10, 2022, is hereby incorporated by reference.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-19050</wp:posOffset>
            </wp:positionV>
            <wp:extent cx="451040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1">
                      <a:extLst>
                        <a:ext uri="{28A0092B-C50C-407E-A947-70E740481C1C}"/>
                      </a:extLst>
                    </a:blip>
                    <a:srcRect/>
                    <a:stretch>
                      <a:fillRect/>
                    </a:stretch>
                  </pic:blipFill>
                  <pic:spPr bwMode="auto">
                    <a:xfrm>
                      <a:off x="0" y="0"/>
                      <a:ext cx="4510405" cy="8890"/>
                    </a:xfrm>
                    <a:prstGeom prst="rect">
                      <a:avLst/>
                    </a:prstGeom>
                    <a:noFill/>
                  </pic:spPr>
                </pic:pic>
              </a:graphicData>
            </a:graphic>
          </wp:anchor>
        </w:drawing>
      </w:r>
    </w:p>
    <w:p>
      <w:pPr>
        <w:spacing w:after="0" w:line="92" w:lineRule="exact"/>
        <w:rPr>
          <w:rFonts w:ascii="Times New Roman" w:cs="Times New Roman" w:eastAsia="Times New Roman" w:hAnsi="Times New Roman"/>
          <w:sz w:val="18"/>
          <w:szCs w:val="18"/>
          <w:u w:val="single" w:color="auto"/>
          <w:color w:val="0000FF"/>
        </w:rPr>
      </w:pPr>
    </w:p>
    <w:p>
      <w:pPr>
        <w:jc w:val="both"/>
        <w:ind w:left="880" w:hanging="885"/>
        <w:spacing w:after="0" w:line="26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412">
        <w:r>
          <w:rPr>
            <w:rFonts w:ascii="Times New Roman" w:cs="Times New Roman" w:eastAsia="Times New Roman" w:hAnsi="Times New Roman"/>
            <w:sz w:val="18"/>
            <w:szCs w:val="18"/>
            <w:u w:val="single" w:color="auto"/>
            <w:color w:val="0000FF"/>
          </w:rPr>
          <w:t>Form of Executive Tandem Performance Share and Cash Award Agreement under the Orion Energy Systems, Inc. 2016 Omnibus Incentive</w:t>
        </w:r>
      </w:hyperlink>
      <w:r>
        <w:rPr>
          <w:rFonts w:ascii="Times New Roman" w:cs="Times New Roman" w:eastAsia="Times New Roman" w:hAnsi="Times New Roman"/>
          <w:sz w:val="18"/>
          <w:szCs w:val="18"/>
          <w:u w:val="single" w:color="auto"/>
          <w:color w:val="0000FF"/>
        </w:rPr>
        <w:t xml:space="preserve"> </w:t>
      </w:r>
      <w:hyperlink r:id="rId412">
        <w:r>
          <w:rPr>
            <w:rFonts w:ascii="Times New Roman" w:cs="Times New Roman" w:eastAsia="Times New Roman" w:hAnsi="Times New Roman"/>
            <w:sz w:val="18"/>
            <w:szCs w:val="18"/>
            <w:u w:val="single" w:color="auto"/>
            <w:color w:val="0000FF"/>
          </w:rPr>
          <w:t>Plan, effective May 24, 2023, filed as Exhibit 10.24 to the Registrant's Form 10-K filed on June 12, 2023, is hereby incorporated by</w:t>
        </w:r>
      </w:hyperlink>
      <w:r>
        <w:rPr>
          <w:rFonts w:ascii="Times New Roman" w:cs="Times New Roman" w:eastAsia="Times New Roman" w:hAnsi="Times New Roman"/>
          <w:sz w:val="18"/>
          <w:szCs w:val="18"/>
          <w:u w:val="single" w:color="auto"/>
          <w:color w:val="0000FF"/>
        </w:rPr>
        <w:t xml:space="preserve"> </w:t>
      </w:r>
      <w:hyperlink r:id="rId412">
        <w:r>
          <w:rPr>
            <w:rFonts w:ascii="Times New Roman" w:cs="Times New Roman" w:eastAsia="Times New Roman" w:hAnsi="Times New Roman"/>
            <w:sz w:val="18"/>
            <w:szCs w:val="18"/>
            <w:u w:val="single" w:color="auto"/>
            <w:color w:val="0000FF"/>
          </w:rPr>
          <w:t>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-313055</wp:posOffset>
            </wp:positionV>
            <wp:extent cx="64135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3">
                      <a:extLst>
                        <a:ext uri="{28A0092B-C50C-407E-A947-70E740481C1C}"/>
                      </a:extLst>
                    </a:blip>
                    <a:srcRect/>
                    <a:stretch>
                      <a:fillRect/>
                    </a:stretch>
                  </pic:blipFill>
                  <pic:spPr bwMode="auto">
                    <a:xfrm>
                      <a:off x="0" y="0"/>
                      <a:ext cx="641350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-175895</wp:posOffset>
            </wp:positionV>
            <wp:extent cx="641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4">
                      <a:extLst>
                        <a:ext uri="{28A0092B-C50C-407E-A947-70E740481C1C}"/>
                      </a:extLst>
                    </a:blip>
                    <a:srcRect/>
                    <a:stretch>
                      <a:fillRect/>
                    </a:stretch>
                  </pic:blipFill>
                  <pic:spPr bwMode="auto">
                    <a:xfrm>
                      <a:off x="0" y="0"/>
                      <a:ext cx="641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-38735</wp:posOffset>
            </wp:positionV>
            <wp:extent cx="5391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5">
                      <a:extLst>
                        <a:ext uri="{28A0092B-C50C-407E-A947-70E740481C1C}"/>
                      </a:extLst>
                    </a:blip>
                    <a:srcRect/>
                    <a:stretch>
                      <a:fillRect/>
                    </a:stretch>
                  </pic:blipFill>
                  <pic:spPr bwMode="auto">
                    <a:xfrm>
                      <a:off x="0" y="0"/>
                      <a:ext cx="53911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880" w:hanging="885"/>
        <w:spacing w:after="0" w:line="26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416">
        <w:r>
          <w:rPr>
            <w:rFonts w:ascii="Times New Roman" w:cs="Times New Roman" w:eastAsia="Times New Roman" w:hAnsi="Times New Roman"/>
            <w:sz w:val="18"/>
            <w:szCs w:val="18"/>
            <w:u w:val="single" w:color="auto"/>
            <w:color w:val="0000FF"/>
          </w:rPr>
          <w:t>Form of Non-Employee Director Tandem Restricted Stock and Cash Award Agreement under the Orion Energy Systems, Inc. 2016</w:t>
        </w:r>
      </w:hyperlink>
      <w:r>
        <w:rPr>
          <w:rFonts w:ascii="Times New Roman" w:cs="Times New Roman" w:eastAsia="Times New Roman" w:hAnsi="Times New Roman"/>
          <w:sz w:val="18"/>
          <w:szCs w:val="18"/>
          <w:u w:val="single" w:color="auto"/>
          <w:color w:val="0000FF"/>
        </w:rPr>
        <w:t xml:space="preserve"> </w:t>
      </w:r>
      <w:hyperlink r:id="rId416">
        <w:r>
          <w:rPr>
            <w:rFonts w:ascii="Times New Roman" w:cs="Times New Roman" w:eastAsia="Times New Roman" w:hAnsi="Times New Roman"/>
            <w:sz w:val="18"/>
            <w:szCs w:val="18"/>
            <w:u w:val="single" w:color="auto"/>
            <w:color w:val="0000FF"/>
          </w:rPr>
          <w:t>Omnibus Incentive Plan, effective May 24, 2023, filed as Exhibit 10.25 to the Registrant's Form 10-K filed on June 12, 2023, is hereby</w:t>
        </w:r>
      </w:hyperlink>
      <w:r>
        <w:rPr>
          <w:rFonts w:ascii="Times New Roman" w:cs="Times New Roman" w:eastAsia="Times New Roman" w:hAnsi="Times New Roman"/>
          <w:sz w:val="18"/>
          <w:szCs w:val="18"/>
          <w:u w:val="single" w:color="auto"/>
          <w:color w:val="0000FF"/>
        </w:rPr>
        <w:t xml:space="preserve"> </w:t>
      </w:r>
      <w:hyperlink r:id="rId416">
        <w:r>
          <w:rPr>
            <w:rFonts w:ascii="Times New Roman" w:cs="Times New Roman" w:eastAsia="Times New Roman" w:hAnsi="Times New Roman"/>
            <w:sz w:val="18"/>
            <w:szCs w:val="18"/>
            <w:u w:val="single" w:color="auto"/>
            <w:color w:val="0000FF"/>
          </w:rPr>
          <w:t>incorporated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-313055</wp:posOffset>
            </wp:positionV>
            <wp:extent cx="641985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7">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-175895</wp:posOffset>
            </wp:positionV>
            <wp:extent cx="641667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8">
                      <a:extLst>
                        <a:ext uri="{28A0092B-C50C-407E-A947-70E740481C1C}"/>
                      </a:extLst>
                    </a:blip>
                    <a:srcRect/>
                    <a:stretch>
                      <a:fillRect/>
                    </a:stretch>
                  </pic:blipFill>
                  <pic:spPr bwMode="auto">
                    <a:xfrm>
                      <a:off x="0" y="0"/>
                      <a:ext cx="6416675"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-38735</wp:posOffset>
            </wp:positionV>
            <wp:extent cx="12877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9">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880" w:hanging="885"/>
        <w:spacing w:after="0" w:line="26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420">
        <w:r>
          <w:rPr>
            <w:rFonts w:ascii="Times New Roman" w:cs="Times New Roman" w:eastAsia="Times New Roman" w:hAnsi="Times New Roman"/>
            <w:sz w:val="18"/>
            <w:szCs w:val="18"/>
            <w:u w:val="single" w:color="auto"/>
            <w:color w:val="0000FF"/>
          </w:rPr>
          <w:t>Form of Executive Tandem Restricted Stock and Cash Award Agreement under the Orion Energy Systems, Inc. 2016 Omnibus Incentive</w:t>
        </w:r>
      </w:hyperlink>
      <w:r>
        <w:rPr>
          <w:rFonts w:ascii="Times New Roman" w:cs="Times New Roman" w:eastAsia="Times New Roman" w:hAnsi="Times New Roman"/>
          <w:sz w:val="18"/>
          <w:szCs w:val="18"/>
          <w:u w:val="single" w:color="auto"/>
          <w:color w:val="0000FF"/>
        </w:rPr>
        <w:t xml:space="preserve"> </w:t>
      </w:r>
      <w:hyperlink r:id="rId420">
        <w:r>
          <w:rPr>
            <w:rFonts w:ascii="Times New Roman" w:cs="Times New Roman" w:eastAsia="Times New Roman" w:hAnsi="Times New Roman"/>
            <w:sz w:val="18"/>
            <w:szCs w:val="18"/>
            <w:u w:val="single" w:color="auto"/>
            <w:color w:val="0000FF"/>
          </w:rPr>
          <w:t>Plan, effective May 24, 2023, filed as Exhibit 10.26 to the Registrant's Form 10-K filed on June 12, 2023, is hereby incorporated by</w:t>
        </w:r>
      </w:hyperlink>
      <w:r>
        <w:rPr>
          <w:rFonts w:ascii="Times New Roman" w:cs="Times New Roman" w:eastAsia="Times New Roman" w:hAnsi="Times New Roman"/>
          <w:sz w:val="18"/>
          <w:szCs w:val="18"/>
          <w:u w:val="single" w:color="auto"/>
          <w:color w:val="0000FF"/>
        </w:rPr>
        <w:t xml:space="preserve"> </w:t>
      </w:r>
      <w:hyperlink r:id="rId420">
        <w:r>
          <w:rPr>
            <w:rFonts w:ascii="Times New Roman" w:cs="Times New Roman" w:eastAsia="Times New Roman" w:hAnsi="Times New Roman"/>
            <w:sz w:val="18"/>
            <w:szCs w:val="18"/>
            <w:u w:val="single" w:color="auto"/>
            <w:color w:val="0000FF"/>
          </w:rPr>
          <w:t>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-313055</wp:posOffset>
            </wp:positionV>
            <wp:extent cx="64135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1">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-175895</wp:posOffset>
            </wp:positionV>
            <wp:extent cx="641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2">
                      <a:extLst>
                        <a:ext uri="{28A0092B-C50C-407E-A947-70E740481C1C}"/>
                      </a:extLst>
                    </a:blip>
                    <a:srcRect/>
                    <a:stretch>
                      <a:fillRect/>
                    </a:stretch>
                  </pic:blipFill>
                  <pic:spPr bwMode="auto">
                    <a:xfrm>
                      <a:off x="0" y="0"/>
                      <a:ext cx="641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-38735</wp:posOffset>
            </wp:positionV>
            <wp:extent cx="53911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3">
                      <a:extLst>
                        <a:ext uri="{28A0092B-C50C-407E-A947-70E740481C1C}"/>
                      </a:extLst>
                    </a:blip>
                    <a:srcRect/>
                    <a:stretch>
                      <a:fillRect/>
                    </a:stretch>
                  </pic:blipFill>
                  <pic:spPr bwMode="auto">
                    <a:xfrm>
                      <a:off x="0" y="0"/>
                      <a:ext cx="539115"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u w:val="single" w:color="auto"/>
          <w:color w:val="0000FF"/>
        </w:rPr>
        <w:t>Form of Option Award Agreement by and between Orion Energy Systems, Inc. and Sally A. Washlow.*+</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483997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4">
                      <a:extLst>
                        <a:ext uri="{28A0092B-C50C-407E-A947-70E740481C1C}"/>
                      </a:extLst>
                    </a:blip>
                    <a:srcRect/>
                    <a:stretch>
                      <a:fillRect/>
                    </a:stretch>
                  </pic:blipFill>
                  <pic:spPr bwMode="auto">
                    <a:xfrm>
                      <a:off x="0" y="0"/>
                      <a:ext cx="4839970" cy="8890"/>
                    </a:xfrm>
                    <a:prstGeom prst="rect">
                      <a:avLst/>
                    </a:prstGeom>
                    <a:noFill/>
                  </pic:spPr>
                </pic:pic>
              </a:graphicData>
            </a:graphic>
          </wp:anchor>
        </w:drawing>
      </w:r>
    </w:p>
    <w:p>
      <w:pPr>
        <w:spacing w:after="0" w:line="111" w:lineRule="exact"/>
        <w:rPr>
          <w:rFonts w:ascii="Times New Roman" w:cs="Times New Roman" w:eastAsia="Times New Roman" w:hAnsi="Times New Roman"/>
          <w:sz w:val="18"/>
          <w:szCs w:val="18"/>
          <w:u w:val="single" w:color="auto"/>
          <w:color w:val="0000FF"/>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7"/>
          <w:szCs w:val="17"/>
          <w:u w:val="single" w:color="auto"/>
          <w:color w:val="0000FF"/>
        </w:rPr>
        <w:t>Form of Executive Option Award Agreement under the Orion Energy Systems, Inc. 2016 Omnibus Incentive Plan.*+</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536956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5">
                      <a:extLst>
                        <a:ext uri="{28A0092B-C50C-407E-A947-70E740481C1C}"/>
                      </a:extLst>
                    </a:blip>
                    <a:srcRect/>
                    <a:stretch>
                      <a:fillRect/>
                    </a:stretch>
                  </pic:blipFill>
                  <pic:spPr bwMode="auto">
                    <a:xfrm>
                      <a:off x="0" y="0"/>
                      <a:ext cx="5369560" cy="8890"/>
                    </a:xfrm>
                    <a:prstGeom prst="rect">
                      <a:avLst/>
                    </a:prstGeom>
                    <a:noFill/>
                  </pic:spPr>
                </pic:pic>
              </a:graphicData>
            </a:graphic>
          </wp:anchor>
        </w:drawing>
      </w:r>
    </w:p>
    <w:p>
      <w:pPr>
        <w:spacing w:after="0" w:line="111" w:lineRule="exact"/>
        <w:rPr>
          <w:rFonts w:ascii="Times New Roman" w:cs="Times New Roman" w:eastAsia="Times New Roman" w:hAnsi="Times New Roman"/>
          <w:sz w:val="18"/>
          <w:szCs w:val="18"/>
          <w:u w:val="single" w:color="auto"/>
          <w:color w:val="0000FF"/>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8"/>
          <w:szCs w:val="18"/>
          <w:u w:val="single" w:color="auto"/>
          <w:color w:val="0000FF"/>
        </w:rPr>
        <w:t>Form of Option Award Agreement.*+</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174307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6">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111" w:lineRule="exact"/>
        <w:rPr>
          <w:rFonts w:ascii="Times New Roman" w:cs="Times New Roman" w:eastAsia="Times New Roman" w:hAnsi="Times New Roman"/>
          <w:sz w:val="18"/>
          <w:szCs w:val="18"/>
          <w:u w:val="single" w:color="auto"/>
          <w:color w:val="0000FF"/>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10.33</w:t>
      </w:r>
      <w:r>
        <w:rPr>
          <w:sz w:val="20"/>
          <w:szCs w:val="20"/>
          <w:color w:val="auto"/>
        </w:rPr>
        <w:tab/>
      </w:r>
      <w:r>
        <w:rPr>
          <w:rFonts w:ascii="Times New Roman" w:cs="Times New Roman" w:eastAsia="Times New Roman" w:hAnsi="Times New Roman"/>
          <w:sz w:val="18"/>
          <w:szCs w:val="18"/>
          <w:u w:val="single" w:color="auto"/>
          <w:color w:val="0000FF"/>
        </w:rPr>
        <w:t>Form of Restricted Stock Award Agreement.*+</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21774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7">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11" w:lineRule="exact"/>
        <w:rPr>
          <w:rFonts w:ascii="Times New Roman" w:cs="Times New Roman" w:eastAsia="Times New Roman" w:hAnsi="Times New Roman"/>
          <w:sz w:val="18"/>
          <w:szCs w:val="18"/>
          <w:u w:val="single" w:color="auto"/>
          <w:color w:val="0000FF"/>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u w:val="single" w:color="auto"/>
          <w:color w:val="0000FF"/>
        </w:rPr>
        <w:t>Insider Trading Policy.</w:t>
      </w:r>
      <w:r>
        <w:rPr>
          <w:rFonts w:ascii="Times New Roman" w:cs="Times New Roman" w:eastAsia="Times New Roman" w:hAnsi="Times New Roman"/>
          <w:sz w:val="18"/>
          <w:szCs w:val="18"/>
          <w:color w:val="000000"/>
        </w:rPr>
        <w:t>+</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105664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111" w:lineRule="exact"/>
        <w:rPr>
          <w:rFonts w:ascii="Times New Roman" w:cs="Times New Roman" w:eastAsia="Times New Roman" w:hAnsi="Times New Roman"/>
          <w:sz w:val="18"/>
          <w:szCs w:val="18"/>
          <w:u w:val="single" w:color="auto"/>
          <w:color w:val="0000FF"/>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0000FF"/>
        </w:rPr>
        <w:t>Subsidiaries of Orion Energy Systems, Inc.+</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20415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9">
                      <a:extLst>
                        <a:ext uri="{28A0092B-C50C-407E-A947-70E740481C1C}"/>
                      </a:extLst>
                    </a:blip>
                    <a:srcRect/>
                    <a:stretch>
                      <a:fillRect/>
                    </a:stretch>
                  </pic:blipFill>
                  <pic:spPr bwMode="auto">
                    <a:xfrm>
                      <a:off x="0" y="0"/>
                      <a:ext cx="2041525" cy="8255"/>
                    </a:xfrm>
                    <a:prstGeom prst="rect">
                      <a:avLst/>
                    </a:prstGeom>
                    <a:noFill/>
                  </pic:spPr>
                </pic:pic>
              </a:graphicData>
            </a:graphic>
          </wp:anchor>
        </w:drawing>
      </w:r>
    </w:p>
    <w:p>
      <w:pPr>
        <w:spacing w:after="0" w:line="111" w:lineRule="exact"/>
        <w:rPr>
          <w:rFonts w:ascii="Times New Roman" w:cs="Times New Roman" w:eastAsia="Times New Roman" w:hAnsi="Times New Roman"/>
          <w:sz w:val="18"/>
          <w:szCs w:val="18"/>
          <w:u w:val="single" w:color="auto"/>
          <w:color w:val="0000FF"/>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Independent Registered Public Accounting Firm. +</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286321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11" w:lineRule="exact"/>
        <w:rPr>
          <w:rFonts w:ascii="Times New Roman" w:cs="Times New Roman" w:eastAsia="Times New Roman" w:hAnsi="Times New Roman"/>
          <w:sz w:val="18"/>
          <w:szCs w:val="18"/>
          <w:u w:val="single" w:color="auto"/>
          <w:color w:val="0000FF"/>
        </w:rPr>
      </w:pPr>
    </w:p>
    <w:p>
      <w:pPr>
        <w:jc w:val="both"/>
        <w:ind w:left="880" w:hanging="839"/>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of Orion Energy Systems, Inc. pursuant to Rule 13a-14(a) or Rule 15d-14(a) promulgated under the Securities Exchange Act of 1934, as amended. +</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2048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1">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22186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2">
                      <a:extLst>
                        <a:ext uri="{28A0092B-C50C-407E-A947-70E740481C1C}"/>
                      </a:extLst>
                    </a:blip>
                    <a:srcRect/>
                    <a:stretch>
                      <a:fillRect/>
                    </a:stretch>
                  </pic:blipFill>
                  <pic:spPr bwMode="auto">
                    <a:xfrm>
                      <a:off x="0" y="0"/>
                      <a:ext cx="2218690" cy="8890"/>
                    </a:xfrm>
                    <a:prstGeom prst="rect">
                      <a:avLst/>
                    </a:prstGeom>
                    <a:noFill/>
                  </pic:spPr>
                </pic:pic>
              </a:graphicData>
            </a:graphic>
          </wp:anchor>
        </w:drawing>
      </w:r>
    </w:p>
    <w:p>
      <w:pPr>
        <w:spacing w:after="0" w:line="47" w:lineRule="exact"/>
        <w:rPr>
          <w:rFonts w:ascii="Times New Roman" w:cs="Times New Roman" w:eastAsia="Times New Roman" w:hAnsi="Times New Roman"/>
          <w:sz w:val="18"/>
          <w:szCs w:val="18"/>
          <w:u w:val="single" w:color="auto"/>
          <w:color w:val="0000FF"/>
        </w:rPr>
      </w:pPr>
    </w:p>
    <w:p>
      <w:pPr>
        <w:jc w:val="both"/>
        <w:ind w:left="880" w:hanging="839"/>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of Orion Energy Systems, Inc. pursuant to Rule 13a-14(a) or Rule 15d-14(a) promulgated under the Securities Exchange Act of 1934, as amended. +</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1477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3">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22186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4">
                      <a:extLst>
                        <a:ext uri="{28A0092B-C50C-407E-A947-70E740481C1C}"/>
                      </a:extLst>
                    </a:blip>
                    <a:srcRect/>
                    <a:stretch>
                      <a:fillRect/>
                    </a:stretch>
                  </pic:blipFill>
                  <pic:spPr bwMode="auto">
                    <a:xfrm>
                      <a:off x="0" y="0"/>
                      <a:ext cx="2218690" cy="8890"/>
                    </a:xfrm>
                    <a:prstGeom prst="rect">
                      <a:avLst/>
                    </a:prstGeom>
                    <a:noFill/>
                  </pic:spPr>
                </pic:pic>
              </a:graphicData>
            </a:graphic>
          </wp:anchor>
        </w:drawing>
      </w:r>
    </w:p>
    <w:p>
      <w:pPr>
        <w:spacing w:after="0" w:line="47" w:lineRule="exact"/>
        <w:rPr>
          <w:rFonts w:ascii="Times New Roman" w:cs="Times New Roman" w:eastAsia="Times New Roman" w:hAnsi="Times New Roman"/>
          <w:sz w:val="18"/>
          <w:szCs w:val="18"/>
          <w:u w:val="single" w:color="auto"/>
          <w:color w:val="0000FF"/>
        </w:rPr>
      </w:pPr>
    </w:p>
    <w:p>
      <w:pPr>
        <w:jc w:val="both"/>
        <w:ind w:left="880" w:hanging="839"/>
        <w:spacing w:after="0" w:line="266" w:lineRule="auto"/>
        <w:tabs>
          <w:tab w:leader="none" w:pos="8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and Chief Financial Officer of Orion Energy Systems, Inc. pursuant to Rule 13a-14(b) promulgated under the Securities Exchange Act of 1934, as amended, and 18 U.S.C. Section 1350, as adopted pursuant to Section 906 of the Sarbanes-Oxley Act of 2002. +</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-313055</wp:posOffset>
            </wp:positionV>
            <wp:extent cx="641985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5">
                      <a:extLst>
                        <a:ext uri="{28A0092B-C50C-407E-A947-70E740481C1C}"/>
                      </a:extLst>
                    </a:blip>
                    <a:srcRect/>
                    <a:stretch>
                      <a:fillRect/>
                    </a:stretch>
                  </pic:blipFill>
                  <pic:spPr bwMode="auto">
                    <a:xfrm>
                      <a:off x="0" y="0"/>
                      <a:ext cx="641985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-175895</wp:posOffset>
            </wp:positionV>
            <wp:extent cx="641921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6">
                      <a:extLst>
                        <a:ext uri="{28A0092B-C50C-407E-A947-70E740481C1C}"/>
                      </a:extLst>
                    </a:blip>
                    <a:srcRect/>
                    <a:stretch>
                      <a:fillRect/>
                    </a:stretch>
                  </pic:blipFill>
                  <pic:spPr bwMode="auto">
                    <a:xfrm>
                      <a:off x="0" y="0"/>
                      <a:ext cx="641921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-38735</wp:posOffset>
            </wp:positionV>
            <wp:extent cx="97536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7">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line="277" w:lineRule="exact"/>
        <w:rPr>
          <w:rFonts w:ascii="Times New Roman" w:cs="Times New Roman" w:eastAsia="Times New Roman" w:hAnsi="Times New Roman"/>
          <w:sz w:val="18"/>
          <w:szCs w:val="18"/>
          <w:u w:val="single" w:color="auto"/>
          <w:color w:val="0000FF"/>
        </w:rPr>
      </w:pPr>
    </w:p>
    <w:p>
      <w:pPr>
        <w:jc w:val="center"/>
        <w:ind w:right="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-159385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985" w:right="339" w:bottom="1440" w:gutter="0" w:footer="0" w:header="0"/>
        </w:sectPr>
      </w:pPr>
    </w:p>
    <w:bookmarkStart w:id="89" w:name="page90"/>
    <w:bookmarkEnd w:id="89"/>
    <w:p>
      <w:pPr>
        <w:ind w:left="1120" w:hanging="770"/>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Orion Energy Systems, Inc. Compensation Recovery Policy.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286321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5" w:lineRule="exact"/>
        <w:rPr>
          <w:sz w:val="20"/>
          <w:szCs w:val="20"/>
          <w:color w:val="auto"/>
        </w:rPr>
      </w:pPr>
    </w:p>
    <w:p>
      <w:pPr>
        <w:ind w:left="1120" w:hanging="815"/>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101.INS Inline XBRL Instance Document+</w:t>
      </w:r>
    </w:p>
    <w:p>
      <w:pPr>
        <w:spacing w:after="0" w:line="130"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101.SCH Inline XBRL Taxonomy extension schema document+</w:t>
      </w:r>
    </w:p>
    <w:p>
      <w:pPr>
        <w:spacing w:after="0" w:line="130"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130"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130"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101.LAB Inline XBRL Taxonomy extension label linkbase document+</w:t>
      </w:r>
    </w:p>
    <w:p>
      <w:pPr>
        <w:spacing w:after="0" w:line="130"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131" w:lineRule="exact"/>
        <w:rPr>
          <w:sz w:val="20"/>
          <w:szCs w:val="20"/>
          <w:color w:val="auto"/>
        </w:rPr>
      </w:pPr>
    </w:p>
    <w:p>
      <w:pPr>
        <w:ind w:left="1120" w:hanging="842"/>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fiscal year ended March 31, 2025, has been formatted in Inline</w:t>
      </w:r>
    </w:p>
    <w:p>
      <w:pPr>
        <w:spacing w:after="0" w:line="27"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Documents incorporated by reference by Orion Energy Systems, Inc. are filed with the Securities and Exchange Commission under File No. 001-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33887.</w:t>
      </w:r>
    </w:p>
    <w:p>
      <w:pPr>
        <w:spacing w:after="0" w:line="207" w:lineRule="exact"/>
        <w:rPr>
          <w:sz w:val="20"/>
          <w:szCs w:val="20"/>
          <w:color w:val="auto"/>
        </w:rPr>
      </w:pPr>
    </w:p>
    <w:p>
      <w:pPr>
        <w:ind w:right="6720" w:firstLine="8"/>
        <w:spacing w:after="0" w:line="282" w:lineRule="auto"/>
        <w:tabs>
          <w:tab w:leader="none" w:pos="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 on June 26, 2025.</w:t>
      </w:r>
    </w:p>
    <w:p>
      <w:pPr>
        <w:spacing w:after="0" w:line="18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131" w:lineRule="exact"/>
        <w:rPr>
          <w:sz w:val="20"/>
          <w:szCs w:val="20"/>
          <w:color w:val="auto"/>
        </w:rPr>
      </w:pPr>
    </w:p>
    <w:p>
      <w:pPr>
        <w:ind w:left="7200"/>
        <w:spacing w:after="0"/>
        <w:tabs>
          <w:tab w:leader="none" w:pos="7680" w:val="left"/>
        </w:tabs>
        <w:rPr>
          <w:sz w:val="20"/>
          <w:szCs w:val="20"/>
          <w:color w:val="auto"/>
        </w:rPr>
      </w:pPr>
      <w:r>
        <w:rPr>
          <w:rFonts w:ascii="Times New Roman" w:cs="Times New Roman" w:eastAsia="Times New Roman" w:hAnsi="Times New Roman"/>
          <w:sz w:val="18"/>
          <w:szCs w:val="18"/>
          <w:color w:val="auto"/>
        </w:rPr>
        <w:t>By:</w:t>
        <w:tab/>
        <w:t>/s/ Sally A. Washlow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17145</wp:posOffset>
            </wp:positionV>
            <wp:extent cx="224599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Sally A. Washlow</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by the following persons on behalf of the Registrant in the capacities indicated on June 26,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5"/>
                <w:szCs w:val="15"/>
                <w:color w:val="auto"/>
              </w:rPr>
            </w:pPr>
          </w:p>
        </w:tc>
        <w:tc>
          <w:tcPr>
            <w:tcW w:w="550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331"/>
        </w:trPr>
        <w:tc>
          <w:tcPr>
            <w:tcW w:w="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Sally A. Washlow</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Director (Principal</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Sally A. Washlow</w:t>
            </w:r>
          </w:p>
        </w:tc>
        <w:tc>
          <w:tcPr>
            <w:tcW w:w="220" w:type="dxa"/>
            <w:vAlign w:val="bottom"/>
          </w:tcPr>
          <w:p>
            <w:pPr>
              <w:spacing w:after="0"/>
              <w:rPr>
                <w:sz w:val="19"/>
                <w:szCs w:val="19"/>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301"/>
        </w:trPr>
        <w:tc>
          <w:tcPr>
            <w:tcW w:w="60" w:type="dxa"/>
            <w:vAlign w:val="bottom"/>
          </w:tcPr>
          <w:p>
            <w:pPr>
              <w:spacing w:after="0"/>
              <w:rPr>
                <w:sz w:val="24"/>
                <w:szCs w:val="24"/>
                <w:color w:val="auto"/>
              </w:rPr>
            </w:pPr>
          </w:p>
        </w:tc>
        <w:tc>
          <w:tcPr>
            <w:tcW w:w="54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/s/ J. Per Brodin</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Executive Vice President, Chief Accounting</w:t>
            </w:r>
          </w:p>
        </w:tc>
        <w:tc>
          <w:tcPr>
            <w:tcW w:w="0" w:type="dxa"/>
            <w:vAlign w:val="bottom"/>
          </w:tcPr>
          <w:p>
            <w:pPr>
              <w:spacing w:after="0"/>
              <w:rPr>
                <w:sz w:val="1"/>
                <w:szCs w:val="1"/>
                <w:color w:val="auto"/>
              </w:rPr>
            </w:pPr>
          </w:p>
        </w:tc>
      </w:tr>
      <w:tr>
        <w:trPr>
          <w:trHeight w:val="221"/>
        </w:trPr>
        <w:tc>
          <w:tcPr>
            <w:tcW w:w="6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J. Per Brodin</w:t>
            </w:r>
          </w:p>
        </w:tc>
        <w:tc>
          <w:tcPr>
            <w:tcW w:w="220" w:type="dxa"/>
            <w:vAlign w:val="bottom"/>
          </w:tcPr>
          <w:p>
            <w:pPr>
              <w:spacing w:after="0"/>
              <w:rPr>
                <w:sz w:val="19"/>
                <w:szCs w:val="19"/>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 (Principal Financial Officer)</w:t>
            </w:r>
          </w:p>
        </w:tc>
        <w:tc>
          <w:tcPr>
            <w:tcW w:w="0" w:type="dxa"/>
            <w:vAlign w:val="bottom"/>
          </w:tcPr>
          <w:p>
            <w:pPr>
              <w:spacing w:after="0"/>
              <w:rPr>
                <w:sz w:val="1"/>
                <w:szCs w:val="1"/>
                <w:color w:val="auto"/>
              </w:rPr>
            </w:pPr>
          </w:p>
        </w:tc>
      </w:tr>
      <w:tr>
        <w:trPr>
          <w:trHeight w:val="319"/>
        </w:trPr>
        <w:tc>
          <w:tcPr>
            <w:tcW w:w="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Anthony L. Otten</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Chair</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Anthony L. Otten</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Heather L. Wishart-Smith</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Heather L. Wishart-Smith</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Ellen B. Richstone</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Ellen B. Richstone</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60" w:type="dxa"/>
            <w:vAlign w:val="bottom"/>
          </w:tcPr>
          <w:p>
            <w:pPr>
              <w:spacing w:after="0"/>
              <w:rPr>
                <w:sz w:val="24"/>
                <w:szCs w:val="24"/>
                <w:color w:val="auto"/>
              </w:rPr>
            </w:pPr>
          </w:p>
        </w:tc>
        <w:tc>
          <w:tcPr>
            <w:tcW w:w="5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/s/ Richard A. Shapiro</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Richard A. Shapiro</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91</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7"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230,000,000 shares, consisting of 200,000,000 shares of common stock, no par value per share, and 30,000,000 shares of preferred stock, par value $0.01 per share.</w:t>
      </w:r>
    </w:p>
    <w:p>
      <w:pPr>
        <w:spacing w:after="0" w:line="162"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description below summarizes the material terms of our common stock, preferred stock and provisions of our amended and restated articles of incorporation and amended and restated bylaws. This description is only a summary. For more detailed information, you should refer to our amended and restated articles of incorporation and bylaws filed as exhibits to our most recent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shareholders and do not have cumulative voting rights. Holders of common stock are entitled to receive proportionately any dividends as may be declared by our board of directors, subject to any preferential dividend rights of outstanding preferred stock.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is authorized to issue from time to time up to 30 million shares of preferred stock in one or more series without shareholder approval. Our board of directors has the discretion to determine the rights, preferences, privileges and restrictions, including voting rights, dividend rights, conversion rights, redemption privileges and liquidation preferences, of each series of preferred stock. It is not possible to state the actual effect of the issuance of any shares of preferred stock on the rights of holders of common stock until our board of directors determines the specific rights associated with that preferred stock. The effects of issuing preferred stock could include one or more of the following:</w:t>
      </w:r>
    </w:p>
    <w:p>
      <w:pPr>
        <w:spacing w:after="0" w:line="89" w:lineRule="exact"/>
        <w:rPr>
          <w:sz w:val="20"/>
          <w:szCs w:val="20"/>
          <w:color w:val="auto"/>
        </w:rPr>
      </w:pPr>
    </w:p>
    <w:p>
      <w:pPr>
        <w:ind w:left="920" w:hanging="345"/>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amount of earnings and assets available for distribution to holders of common stock;</w:t>
      </w:r>
    </w:p>
    <w:p>
      <w:pPr>
        <w:spacing w:after="0" w:line="130"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on the common stock;</w:t>
      </w:r>
    </w:p>
    <w:p>
      <w:pPr>
        <w:spacing w:after="0" w:line="130"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130"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or</w:t>
      </w:r>
    </w:p>
    <w:p>
      <w:pPr>
        <w:spacing w:after="0" w:line="130"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changes in our control or management.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Wisconsin Anti-Takeover Law and Certain Articles of Incorporation and Bylaw Provisions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Wisconsin law and our amended and restated articles of incorporation and amended and restated bylaws that will be effective upon closing of this offering contain provisions that could delay or prevent a change of control of our company or changes in our board of directors that our shareholders might consider favorable. The following is a summary of these provisions.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Articles of Incorporation and Amended and Restated Bylaws</w:t>
      </w:r>
    </w:p>
    <w:p>
      <w:pPr>
        <w:spacing w:after="0" w:line="119"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Classified board of directors; removal of directors for cause</w:t>
      </w:r>
      <w:r>
        <w:rPr>
          <w:rFonts w:ascii="Times New Roman" w:cs="Times New Roman" w:eastAsia="Times New Roman" w:hAnsi="Times New Roman"/>
          <w:sz w:val="18"/>
          <w:szCs w:val="18"/>
          <w:color w:val="auto"/>
        </w:rPr>
        <w:t>. Our amended and restated articles of incorporation and amended and restated bylaws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that our board of directors is divided into three classes, with the term of office of each class expiring at successive annual meetings of shareholders. At each annual meeting of shareholders, each director is elected for a term ending on the date of the third annual shareholders’ meeting</w:t>
      </w:r>
    </w:p>
    <w:p>
      <w:pPr>
        <w:spacing w:after="0" w:line="200" w:lineRule="exact"/>
        <w:rPr>
          <w:sz w:val="20"/>
          <w:szCs w:val="20"/>
          <w:color w:val="auto"/>
        </w:rPr>
      </w:pPr>
    </w:p>
    <w:p>
      <w:pPr>
        <w:spacing w:after="0" w:line="2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4851-5165-4807.2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following the annual shareholders’ meeting at which such director was elected and until his or her successor shall be elected and shall qualify, subject to prior death, resignation or removal from office.</w:t>
      </w:r>
    </w:p>
    <w:p>
      <w:pPr>
        <w:spacing w:after="0" w:line="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amended and restated articles of incorporation also provide that the affirmative vote of shareholders possessing at least 75% of the voting power of the then outstanding shares of our capital stock is required to amend, alter, change or repeal, or to adopt any provision inconsistent with, the relevant sections of the bylaws establishing the classified board. The board of directors (or its remaining members, even if less than a quorum) is also empowered to fill vacancies on the board of directors occurring for any reason for the remainder of the term of the class of directors in which the vacancy occurred, unless the vacancy was caused by the action of shareholders (in which event such vacancy will be filled by the shareholders and may not be filled by the directors).</w:t>
      </w:r>
    </w:p>
    <w:p>
      <w:pPr>
        <w:spacing w:after="0" w:line="18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Members of the board of directors may be removed only for cause at a meeting of the shareholders called for the purpose of removing the director, and the meeting notice must state that the purpose, or one of the purposes, of the meeting is removal of the director and must state the alleged cause upon which the director’s removal would be based.</w:t>
      </w:r>
    </w:p>
    <w:p>
      <w:pPr>
        <w:spacing w:after="0" w:line="17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These provisions are likely to increase the time required for shareholders to change the composition of our board of directors. For example, in general, at least two annual meetings will be necessary for shareholders to effect a change in a majority of the members of our board of directors.</w:t>
      </w:r>
    </w:p>
    <w:p>
      <w:pPr>
        <w:spacing w:after="0" w:line="16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Advance notice provisions for shareholder proposals and shareholder nominations of directors</w:t>
      </w:r>
      <w:r>
        <w:rPr>
          <w:rFonts w:ascii="Times New Roman" w:cs="Times New Roman" w:eastAsia="Times New Roman" w:hAnsi="Times New Roman"/>
          <w:sz w:val="18"/>
          <w:szCs w:val="18"/>
          <w:color w:val="auto"/>
        </w:rPr>
        <w:t>. Our amended and restated bylaws provide that,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nominations to the board of directors or for other business to be properly brought by a shareholder before a meeting of shareholders, the shareholder must first have given timely notice of the proposal in writing to our secretary. For an annual meeting, a shareholder’s notice generally must be delivered on or before December 31 of the year immediately preceding the annual meeting, unless the date of the annual meeting is on or after May 1 in any year, in which case notice must be received not later than the close of business on the day which is determined by adding to December 31 of the year immediately preceding such annual meeting the number of days starting with May 1 and ending on the date of the annual meeting in such year. Detailed requirements as to the form of the notice and information required in the notice are specified in the amended and restated bylaws. If it is determined that business was not properly brought before a meeting in accordance with our amended and restated bylaws, such business will not be conducted at the meeting.</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Wisconsin Business Corporation Law</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Sections 180.1140 to 180.1144 of the Wisconsin Business Corporation Law, or the WBCL, restrict a broad range of business combinations between a Wisconsin corporation and an “interested stockholder” for a period of three years unless specified conditions are met. The WBCL defines a “business combination” as including certain mergers or share exchanges, sales of assets, issuances of stock or rights to purchase stock and other related party transactions. An “interested stockholder” is a person who beneficially owns, directly or indirectly, 10% of the outstanding voting stock of a corporation or who is an affiliate or associate of the corporation and beneficially owned 10% of the voting stock within the last three years. During the initial three-year period after a person becomes an interested stockholder in a Wisconsin corporation, with some exceptions, the WBCL prohibits a business combination with the interested stockholder unless the corporation’s board of directors approved the business combination or the acquisition of the stock by the interested stockholder prior to the acquisition date. Following this three-year period, the WBCL also prohibits a business combination with an interested stockholder unless:</w:t>
      </w:r>
    </w:p>
    <w:p>
      <w:pPr>
        <w:spacing w:after="0" w:line="215" w:lineRule="exact"/>
        <w:rPr>
          <w:sz w:val="20"/>
          <w:szCs w:val="20"/>
          <w:color w:val="auto"/>
        </w:rPr>
      </w:pPr>
    </w:p>
    <w:p>
      <w:pPr>
        <w:ind w:left="920" w:hanging="345"/>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approved the acquisition of the stock prior to the acquisition date;</w:t>
      </w:r>
    </w:p>
    <w:p>
      <w:pPr>
        <w:spacing w:after="0" w:line="252"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approved by a majority of the outstanding voting stock not owned by the interested stockholder;</w:t>
      </w:r>
    </w:p>
    <w:p>
      <w:pPr>
        <w:spacing w:after="0" w:line="252"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to be received by shareholders meets certain requirements of the statute with respect to form and amount; or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4851-5165-4807.2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ind w:left="920" w:hanging="345"/>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of a type specifically excluded from the coverage of the statute.</w:t>
      </w:r>
    </w:p>
    <w:p>
      <w:pPr>
        <w:spacing w:after="0" w:line="15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Sections 180.1130 to 180.1133 of the WBCL govern certain mergers or share exchanges between public Wisconsin corporations and significant shareholders, and sales of all or substantially all of the assets of public Wisconsin corporations to significant shareholders. These transactions must be approved by 80% of all shareholders and two-thirds of shareholders other than the significant shareholder, unless the shareholders receive a statutory “fair price.” Section 180.1130 of the WBCL generally defines a “significant shareholder” as the beneficial owner of 10% or more of the voting power of the outstanding voting shares, or an affiliate of the corporation who beneficially owned 10% or more of the voting power of the then outstanding shares within the last two years.</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Section 180.1150 of the WBCL provides that in particular circumstances the voting power of shares of a public Wisconsin corporation held by any person in excess of 20% of the voting power is limited to 10% of the voting power these excess shares would otherwise have. Full voting power may be restored if a majority of the voting power of shares represented at a meeting, including those held by the party seeking restoration, are voted in favor of the restoration. This voting restriction does not apply to shares acquired directly from the corporation.</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Section 180.1134 of the WBCL requires shareholder approval for some transactions in the context of a tender offer or similar action for more than 5% of any class of a Wisconsin corporation’s stock. Shareholder approval is required for the acquisition of more than 5% of the corporation’s stock at a price above market value from any person who holds more than 3% of the voting shares and has held the shares for less than two years, unless the corporation makes an equal offer to acquire all shares. Shareholder approval is also required for the sale or option of assets that amount to at least 10% of the market value of the corporation, but this requirement does not apply if the corporation has at least three independent directors and a majority of the independent directors vote not to have this provision apply to the corporation.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Directors’ Liability and Indemnification</w:t>
      </w:r>
    </w:p>
    <w:p>
      <w:pPr>
        <w:spacing w:after="0" w:line="121"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to the fullest extent permitted or required by Wisconsin law, we will indemnify all of our directors and officers, any trustee of any of our employee benefit plans, and person who is serving at our request as a director, officer, employee or agent of another entity, against certain liabilities and losses incurred in connection with these positions or services. We will indemnify these parties to the extent the parties are successful in the defense of a proceeding and in proceedings in which the party is not successful in defense of the proceeding unless, in the latter case only, it is determined that the party breached or failed to perform his or her duties to us and this breach or failure constituted:</w:t>
      </w:r>
    </w:p>
    <w:p>
      <w:pPr>
        <w:spacing w:after="0" w:line="89" w:lineRule="exact"/>
        <w:rPr>
          <w:sz w:val="20"/>
          <w:szCs w:val="20"/>
          <w:color w:val="auto"/>
        </w:rPr>
      </w:pPr>
    </w:p>
    <w:p>
      <w:pPr>
        <w:ind w:left="920" w:right="120" w:hanging="345"/>
        <w:spacing w:after="0" w:line="282"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willful failure to deal fairly with us or our shareholders in connection with a matter in which the director or officer has a material conflict of interest;</w:t>
      </w:r>
    </w:p>
    <w:p>
      <w:pPr>
        <w:spacing w:after="0" w:line="6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criminal law, unless the director or officer had reasonable cause to believe his or her conduct was unlawful;</w:t>
      </w:r>
    </w:p>
    <w:p>
      <w:pPr>
        <w:spacing w:after="0" w:line="130"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from which the director or officer derived an improper personal profit; or</w:t>
      </w:r>
    </w:p>
    <w:p>
      <w:pPr>
        <w:spacing w:after="0" w:line="130"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we are required to indemnify our directors and executive officers and may indemnify our employees and other agents to the fullest extent required or permitted by Wisconsin law. Additionally, our amended and restated bylaws require us under certain circumstances to advance reasonable expenses incurred by a director or officer who is a party to a proceeding for which indemnification may be available.</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Wisconsin law further provides that it is the public policy of the State of Wisconsin to require or permit indemnification, allowance of expenses and insurance to the extent required or permitted under Wisconsin law for any liability incurred in connection with a proceeding involving a federal or state statute, rule or regulation regulating the offer, sale or purchase of securities.</w:t>
      </w:r>
    </w:p>
    <w:p>
      <w:pPr>
        <w:spacing w:after="0" w:line="10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Under Wisconsin law, a director is not personally liable for breach of any duty resulting solely from his or her status as a director, unless it is proved that the director’s conduct constituted conduct described in the bullet points</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4851-5165-4807.2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color w:val="auto"/>
        </w:rPr>
        <w:t>above. In addition, we maintain directors’ and officers’ liability insurance that will insure against certain liabilities, subject to applicable restrictions.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“OESX.”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 Shareowner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4851-5165-4807.2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17" w:right="87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34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1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Proposed Voltrek Earn-Out Payment Term Sheet June 23, 2025</w:t>
      </w:r>
    </w:p>
    <w:p>
      <w:pPr>
        <w:spacing w:after="0" w:line="74" w:lineRule="exact"/>
        <w:rPr>
          <w:sz w:val="20"/>
          <w:szCs w:val="20"/>
          <w:color w:val="auto"/>
        </w:rPr>
      </w:pPr>
    </w:p>
    <w:p>
      <w:pPr>
        <w:jc w:val="both"/>
        <w:ind w:right="560"/>
        <w:spacing w:after="0" w:line="255" w:lineRule="auto"/>
        <w:rPr>
          <w:sz w:val="20"/>
          <w:szCs w:val="20"/>
          <w:color w:val="auto"/>
        </w:rPr>
      </w:pPr>
      <w:r>
        <w:rPr>
          <w:rFonts w:ascii="Times New Roman" w:cs="Times New Roman" w:eastAsia="Times New Roman" w:hAnsi="Times New Roman"/>
          <w:sz w:val="21"/>
          <w:szCs w:val="21"/>
          <w:color w:val="auto"/>
        </w:rPr>
        <w:t>The following binding term sheet (“Term Sheet”) outlines the mutually agreed upon terms and conditions applicable to the payment by Orion Energy Systems, Inc. (“Company”) of its to-be- determined earn-out obligation (exclusive of the FY24 Earn-Out Payment, as defined below) (“Obligation”) owed to Final Frontier, LLC (“Final Frontier”) pursuant to the Membership Interest Purchase Agreement dated effective as of October 5, 2022 (“Purchase Agreement”):</w:t>
      </w:r>
    </w:p>
    <w:p>
      <w:pPr>
        <w:spacing w:after="0" w:line="200" w:lineRule="exact"/>
        <w:rPr>
          <w:sz w:val="20"/>
          <w:szCs w:val="20"/>
          <w:color w:val="auto"/>
        </w:rPr>
      </w:pP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4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84"/>
              </w:rPr>
              <w:t>1.</w:t>
            </w:r>
          </w:p>
        </w:tc>
        <w:tc>
          <w:tcPr>
            <w:tcW w:w="33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Cash:</w:t>
            </w:r>
          </w:p>
        </w:tc>
        <w:tc>
          <w:tcPr>
            <w:tcW w:w="606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w w:val="97"/>
              </w:rPr>
              <w:t>Company will pay Final Frontier $875,000 (“FY24 Earn-Out</w:t>
            </w:r>
          </w:p>
        </w:tc>
        <w:tc>
          <w:tcPr>
            <w:tcW w:w="0" w:type="dxa"/>
            <w:vAlign w:val="bottom"/>
          </w:tcPr>
          <w:p>
            <w:pPr>
              <w:spacing w:after="0"/>
              <w:rPr>
                <w:sz w:val="1"/>
                <w:szCs w:val="1"/>
                <w:color w:val="auto"/>
              </w:rPr>
            </w:pPr>
          </w:p>
        </w:tc>
      </w:tr>
      <w:tr>
        <w:trPr>
          <w:trHeight w:val="69"/>
        </w:trPr>
        <w:tc>
          <w:tcPr>
            <w:tcW w:w="440" w:type="dxa"/>
            <w:vAlign w:val="bottom"/>
          </w:tcPr>
          <w:p>
            <w:pPr>
              <w:spacing w:after="0"/>
              <w:rPr>
                <w:sz w:val="5"/>
                <w:szCs w:val="5"/>
                <w:color w:val="auto"/>
              </w:rPr>
            </w:pPr>
          </w:p>
        </w:tc>
        <w:tc>
          <w:tcPr>
            <w:tcW w:w="3360" w:type="dxa"/>
            <w:vAlign w:val="bottom"/>
          </w:tcPr>
          <w:p>
            <w:pPr>
              <w:spacing w:after="0"/>
              <w:rPr>
                <w:sz w:val="5"/>
                <w:szCs w:val="5"/>
                <w:color w:val="auto"/>
              </w:rPr>
            </w:pPr>
          </w:p>
        </w:tc>
        <w:tc>
          <w:tcPr>
            <w:tcW w:w="6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60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Payment”) in cash on August 1, 2025 in full payment of the</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60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Company’s fiscal 2024 earn-out obligation. In connection</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60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with Company making such FY24 Earn-Out Payment, both</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60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w w:val="99"/>
              </w:rPr>
              <w:t>parties hereby mutually agree to fully release the other party</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60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from any further claims or disputes with respect to the</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60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w w:val="98"/>
              </w:rPr>
              <w:t>Company’s fiscal 2024 earn-out obligation or the calculation</w:t>
            </w:r>
          </w:p>
        </w:tc>
        <w:tc>
          <w:tcPr>
            <w:tcW w:w="0" w:type="dxa"/>
            <w:vAlign w:val="bottom"/>
          </w:tcPr>
          <w:p>
            <w:pPr>
              <w:spacing w:after="0"/>
              <w:rPr>
                <w:sz w:val="1"/>
                <w:szCs w:val="1"/>
                <w:color w:val="auto"/>
              </w:rPr>
            </w:pPr>
          </w:p>
        </w:tc>
      </w:tr>
      <w:tr>
        <w:trPr>
          <w:trHeight w:val="282"/>
        </w:trPr>
        <w:tc>
          <w:tcPr>
            <w:tcW w:w="4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0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thereof.</w:t>
            </w:r>
          </w:p>
        </w:tc>
        <w:tc>
          <w:tcPr>
            <w:tcW w:w="0" w:type="dxa"/>
            <w:vAlign w:val="bottom"/>
          </w:tcPr>
          <w:p>
            <w:pPr>
              <w:spacing w:after="0"/>
              <w:rPr>
                <w:sz w:val="1"/>
                <w:szCs w:val="1"/>
                <w:color w:val="auto"/>
              </w:rPr>
            </w:pPr>
          </w:p>
        </w:tc>
      </w:tr>
      <w:tr>
        <w:trPr>
          <w:trHeight w:val="702"/>
        </w:trPr>
        <w:tc>
          <w:tcPr>
            <w:tcW w:w="4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84"/>
              </w:rPr>
              <w:t>2.</w:t>
            </w:r>
          </w:p>
        </w:tc>
        <w:tc>
          <w:tcPr>
            <w:tcW w:w="33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Company Common Stock:</w:t>
            </w: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60"/>
          </w:cols>
          <w:pgMar w:left="700" w:top="1269" w:right="339" w:bottom="1440" w:gutter="0" w:footer="0" w:header="0"/>
        </w:sectPr>
      </w:pPr>
    </w:p>
    <w:p>
      <w:pPr>
        <w:ind w:left="4620"/>
        <w:spacing w:after="0" w:line="187" w:lineRule="auto"/>
        <w:rPr>
          <w:sz w:val="20"/>
          <w:szCs w:val="20"/>
          <w:color w:val="auto"/>
        </w:rPr>
      </w:pPr>
      <w:r>
        <w:rPr>
          <w:rFonts w:ascii="Times New Roman" w:cs="Times New Roman" w:eastAsia="Times New Roman" w:hAnsi="Times New Roman"/>
          <w:sz w:val="12"/>
          <w:szCs w:val="12"/>
          <w:color w:val="auto"/>
        </w:rPr>
        <w:t>$1,000,000 (“Company Common Stock</w:t>
      </w:r>
    </w:p>
    <w:p>
      <w:pPr>
        <w:sectPr>
          <w:pgSz w:w="11900" w:h="16838" w:orient="portrait"/>
          <w:cols w:equalWidth="0" w:num="1">
            <w:col w:w="10860"/>
          </w:cols>
          <w:pgMar w:left="700" w:top="1269" w:right="339" w:bottom="1440" w:gutter="0" w:footer="0" w:header="0"/>
          <w:type w:val="continuous"/>
        </w:sectPr>
      </w:pPr>
    </w:p>
    <w:p>
      <w:pPr>
        <w:ind w:left="4620" w:right="800"/>
        <w:spacing w:after="0" w:line="241" w:lineRule="auto"/>
        <w:rPr>
          <w:sz w:val="20"/>
          <w:szCs w:val="20"/>
          <w:color w:val="auto"/>
        </w:rPr>
      </w:pPr>
      <w:r>
        <w:rPr>
          <w:rFonts w:ascii="Times New Roman" w:cs="Times New Roman" w:eastAsia="Times New Roman" w:hAnsi="Times New Roman"/>
          <w:sz w:val="21"/>
          <w:szCs w:val="21"/>
          <w:color w:val="auto"/>
        </w:rPr>
        <w:t>Payment”), represented by the Company’s issuance of such number of shares of the Company’s Common Stock determined by dividing $1,000,000 by the average closing sale price of the Company’s Common Stock over the 10 trading days beginning on the third trading day after the Company publicly announces its fiscal 2025 financial results and the principal terms of this Term Sheet, which announcements shall be made at least simultaneously (subject to the Company’s potential prior public announcement of this Term Sheet if required by SEC rules). The shares shall be issued on the first business day following such 10-day period.</w:t>
      </w:r>
    </w:p>
    <w:p>
      <w:pPr>
        <w:spacing w:after="0" w:line="200" w:lineRule="exact"/>
        <w:rPr>
          <w:sz w:val="20"/>
          <w:szCs w:val="20"/>
          <w:color w:val="auto"/>
        </w:rPr>
      </w:pPr>
    </w:p>
    <w:p>
      <w:pPr>
        <w:spacing w:after="0" w:line="22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761365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69" w:right="339" w:bottom="1440" w:gutter="0" w:footer="0" w:header="0"/>
          <w:type w:val="continuous"/>
        </w:sectPr>
      </w:pPr>
    </w:p>
    <w:bookmarkStart w:id="96" w:name="page97"/>
    <w:bookmarkEnd w:id="96"/>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84"/>
              </w:rPr>
              <w:t>3.</w:t>
            </w:r>
          </w:p>
        </w:tc>
        <w:tc>
          <w:tcPr>
            <w:tcW w:w="3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Senior Subordinated Loan:</w:t>
            </w:r>
          </w:p>
        </w:tc>
        <w:tc>
          <w:tcPr>
            <w:tcW w:w="62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The principal amount of the senior</w:t>
            </w:r>
          </w:p>
        </w:tc>
      </w:tr>
      <w:tr>
        <w:trPr>
          <w:trHeight w:val="253"/>
        </w:trPr>
        <w:tc>
          <w:tcPr>
            <w:tcW w:w="4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626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subordinated loan owed by the Company to Final Frontier for</w:t>
            </w:r>
          </w:p>
        </w:tc>
      </w:tr>
    </w:tbl>
    <w:p>
      <w:pPr>
        <w:ind w:left="4900"/>
        <w:spacing w:after="0" w:line="231" w:lineRule="auto"/>
        <w:rPr>
          <w:sz w:val="20"/>
          <w:szCs w:val="20"/>
          <w:color w:val="auto"/>
        </w:rPr>
      </w:pPr>
      <w:r>
        <w:rPr>
          <w:rFonts w:ascii="Times New Roman" w:cs="Times New Roman" w:eastAsia="Times New Roman" w:hAnsi="Times New Roman"/>
          <w:sz w:val="22"/>
          <w:szCs w:val="22"/>
          <w:color w:val="auto"/>
        </w:rPr>
        <w:t>the remaining amount of the Obligation (“Senior Subordinated Loan”) will be equal to the Finally Determined Obligation (as defined below), less the Company Common Stock Payment and any Principal Payments (as defined below) to the extent paid by the Company (“Loan Amount”). The Company will use its commercially reasonable best efforts to obtain the consent of its senior lender, Bank of America, allowing the Company to grant Final Frontier a second-lien security interest in all assets of the Company and Voltrek, LLC, which security interest will be limited to the lesser of: (i) $10 million or (ii) the Loan Amount and will be fully subordinated and junior in priority to any and all current or future outstanding amounts payable by the Company to Bank of America (and/or any other financial institution or investor that refinances such amounts payable to Bank of America) under the Company’s current or future senior secured credit, loan and/or mortgage agreements (including any and all amendments, replacements, renewals or extension thereof) (“Senior Debt”). Senior Debt shall be capped at $34.2 million.</w:t>
      </w:r>
    </w:p>
    <w:p>
      <w:pPr>
        <w:spacing w:after="0" w:line="182" w:lineRule="exact"/>
        <w:rPr>
          <w:sz w:val="20"/>
          <w:szCs w:val="20"/>
          <w:color w:val="auto"/>
        </w:rPr>
      </w:pPr>
    </w:p>
    <w:p>
      <w:pPr>
        <w:ind w:left="4900" w:right="140"/>
        <w:spacing w:after="0" w:line="238" w:lineRule="auto"/>
        <w:rPr>
          <w:sz w:val="20"/>
          <w:szCs w:val="20"/>
          <w:color w:val="auto"/>
        </w:rPr>
      </w:pPr>
      <w:r>
        <w:rPr>
          <w:rFonts w:ascii="Times New Roman" w:cs="Times New Roman" w:eastAsia="Times New Roman" w:hAnsi="Times New Roman"/>
          <w:sz w:val="22"/>
          <w:szCs w:val="22"/>
          <w:color w:val="auto"/>
        </w:rPr>
        <w:t>Final Frontier shall execute a subordination and intercreditor agreement reasonably acceptable to Final Frontier, Bank of America and the Company providing for payment and lien subordination of the Senior Subordinated Loan to the Senior Debt (“Subordination Agreement”).</w:t>
      </w:r>
    </w:p>
    <w:p>
      <w:pPr>
        <w:spacing w:after="0" w:line="69" w:lineRule="exact"/>
        <w:rPr>
          <w:sz w:val="20"/>
          <w:szCs w:val="20"/>
          <w:color w:val="auto"/>
        </w:rPr>
      </w:pPr>
    </w:p>
    <w:p>
      <w:pPr>
        <w:jc w:val="both"/>
        <w:ind w:left="4900" w:right="40"/>
        <w:spacing w:after="0" w:line="261" w:lineRule="auto"/>
        <w:rPr>
          <w:sz w:val="20"/>
          <w:szCs w:val="20"/>
          <w:color w:val="auto"/>
        </w:rPr>
      </w:pPr>
      <w:r>
        <w:rPr>
          <w:rFonts w:ascii="Times New Roman" w:cs="Times New Roman" w:eastAsia="Times New Roman" w:hAnsi="Times New Roman"/>
          <w:sz w:val="21"/>
          <w:szCs w:val="21"/>
          <w:color w:val="auto"/>
        </w:rPr>
        <w:t>The repayment of Final Frontier’s Senior Subordinated Loan will be senior to, and have priority over, all of the Company’s creditors, other than the holder of the Senior Debt.</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761365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97" w:name="page98"/>
    <w:bookmarkEnd w:id="97"/>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84"/>
              </w:rPr>
              <w:t>4.</w:t>
            </w:r>
          </w:p>
        </w:tc>
        <w:tc>
          <w:tcPr>
            <w:tcW w:w="3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Senior Subordinated Note and Loan</w:t>
            </w:r>
          </w:p>
        </w:tc>
        <w:tc>
          <w:tcPr>
            <w:tcW w:w="60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The Senior Subordinated Loan will have a twenty-four (24)</w:t>
            </w:r>
          </w:p>
        </w:tc>
      </w:tr>
      <w:tr>
        <w:trPr>
          <w:trHeight w:val="243"/>
        </w:trPr>
        <w:tc>
          <w:tcPr>
            <w:tcW w:w="440" w:type="dxa"/>
            <w:vAlign w:val="bottom"/>
          </w:tcPr>
          <w:p>
            <w:pPr>
              <w:spacing w:after="0"/>
              <w:rPr>
                <w:sz w:val="21"/>
                <w:szCs w:val="21"/>
                <w:color w:val="auto"/>
              </w:rPr>
            </w:pPr>
          </w:p>
        </w:tc>
        <w:tc>
          <w:tcPr>
            <w:tcW w:w="38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Agreement (“Note and Loan</w:t>
            </w:r>
          </w:p>
        </w:tc>
        <w:tc>
          <w:tcPr>
            <w:tcW w:w="604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8"/>
              </w:rPr>
              <w:t>month maturity date from July 15, 2025, with a final payment of</w:t>
            </w:r>
          </w:p>
        </w:tc>
      </w:tr>
      <w:tr>
        <w:trPr>
          <w:trHeight w:val="243"/>
        </w:trPr>
        <w:tc>
          <w:tcPr>
            <w:tcW w:w="440" w:type="dxa"/>
            <w:vAlign w:val="bottom"/>
          </w:tcPr>
          <w:p>
            <w:pPr>
              <w:spacing w:after="0"/>
              <w:rPr>
                <w:sz w:val="21"/>
                <w:szCs w:val="21"/>
                <w:color w:val="auto"/>
              </w:rPr>
            </w:pPr>
          </w:p>
        </w:tc>
        <w:tc>
          <w:tcPr>
            <w:tcW w:w="38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Agreement”) Terms:</w:t>
            </w:r>
          </w:p>
        </w:tc>
        <w:tc>
          <w:tcPr>
            <w:tcW w:w="604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9"/>
              </w:rPr>
              <w:t>the Loan Amount together with all interest accrued thereon that</w:t>
            </w:r>
          </w:p>
        </w:tc>
      </w:tr>
      <w:tr>
        <w:trPr>
          <w:trHeight w:val="243"/>
        </w:trPr>
        <w:tc>
          <w:tcPr>
            <w:tcW w:w="44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604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is then unpaid on the maturity date. Over the term of the Senior</w:t>
            </w:r>
          </w:p>
        </w:tc>
      </w:tr>
      <w:tr>
        <w:trPr>
          <w:trHeight w:val="243"/>
        </w:trPr>
        <w:tc>
          <w:tcPr>
            <w:tcW w:w="44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604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Subordinated Loan, the Company shall pay</w:t>
            </w:r>
          </w:p>
        </w:tc>
      </w:tr>
      <w:tr>
        <w:trPr>
          <w:trHeight w:val="267"/>
        </w:trPr>
        <w:tc>
          <w:tcPr>
            <w:tcW w:w="44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604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8"/>
              </w:rPr>
              <w:t>(a) principal payments of $25,000 per month paid on the 15th of</w:t>
            </w:r>
          </w:p>
        </w:tc>
      </w:tr>
    </w:tbl>
    <w:p>
      <w:pPr>
        <w:ind w:left="4700" w:right="40"/>
        <w:spacing w:after="0" w:line="231" w:lineRule="auto"/>
        <w:rPr>
          <w:sz w:val="20"/>
          <w:szCs w:val="20"/>
          <w:color w:val="auto"/>
        </w:rPr>
      </w:pPr>
      <w:r>
        <w:rPr>
          <w:rFonts w:ascii="Times New Roman" w:cs="Times New Roman" w:eastAsia="Times New Roman" w:hAnsi="Times New Roman"/>
          <w:sz w:val="22"/>
          <w:szCs w:val="22"/>
          <w:color w:val="auto"/>
        </w:rPr>
        <w:t>each month beginning on January 15, 2026, which will increase to $50,000 per month on July 15, 2026 and continue monthly on the 15th of each month through the maturity date (“Principal Payments”), and (b) interest payments on a monthly basis paid on the 15th of each month beginning July 15, 2025 of $15,000 per month until the final determination of the Finally Determined Obligation, at which point such monthly interest payments shall be appropriately retroactively and prospectively adjusted based on an annual interest rate of 7% applied against the Finally Determined Obligation and, with respect to any retroactive increase in interest payments, such increased amount shall be paid within 10 days of the date that the Finally Determined Obligation is determined.</w:t>
      </w:r>
    </w:p>
    <w:p>
      <w:pPr>
        <w:spacing w:after="0" w:line="78" w:lineRule="exact"/>
        <w:rPr>
          <w:sz w:val="20"/>
          <w:szCs w:val="20"/>
          <w:color w:val="auto"/>
        </w:rPr>
      </w:pPr>
    </w:p>
    <w:p>
      <w:pPr>
        <w:ind w:left="4700" w:right="20"/>
        <w:spacing w:after="0" w:line="233" w:lineRule="auto"/>
        <w:rPr>
          <w:sz w:val="20"/>
          <w:szCs w:val="20"/>
          <w:color w:val="auto"/>
        </w:rPr>
      </w:pPr>
      <w:r>
        <w:rPr>
          <w:rFonts w:ascii="Times New Roman" w:cs="Times New Roman" w:eastAsia="Times New Roman" w:hAnsi="Times New Roman"/>
          <w:sz w:val="22"/>
          <w:szCs w:val="22"/>
          <w:color w:val="auto"/>
        </w:rPr>
        <w:t>All payments on the Senior Subordinated Loan shall be made in cash by check or wire transfer of immediately available funds; provided, that if Company remains a public company whose securities are traded by the general public on a major securities exchange (including OTCQX and OTCQB), the Company shall have the option to pay up to 20% of the Loan Amount at maturity (but not upon acceleration or prepayment) in its Common Stock, with the number of shares to be issued determined by dividing the Loan Amount to be paid in Common Stock by the average closing sale price of the Company’s Common Stock over the 10 trading days immediately preceding the maturity date.</w:t>
      </w:r>
    </w:p>
    <w:p>
      <w:pPr>
        <w:spacing w:after="0" w:line="77" w:lineRule="exact"/>
        <w:rPr>
          <w:sz w:val="20"/>
          <w:szCs w:val="20"/>
          <w:color w:val="auto"/>
        </w:rPr>
      </w:pPr>
    </w:p>
    <w:p>
      <w:pPr>
        <w:ind w:left="4700" w:right="20"/>
        <w:spacing w:after="0" w:line="282" w:lineRule="auto"/>
        <w:rPr>
          <w:sz w:val="20"/>
          <w:szCs w:val="20"/>
          <w:color w:val="auto"/>
        </w:rPr>
      </w:pPr>
      <w:r>
        <w:rPr>
          <w:rFonts w:ascii="Times New Roman" w:cs="Times New Roman" w:eastAsia="Times New Roman" w:hAnsi="Times New Roman"/>
          <w:sz w:val="21"/>
          <w:szCs w:val="21"/>
          <w:color w:val="auto"/>
        </w:rPr>
        <w:t>The Senior Subordinated Loan will be prepayable only in cash at the option of the Company in all or in part at any time or from</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761365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800" w:top="1440" w:right="799" w:bottom="1440" w:gutter="0" w:footer="0" w:header="0"/>
        </w:sectPr>
      </w:pPr>
    </w:p>
    <w:bookmarkStart w:id="98" w:name="page99"/>
    <w:bookmarkEnd w:id="98"/>
    <w:p>
      <w:pPr>
        <w:ind w:left="4060"/>
        <w:spacing w:after="0"/>
        <w:rPr>
          <w:sz w:val="20"/>
          <w:szCs w:val="20"/>
          <w:color w:val="auto"/>
        </w:rPr>
      </w:pPr>
      <w:r>
        <w:rPr>
          <w:rFonts w:ascii="Times New Roman" w:cs="Times New Roman" w:eastAsia="Times New Roman" w:hAnsi="Times New Roman"/>
          <w:sz w:val="22"/>
          <w:szCs w:val="22"/>
          <w:color w:val="auto"/>
        </w:rPr>
        <w:t>time to time without premium, penalty or charge.</w:t>
      </w:r>
    </w:p>
    <w:p>
      <w:pPr>
        <w:spacing w:after="0" w:line="328" w:lineRule="exact"/>
        <w:rPr>
          <w:sz w:val="20"/>
          <w:szCs w:val="20"/>
          <w:color w:val="auto"/>
        </w:rPr>
      </w:pPr>
    </w:p>
    <w:p>
      <w:pPr>
        <w:ind w:left="4060" w:right="20"/>
        <w:spacing w:after="0" w:line="236" w:lineRule="auto"/>
        <w:rPr>
          <w:sz w:val="20"/>
          <w:szCs w:val="20"/>
          <w:color w:val="auto"/>
        </w:rPr>
      </w:pPr>
      <w:r>
        <w:rPr>
          <w:rFonts w:ascii="Times New Roman" w:cs="Times New Roman" w:eastAsia="Times New Roman" w:hAnsi="Times New Roman"/>
          <w:sz w:val="22"/>
          <w:szCs w:val="22"/>
          <w:color w:val="auto"/>
        </w:rPr>
        <w:t>Any payments required under the Note and Loan Agreement not made within 15 days after the scheduled due date for such payment, including at maturity or upon acceleration, shall bear cash interest from the date due until paid at a rate of 15% per annum. All additional interest shall be immediately due and payable in cash.</w:t>
      </w:r>
    </w:p>
    <w:p>
      <w:pPr>
        <w:spacing w:after="0" w:line="73" w:lineRule="exact"/>
        <w:rPr>
          <w:sz w:val="20"/>
          <w:szCs w:val="20"/>
          <w:color w:val="auto"/>
        </w:rPr>
      </w:pPr>
    </w:p>
    <w:p>
      <w:pPr>
        <w:ind w:left="4060"/>
        <w:spacing w:after="0" w:line="236" w:lineRule="auto"/>
        <w:rPr>
          <w:sz w:val="20"/>
          <w:szCs w:val="20"/>
          <w:color w:val="auto"/>
        </w:rPr>
      </w:pPr>
      <w:r>
        <w:rPr>
          <w:rFonts w:ascii="Times New Roman" w:cs="Times New Roman" w:eastAsia="Times New Roman" w:hAnsi="Times New Roman"/>
          <w:sz w:val="22"/>
          <w:szCs w:val="22"/>
          <w:color w:val="auto"/>
        </w:rPr>
        <w:t>Subject to the terms of the Subordination Agreement, the unpaid Loan Amount (together with all accrued and unpaid interest thereon) shall become immediately due and payable only in cash upon any sale of the Company or Voltrek, LLC or the filing of a bankruptcy proceeding by or against the Company or of Voltrek, LLC.</w:t>
      </w:r>
    </w:p>
    <w:p>
      <w:pPr>
        <w:spacing w:after="0" w:line="73" w:lineRule="exact"/>
        <w:rPr>
          <w:sz w:val="20"/>
          <w:szCs w:val="20"/>
          <w:color w:val="auto"/>
        </w:rPr>
      </w:pPr>
    </w:p>
    <w:p>
      <w:pPr>
        <w:ind w:left="4060" w:right="100"/>
        <w:spacing w:after="0" w:line="245" w:lineRule="auto"/>
        <w:rPr>
          <w:sz w:val="20"/>
          <w:szCs w:val="20"/>
          <w:color w:val="auto"/>
        </w:rPr>
      </w:pPr>
      <w:r>
        <w:rPr>
          <w:rFonts w:ascii="Times New Roman" w:cs="Times New Roman" w:eastAsia="Times New Roman" w:hAnsi="Times New Roman"/>
          <w:sz w:val="21"/>
          <w:szCs w:val="21"/>
          <w:color w:val="auto"/>
        </w:rPr>
        <w:t>Subject to the terms of the Subordination Agreement, if there is any uncured default under the Note and Loan Agreement, including an uncured payment default under the Senior Subordinated Loan, or if there is an uncured default under the Senior Debt and the Senior Debt is accelerated, Final Frontier may deliver written notice to the Company of its intention to accelerate the maturity of the Senior Subordinated Loan and, if the Company has not cured such default within 15 days after receiving such notice, then the unpaid Loan Amount (together with all accrued and unpaid interest thereon) shall, at the option of Final Frontier and subject to the Subordination Agreement, mature and become immediately due and payable.</w:t>
      </w:r>
    </w:p>
    <w:p>
      <w:pPr>
        <w:spacing w:after="0" w:line="66" w:lineRule="exact"/>
        <w:rPr>
          <w:sz w:val="20"/>
          <w:szCs w:val="20"/>
          <w:color w:val="auto"/>
        </w:rPr>
      </w:pPr>
    </w:p>
    <w:p>
      <w:pPr>
        <w:ind w:left="4060" w:right="100"/>
        <w:spacing w:after="0" w:line="234" w:lineRule="auto"/>
        <w:rPr>
          <w:sz w:val="20"/>
          <w:szCs w:val="20"/>
          <w:color w:val="auto"/>
        </w:rPr>
      </w:pPr>
      <w:r>
        <w:rPr>
          <w:rFonts w:ascii="Times New Roman" w:cs="Times New Roman" w:eastAsia="Times New Roman" w:hAnsi="Times New Roman"/>
          <w:sz w:val="22"/>
          <w:szCs w:val="22"/>
          <w:color w:val="auto"/>
        </w:rPr>
        <w:t>All restrictive covenants (e.g., non-compete, non-solicit and management support covenant, but not any confidentiality covenants) applicable to Final Frontier or Ms. Connors shall automatically lapse in the event of an uncured and continuing event of default under the Note and Loan Agreement that either results in the Senior Subordinated Loan being accelerated or gives Final Frontier the right to accelerate the Senior Subordinated Loan but for the restrictions under the Subordination Agreement.</w:t>
      </w:r>
    </w:p>
    <w:p>
      <w:pPr>
        <w:spacing w:after="0" w:line="200" w:lineRule="exact"/>
        <w:rPr>
          <w:sz w:val="20"/>
          <w:szCs w:val="20"/>
          <w:color w:val="auto"/>
        </w:rPr>
      </w:pPr>
    </w:p>
    <w:p>
      <w:pPr>
        <w:spacing w:after="0" w:line="2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761365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60"/>
          </w:cols>
          <w:pgMar w:left="1440" w:top="1219" w:right="799" w:bottom="1440" w:gutter="0" w:footer="0" w:header="0"/>
        </w:sectPr>
      </w:pPr>
    </w:p>
    <w:bookmarkStart w:id="99" w:name="page100"/>
    <w:bookmarkEnd w:id="99"/>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68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Customary affirmative and negative covenants will be included</w:t>
            </w:r>
          </w:p>
        </w:tc>
      </w:tr>
      <w:tr>
        <w:trPr>
          <w:trHeight w:val="243"/>
        </w:trPr>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in the Note and Loan Agreement similar to those contained in</w:t>
            </w:r>
          </w:p>
        </w:tc>
      </w:tr>
      <w:tr>
        <w:trPr>
          <w:trHeight w:val="282"/>
        </w:trPr>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the Senior Debt.</w:t>
            </w:r>
          </w:p>
        </w:tc>
      </w:tr>
      <w:tr>
        <w:trPr>
          <w:trHeight w:val="312"/>
        </w:trPr>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Final Frontier will be simultaneously provided with the same</w:t>
            </w:r>
          </w:p>
        </w:tc>
      </w:tr>
      <w:tr>
        <w:trPr>
          <w:trHeight w:val="243"/>
        </w:trPr>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reports and notices provided to the holder of the Senior Debt</w:t>
            </w:r>
          </w:p>
        </w:tc>
      </w:tr>
      <w:tr>
        <w:trPr>
          <w:trHeight w:val="282"/>
        </w:trPr>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(exclusive of borrowing base certificates and similar reports).</w:t>
            </w:r>
          </w:p>
        </w:tc>
      </w:tr>
      <w:tr>
        <w:trPr>
          <w:trHeight w:val="312"/>
        </w:trPr>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The Note and Loan Agreement will contain a full mutual release</w:t>
            </w:r>
          </w:p>
        </w:tc>
      </w:tr>
      <w:tr>
        <w:trPr>
          <w:trHeight w:val="243"/>
        </w:trPr>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of all claims relating to the purchase of Voltrek, LLC under the</w:t>
            </w:r>
          </w:p>
        </w:tc>
      </w:tr>
      <w:tr>
        <w:trPr>
          <w:trHeight w:val="243"/>
        </w:trPr>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Purchase Agreement, including the earn-out calculation and</w:t>
            </w:r>
          </w:p>
        </w:tc>
      </w:tr>
      <w:tr>
        <w:trPr>
          <w:trHeight w:val="243"/>
        </w:trPr>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payment terms which are being replaced by the terms reflected</w:t>
            </w:r>
          </w:p>
        </w:tc>
      </w:tr>
      <w:tr>
        <w:trPr>
          <w:trHeight w:val="243"/>
        </w:trPr>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in this Term Sheet, but subject to the determination of the</w:t>
            </w:r>
          </w:p>
        </w:tc>
      </w:tr>
      <w:tr>
        <w:trPr>
          <w:trHeight w:val="243"/>
        </w:trPr>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Finally Determined Obligation pursuant to the arbitration</w:t>
            </w:r>
          </w:p>
        </w:tc>
      </w:tr>
      <w:tr>
        <w:trPr>
          <w:trHeight w:val="243"/>
        </w:trPr>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process described in Section 8 below, which will be excluded</w:t>
            </w:r>
          </w:p>
        </w:tc>
      </w:tr>
      <w:tr>
        <w:trPr>
          <w:trHeight w:val="282"/>
        </w:trPr>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from the mutual release.</w:t>
            </w:r>
          </w:p>
        </w:tc>
      </w:tr>
      <w:tr>
        <w:trPr>
          <w:trHeight w:val="312"/>
        </w:trPr>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Subject to a mutually acceptable confidentiality agreement, for</w:t>
            </w:r>
          </w:p>
        </w:tc>
      </w:tr>
      <w:tr>
        <w:trPr>
          <w:trHeight w:val="243"/>
        </w:trPr>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as long as amounts are outstanding under the Note and Loan</w:t>
            </w:r>
          </w:p>
        </w:tc>
      </w:tr>
      <w:tr>
        <w:trPr>
          <w:trHeight w:val="243"/>
        </w:trPr>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Agreement, Ms. Connors shall be entitled to attend, as an</w:t>
            </w:r>
          </w:p>
        </w:tc>
      </w:tr>
      <w:tr>
        <w:trPr>
          <w:trHeight w:val="243"/>
        </w:trPr>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observer, the portions of all regularly scheduled quarterly</w:t>
            </w:r>
          </w:p>
        </w:tc>
      </w:tr>
      <w:tr>
        <w:trPr>
          <w:trHeight w:val="243"/>
        </w:trPr>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Company Board meetings that are otherwise attended by other</w:t>
            </w:r>
          </w:p>
        </w:tc>
      </w:tr>
      <w:tr>
        <w:trPr>
          <w:trHeight w:val="282"/>
        </w:trPr>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operational non-director management members.</w:t>
            </w:r>
          </w:p>
        </w:tc>
      </w:tr>
      <w:tr>
        <w:trPr>
          <w:trHeight w:val="312"/>
        </w:trPr>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During the term of the Note and Loan Agreement, Final Frontier</w:t>
            </w:r>
          </w:p>
        </w:tc>
      </w:tr>
      <w:tr>
        <w:trPr>
          <w:trHeight w:val="243"/>
        </w:trPr>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and Ms. Connors shall agree to a stock ownership management</w:t>
            </w:r>
          </w:p>
        </w:tc>
      </w:tr>
      <w:tr>
        <w:trPr>
          <w:trHeight w:val="243"/>
        </w:trPr>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support covenant in the form attached as Exhibit A, which shall</w:t>
            </w:r>
          </w:p>
        </w:tc>
      </w:tr>
      <w:tr>
        <w:trPr>
          <w:trHeight w:val="282"/>
        </w:trPr>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apply only for the Applicable Period (as defined on Exhibit A).</w:t>
            </w:r>
          </w:p>
        </w:tc>
      </w:tr>
      <w:tr>
        <w:trPr>
          <w:trHeight w:val="663"/>
        </w:trPr>
        <w:tc>
          <w:tcPr>
            <w:tcW w:w="9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5.</w:t>
            </w:r>
          </w:p>
        </w:tc>
        <w:tc>
          <w:tcPr>
            <w:tcW w:w="3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Key Employee Employment</w:t>
            </w:r>
          </w:p>
        </w:tc>
        <w:tc>
          <w:tcPr>
            <w:tcW w:w="68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Ms. Connors and the Company will separately discuss a</w:t>
            </w:r>
          </w:p>
        </w:tc>
      </w:tr>
      <w:tr>
        <w:trPr>
          <w:trHeight w:val="243"/>
        </w:trPr>
        <w:tc>
          <w:tcPr>
            <w:tcW w:w="920" w:type="dxa"/>
            <w:vAlign w:val="bottom"/>
          </w:tcPr>
          <w:p>
            <w:pPr>
              <w:spacing w:after="0"/>
              <w:rPr>
                <w:sz w:val="21"/>
                <w:szCs w:val="21"/>
                <w:color w:val="auto"/>
              </w:rPr>
            </w:pPr>
          </w:p>
        </w:tc>
        <w:tc>
          <w:tcPr>
            <w:tcW w:w="35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(“Employment Agreement”):</w:t>
            </w:r>
          </w:p>
        </w:tc>
        <w:tc>
          <w:tcPr>
            <w:tcW w:w="68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mutually acceptable Employment Agreement in the form and</w:t>
            </w:r>
          </w:p>
        </w:tc>
      </w:tr>
      <w:tr>
        <w:trPr>
          <w:trHeight w:val="282"/>
        </w:trPr>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content to be mutually determined.</w:t>
            </w:r>
          </w:p>
        </w:tc>
      </w:tr>
      <w:tr>
        <w:trPr>
          <w:trHeight w:val="702"/>
        </w:trPr>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6</w:t>
            </w:r>
          </w:p>
        </w:tc>
      </w:tr>
      <w:tr>
        <w:trPr>
          <w:trHeight w:val="1197"/>
        </w:trPr>
        <w:tc>
          <w:tcPr>
            <w:tcW w:w="9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84"/>
              </w:rPr>
              <w:t>6.</w:t>
            </w:r>
          </w:p>
        </w:tc>
        <w:tc>
          <w:tcPr>
            <w:tcW w:w="2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Expenses:</w:t>
            </w:r>
          </w:p>
        </w:tc>
        <w:tc>
          <w:tcPr>
            <w:tcW w:w="68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7"/>
              </w:rPr>
              <w:t>Each party will be responsible for their own costs and expenses;</w:t>
            </w:r>
          </w:p>
        </w:tc>
      </w:tr>
      <w:tr>
        <w:trPr>
          <w:trHeight w:val="243"/>
        </w:trPr>
        <w:tc>
          <w:tcPr>
            <w:tcW w:w="4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68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provided that the Company will reimburse Final Frontier and</w:t>
            </w:r>
          </w:p>
        </w:tc>
      </w:tr>
      <w:tr>
        <w:trPr>
          <w:trHeight w:val="243"/>
        </w:trPr>
        <w:tc>
          <w:tcPr>
            <w:tcW w:w="4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68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w w:val="98"/>
              </w:rPr>
              <w:t>Ms. Connors for their legal fees incurred in connection with the</w:t>
            </w:r>
          </w:p>
        </w:tc>
      </w:tr>
      <w:tr>
        <w:trPr>
          <w:trHeight w:val="243"/>
        </w:trPr>
        <w:tc>
          <w:tcPr>
            <w:tcW w:w="4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68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w w:val="98"/>
              </w:rPr>
              <w:t>transactions contemplated by this Term Sheet up to a maximum</w:t>
            </w:r>
          </w:p>
        </w:tc>
      </w:tr>
      <w:tr>
        <w:trPr>
          <w:trHeight w:val="282"/>
        </w:trPr>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amount of $85,000.</w:t>
            </w:r>
          </w:p>
        </w:tc>
      </w:tr>
      <w:tr>
        <w:trPr>
          <w:trHeight w:val="663"/>
        </w:trPr>
        <w:tc>
          <w:tcPr>
            <w:tcW w:w="4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84"/>
              </w:rPr>
              <w:t>7.</w:t>
            </w:r>
          </w:p>
        </w:tc>
        <w:tc>
          <w:tcPr>
            <w:tcW w:w="2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Documentation:</w:t>
            </w:r>
          </w:p>
        </w:tc>
        <w:tc>
          <w:tcPr>
            <w:tcW w:w="68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8"/>
              </w:rPr>
              <w:t>The terms of this Term Sheet will be more fully documented as</w:t>
            </w:r>
          </w:p>
        </w:tc>
      </w:tr>
      <w:tr>
        <w:trPr>
          <w:trHeight w:val="282"/>
        </w:trPr>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follows (collectively, the “Documentation”):</w:t>
            </w:r>
          </w:p>
        </w:tc>
      </w:tr>
    </w:tbl>
    <w:p>
      <w:pPr>
        <w:spacing w:after="0" w:line="6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(a)Note and Loan Agreement</w:t>
      </w:r>
    </w:p>
    <w:p>
      <w:pPr>
        <w:spacing w:after="0" w:line="9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(b)Subordination Agreement</w:t>
      </w:r>
    </w:p>
    <w:p>
      <w:pPr>
        <w:spacing w:after="0" w:line="9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(c)Employment Agreement</w:t>
      </w:r>
    </w:p>
    <w:p>
      <w:pPr>
        <w:spacing w:after="0" w:line="9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(d)Stock Ownership Management Support Agreement</w:t>
      </w:r>
    </w:p>
    <w:p>
      <w:pPr>
        <w:spacing w:after="0" w:line="1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(containing only the covenant set forth on Exhibit A)</w:t>
      </w:r>
    </w:p>
    <w:p>
      <w:pPr>
        <w:spacing w:after="0" w:line="7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(e)Confidentiality Agreement</w:t>
      </w:r>
    </w:p>
    <w:p>
      <w:pPr>
        <w:spacing w:after="0" w:line="9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(f)Ancillary Agreements as mutually agreed</w:t>
      </w:r>
    </w:p>
    <w:p>
      <w:pPr>
        <w:spacing w:after="0" w:line="98" w:lineRule="exact"/>
        <w:rPr>
          <w:sz w:val="20"/>
          <w:szCs w:val="20"/>
          <w:color w:val="auto"/>
        </w:rPr>
      </w:pPr>
    </w:p>
    <w:p>
      <w:pPr>
        <w:ind w:left="4700" w:right="20"/>
        <w:spacing w:after="0" w:line="244" w:lineRule="auto"/>
        <w:rPr>
          <w:sz w:val="20"/>
          <w:szCs w:val="20"/>
          <w:color w:val="auto"/>
        </w:rPr>
      </w:pPr>
      <w:r>
        <w:rPr>
          <w:rFonts w:ascii="Times New Roman" w:cs="Times New Roman" w:eastAsia="Times New Roman" w:hAnsi="Times New Roman"/>
          <w:sz w:val="21"/>
          <w:szCs w:val="21"/>
          <w:color w:val="auto"/>
        </w:rPr>
        <w:t>Subject to the consent of Bank of America, the parties will use their commercially reasonable best efforts to execute mutually satisfactory Documentation within 30-days of the execution of this Term Sheet. Prior to completion of the Documentation and subject to any executed Subordination Agreement, Final Frontier will also be allowed to accelerate the due date of the Subordinated Loan Amount (a) if Bank of America accelerates the maturity date of its Senior Debt; (b) within 10 business days of any sale of the Company or Voltrek; (c) immediately upon the filing of any insolvency or bankruptcy proceeding by or against the Company or Voltrek; (d) if the FY24 Earn- Out Payment is not paid by the close of business on August 1, 2025; or (e) if any payment of interest or principal is not made within 15 days after the scheduled due date for such payment.</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761365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800" w:top="1440" w:right="859" w:bottom="1440" w:gutter="0" w:footer="0" w:header="0"/>
        </w:sectPr>
      </w:pPr>
    </w:p>
    <w:bookmarkStart w:id="101" w:name="page102"/>
    <w:bookmarkEnd w:id="101"/>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84"/>
              </w:rPr>
              <w:t>8.</w:t>
            </w:r>
          </w:p>
        </w:tc>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Arbitration:</w:t>
            </w:r>
          </w:p>
        </w:tc>
        <w:tc>
          <w:tcPr>
            <w:tcW w:w="704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The Company shall provide Final Frontier with an Earn Out</w:t>
            </w:r>
          </w:p>
        </w:tc>
      </w:tr>
      <w:tr>
        <w:trPr>
          <w:trHeight w:val="243"/>
        </w:trPr>
        <w:tc>
          <w:tcPr>
            <w:tcW w:w="4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704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w w:val="98"/>
              </w:rPr>
              <w:t>Statement reflecting its determination of the total amount of the</w:t>
            </w:r>
          </w:p>
        </w:tc>
      </w:tr>
      <w:tr>
        <w:trPr>
          <w:trHeight w:val="243"/>
        </w:trPr>
        <w:tc>
          <w:tcPr>
            <w:tcW w:w="4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704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w w:val="97"/>
              </w:rPr>
              <w:t>Obligation by July 7, 2025 and Final Frontier shall then have 30</w:t>
            </w:r>
          </w:p>
        </w:tc>
      </w:tr>
      <w:tr>
        <w:trPr>
          <w:trHeight w:val="267"/>
        </w:trPr>
        <w:tc>
          <w:tcPr>
            <w:tcW w:w="44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704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days to dispute such determination. If so disputed by Final</w:t>
            </w:r>
          </w:p>
        </w:tc>
      </w:tr>
    </w:tbl>
    <w:p>
      <w:pPr>
        <w:ind w:left="4700"/>
        <w:spacing w:after="0" w:line="231" w:lineRule="auto"/>
        <w:rPr>
          <w:sz w:val="20"/>
          <w:szCs w:val="20"/>
          <w:color w:val="auto"/>
        </w:rPr>
      </w:pPr>
      <w:r>
        <w:rPr>
          <w:rFonts w:ascii="Times New Roman" w:cs="Times New Roman" w:eastAsia="Times New Roman" w:hAnsi="Times New Roman"/>
          <w:sz w:val="22"/>
          <w:szCs w:val="22"/>
          <w:color w:val="auto"/>
        </w:rPr>
        <w:t>Frontier, thereafter, the parties shall attempt in good faith to resolve any such dispute over the next 30 days. If the parties cannot mutually agree on the amount of the Obligation during such 30-day period, then either party may submit the dispute to binding arbitration and final determination by Wipfli LLP pursuant to the terms and conditions set forth in Section 2.07(b) and 2.05(c) of the Purchase Agreement (the “Wipfli Resolution Process”); provided, however, that if Wipfli LLP advises the parties in writing that it cannot resolve one or more issues subject to such dispute, then either party may submit such issue(s) to binding arbitration pursuant to Article VIII of the Purchase Agreement (the “AAA Arbitration Process”) and the other party shall participate in such AAA Arbitration Process without the need for the parties to first comply with the negotiation provisions in Section 8.01 of the Purchase Agreement. If the resolution of the issue(s) submitted to the AAA Arbitration Process is necessary in order for Wipfli LLP to finally determine the Obligation, then the Wipfli Resolution Process shall be suspended until a final determination is rendered in the AAA Arbitration Process whereupon Wipfli LLP shall render its determination of the Obligation based on the determination of the arbitrator of issue(s) submitted to the AAA Arbitration Process.</w:t>
      </w:r>
    </w:p>
    <w:p>
      <w:pPr>
        <w:spacing w:after="0" w:line="73" w:lineRule="exact"/>
        <w:rPr>
          <w:sz w:val="20"/>
          <w:szCs w:val="20"/>
          <w:color w:val="auto"/>
        </w:rPr>
      </w:pPr>
    </w:p>
    <w:p>
      <w:pPr>
        <w:ind w:left="4700" w:right="60"/>
        <w:spacing w:after="0" w:line="249" w:lineRule="auto"/>
        <w:rPr>
          <w:sz w:val="20"/>
          <w:szCs w:val="20"/>
          <w:color w:val="auto"/>
        </w:rPr>
      </w:pPr>
      <w:r>
        <w:rPr>
          <w:rFonts w:ascii="Times New Roman" w:cs="Times New Roman" w:eastAsia="Times New Roman" w:hAnsi="Times New Roman"/>
          <w:sz w:val="21"/>
          <w:szCs w:val="21"/>
          <w:color w:val="auto"/>
        </w:rPr>
        <w:t>The finally determined amount of the Obligation as determined by mutual agreement of the Company and Final Frontier or, failing such mutual agreement, as determined pursuant to the Wipfli Resolution Process and, if applicable, the AAA Arbitration Process referenced in this Section 8 shall be referred to in this Term Sheet as the “Finally Determined Obligation.”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761365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800" w:top="1440" w:right="799" w:bottom="1440" w:gutter="0" w:footer="0" w:header="0"/>
        </w:sectPr>
      </w:pPr>
    </w:p>
    <w:bookmarkStart w:id="102" w:name="page103"/>
    <w:bookmarkEnd w:id="102"/>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Follows]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740410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3" w:name="page104"/>
    <w:bookmarkEnd w:id="103"/>
    <w:p>
      <w:pPr>
        <w:ind w:firstLine="749"/>
        <w:spacing w:after="0" w:line="258" w:lineRule="auto"/>
        <w:rPr>
          <w:sz w:val="20"/>
          <w:szCs w:val="20"/>
          <w:color w:val="auto"/>
        </w:rPr>
      </w:pPr>
      <w:r>
        <w:rPr>
          <w:rFonts w:ascii="Times New Roman" w:cs="Times New Roman" w:eastAsia="Times New Roman" w:hAnsi="Times New Roman"/>
          <w:sz w:val="22"/>
          <w:szCs w:val="22"/>
          <w:color w:val="auto"/>
        </w:rPr>
        <w:t>This Term Sheet is effective as of the date set forth above. This Term Sheet may be executed in counterparts and with digital or electronic 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Sally A. Washlow</w:t>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Sally A. Washlow</w:t>
      </w:r>
    </w:p>
    <w:p>
      <w:pPr>
        <w:ind w:left="48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MS. CONNORS: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Kathleen M. Connors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Kathleen M. Connors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FINAL FRONTIER, LLC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Kathleen M. Connors</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Kathleen M. Connors,</w:t>
      </w:r>
    </w:p>
    <w:p>
      <w:pPr>
        <w:ind w:left="380"/>
        <w:spacing w:after="0"/>
        <w:rPr>
          <w:sz w:val="20"/>
          <w:szCs w:val="20"/>
          <w:color w:val="auto"/>
        </w:rPr>
      </w:pPr>
      <w:r>
        <w:rPr>
          <w:rFonts w:ascii="Times New Roman" w:cs="Times New Roman" w:eastAsia="Times New Roman" w:hAnsi="Times New Roman"/>
          <w:sz w:val="22"/>
          <w:szCs w:val="22"/>
          <w:b w:val="1"/>
          <w:bCs w:val="1"/>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4080510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700" w:top="1408" w:right="1059" w:bottom="1440" w:gutter="0" w:footer="0" w:header="0"/>
        </w:sectPr>
      </w:pPr>
    </w:p>
    <w:bookmarkStart w:id="104" w:name="page105"/>
    <w:bookmarkEnd w:id="104"/>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[Term Sheet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725805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5" w:name="page106"/>
    <w:bookmarkEnd w:id="105"/>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u w:val="single" w:color="auto"/>
          <w:color w:val="auto"/>
        </w:rPr>
        <w:t>Exhibit A Management Support</w:t>
      </w:r>
    </w:p>
    <w:p>
      <w:pPr>
        <w:spacing w:after="0" w:line="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u w:val="single" w:color="auto"/>
          <w:color w:val="auto"/>
        </w:rPr>
        <w:t>Covenant</w:t>
      </w:r>
    </w:p>
    <w:p>
      <w:pPr>
        <w:jc w:val="both"/>
        <w:spacing w:after="0" w:line="231" w:lineRule="auto"/>
        <w:rPr>
          <w:sz w:val="20"/>
          <w:szCs w:val="20"/>
          <w:color w:val="auto"/>
        </w:rPr>
      </w:pPr>
      <w:r>
        <w:rPr>
          <w:rFonts w:ascii="Times New Roman" w:cs="Times New Roman" w:eastAsia="Times New Roman" w:hAnsi="Times New Roman"/>
          <w:sz w:val="22"/>
          <w:szCs w:val="22"/>
          <w:color w:val="auto"/>
        </w:rPr>
        <w:t>Kathleen M. Connors and Final Frontier, LLC (collectively, the “Connors Parties”) agree that, during the Applicable Period (as defined below), the Connors Parties will not, directly or indirectly, (a) initiate, propose, support or otherwise participate in any offer to acquire, acquisition, merger, tender offer or other business combination transaction affecting the Company; (b) initiate, propose, support or otherwise participate in any proxy contest, proxy solicitation or shareholder proposal relating to the Company; or (c) attempt to influence or interfere or otherwise adversely affect the board of directors, management or affairs of the Company. During the Applicable Period, the Connors Parties agree to vote all shares of Company stock owned by them in favor of any recommendation of the Company’s board of directors that is submitted to a vote of the Company’s shareholders. “Applicable Period” means the period commencing on the date of the Term Sheet and ending on the earliest of the following to occur: (i) the repayment in full of the Senior Subordinated Loan; (ii) the maturity of the Senior Subordinated Loan; or (iii) the date that the Senior Subordinated Loan is accelerated or could be accelerated but for the restrictions under the Subordination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727075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1.Annual cash retainer: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2.Board meeting fee: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3.Committee meeting fee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4.Annual restricted stock grant:</w:t>
      </w:r>
    </w:p>
    <w:p>
      <w:pPr>
        <w:spacing w:after="0" w:line="333" w:lineRule="exact"/>
        <w:rPr>
          <w:sz w:val="20"/>
          <w:szCs w:val="20"/>
          <w:color w:val="auto"/>
        </w:rPr>
      </w:pPr>
    </w:p>
    <w:p>
      <w:pPr>
        <w:ind w:left="120" w:right="60" w:hanging="122"/>
        <w:spacing w:after="0" w:line="282" w:lineRule="auto"/>
        <w:rPr>
          <w:sz w:val="20"/>
          <w:szCs w:val="20"/>
          <w:color w:val="auto"/>
        </w:rPr>
      </w:pPr>
      <w:r>
        <w:rPr>
          <w:rFonts w:ascii="Times New Roman" w:cs="Times New Roman" w:eastAsia="Times New Roman" w:hAnsi="Times New Roman"/>
          <w:sz w:val="18"/>
          <w:szCs w:val="18"/>
          <w:color w:val="auto"/>
        </w:rPr>
        <w:t>5.Annual Independent Chair / Lead Director retainer:</w:t>
      </w:r>
    </w:p>
    <w:p>
      <w:pPr>
        <w:spacing w:after="0" w:line="54" w:lineRule="exact"/>
        <w:rPr>
          <w:sz w:val="20"/>
          <w:szCs w:val="20"/>
          <w:color w:val="auto"/>
        </w:rPr>
      </w:pPr>
    </w:p>
    <w:p>
      <w:pPr>
        <w:ind w:left="120" w:right="360" w:hanging="122"/>
        <w:spacing w:after="0" w:line="282" w:lineRule="auto"/>
        <w:rPr>
          <w:sz w:val="20"/>
          <w:szCs w:val="20"/>
          <w:color w:val="auto"/>
        </w:rPr>
      </w:pPr>
      <w:r>
        <w:rPr>
          <w:rFonts w:ascii="Times New Roman" w:cs="Times New Roman" w:eastAsia="Times New Roman" w:hAnsi="Times New Roman"/>
          <w:sz w:val="18"/>
          <w:szCs w:val="18"/>
          <w:color w:val="auto"/>
        </w:rPr>
        <w:t>6.Annual Audit and Finance Committee Chair retainer:</w:t>
      </w:r>
    </w:p>
    <w:p>
      <w:pPr>
        <w:spacing w:after="0" w:line="54" w:lineRule="exact"/>
        <w:rPr>
          <w:sz w:val="20"/>
          <w:szCs w:val="20"/>
          <w:color w:val="auto"/>
        </w:rPr>
      </w:pPr>
    </w:p>
    <w:p>
      <w:pPr>
        <w:ind w:left="120" w:right="200" w:hanging="122"/>
        <w:spacing w:after="0" w:line="282" w:lineRule="auto"/>
        <w:rPr>
          <w:sz w:val="20"/>
          <w:szCs w:val="20"/>
          <w:color w:val="auto"/>
        </w:rPr>
      </w:pPr>
      <w:r>
        <w:rPr>
          <w:rFonts w:ascii="Times New Roman" w:cs="Times New Roman" w:eastAsia="Times New Roman" w:hAnsi="Times New Roman"/>
          <w:sz w:val="18"/>
          <w:szCs w:val="18"/>
          <w:color w:val="auto"/>
        </w:rPr>
        <w:t>7.Annual Compensation Committee Chair retainer:</w:t>
      </w:r>
    </w:p>
    <w:p>
      <w:pPr>
        <w:spacing w:after="0" w:line="54" w:lineRule="exact"/>
        <w:rPr>
          <w:sz w:val="20"/>
          <w:szCs w:val="20"/>
          <w:color w:val="auto"/>
        </w:rPr>
      </w:pPr>
    </w:p>
    <w:p>
      <w:pPr>
        <w:ind w:left="120" w:right="300" w:hanging="122"/>
        <w:spacing w:after="0" w:line="282" w:lineRule="auto"/>
        <w:rPr>
          <w:sz w:val="20"/>
          <w:szCs w:val="20"/>
          <w:color w:val="auto"/>
        </w:rPr>
      </w:pPr>
      <w:r>
        <w:rPr>
          <w:rFonts w:ascii="Times New Roman" w:cs="Times New Roman" w:eastAsia="Times New Roman" w:hAnsi="Times New Roman"/>
          <w:sz w:val="18"/>
          <w:szCs w:val="18"/>
          <w:color w:val="auto"/>
        </w:rPr>
        <w:t>8.Annual Nominating and Corporate Governance Committee Chair retainer: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9.Reimburse out-of-pocket expenses:</w:t>
      </w:r>
    </w:p>
    <w:p>
      <w:pPr>
        <w:spacing w:after="0" w:line="117" w:lineRule="exact"/>
        <w:rPr>
          <w:sz w:val="20"/>
          <w:szCs w:val="20"/>
          <w:color w:val="auto"/>
        </w:rPr>
      </w:pPr>
    </w:p>
    <w:p>
      <w:pPr>
        <w:ind w:left="220" w:hanging="205"/>
        <w:spacing w:after="0" w:line="282" w:lineRule="auto"/>
        <w:rPr>
          <w:sz w:val="20"/>
          <w:szCs w:val="20"/>
          <w:color w:val="auto"/>
        </w:rPr>
      </w:pPr>
      <w:r>
        <w:rPr>
          <w:rFonts w:ascii="Times New Roman" w:cs="Times New Roman" w:eastAsia="Times New Roman" w:hAnsi="Times New Roman"/>
          <w:sz w:val="18"/>
          <w:szCs w:val="18"/>
          <w:color w:val="auto"/>
        </w:rPr>
        <w:t>10.Non-Employee Director Early Retirement Plan</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18" w:lineRule="exact"/>
        <w:rPr>
          <w:sz w:val="20"/>
          <w:szCs w:val="20"/>
          <w:color w:val="auto"/>
        </w:rPr>
      </w:pPr>
    </w:p>
    <w:p>
      <w:pPr>
        <w:jc w:val="center"/>
        <w:ind w:right="3600"/>
        <w:spacing w:after="0"/>
        <w:rPr>
          <w:sz w:val="20"/>
          <w:szCs w:val="20"/>
          <w:color w:val="auto"/>
        </w:rPr>
      </w:pPr>
      <w:r>
        <w:rPr>
          <w:rFonts w:ascii="Times New Roman" w:cs="Times New Roman" w:eastAsia="Times New Roman" w:hAnsi="Times New Roman"/>
          <w:sz w:val="22"/>
          <w:szCs w:val="22"/>
          <w:color w:val="auto"/>
        </w:rPr>
        <w:t>Orion Energy Systems, Inc.</w:t>
      </w:r>
    </w:p>
    <w:p>
      <w:pPr>
        <w:jc w:val="center"/>
        <w:ind w:right="3600"/>
        <w:spacing w:after="0" w:line="230" w:lineRule="auto"/>
        <w:rPr>
          <w:sz w:val="20"/>
          <w:szCs w:val="20"/>
          <w:color w:val="auto"/>
        </w:rPr>
      </w:pPr>
      <w:r>
        <w:rPr>
          <w:rFonts w:ascii="Times New Roman" w:cs="Times New Roman" w:eastAsia="Times New Roman" w:hAnsi="Times New Roman"/>
          <w:sz w:val="22"/>
          <w:szCs w:val="22"/>
          <w:color w:val="auto"/>
        </w:rPr>
        <w:t>Non-Employee Director Compensation Plan</w:t>
      </w:r>
    </w:p>
    <w:p>
      <w:pPr>
        <w:spacing w:after="0" w:line="1" w:lineRule="exact"/>
        <w:rPr>
          <w:sz w:val="20"/>
          <w:szCs w:val="20"/>
          <w:color w:val="auto"/>
        </w:rPr>
      </w:pPr>
    </w:p>
    <w:p>
      <w:pPr>
        <w:jc w:val="center"/>
        <w:ind w:right="3600"/>
        <w:spacing w:after="0"/>
        <w:rPr>
          <w:sz w:val="20"/>
          <w:szCs w:val="20"/>
          <w:color w:val="auto"/>
        </w:rPr>
      </w:pPr>
      <w:r>
        <w:rPr>
          <w:rFonts w:ascii="Times New Roman" w:cs="Times New Roman" w:eastAsia="Times New Roman" w:hAnsi="Times New Roman"/>
          <w:sz w:val="22"/>
          <w:szCs w:val="22"/>
          <w:color w:val="auto"/>
        </w:rPr>
        <w:t>Updated and Effective February 16, 2023</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$45,000 (cash or stock) ($11,250 paid quarterly)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$50,000 grant date fair market value (option to accept tandem restricted stock (60%) and restricted cash (40%))</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$40,000 (cash or stock)</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($10,000 paid quarterly)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 (cash or stock)</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($7,500 paid quarterly)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(cash or stock)</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($5,000 paid quarterly)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(cash or stock)</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($5,000 paid quarterly)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w:t>
      </w:r>
    </w:p>
    <w:p>
      <w:pPr>
        <w:spacing w:after="0" w:line="117" w:lineRule="exact"/>
        <w:rPr>
          <w:sz w:val="20"/>
          <w:szCs w:val="20"/>
          <w:color w:val="auto"/>
        </w:rPr>
      </w:pPr>
    </w:p>
    <w:p>
      <w:pPr>
        <w:jc w:val="both"/>
        <w:ind w:left="260" w:right="100" w:hanging="258"/>
        <w:spacing w:after="0" w:line="254"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recommendation of the Compensation Committee and the approval of the Board of Directors, any non-employee director who voluntarily retires from the Board prior to the end of his or her stated term or who voluntarily decides not to stand for re-election at the end of his or her stated term will be entitled to continued vesting of up to all of his or her then outstanding unvested restricted stock, restricted cash and options on the dates when such vesting would otherwise occur if such director remained on the Board on such dates, subject to such additional terms and conditions, if any, as may be determined necessary or appropriate by the Compensation Committee and the Board of Directors.</w:t>
      </w:r>
    </w:p>
    <w:p>
      <w:pPr>
        <w:spacing w:after="0" w:line="83" w:lineRule="exact"/>
        <w:rPr>
          <w:rFonts w:ascii="Times New Roman" w:cs="Times New Roman" w:eastAsia="Times New Roman" w:hAnsi="Times New Roman"/>
          <w:sz w:val="18"/>
          <w:szCs w:val="18"/>
          <w:color w:val="auto"/>
        </w:rPr>
      </w:pPr>
    </w:p>
    <w:p>
      <w:pPr>
        <w:jc w:val="both"/>
        <w:ind w:left="260" w:right="100" w:hanging="258"/>
        <w:spacing w:after="0" w:line="255"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recommendation of the Compensation Committee and approval by the Board of Directors, any non-employee director who voluntarily retires from the Board prior to the end of his or her stated term or who voluntarily decides not to stand for re-election at the end of his or her stated term will be entitled to receive a services fee of $200 per hour for any time spent at the request of the Company on Company-related matters, plus reimbursement for all out-of-pocket expenses, subject to such additional terms and conditions, if any, as may be determined necessary or appropriate by the Compensation Committee and the Board of Directors.</w:t>
      </w:r>
    </w:p>
    <w:p>
      <w:pPr>
        <w:spacing w:after="0" w:line="80" w:lineRule="exact"/>
        <w:rPr>
          <w:rFonts w:ascii="Times New Roman" w:cs="Times New Roman" w:eastAsia="Times New Roman" w:hAnsi="Times New Roman"/>
          <w:sz w:val="18"/>
          <w:szCs w:val="18"/>
          <w:color w:val="auto"/>
        </w:rPr>
      </w:pPr>
    </w:p>
    <w:p>
      <w:pPr>
        <w:jc w:val="both"/>
        <w:ind w:left="260" w:right="100" w:hanging="258"/>
        <w:spacing w:after="0" w:line="255"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approval of the Compensation Committee, any non-employee director who voluntarily retires from the Board prior to the end of his or her stated term or who voluntarily decides not to stand for re-election at the end of his or her stated term will be entitled to an extension of the terms of all vested stock options until dates determined by the Compensation Committee that shall not exceed the dates on which such term would have otherwise expired if such director remained on the Board on such dates, subject to such additional terms and conditions, if any, as may be determined necessary or appropriate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753110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240" w:space="260"/>
            <w:col w:w="7640"/>
          </w:cols>
          <w:pgMar w:left="420" w:top="1440" w:right="339" w:bottom="1440" w:gutter="0" w:footer="0" w:header="0"/>
        </w:sectPr>
      </w:pPr>
    </w:p>
    <w:bookmarkStart w:id="107" w:name="page108"/>
    <w:bookmarkEnd w:id="107"/>
    <w:p>
      <w:pPr>
        <w:ind w:left="10160"/>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1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22"/>
          <w:szCs w:val="22"/>
          <w:color w:val="auto"/>
        </w:rPr>
        <w:t>Grantee: ______________</w:t>
      </w:r>
    </w:p>
    <w:p>
      <w:pPr>
        <w:ind w:left="8600"/>
        <w:spacing w:after="0" w:line="230" w:lineRule="auto"/>
        <w:rPr>
          <w:sz w:val="20"/>
          <w:szCs w:val="20"/>
          <w:color w:val="auto"/>
        </w:rPr>
      </w:pPr>
      <w:r>
        <w:rPr>
          <w:rFonts w:ascii="Times New Roman" w:cs="Times New Roman" w:eastAsia="Times New Roman" w:hAnsi="Times New Roman"/>
          <w:sz w:val="22"/>
          <w:szCs w:val="22"/>
          <w:color w:val="auto"/>
        </w:rPr>
        <w:t>Grant Date: ______________</w:t>
      </w:r>
    </w:p>
    <w:p>
      <w:pPr>
        <w:spacing w:after="0" w:line="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21"/>
          <w:szCs w:val="21"/>
          <w:color w:val="auto"/>
        </w:rPr>
        <w:t>No. of Performance Shares: ______________</w:t>
      </w:r>
    </w:p>
    <w:p>
      <w:pPr>
        <w:spacing w:after="0" w:line="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21"/>
          <w:szCs w:val="21"/>
          <w:color w:val="auto"/>
        </w:rPr>
        <w:t>Amount of Restricted Cash: $_____________</w:t>
      </w:r>
    </w:p>
    <w:p>
      <w:pPr>
        <w:spacing w:after="0" w:line="13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2016 OMNIBUS INCENTIVE PLAN</w:t>
      </w:r>
    </w:p>
    <w:p>
      <w:pPr>
        <w:spacing w:after="0" w:line="1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TANDEM PERFORMANCE SHARE AND CASH AWARD AGREEMENT</w:t>
      </w:r>
    </w:p>
    <w:p>
      <w:pPr>
        <w:spacing w:after="0" w:line="2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Grantee specified above (“Grantee”).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maintains the Orion Energy Systems, Inc. 2016 Omnibus Incentive Plan (the “Plan”), and Grantee has been selected by the Administrator to receive a Tandem Performance Share and Cash Award under the Plan; and</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WHEREAS, as a condition to the receipt by Grantee of this Tandem Performance Share and Cash Award, Grantee reaffirms and agrees to be bound by the confidentiality, inventions, non-solicitation and non-competition provisions set forth in prior agreements between the Grantee and the Company, which are incorporated by reference herein, in consideration for receipt of the Tandem Performance Share and Cash Award pursuant hereto, continued employment, and other good and valuable consideration.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02" w:lineRule="exact"/>
        <w:rPr>
          <w:sz w:val="20"/>
          <w:szCs w:val="20"/>
          <w:color w:val="auto"/>
        </w:rPr>
      </w:pPr>
    </w:p>
    <w:p>
      <w:pPr>
        <w:ind w:left="760" w:hanging="752"/>
        <w:spacing w:after="0"/>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Tandem Award of Performance Shares and Restricted Cash</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1.1Effective as of the Grant Date, the Company hereby grants to Grantee a tandem and coupled award of (i) the number of performance shares of the Company specified above (“Performance Shares”) and (ii) the amount of restricted cash specificized above (“Restricted Cash”), in each instance, subject to, and in accordance with, the restrictions, terms and conditions set forth in the Plan and this Agreement. Each Performance Share represents the potential right to receive a Share subject to, and in accordance with, the restrictions, terms and conditions set forth in the Plan and this Agreement.</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8" w:name="page109"/>
    <w:bookmarkEnd w:id="108"/>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1.3This Tandem Performance Share and Cash Award is conditioned upon Grantee’s acceptance of the terms of this Agreement and any other agreement incorporated herein, as evidenced by Grantee’s execution of this Agreement or by Grantee’s electronic acceptance of the Agreement in a manner and during the time period allowed by the Company. If the terms of this Agreement are not timely accepted by execution or by such electronic means, this Tandem Performance Share and Cash Award may be cancelled by the Administrator.</w:t>
      </w:r>
    </w:p>
    <w:p>
      <w:pPr>
        <w:spacing w:after="0" w:line="173" w:lineRule="exact"/>
        <w:rPr>
          <w:sz w:val="20"/>
          <w:szCs w:val="20"/>
          <w:color w:val="auto"/>
        </w:rPr>
      </w:pPr>
    </w:p>
    <w:p>
      <w:pPr>
        <w:ind w:left="760" w:hanging="752"/>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Performance Goals; Settlement</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2.1Subject to the terms of the Plan and this Agreement, if Grantee remains employed by the Company through the date (the “Vesting Date”) on which the Administrator determines the level of achievement of the performance goals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during the applicable performance period indicated therein, the percentage of the Performance Shares and Restricted Cash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each vest on the Vesting Date. The Administrator will determine the level of the performance goals achieved in its sole and absolute discretion following the end of the applicable performance period. Except as otherwise expressly provided herein, upon any termination of Grantee’s employment or service with the Company or a Subsidiary prior to the Vesting Date, the Performance Shares and Restricted Cash will be immediately and automatically forfeited without consideration. For purposes of this Agreement, employment with a Subsidiary of the Company or service as a member of the Board of Directors of the Company shall be considered employment or service with the Company. To the extent Performance Shares and Restricted Cash do not vest following the end of the applicable performance period based on the Administrator’s determination of the level of the performance goal achieved, such Performance Shares and Restricted Cash shall be immediately and automatically forfeited without consideration on the Vesting Date.</w:t>
      </w:r>
    </w:p>
    <w:p>
      <w:pPr>
        <w:spacing w:after="0" w:line="18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2.2As soon as reasonably practicable (and in no event later than thirty (30) days) following the vesting of the Performance Shares hereunder, the Company will issue to the Grantee one Share for each Performance Share that has vested. Any Restricted Cash (less any applicable withholding pursuant to Section 5) that vests following the end of the applicable performance period will be payable in cash in accordance with the Company’s standard payroll practices (provided that the vested Restricted Cash shall in no event be paid later than two and one-half (2 ½) months after the end of the year in which the Restricted Cash vests)). The Grantee will have no further rights with regard to a Performance Share or Restricted Cash, and such Performance Share and rights with respect to Restricted Cash will be deemed extinguished, once the Shares and cash related to this Tandem Performance Share and Cash Award have been issued or paid (or such Performance Share and Restricted Cash have been forfeited).</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2.3In the event, prior to vesting, (i) Grantee dies while actively employed by the Company, or (ii) Grantee has his or her employment terminated by reason of disability (within the meaning of Section 22(e)(3) of the Internal Revenue Code of 1986, as amended (the “Code”)) (“Disability”), the Performance Shares and Restricted Cash shall become fully vested and nonforfeitable as of the date of Grantee’s death or Disability.</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2.4In exchange for receipt of consideration in the form of this Tandem Performance Share and Cash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9" w:name="page110"/>
    <w:bookmarkEnd w:id="109"/>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2.5Except for death or Disability as provided in Section 2.3, or except as otherwise provided in a severance agreement with Grantee, if Grantee terminates his or her employment or if the Company terminates Grantee’s employment prior to vesting, the Performance Shares and the Restricted Cash shall each cease to be eligible to vest, all of the unvested Performance Shares and Restricted Cash shall be immediately forfeited and cancelled, and Grantee shall only be entitled to the Performance Shares and Restricted Cash that have vested as of his or her date of termination.</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2.6In the event of a Change of Control prior to vesting, the provisions of Section 17(c) of the Plan as in effect on the date hereof shall apply.</w:t>
      </w:r>
    </w:p>
    <w:p>
      <w:pPr>
        <w:spacing w:after="0" w:line="15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2.7Neither the Performance Shares nor the Restricted Cash may be sold, assigned, transferred, pledged, or otherwise encumbered,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58" w:lineRule="exact"/>
        <w:rPr>
          <w:sz w:val="20"/>
          <w:szCs w:val="20"/>
          <w:color w:val="auto"/>
        </w:rPr>
      </w:pPr>
    </w:p>
    <w:p>
      <w:pPr>
        <w:ind w:left="760" w:hanging="752"/>
        <w:spacing w:after="0"/>
        <w:tabs>
          <w:tab w:leader="none" w:pos="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No Dividends; No Voting; Interest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3.1The Company reserves the right to place a legend on any stock certificate(s), or an appropriate stop-transfer order in the case of book-entry registration, restricting the transferability of any Shares issued following the vesting of the Performance Shares and referring to the terms and conditions (including forfeiture) of this Agreement and the Plan.</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3.2Prior to the vesting of the Performance Shares in accordance with Section 2.1, the Plan and this Agreement, and the issuance of Shares hereunder, the Grantee shall have no rights as a shareholder with respect to the Performance Shares. Prior to the settlement of the Performance Shares, the Grantee shall not be entitled to receive any dividends or similar distributions declared on the Shares subject to the Performance Shares, and Grantee shall not be entitled to vote any Shares subject to the Performance Shares.</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3.3In the event of a stock split, stock dividend or other change in capitalization or another corporate event described in Section 17 of the Plan, the number and type of shares subject to this Agreement shall be adjusted by the Administrator to the extent provided in Section 17 of the Plan.</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3.4During the period the Restricted Cash is not vested, the Company shall not be required to segregate or otherwise set aside the Restricted Cash for the benefit of the Grantee and the Grantee shall not be entitled to receive any interest on such funds. In addition, the Grantee shall not have a security interest or any other interests or other rights as a creditor of the Company with respect to the Restricted Cash.</w:t>
      </w:r>
    </w:p>
    <w:p>
      <w:pPr>
        <w:spacing w:after="0" w:line="176" w:lineRule="exact"/>
        <w:rPr>
          <w:sz w:val="20"/>
          <w:szCs w:val="20"/>
          <w:color w:val="auto"/>
        </w:rPr>
      </w:pPr>
    </w:p>
    <w:p>
      <w:pPr>
        <w:ind w:left="760" w:hanging="752"/>
        <w:spacing w:after="0"/>
        <w:tabs>
          <w:tab w:leader="none" w:pos="7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Continued Employment or Additional Grants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 continuance of employment by the Company or a Subsidiary, nor shall this Agreement or the Plan interfere in any way with the right of the Company or a Subsidiary to terminate Grantee’s employment at any time or for any reason. The Plan may be terminated at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any time, and, even if the Plan is not terminated, Grantee shall not be entitled to any additional awards under the Plan.</w:t>
      </w:r>
    </w:p>
    <w:p>
      <w:pPr>
        <w:spacing w:after="0" w:line="202" w:lineRule="exact"/>
        <w:rPr>
          <w:sz w:val="20"/>
          <w:szCs w:val="20"/>
          <w:color w:val="auto"/>
        </w:rPr>
      </w:pPr>
    </w:p>
    <w:p>
      <w:pPr>
        <w:ind w:left="760" w:hanging="752"/>
        <w:spacing w:after="0"/>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 and Withholding</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Tandem Performance Share and Cash Award. In the event the Company or one of its Affiliates is required to withhold any Federal, state or local taxes or other amounts in respect of any income recognized by Grantee as a result of the grant, vesting, payment or settlement of, or other event relating to, this Tandem Performance Share and Cash Award or the issuance or disposition of any Shares acquired under this Tandem Performance Share and Cash Award, the Company may deduct (or require an Affiliate to deduct) from any payments of any kind otherwise due to Grantee in cash (including Restricted Cash), or with the consent of the Administrator, Shares otherwise deliverable or vesting under this Tandem Performance Share and Cash Award, to satisfy such tax or other obligations. Alternatively, the Company or its Affiliate may require Grantee to pay to the Company or its Affiliate, in cash, promptly on demand, or make other arrangements satisfactory to the Company or its Affiliate regarding the payment to the Company or its Affiliate of, the aggregate amount of any such taxes and other amounts.</w:t>
      </w:r>
    </w:p>
    <w:p>
      <w:pPr>
        <w:spacing w:after="0" w:line="175" w:lineRule="exact"/>
        <w:rPr>
          <w:sz w:val="20"/>
          <w:szCs w:val="20"/>
          <w:color w:val="auto"/>
        </w:rPr>
      </w:pPr>
    </w:p>
    <w:p>
      <w:pPr>
        <w:ind w:left="760" w:hanging="752"/>
        <w:spacing w:after="0"/>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Grantee hereby acknowledges and agrees to comply with and bound by all of the restrictive covenants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760" w:hanging="752"/>
        <w:spacing w:after="0"/>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Grantee Bound by the Plan</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 the terms and provisions thereof.</w:t>
      </w:r>
    </w:p>
    <w:p>
      <w:pPr>
        <w:spacing w:after="0" w:line="154" w:lineRule="exact"/>
        <w:rPr>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Agreement</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 only by mutual agreement of the parties in writing except as otherwise provided in Section 15 of the Plan.</w:t>
      </w:r>
    </w:p>
    <w:p>
      <w:pPr>
        <w:spacing w:after="0" w:line="154"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69" w:lineRule="exact"/>
        <w:rPr>
          <w:sz w:val="20"/>
          <w:szCs w:val="20"/>
          <w:color w:val="auto"/>
        </w:rPr>
      </w:pPr>
    </w:p>
    <w:p>
      <w:pPr>
        <w:ind w:left="760" w:hanging="752"/>
        <w:spacing w:after="0"/>
        <w:tabs>
          <w:tab w:leader="none" w:pos="7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p>
    <w:p>
      <w:pPr>
        <w:spacing w:after="0" w:line="21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21"/>
          <w:szCs w:val="21"/>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1" w:name="page112"/>
    <w:bookmarkEnd w:id="111"/>
    <w:p>
      <w:pPr>
        <w:ind w:left="760" w:hanging="752"/>
        <w:spacing w:after="0"/>
        <w:tabs>
          <w:tab w:leader="none" w:pos="7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in Interest</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58" w:lineRule="exact"/>
        <w:rPr>
          <w:sz w:val="20"/>
          <w:szCs w:val="20"/>
          <w:color w:val="auto"/>
        </w:rPr>
      </w:pPr>
    </w:p>
    <w:p>
      <w:pPr>
        <w:ind w:left="760" w:hanging="752"/>
        <w:spacing w:after="0"/>
        <w:tabs>
          <w:tab w:leader="none" w:pos="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Resolution of Disputes</w:t>
      </w:r>
    </w:p>
    <w:p>
      <w:pPr>
        <w:spacing w:after="0" w:line="21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69" w:lineRule="exact"/>
        <w:rPr>
          <w:sz w:val="20"/>
          <w:szCs w:val="20"/>
          <w:color w:val="auto"/>
        </w:rPr>
      </w:pPr>
    </w:p>
    <w:p>
      <w:pPr>
        <w:ind w:left="760" w:hanging="752"/>
        <w:spacing w:after="0"/>
        <w:tabs>
          <w:tab w:leader="none" w:pos="7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Pronouns; Including</w:t>
      </w:r>
    </w:p>
    <w:p>
      <w:pPr>
        <w:spacing w:after="0" w:line="21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2" w:name="page113"/>
    <w:bookmarkEnd w:id="112"/>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to be effective as of the Grant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20" w:type="dxa"/>
            <w:vAlign w:val="bottom"/>
          </w:tcPr>
          <w:p>
            <w:pPr>
              <w:spacing w:after="0"/>
              <w:rPr>
                <w:sz w:val="22"/>
                <w:szCs w:val="22"/>
                <w:color w:val="auto"/>
              </w:rPr>
            </w:pPr>
          </w:p>
        </w:tc>
        <w:tc>
          <w:tcPr>
            <w:tcW w:w="8220" w:type="dxa"/>
            <w:vAlign w:val="bottom"/>
          </w:tcPr>
          <w:p>
            <w:pPr>
              <w:jc w:val="right"/>
              <w:ind w:right="4318"/>
              <w:spacing w:after="0"/>
              <w:rPr>
                <w:sz w:val="20"/>
                <w:szCs w:val="20"/>
                <w:color w:val="auto"/>
              </w:rPr>
            </w:pPr>
            <w:r>
              <w:rPr>
                <w:rFonts w:ascii="Times New Roman" w:cs="Times New Roman" w:eastAsia="Times New Roman" w:hAnsi="Times New Roman"/>
                <w:sz w:val="22"/>
                <w:szCs w:val="22"/>
                <w:color w:val="auto"/>
                <w:w w:val="98"/>
              </w:rPr>
              <w:t>___________________________________</w:t>
            </w:r>
          </w:p>
        </w:tc>
      </w:t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w w:val="99"/>
              </w:rPr>
              <w:t>By: ________________________</w:t>
            </w:r>
          </w:p>
        </w:tc>
        <w:tc>
          <w:tcPr>
            <w:tcW w:w="8220" w:type="dxa"/>
            <w:vAlign w:val="bottom"/>
          </w:tcPr>
          <w:p>
            <w:pPr>
              <w:jc w:val="right"/>
              <w:ind w:right="6118"/>
              <w:spacing w:after="0"/>
              <w:rPr>
                <w:sz w:val="20"/>
                <w:szCs w:val="20"/>
                <w:color w:val="auto"/>
              </w:rPr>
            </w:pPr>
            <w:r>
              <w:rPr>
                <w:rFonts w:ascii="Times New Roman" w:cs="Times New Roman" w:eastAsia="Times New Roman" w:hAnsi="Times New Roman"/>
                <w:sz w:val="22"/>
                <w:szCs w:val="22"/>
                <w:color w:val="auto"/>
              </w:rPr>
              <w:t>Grantee</w:t>
            </w:r>
          </w:p>
        </w:tc>
      </w:tr>
      <w:tr>
        <w:trPr>
          <w:trHeight w:val="351"/>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w w:val="97"/>
              </w:rPr>
              <w:t>Title: _______________________</w:t>
            </w:r>
          </w:p>
        </w:tc>
        <w:tc>
          <w:tcPr>
            <w:tcW w:w="8220" w:type="dxa"/>
            <w:vAlign w:val="bottom"/>
          </w:tcPr>
          <w:p>
            <w:pPr>
              <w:spacing w:after="0"/>
              <w:rPr>
                <w:sz w:val="24"/>
                <w:szCs w:val="24"/>
                <w:color w:val="auto"/>
              </w:rPr>
            </w:pPr>
          </w:p>
        </w:tc>
      </w:tr>
      <w:tr>
        <w:trPr>
          <w:trHeight w:val="933"/>
        </w:trPr>
        <w:tc>
          <w:tcPr>
            <w:tcW w:w="3020" w:type="dxa"/>
            <w:vAlign w:val="bottom"/>
          </w:tcPr>
          <w:p>
            <w:pPr>
              <w:spacing w:after="0"/>
              <w:rPr>
                <w:sz w:val="24"/>
                <w:szCs w:val="24"/>
                <w:color w:val="auto"/>
              </w:rPr>
            </w:pPr>
          </w:p>
        </w:tc>
        <w:tc>
          <w:tcPr>
            <w:tcW w:w="8220" w:type="dxa"/>
            <w:vAlign w:val="bottom"/>
          </w:tcPr>
          <w:p>
            <w:pPr>
              <w:jc w:val="right"/>
              <w:ind w:right="5478"/>
              <w:spacing w:after="0"/>
              <w:rPr>
                <w:sz w:val="20"/>
                <w:szCs w:val="20"/>
                <w:color w:val="auto"/>
              </w:rPr>
            </w:pPr>
            <w:r>
              <w:rPr>
                <w:rFonts w:ascii="Times New Roman" w:cs="Times New Roman" w:eastAsia="Times New Roman" w:hAnsi="Times New Roman"/>
                <w:sz w:val="18"/>
                <w:szCs w:val="18"/>
                <w:color w:val="auto"/>
              </w:rPr>
              <w:t>6</w:t>
            </w:r>
          </w:p>
        </w:tc>
      </w:tr>
      <w:tr>
        <w:trPr>
          <w:trHeight w:val="1168"/>
        </w:trPr>
        <w:tc>
          <w:tcPr>
            <w:tcW w:w="30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Goals</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If Grantee remains employed by the Company through the date on which the Administrator determines the level of revenue growth (“Revenue Growth”) achieved for fiscal year 2026 compared to fiscal year 2023, the following percentage of the Performance Shares and Restricted Cash shall vest to the extent the Administrator determines the applicable level of Revenue Growth has been achieved following the end of fiscal year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5580" w:type="dxa"/>
            <w:vAlign w:val="bottom"/>
            <w:tcBorders>
              <w:top w:val="single" w:sz="8" w:color="auto"/>
              <w:right w:val="single" w:sz="8" w:color="auto"/>
            </w:tcBorders>
            <w:gridSpan w:val="3"/>
          </w:tcPr>
          <w:p>
            <w:pPr>
              <w:jc w:val="center"/>
              <w:ind w:right="100"/>
              <w:spacing w:after="0" w:line="228" w:lineRule="exact"/>
              <w:rPr>
                <w:sz w:val="20"/>
                <w:szCs w:val="20"/>
                <w:color w:val="auto"/>
              </w:rPr>
            </w:pPr>
            <w:r>
              <w:rPr>
                <w:rFonts w:ascii="Times New Roman" w:cs="Times New Roman" w:eastAsia="Times New Roman" w:hAnsi="Times New Roman"/>
                <w:sz w:val="22"/>
                <w:szCs w:val="22"/>
                <w:b w:val="1"/>
                <w:bCs w:val="1"/>
                <w:color w:val="auto"/>
                <w:w w:val="98"/>
              </w:rPr>
              <w:t>Fiscal Year 2026 Revenue Growth Rate Compared to</w:t>
            </w:r>
          </w:p>
        </w:tc>
        <w:tc>
          <w:tcPr>
            <w:tcW w:w="5620" w:type="dxa"/>
            <w:vAlign w:val="bottom"/>
            <w:tcBorders>
              <w:top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7"/>
              </w:rPr>
              <w:t>Percentage of Total Tandem Performance Shares and</w:t>
            </w:r>
          </w:p>
        </w:tc>
        <w:tc>
          <w:tcPr>
            <w:tcW w:w="0" w:type="dxa"/>
            <w:vAlign w:val="bottom"/>
          </w:tcPr>
          <w:p>
            <w:pPr>
              <w:spacing w:after="0"/>
              <w:rPr>
                <w:sz w:val="1"/>
                <w:szCs w:val="1"/>
                <w:color w:val="auto"/>
              </w:rPr>
            </w:pPr>
          </w:p>
        </w:tc>
      </w:tr>
      <w:tr>
        <w:trPr>
          <w:trHeight w:val="286"/>
        </w:trPr>
        <w:tc>
          <w:tcPr>
            <w:tcW w:w="40" w:type="dxa"/>
            <w:vAlign w:val="bottom"/>
            <w:tcBorders>
              <w:right w:val="single" w:sz="8" w:color="auto"/>
            </w:tcBorders>
            <w:shd w:val="clear" w:color="auto" w:fill="000000"/>
          </w:tcPr>
          <w:p>
            <w:pPr>
              <w:spacing w:after="0"/>
              <w:rPr>
                <w:sz w:val="24"/>
                <w:szCs w:val="24"/>
                <w:color w:val="auto"/>
              </w:rPr>
            </w:pPr>
          </w:p>
        </w:tc>
        <w:tc>
          <w:tcPr>
            <w:tcW w:w="55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b w:val="1"/>
                <w:bCs w:val="1"/>
                <w:color w:val="auto"/>
                <w:w w:val="98"/>
              </w:rPr>
              <w:t>Fiscal Year 2023</w:t>
            </w:r>
          </w:p>
        </w:tc>
        <w:tc>
          <w:tcPr>
            <w:tcW w:w="5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Restricted Cash Vesting*</w:t>
            </w:r>
          </w:p>
        </w:tc>
        <w:tc>
          <w:tcPr>
            <w:tcW w:w="0" w:type="dxa"/>
            <w:vAlign w:val="bottom"/>
          </w:tcPr>
          <w:p>
            <w:pPr>
              <w:spacing w:after="0"/>
              <w:rPr>
                <w:sz w:val="1"/>
                <w:szCs w:val="1"/>
                <w:color w:val="auto"/>
              </w:rPr>
            </w:pPr>
          </w:p>
        </w:tc>
      </w:tr>
      <w:tr>
        <w:trPr>
          <w:trHeight w:val="241"/>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620" w:type="dxa"/>
            <w:vAlign w:val="bottom"/>
            <w:gridSpan w:val="4"/>
          </w:tcPr>
          <w:p>
            <w:pPr>
              <w:jc w:val="center"/>
              <w:spacing w:after="0" w:line="246" w:lineRule="exact"/>
              <w:rPr>
                <w:sz w:val="20"/>
                <w:szCs w:val="20"/>
                <w:color w:val="auto"/>
              </w:rPr>
            </w:pPr>
            <w:r>
              <w:rPr>
                <w:rFonts w:ascii="Times New Roman" w:cs="Times New Roman" w:eastAsia="Times New Roman" w:hAnsi="Times New Roman"/>
                <w:sz w:val="22"/>
                <w:szCs w:val="22"/>
                <w:b w:val="1"/>
                <w:bCs w:val="1"/>
                <w:color w:val="auto"/>
                <w:w w:val="95"/>
              </w:rPr>
              <w:t>25%</w:t>
            </w:r>
          </w:p>
        </w:tc>
        <w:tc>
          <w:tcPr>
            <w:tcW w:w="5620" w:type="dxa"/>
            <w:vAlign w:val="bottom"/>
          </w:tcPr>
          <w:p>
            <w:pPr>
              <w:jc w:val="center"/>
              <w:spacing w:after="0" w:line="246" w:lineRule="exact"/>
              <w:rPr>
                <w:sz w:val="20"/>
                <w:szCs w:val="20"/>
                <w:color w:val="auto"/>
              </w:rPr>
            </w:pPr>
            <w:r>
              <w:rPr>
                <w:rFonts w:ascii="Times New Roman" w:cs="Times New Roman" w:eastAsia="Times New Roman" w:hAnsi="Times New Roman"/>
                <w:sz w:val="22"/>
                <w:szCs w:val="22"/>
                <w:b w:val="1"/>
                <w:bCs w:val="1"/>
                <w:color w:val="auto"/>
                <w:w w:val="99"/>
              </w:rPr>
              <w:t>50%</w:t>
            </w:r>
          </w:p>
        </w:tc>
        <w:tc>
          <w:tcPr>
            <w:tcW w:w="0" w:type="dxa"/>
            <w:vAlign w:val="bottom"/>
          </w:tcPr>
          <w:p>
            <w:pPr>
              <w:spacing w:after="0"/>
              <w:rPr>
                <w:sz w:val="1"/>
                <w:szCs w:val="1"/>
                <w:color w:val="auto"/>
              </w:rPr>
            </w:pPr>
          </w:p>
        </w:tc>
      </w:tr>
      <w:tr>
        <w:trPr>
          <w:trHeight w:val="169"/>
        </w:trPr>
        <w:tc>
          <w:tcPr>
            <w:tcW w:w="40" w:type="dxa"/>
            <w:vAlign w:val="bottom"/>
            <w:vMerge w:val="restart"/>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40" w:type="dxa"/>
            <w:vAlign w:val="bottom"/>
            <w:vMerge w:val="continue"/>
          </w:tcPr>
          <w:p>
            <w:pPr>
              <w:spacing w:after="0"/>
              <w:rPr>
                <w:sz w:val="24"/>
                <w:szCs w:val="24"/>
                <w:color w:val="auto"/>
              </w:rPr>
            </w:pPr>
          </w:p>
        </w:tc>
        <w:tc>
          <w:tcPr>
            <w:tcW w:w="5580" w:type="dxa"/>
            <w:vAlign w:val="bottom"/>
            <w:gridSpan w:val="3"/>
          </w:tcPr>
          <w:p>
            <w:pPr>
              <w:jc w:val="center"/>
              <w:ind w:right="40"/>
              <w:spacing w:after="0"/>
              <w:rPr>
                <w:sz w:val="20"/>
                <w:szCs w:val="20"/>
                <w:color w:val="auto"/>
              </w:rPr>
            </w:pPr>
            <w:r>
              <w:rPr>
                <w:rFonts w:ascii="Times New Roman" w:cs="Times New Roman" w:eastAsia="Times New Roman" w:hAnsi="Times New Roman"/>
                <w:sz w:val="22"/>
                <w:szCs w:val="22"/>
                <w:b w:val="1"/>
                <w:bCs w:val="1"/>
                <w:color w:val="auto"/>
                <w:w w:val="95"/>
              </w:rPr>
              <w:t>40%</w:t>
            </w:r>
          </w:p>
        </w:tc>
        <w:tc>
          <w:tcPr>
            <w:tcW w:w="5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100%</w:t>
            </w:r>
          </w:p>
        </w:tc>
        <w:tc>
          <w:tcPr>
            <w:tcW w:w="0" w:type="dxa"/>
            <w:vAlign w:val="bottom"/>
          </w:tcPr>
          <w:p>
            <w:pPr>
              <w:spacing w:after="0"/>
              <w:rPr>
                <w:sz w:val="1"/>
                <w:szCs w:val="1"/>
                <w:color w:val="auto"/>
              </w:rPr>
            </w:pPr>
          </w:p>
        </w:tc>
      </w:tr>
      <w:tr>
        <w:trPr>
          <w:trHeight w:val="173"/>
        </w:trPr>
        <w:tc>
          <w:tcPr>
            <w:tcW w:w="40" w:type="dxa"/>
            <w:vAlign w:val="bottom"/>
            <w:vMerge w:val="restart"/>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5580" w:type="dxa"/>
            <w:vAlign w:val="bottom"/>
            <w:gridSpan w:val="3"/>
          </w:tcPr>
          <w:p>
            <w:pPr>
              <w:jc w:val="center"/>
              <w:ind w:right="40"/>
              <w:spacing w:after="0" w:line="196" w:lineRule="exact"/>
              <w:rPr>
                <w:sz w:val="20"/>
                <w:szCs w:val="20"/>
                <w:color w:val="auto"/>
              </w:rPr>
            </w:pPr>
            <w:r>
              <w:rPr>
                <w:rFonts w:ascii="Times New Roman" w:cs="Times New Roman" w:eastAsia="Times New Roman" w:hAnsi="Times New Roman"/>
                <w:sz w:val="22"/>
                <w:szCs w:val="22"/>
                <w:b w:val="1"/>
                <w:bCs w:val="1"/>
                <w:color w:val="auto"/>
                <w:w w:val="95"/>
              </w:rPr>
              <w:t>&gt;50%</w:t>
            </w:r>
          </w:p>
        </w:tc>
        <w:tc>
          <w:tcPr>
            <w:tcW w:w="562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8"/>
              </w:rPr>
              <w:t>150%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3627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362710"/>
                    </a:xfrm>
                    <a:prstGeom prst="rect">
                      <a:avLst/>
                    </a:prstGeom>
                    <a:noFill/>
                  </pic:spPr>
                </pic:pic>
              </a:graphicData>
            </a:graphic>
          </wp:anchor>
        </w:drawing>
      </w:r>
    </w:p>
    <w:p>
      <w:pPr>
        <w:spacing w:after="0" w:line="20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number of Performance Shares, and the amount of Restricted Cash, vesting will be interpolated for Revenue Growth between 25% and 40%, or between 40% and 50%. The Administrator will include acquired revenue in its determination of Revenue Growth, and will otherwise determine the Revenue Growth achieved in its sole and absolute discretion following the end of fiscal year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*Comprised of 60% Performance Shares and 40% of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37" w:lineRule="exact"/>
        <w:rPr>
          <w:sz w:val="20"/>
          <w:szCs w:val="20"/>
          <w:color w:val="auto"/>
        </w:rPr>
      </w:pPr>
    </w:p>
    <w:p>
      <w:pPr>
        <w:jc w:val="both"/>
        <w:ind w:firstLine="1505"/>
        <w:spacing w:after="0" w:line="232"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 (i) was, is or becomes available to Grantee on a non-confidential basis from a source other than Company or any of its representatives;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177"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 of Employees</w:t>
      </w:r>
      <w:r>
        <w:rPr>
          <w:rFonts w:ascii="Times New Roman" w:cs="Times New Roman" w:eastAsia="Times New Roman" w:hAnsi="Times New Roman"/>
          <w:sz w:val="22"/>
          <w:szCs w:val="22"/>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 solicitation; or (iii) the solicitation (or employment as a result of the solicitation) of any Company management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5" w:name="page116"/>
    <w:bookmarkEnd w:id="115"/>
    <w:p>
      <w:pPr>
        <w:spacing w:after="0" w:line="258" w:lineRule="auto"/>
        <w:rPr>
          <w:sz w:val="20"/>
          <w:szCs w:val="20"/>
          <w:color w:val="auto"/>
        </w:rPr>
      </w:pPr>
      <w:r>
        <w:rPr>
          <w:rFonts w:ascii="Times New Roman" w:cs="Times New Roman" w:eastAsia="Times New Roman" w:hAnsi="Times New Roman"/>
          <w:sz w:val="22"/>
          <w:szCs w:val="22"/>
          <w:color w:val="auto"/>
        </w:rPr>
        <w:t>through (a) public advertisements or general solicitations that are not specifically targeted at such person(s); or (b) recruiting or search firms not targeting the Company’s management employees.</w:t>
      </w:r>
    </w:p>
    <w:p>
      <w:pPr>
        <w:spacing w:after="0" w:line="158" w:lineRule="exact"/>
        <w:rPr>
          <w:sz w:val="20"/>
          <w:szCs w:val="20"/>
          <w:color w:val="auto"/>
        </w:rPr>
      </w:pPr>
    </w:p>
    <w:p>
      <w:pPr>
        <w:jc w:val="both"/>
        <w:ind w:firstLine="1505"/>
        <w:spacing w:after="0" w:line="244" w:lineRule="auto"/>
        <w:tabs>
          <w:tab w:leader="none" w:pos="203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w:t>
      </w:r>
      <w:r>
        <w:rPr>
          <w:rFonts w:ascii="Times New Roman" w:cs="Times New Roman" w:eastAsia="Times New Roman" w:hAnsi="Times New Roman"/>
          <w:sz w:val="21"/>
          <w:szCs w:val="21"/>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18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All Company Documents and Property</w:t>
      </w:r>
      <w:r>
        <w:rPr>
          <w:rFonts w:ascii="Times New Roman" w:cs="Times New Roman" w:eastAsia="Times New Roman" w:hAnsi="Times New Roman"/>
          <w:sz w:val="22"/>
          <w:szCs w:val="22"/>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 Agreement</w:t>
      </w:r>
      <w:r>
        <w:rPr>
          <w:rFonts w:ascii="Times New Roman" w:cs="Times New Roman" w:eastAsia="Times New Roman" w:hAnsi="Times New Roman"/>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6" w:name="page117"/>
    <w:bookmarkEnd w:id="116"/>
    <w:p>
      <w:pPr>
        <w:ind w:left="10160"/>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1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22"/>
          <w:szCs w:val="22"/>
          <w:color w:val="auto"/>
        </w:rPr>
        <w:t>Grantee: ______________</w:t>
      </w:r>
    </w:p>
    <w:p>
      <w:pPr>
        <w:ind w:left="8600"/>
        <w:spacing w:after="0" w:line="230" w:lineRule="auto"/>
        <w:rPr>
          <w:sz w:val="20"/>
          <w:szCs w:val="20"/>
          <w:color w:val="auto"/>
        </w:rPr>
      </w:pPr>
      <w:r>
        <w:rPr>
          <w:rFonts w:ascii="Times New Roman" w:cs="Times New Roman" w:eastAsia="Times New Roman" w:hAnsi="Times New Roman"/>
          <w:sz w:val="22"/>
          <w:szCs w:val="22"/>
          <w:color w:val="auto"/>
        </w:rPr>
        <w:t>Grant Date: ______________</w:t>
      </w:r>
    </w:p>
    <w:p>
      <w:pPr>
        <w:spacing w:after="0" w:line="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1"/>
          <w:szCs w:val="21"/>
          <w:color w:val="auto"/>
        </w:rPr>
        <w:t>No. of Restricted Shares: ______________</w:t>
      </w:r>
    </w:p>
    <w:p>
      <w:pPr>
        <w:spacing w:after="0" w:line="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21"/>
          <w:szCs w:val="21"/>
          <w:color w:val="auto"/>
        </w:rPr>
        <w:t>Amount of Restricted Cash: $_____________</w:t>
      </w:r>
    </w:p>
    <w:p>
      <w:pPr>
        <w:spacing w:after="0" w:line="13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2016 OMNIBUS INCENTIVE PLAN</w:t>
      </w:r>
    </w:p>
    <w:p>
      <w:pPr>
        <w:spacing w:after="0" w:line="1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TANDEM RESTRICTED STOCK AND CASH AWARD AGREEMENT</w:t>
      </w:r>
    </w:p>
    <w:p>
      <w:pPr>
        <w:spacing w:after="0" w:line="2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Grantee specified above (“Grantee”).</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maintains the Orion Energy Systems, Inc. 2016 Omnibus Incentive Plan (the “Plan”), and Grantee has been selected by the Administrator to receive a Tandem Restricted Stock and Cash Award under the Plan; and</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WHEREAS, as a condition to the receipt by Grantee of this Tandem Restricted Stock and Cash Award, Grantee reaffirms and agrees to be bound by the confidentiality, inventions, non-solicitation and non-competition provisions set forth in prior agreements between the Grantee and the Company, which are incorporated by reference herein, in consideration for receipt of the Tandem Restricted Stock and Cash Award pursuant hereto, continued employment, and other good and valuable consideration.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02" w:lineRule="exact"/>
        <w:rPr>
          <w:sz w:val="20"/>
          <w:szCs w:val="20"/>
          <w:color w:val="auto"/>
        </w:rPr>
      </w:pPr>
    </w:p>
    <w:p>
      <w:pPr>
        <w:ind w:left="760" w:hanging="752"/>
        <w:spacing w:after="0"/>
        <w:tabs>
          <w:tab w:leader="none" w:pos="7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Tandem Award of Restricted Stock and Restricted Cash</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1.1Effective as of the Grant Date, the Company hereby grants to Grantee a tandem and coupled award of (i) the number of shares of restricted Stock of the Company specified above (“Restricted Stock”) and (ii) the amount of restricted cash specified above (“Restricted Cash”), in each instance, subject to, and in accordance with, the restrictions, terms and conditions set forth in the Plan and this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7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1.3This Tandem Restricted Stock and Cash Award is conditioned upon Grantee’s acceptance of the terms of this Agreement and any other agreement incorporated herein, as evidenced by Grantee’s execution of this Agreement or by Grantee’s electronic acceptance of the Agreement in a manner and during the time period allowed by the Company. If the terms of this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7" w:name="page118"/>
    <w:bookmarkEnd w:id="117"/>
    <w:p>
      <w:pPr>
        <w:spacing w:after="0" w:line="258" w:lineRule="auto"/>
        <w:rPr>
          <w:sz w:val="20"/>
          <w:szCs w:val="20"/>
          <w:color w:val="auto"/>
        </w:rPr>
      </w:pPr>
      <w:r>
        <w:rPr>
          <w:rFonts w:ascii="Times New Roman" w:cs="Times New Roman" w:eastAsia="Times New Roman" w:hAnsi="Times New Roman"/>
          <w:sz w:val="22"/>
          <w:szCs w:val="22"/>
          <w:color w:val="auto"/>
        </w:rPr>
        <w:t>Agreement are not timely accepted by execution or by such electronic means, this Tandem Restricted Stock and Cash Award may be cancelled by the Administrator.</w:t>
      </w:r>
    </w:p>
    <w:p>
      <w:pPr>
        <w:spacing w:after="0" w:line="154" w:lineRule="exact"/>
        <w:rPr>
          <w:sz w:val="20"/>
          <w:szCs w:val="20"/>
          <w:color w:val="auto"/>
        </w:rPr>
      </w:pPr>
    </w:p>
    <w:p>
      <w:pPr>
        <w:ind w:left="760" w:hanging="752"/>
        <w:spacing w:after="0"/>
        <w:tabs>
          <w:tab w:leader="none" w:pos="7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2.1Subject to the terms of the Plan and this Agreement, if the Grantee remains employed by the Company as of the applicable vesting date, the Restricted Stock and the Restricted Cash shall each vest one-third (1/3) per year on each of the first three (3) anniversaries of the Grant Date set forth herein. For purposes of this Agreement, employment with a Subsidiary of the Company or service as a member of the Board of Directors of the Company shall be considered employment with the Company.</w:t>
      </w:r>
    </w:p>
    <w:p>
      <w:pPr>
        <w:spacing w:after="0" w:line="162" w:lineRule="exact"/>
        <w:rPr>
          <w:sz w:val="20"/>
          <w:szCs w:val="20"/>
          <w:color w:val="auto"/>
        </w:rPr>
      </w:pPr>
    </w:p>
    <w:p>
      <w:pPr>
        <w:ind w:right="60" w:firstLine="749"/>
        <w:spacing w:after="0" w:line="248" w:lineRule="auto"/>
        <w:rPr>
          <w:sz w:val="20"/>
          <w:szCs w:val="20"/>
          <w:color w:val="auto"/>
        </w:rPr>
      </w:pPr>
      <w:r>
        <w:rPr>
          <w:rFonts w:ascii="Times New Roman" w:cs="Times New Roman" w:eastAsia="Times New Roman" w:hAnsi="Times New Roman"/>
          <w:sz w:val="21"/>
          <w:szCs w:val="21"/>
          <w:color w:val="auto"/>
        </w:rPr>
        <w:t>2.2Subject to vesting in accordance with Section 2.1, the terms of the Plan and this Agreement, Grantee shall own the vested Restricted Stock and the Restricted Cash free and clear of all restrictions imposed by this Agreement. The Company shall transfer (i) the vested Restricted Stock (less any applicable withholding pursuant to Section 5) to an unrestricted account in the name of the Grantee and (ii) the vested Restricted Cash (less any applicable withholding pursuant to Section 5) payable in accordance with the Company’s standard payroll practices, in each event as soon as practical after each applicable anniversary of the Grant Date on which the Grantee remains employed by the Company (provided that the vested Restricted Cash shall in no event be paid later than two and one-half (2 ½) months after the end of the year in which the Restricted Cash vests).</w:t>
      </w:r>
    </w:p>
    <w:p>
      <w:pPr>
        <w:spacing w:after="0" w:line="17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2.3In the event, prior to vesting, (i) Grantee dies while actively employed by the Company, or (ii) Grantee has his or her employment terminated by reason of disability (within the meaning of Section 22(e)(3) of the Internal Revenue Code of 1986, as amended (the “Code”)) (“Disability”), any Restricted Stock and Restricted Cash shall become fully vested and nonforfeitable as of the date of Grantee’s death or Disability. The Company shall transfer the Restricted Stock and Restricted Cash, free and clear of any restrictions imposed by this Agreement to Grantee (or, in the event of death, his or her surviving spouse or, if none, to his or her estate) as soon as practical after his or her date of death or termination for Disability.</w:t>
      </w:r>
    </w:p>
    <w:p>
      <w:pPr>
        <w:spacing w:after="0" w:line="18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2.4In exchange for receipt of consideration in the form of this Tandem Restricted Stock and Cash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15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2.5Except for death or Disability as provided in Section 2.3, or except as otherwise provided in a severance agreement with Grantee, if Grantee terminates his or her employment or if the Company terminates Grantee’s employment prior to vesting, the Restricted Stock and the Restricted Cash shall each cease to vest further, all of the unvested Restricted Stock and Restricted Cash shall be immediately forfeited and cancelled, and Grantee shall only be entitled to the Restricted Stock and Restricted Cash that has vested as of his or her date of termination.</w:t>
      </w:r>
    </w:p>
    <w:p>
      <w:pPr>
        <w:spacing w:after="0" w:line="17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2.6Notwithstanding the other provisions of this Agreement, in the event of a Change of Control prior to vesting, all otherwise unvested Restricted Stock and Restricted Cash shall become fully vested and nonforfeitable as of the date of the Change of Control. The Company shall transfer the Restricted Stock and Restricted Cash that vests pursuant to this Section 2.6 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Grantee as soon as practical after the date of the Change of Control in accordance with Section 2.2.</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2.7Neither the Restricted Stock nor the Restricted Cash may be sold, assigned, transferred, pledged, or otherwise encumbered prior to the date Grantee becomes vested in the Restricted Stock and the Restricted Cash,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73" w:lineRule="exact"/>
        <w:rPr>
          <w:sz w:val="20"/>
          <w:szCs w:val="20"/>
          <w:color w:val="auto"/>
        </w:rPr>
      </w:pPr>
    </w:p>
    <w:p>
      <w:pPr>
        <w:ind w:left="760" w:hanging="752"/>
        <w:spacing w:after="0"/>
        <w:tabs>
          <w:tab w:leader="none" w:pos="7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Dividends; Voting; Interest</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3.1The Restricted Stock shall be registered in the name of Grantee as of the respective Grant Date for such shares of Restricted Stock. The Company may evidence the registration of the Restricted Stock in such manner as the Administrator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3.2During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3.3In the event of a stock split, stock dividend or other change in capitalization or another corporate event described in Section 17 of the Plan, the number and type of shares subject to this Agreement shall be adjusted by the Administrator to the extent provided in Section 17 of the Plan.</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3.4During the period the Restricted Cash is not vested, the Company shall not be required to segregate or otherwise set aside the Restricted Cash for the benefit of the Grantee and the Grantee shall not be entitled to receive any interest on such funds. In addition, the Grantee shall not have a security interest or any other interests or others rights as a creditor of the Company with respect to the Restricted Cash.</w:t>
      </w:r>
    </w:p>
    <w:p>
      <w:pPr>
        <w:spacing w:after="0" w:line="176" w:lineRule="exact"/>
        <w:rPr>
          <w:sz w:val="20"/>
          <w:szCs w:val="20"/>
          <w:color w:val="auto"/>
        </w:rPr>
      </w:pPr>
    </w:p>
    <w:p>
      <w:pPr>
        <w:ind w:left="760" w:hanging="752"/>
        <w:spacing w:after="0"/>
        <w:tabs>
          <w:tab w:leader="none" w:pos="7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Continued Employment or Additional Grants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 continuance of employment by the Company or a Subsidiary, nor shall this Agreement or the Plan interfere in any way with the right of the Company or a Subsidiary to terminate Grantee’s employment at any time or for any reason. The Plan may be terminated at any time, and, even if the Plan is not terminated, Grantee shall not be entitled to any additional awards under the Plan.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9" w:name="page120"/>
    <w:bookmarkEnd w:id="119"/>
    <w:p>
      <w:pPr>
        <w:ind w:left="760" w:hanging="752"/>
        <w:spacing w:after="0"/>
        <w:tabs>
          <w:tab w:leader="none" w:pos="7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 and Withholding</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Tandem Restricted Stock and Cash Award and dividends or other distributions paid on such Restricted Stock. Grantee shall have the right to make such elections under the Code as are available in connection with this Tandem Restricted Stock and Cash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and the Restricted Cash in a manner consistent with the Company’s reporting for income tax purposes. The Company shall have the right to retain and withhold from any payment of Restricted Stock or Restricted Cash or other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 subject to the provisions on withholding in the Plan.</w:t>
      </w:r>
    </w:p>
    <w:p>
      <w:pPr>
        <w:spacing w:after="0" w:line="173" w:lineRule="exact"/>
        <w:rPr>
          <w:sz w:val="20"/>
          <w:szCs w:val="20"/>
          <w:color w:val="auto"/>
        </w:rPr>
      </w:pPr>
    </w:p>
    <w:p>
      <w:pPr>
        <w:ind w:left="760" w:hanging="752"/>
        <w:spacing w:after="0"/>
        <w:tabs>
          <w:tab w:leader="none" w:pos="7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Grantee hereby acknowledges and agrees to comply with and bound by all of the restrictive covenants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760" w:hanging="752"/>
        <w:spacing w:after="0"/>
        <w:tabs>
          <w:tab w:leader="none" w:pos="7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Grantee Bound by the Plan</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 the terms and provisions thereof.</w:t>
      </w:r>
    </w:p>
    <w:p>
      <w:pPr>
        <w:spacing w:after="0" w:line="154" w:lineRule="exact"/>
        <w:rPr>
          <w:sz w:val="20"/>
          <w:szCs w:val="20"/>
          <w:color w:val="auto"/>
        </w:rPr>
      </w:pPr>
    </w:p>
    <w:p>
      <w:pPr>
        <w:ind w:left="760" w:hanging="752"/>
        <w:spacing w:after="0"/>
        <w:tabs>
          <w:tab w:leader="none" w:pos="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Agreement</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 only by mutual agreement of the parties in writing except as otherwise provided in Section 15 of the Plan.</w:t>
      </w:r>
    </w:p>
    <w:p>
      <w:pPr>
        <w:spacing w:after="0" w:line="154" w:lineRule="exact"/>
        <w:rPr>
          <w:sz w:val="20"/>
          <w:szCs w:val="20"/>
          <w:color w:val="auto"/>
        </w:rPr>
      </w:pPr>
    </w:p>
    <w:p>
      <w:pPr>
        <w:ind w:left="760" w:hanging="752"/>
        <w:spacing w:after="0"/>
        <w:tabs>
          <w:tab w:leader="none" w:pos="7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69" w:lineRule="exact"/>
        <w:rPr>
          <w:sz w:val="20"/>
          <w:szCs w:val="20"/>
          <w:color w:val="auto"/>
        </w:rPr>
      </w:pPr>
    </w:p>
    <w:p>
      <w:pPr>
        <w:ind w:left="760" w:hanging="752"/>
        <w:spacing w:after="0"/>
        <w:tabs>
          <w:tab w:leader="none" w:pos="7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p>
    <w:p>
      <w:pPr>
        <w:spacing w:after="0" w:line="21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21"/>
          <w:szCs w:val="21"/>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0" w:name="page121"/>
    <w:bookmarkEnd w:id="120"/>
    <w:p>
      <w:pPr>
        <w:ind w:left="760" w:hanging="752"/>
        <w:spacing w:after="0"/>
        <w:tabs>
          <w:tab w:leader="none" w:pos="7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in Interest</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58" w:lineRule="exact"/>
        <w:rPr>
          <w:sz w:val="20"/>
          <w:szCs w:val="20"/>
          <w:color w:val="auto"/>
        </w:rPr>
      </w:pPr>
    </w:p>
    <w:p>
      <w:pPr>
        <w:ind w:left="760" w:hanging="752"/>
        <w:spacing w:after="0"/>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Resolution of Disputes</w:t>
      </w:r>
    </w:p>
    <w:p>
      <w:pPr>
        <w:spacing w:after="0" w:line="21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69" w:lineRule="exact"/>
        <w:rPr>
          <w:sz w:val="20"/>
          <w:szCs w:val="20"/>
          <w:color w:val="auto"/>
        </w:rPr>
      </w:pPr>
    </w:p>
    <w:p>
      <w:pPr>
        <w:ind w:left="760" w:hanging="752"/>
        <w:spacing w:after="0"/>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Pronouns; Including</w:t>
      </w:r>
    </w:p>
    <w:p>
      <w:pPr>
        <w:spacing w:after="0" w:line="21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1" w:name="page122"/>
    <w:bookmarkEnd w:id="121"/>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to be effective as of the Grant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9"/>
              </w:rPr>
              <w:t>_______________________________</w:t>
            </w:r>
          </w:p>
        </w:tc>
        <w:tc>
          <w:tcPr>
            <w:tcW w:w="42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___________________________________</w:t>
            </w:r>
          </w:p>
        </w:tc>
      </w:tr>
      <w:tr>
        <w:trPr>
          <w:trHeight w:val="230"/>
        </w:trPr>
        <w:tc>
          <w:tcPr>
            <w:tcW w:w="3420" w:type="dxa"/>
            <w:vAlign w:val="bottom"/>
            <w:gridSpan w:val="5"/>
          </w:tcPr>
          <w:p>
            <w:pPr>
              <w:spacing w:after="0" w:line="230" w:lineRule="exact"/>
              <w:rPr>
                <w:sz w:val="20"/>
                <w:szCs w:val="20"/>
                <w:color w:val="auto"/>
              </w:rPr>
            </w:pPr>
            <w:r>
              <w:rPr>
                <w:rFonts w:ascii="Times New Roman" w:cs="Times New Roman" w:eastAsia="Times New Roman" w:hAnsi="Times New Roman"/>
                <w:sz w:val="22"/>
                <w:szCs w:val="22"/>
                <w:color w:val="auto"/>
              </w:rPr>
              <w:t>By: __________</w:t>
            </w:r>
          </w:p>
        </w:tc>
        <w:tc>
          <w:tcPr>
            <w:tcW w:w="4260" w:type="dxa"/>
            <w:vAlign w:val="bottom"/>
            <w:gridSpan w:val="3"/>
          </w:tcPr>
          <w:p>
            <w:pPr>
              <w:jc w:val="right"/>
              <w:ind w:right="1860"/>
              <w:spacing w:after="0" w:line="230" w:lineRule="exact"/>
              <w:rPr>
                <w:sz w:val="20"/>
                <w:szCs w:val="20"/>
                <w:color w:val="auto"/>
              </w:rPr>
            </w:pPr>
            <w:r>
              <w:rPr>
                <w:rFonts w:ascii="Times New Roman" w:cs="Times New Roman" w:eastAsia="Times New Roman" w:hAnsi="Times New Roman"/>
                <w:sz w:val="22"/>
                <w:szCs w:val="22"/>
                <w:color w:val="auto"/>
              </w:rPr>
              <w:t>Grantee: ______________</w:t>
            </w:r>
          </w:p>
        </w:tc>
      </w:tr>
      <w:tr>
        <w:trPr>
          <w:trHeight w:val="20"/>
        </w:trPr>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31"/>
        </w:trPr>
        <w:tc>
          <w:tcPr>
            <w:tcW w:w="34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Title: ________________</w:t>
            </w: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37" w:lineRule="exact"/>
        <w:rPr>
          <w:sz w:val="20"/>
          <w:szCs w:val="20"/>
          <w:color w:val="auto"/>
        </w:rPr>
      </w:pPr>
    </w:p>
    <w:p>
      <w:pPr>
        <w:jc w:val="both"/>
        <w:ind w:firstLine="1505"/>
        <w:spacing w:after="0" w:line="232" w:lineRule="auto"/>
        <w:tabs>
          <w:tab w:leader="none" w:pos="203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 (i) was, is or becomes available to Grantee on a non-confidential basis from a source other than Company or any of its representatives;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177"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 of Employees</w:t>
      </w:r>
      <w:r>
        <w:rPr>
          <w:rFonts w:ascii="Times New Roman" w:cs="Times New Roman" w:eastAsia="Times New Roman" w:hAnsi="Times New Roman"/>
          <w:sz w:val="22"/>
          <w:szCs w:val="22"/>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 solicitation; or (iii) the solicitation (or employment as a result of the solicitation) of any Company management employees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3" w:name="page124"/>
    <w:bookmarkEnd w:id="123"/>
    <w:p>
      <w:pPr>
        <w:spacing w:after="0" w:line="258" w:lineRule="auto"/>
        <w:rPr>
          <w:sz w:val="20"/>
          <w:szCs w:val="20"/>
          <w:color w:val="auto"/>
        </w:rPr>
      </w:pPr>
      <w:r>
        <w:rPr>
          <w:rFonts w:ascii="Times New Roman" w:cs="Times New Roman" w:eastAsia="Times New Roman" w:hAnsi="Times New Roman"/>
          <w:sz w:val="22"/>
          <w:szCs w:val="22"/>
          <w:color w:val="auto"/>
        </w:rPr>
        <w:t>through (a) public advertisements or general solicitations that are not specifically targeted at such person(s); or (b) recruiting or search firms not targeting the Company’s management employees.</w:t>
      </w:r>
    </w:p>
    <w:p>
      <w:pPr>
        <w:spacing w:after="0" w:line="158" w:lineRule="exact"/>
        <w:rPr>
          <w:sz w:val="20"/>
          <w:szCs w:val="20"/>
          <w:color w:val="auto"/>
        </w:rPr>
      </w:pPr>
    </w:p>
    <w:p>
      <w:pPr>
        <w:jc w:val="both"/>
        <w:ind w:firstLine="1505"/>
        <w:spacing w:after="0" w:line="244" w:lineRule="auto"/>
        <w:tabs>
          <w:tab w:leader="none" w:pos="203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w:t>
      </w:r>
      <w:r>
        <w:rPr>
          <w:rFonts w:ascii="Times New Roman" w:cs="Times New Roman" w:eastAsia="Times New Roman" w:hAnsi="Times New Roman"/>
          <w:sz w:val="21"/>
          <w:szCs w:val="21"/>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18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All Company Documents and Property</w:t>
      </w:r>
      <w:r>
        <w:rPr>
          <w:rFonts w:ascii="Times New Roman" w:cs="Times New Roman" w:eastAsia="Times New Roman" w:hAnsi="Times New Roman"/>
          <w:sz w:val="22"/>
          <w:szCs w:val="22"/>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 Agreement</w:t>
      </w:r>
      <w:r>
        <w:rPr>
          <w:rFonts w:ascii="Times New Roman" w:cs="Times New Roman" w:eastAsia="Times New Roman" w:hAnsi="Times New Roman"/>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4873-3155-0564.2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4" w:name="page125"/>
    <w:bookmarkEnd w:id="124"/>
    <w:p>
      <w:pPr>
        <w:ind w:left="10160"/>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1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22"/>
          <w:szCs w:val="22"/>
          <w:color w:val="auto"/>
        </w:rPr>
        <w:t>Grantee: ______________</w:t>
      </w:r>
    </w:p>
    <w:p>
      <w:pPr>
        <w:ind w:left="8600"/>
        <w:spacing w:after="0" w:line="230" w:lineRule="auto"/>
        <w:rPr>
          <w:sz w:val="20"/>
          <w:szCs w:val="20"/>
          <w:color w:val="auto"/>
        </w:rPr>
      </w:pPr>
      <w:r>
        <w:rPr>
          <w:rFonts w:ascii="Times New Roman" w:cs="Times New Roman" w:eastAsia="Times New Roman" w:hAnsi="Times New Roman"/>
          <w:sz w:val="22"/>
          <w:szCs w:val="22"/>
          <w:color w:val="auto"/>
        </w:rPr>
        <w:t>Grant Date: ______________</w:t>
      </w:r>
    </w:p>
    <w:p>
      <w:pPr>
        <w:spacing w:after="0" w:line="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1"/>
          <w:szCs w:val="21"/>
          <w:color w:val="auto"/>
        </w:rPr>
        <w:t>No. of Restricted Shares: ______________</w:t>
      </w:r>
    </w:p>
    <w:p>
      <w:pPr>
        <w:spacing w:after="0" w:line="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21"/>
          <w:szCs w:val="21"/>
          <w:color w:val="auto"/>
        </w:rPr>
        <w:t>Amount of Restricted Cash: $_____________</w:t>
      </w:r>
    </w:p>
    <w:p>
      <w:pPr>
        <w:spacing w:after="0" w:line="13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2016 OMNIBUS INCENTIVE PLAN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TANDEM RESTRICTED STOCK AND CASH AWARD AGREEMENT</w:t>
      </w:r>
    </w:p>
    <w:p>
      <w:pPr>
        <w:spacing w:after="0" w:line="1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 Non-Employee Members of the Board of Directors)</w:t>
      </w:r>
    </w:p>
    <w:p>
      <w:pPr>
        <w:spacing w:after="0" w:line="23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Non-Employee Director Grantee specified above (“Grantee”).</w:t>
      </w:r>
    </w:p>
    <w:p>
      <w:pPr>
        <w:spacing w:after="0" w:line="173"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WHEREAS, the Company maintains the Orion Energy Systems, Inc. 2016 Omnibus Incentive Plan (the “Plan”), and Grantee is receiving this Tandem Restricted Stock and Cash Award under the Plan as part of the Grantee’s annual retainer for services as a non-employee member of the Board of Directors of the Company.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02" w:lineRule="exact"/>
        <w:rPr>
          <w:sz w:val="20"/>
          <w:szCs w:val="20"/>
          <w:color w:val="auto"/>
        </w:rPr>
      </w:pPr>
    </w:p>
    <w:p>
      <w:pPr>
        <w:ind w:left="760" w:hanging="752"/>
        <w:spacing w:after="0"/>
        <w:tabs>
          <w:tab w:leader="none" w:pos="7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Tandem Award of Restricted Stock and Restricted Cash</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1.1Effective as of the Grant Date, the Company hereby grants to Grantee a tandem and coupled award of (i) the number of shares of restricted Stock of the Company specified above (“Restricted Stock”) and (ii) the amount of restricted cash specified above (“Restricted Cash”), subject to, and in accordance with, the restrictions, terms and conditions set forth in the Plan and this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1.3This Tandem Restricted Stock and Cash Award is conditioned upon Grantee’s acceptance of the terms of this Agreement, as evidenced by Grantee’s execution of this Agreement or by Grantee’s electronic acceptance of the Agreement in a manner and during the time period allowed by the Company. If the terms of this Agreement are not timely accepted by execution or by such electronic means, this Tandem Restricted Stock and Cash Award may be cancelled.</w:t>
      </w:r>
    </w:p>
    <w:p>
      <w:pPr>
        <w:spacing w:after="0" w:line="176" w:lineRule="exact"/>
        <w:rPr>
          <w:sz w:val="20"/>
          <w:szCs w:val="20"/>
          <w:color w:val="auto"/>
        </w:rPr>
      </w:pPr>
    </w:p>
    <w:p>
      <w:pPr>
        <w:ind w:left="760" w:hanging="752"/>
        <w:spacing w:after="0"/>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2.1Subject to the terms of the Plan and this Agreement, if the Grantee remains a member of the Board of Directors of the Company as of the applicable vesting date, the Restricted Stock and Restricted Cash shall each vest one-third (1/3) per year on each of the first three (3) anniversaries of the Grant Date set forth herein.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5" w:name="page126"/>
    <w:bookmarkEnd w:id="125"/>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2.2Subject to vesting in accordance with Section 2.1, the terms of the Plan and this Agreement, Grantee shall own the vested Restricted Stock and Restricted Cash free and clear of all restrictions imposed by this Agreement. The Company shall transfer (i) the vested Restricted Stock (less any applicable withholding pursuant to Section 5) to an unrestricted account in the name of the Grantee and (ii) the vested Restricted Cash (less any applicable withholding pursuant to Section 5) payable in accordance with the Company’s standard practices, in each event as soon as practical after each applicable anniversary of the Grant Date (provided that the vested Restricted Cash shall in no event be paid later than two and one-half (2 ½) months after the end of the year in which the Restricted Cash vests).</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2.3In the event, prior to vesting, (i) Grantee dies while serving as a member of the Board of Directors of the Company, or (ii) Grantee has his or her directorship terminated by reason of disability (within the meaning of Section 22(e)(3) of the Internal Revenue Code of 1986, as amended (the “Code”)) (“Disability”), any Restricted Stock and Restricted Cash shall become fully vested and nonforfeitable as of the date of Grantee’s death or Disability. The Company shall transfer the Restricted Stock and Restricted Cash, free and clear of any restrictions imposed by this Agreement to Grantee (or, in the event of death, his or her surviving spouse or, if none, to his or her estate) as soon as practical after his or her date of death or termination for Disability.</w:t>
      </w:r>
    </w:p>
    <w:p>
      <w:pPr>
        <w:spacing w:after="0" w:line="17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2.4Except for death or Disability as provided in Section 2.3, if Grantee’s status as a member of the Board of Directors of the Company terminates prior to vesting for any reason, the Restricted Stock and Restricted Cash shall each cease to vest further, all of the unvested Restricted Stock and Restricted Cash shall be immediately forfeited and cancelled, and Grantee shall only be entitled to the Restricted Stock and Restricted Cash that has vested as of his or her date of termination as a director; provided, however, if Grantee’s status as a member of the Board of Directors of the Company terminates prior to vesting for any reason (except for death or Disability as provided in Section 2.3), the Administrator may, in its absolute discretion and in lieu of the forfeiture and cancellation of unvested Restricted Stock and Restricted Cash provided for in this Section 2.4, decide to: (i) accelerate the vesting of all or a portion of the unvested Restricted Stock and/or Restricted Cash or (ii) allow all or a portion of the unvested Restricted Stock to continue to vest on the same or a revised schedule; in each instance, subject to any additional terms and conditions the Administrator determines appropriate.</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2.5Neither the Restricted Stock nor the Restricted Cash may be sold, assigned, transferred, pledged, or otherwise encumbered prior to the date Grantee becomes vested in the Restricted Stock and the Restricted Cash,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77"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2.6Notwithstanding the other provisions of this Agreement, in the event of a Change of Control prior to vesting, all otherwise unvested Restricted Stock and Restricted Cash shall become fully vested and nonforfeitable as of the date of the Change of Control. The Company shall transfer the Restricted Stock and Restricted Cash that vests pursuant to this Section 2.6 to Grantee as soon as practical after the date of the Change of Control in accordance with Section 2.2.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6" w:name="page127"/>
    <w:bookmarkEnd w:id="126"/>
    <w:p>
      <w:pPr>
        <w:ind w:left="760" w:hanging="752"/>
        <w:spacing w:after="0"/>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Dividends; Voting; Interest</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3.1The Restricted Stock shall be registered in the name of Grantee as of the respective Grant Date for such shares of Restricted Stock. The Company may evidence the registration of the Restricted Stock in such manner as the Administrator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3.2During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3.3In the event of a stock split, stock dividend or other change in capitalization or another corporate event described in Section 17 of the Plan, the number and type of shares subject to this Agreement shall be adjusted by the Administrator to the extent provided in Section 17 of the Plan.</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3.4During the period the Restricted Cash is not vested, the Company shall not be required to segregate or otherwise set aside the Restricted Cash for the benefit of the Grantee and the Grantee shall not be entitled to receive any interest on such funds. In addition, the Grantee shall not have a security interest or any other interests or other rights as a creditor of the Company with respect to the Restricted Cash.</w:t>
      </w:r>
    </w:p>
    <w:p>
      <w:pPr>
        <w:spacing w:after="0" w:line="176" w:lineRule="exact"/>
        <w:rPr>
          <w:sz w:val="20"/>
          <w:szCs w:val="20"/>
          <w:color w:val="auto"/>
        </w:rPr>
      </w:pPr>
    </w:p>
    <w:p>
      <w:pPr>
        <w:ind w:left="760" w:hanging="752"/>
        <w:spacing w:after="0"/>
        <w:tabs>
          <w:tab w:leader="none" w:pos="7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Continued Service or Additional Grants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 continuance of service as a member of the Board of Directors of the Company, nor shall this Agreement or the Plan interfere in any way with the right of the Company to terminate Grantee’s service at any time or for any reason in accordance with the Company’s Articles of Incorporation and By-Laws. The Plan may be terminated at any time, and, even if the Plan is not terminated, Grantee shall not be entitled to any additional awards under the Plan.</w:t>
      </w:r>
    </w:p>
    <w:p>
      <w:pPr>
        <w:spacing w:after="0" w:line="173" w:lineRule="exact"/>
        <w:rPr>
          <w:sz w:val="20"/>
          <w:szCs w:val="20"/>
          <w:color w:val="auto"/>
        </w:rPr>
      </w:pPr>
    </w:p>
    <w:p>
      <w:pPr>
        <w:ind w:left="760" w:hanging="752"/>
        <w:spacing w:after="0"/>
        <w:tabs>
          <w:tab w:leader="none" w:pos="7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 and Withholding</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Tandem Restricted Stock and Cash Award and dividends or other distributions paid on such Restricted Stock. Grantee shall have the right to make such elections under the Code as are available in connection with this Tandem Restricted Stock and Cash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7" w:name="page128"/>
    <w:bookmarkEnd w:id="127"/>
    <w:p>
      <w:pPr>
        <w:jc w:val="both"/>
        <w:spacing w:after="0" w:line="235" w:lineRule="auto"/>
        <w:rPr>
          <w:sz w:val="20"/>
          <w:szCs w:val="20"/>
          <w:color w:val="auto"/>
        </w:rPr>
      </w:pPr>
      <w:r>
        <w:rPr>
          <w:rFonts w:ascii="Times New Roman" w:cs="Times New Roman" w:eastAsia="Times New Roman" w:hAnsi="Times New Roman"/>
          <w:sz w:val="22"/>
          <w:szCs w:val="22"/>
          <w:color w:val="auto"/>
        </w:rPr>
        <w:t>Grantee agrees to report the value of the Restricted Stock and the Restricted Cash in a manner consistent with the Company’s reporting for income tax purposes. The Company shall have the right to retain and withhold from any payment of Restricted Stock or Restricted Cash or other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 subject to the provisions on withholding in the Plan.</w:t>
      </w:r>
    </w:p>
    <w:p>
      <w:pPr>
        <w:spacing w:after="0" w:line="174" w:lineRule="exact"/>
        <w:rPr>
          <w:sz w:val="20"/>
          <w:szCs w:val="20"/>
          <w:color w:val="auto"/>
        </w:rPr>
      </w:pPr>
    </w:p>
    <w:p>
      <w:pPr>
        <w:ind w:left="760" w:hanging="752"/>
        <w:spacing w:after="0"/>
        <w:tabs>
          <w:tab w:leader="none" w:pos="7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Grantee hereby acknowledges and agrees to comply with and bound by all of the restrictive covenants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760" w:hanging="752"/>
        <w:spacing w:after="0"/>
        <w:tabs>
          <w:tab w:leader="none" w:pos="7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Grantee Bound by the Plan</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 the terms and provisions thereof.</w:t>
      </w:r>
    </w:p>
    <w:p>
      <w:pPr>
        <w:spacing w:after="0" w:line="154" w:lineRule="exact"/>
        <w:rPr>
          <w:sz w:val="20"/>
          <w:szCs w:val="20"/>
          <w:color w:val="auto"/>
        </w:rPr>
      </w:pPr>
    </w:p>
    <w:p>
      <w:pPr>
        <w:ind w:left="760" w:hanging="752"/>
        <w:spacing w:after="0"/>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Agreement</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 only by mutual agreement of the parties in writing except as otherwise provided in Section 15 of the Plan.</w:t>
      </w:r>
    </w:p>
    <w:p>
      <w:pPr>
        <w:spacing w:after="0" w:line="154" w:lineRule="exact"/>
        <w:rPr>
          <w:sz w:val="20"/>
          <w:szCs w:val="20"/>
          <w:color w:val="auto"/>
        </w:rPr>
      </w:pPr>
    </w:p>
    <w:p>
      <w:pPr>
        <w:ind w:left="760" w:hanging="752"/>
        <w:spacing w:after="0"/>
        <w:tabs>
          <w:tab w:leader="none" w:pos="7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69" w:lineRule="exact"/>
        <w:rPr>
          <w:sz w:val="20"/>
          <w:szCs w:val="20"/>
          <w:color w:val="auto"/>
        </w:rPr>
      </w:pPr>
    </w:p>
    <w:p>
      <w:pPr>
        <w:ind w:left="760" w:hanging="752"/>
        <w:spacing w:after="0"/>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p>
    <w:p>
      <w:pPr>
        <w:spacing w:after="0" w:line="21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21"/>
          <w:szCs w:val="21"/>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131" w:lineRule="exact"/>
        <w:rPr>
          <w:sz w:val="20"/>
          <w:szCs w:val="20"/>
          <w:color w:val="auto"/>
        </w:rPr>
      </w:pPr>
    </w:p>
    <w:p>
      <w:pPr>
        <w:ind w:left="760" w:hanging="752"/>
        <w:spacing w:after="0"/>
        <w:tabs>
          <w:tab w:leader="none" w:pos="7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in Interest</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8" w:name="page129"/>
    <w:bookmarkEnd w:id="128"/>
    <w:p>
      <w:pPr>
        <w:ind w:left="760" w:hanging="752"/>
        <w:spacing w:after="0"/>
        <w:tabs>
          <w:tab w:leader="none" w:pos="7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Resolution of Disputes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69" w:lineRule="exact"/>
        <w:rPr>
          <w:sz w:val="20"/>
          <w:szCs w:val="20"/>
          <w:color w:val="auto"/>
        </w:rPr>
      </w:pPr>
    </w:p>
    <w:p>
      <w:pPr>
        <w:ind w:left="760" w:hanging="752"/>
        <w:spacing w:after="0"/>
        <w:tabs>
          <w:tab w:leader="none" w:pos="7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Pronouns; Including</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29" w:name="page130"/>
    <w:bookmarkEnd w:id="129"/>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to be effective as of the Grant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Grantee</w:t>
      </w:r>
    </w:p>
    <w:p>
      <w:pPr>
        <w:spacing w:after="0" w:line="74" w:lineRule="exact"/>
        <w:rPr>
          <w:sz w:val="20"/>
          <w:szCs w:val="20"/>
          <w:color w:val="auto"/>
        </w:rPr>
      </w:pPr>
    </w:p>
    <w:p>
      <w:pPr>
        <w:sectPr>
          <w:pgSz w:w="11900" w:h="16838" w:orient="portrait"/>
          <w:cols w:equalWidth="0" w:num="2">
            <w:col w:w="3020" w:space="20"/>
            <w:col w:w="8200"/>
          </w:cols>
          <w:pgMar w:left="320" w:top="116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Title: _______________________</w:t>
      </w:r>
    </w:p>
    <w:p>
      <w:pPr>
        <w:sectPr>
          <w:pgSz w:w="11900" w:h="16838" w:orient="portrait"/>
          <w:cols w:equalWidth="0" w:num="1">
            <w:col w:w="11240"/>
          </w:cols>
          <w:pgMar w:left="320" w:top="11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37" w:lineRule="exact"/>
        <w:rPr>
          <w:sz w:val="20"/>
          <w:szCs w:val="20"/>
          <w:color w:val="auto"/>
        </w:rPr>
      </w:pPr>
    </w:p>
    <w:p>
      <w:pPr>
        <w:jc w:val="both"/>
        <w:ind w:firstLine="1505"/>
        <w:spacing w:after="0" w:line="232" w:lineRule="auto"/>
        <w:tabs>
          <w:tab w:leader="none" w:pos="203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 (i) was, is or becomes available to Grantee on a non-confidential basis from a source other than Company or any of its representatives;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177"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 of Employees</w:t>
      </w:r>
      <w:r>
        <w:rPr>
          <w:rFonts w:ascii="Times New Roman" w:cs="Times New Roman" w:eastAsia="Times New Roman" w:hAnsi="Times New Roman"/>
          <w:sz w:val="22"/>
          <w:szCs w:val="22"/>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 solicitation; or (iii) the solicitation (or employment as a result of the solicitation) of any Company management employees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1" w:name="page132"/>
    <w:bookmarkEnd w:id="131"/>
    <w:p>
      <w:pPr>
        <w:spacing w:after="0" w:line="258" w:lineRule="auto"/>
        <w:rPr>
          <w:sz w:val="20"/>
          <w:szCs w:val="20"/>
          <w:color w:val="auto"/>
        </w:rPr>
      </w:pPr>
      <w:r>
        <w:rPr>
          <w:rFonts w:ascii="Times New Roman" w:cs="Times New Roman" w:eastAsia="Times New Roman" w:hAnsi="Times New Roman"/>
          <w:sz w:val="22"/>
          <w:szCs w:val="22"/>
          <w:color w:val="auto"/>
        </w:rPr>
        <w:t>through (a) public advertisements or general solicitations that are not specifically targeted at such person(s); or (b) recruiting or search firms not targeting the Company’s management employees.</w:t>
      </w:r>
    </w:p>
    <w:p>
      <w:pPr>
        <w:spacing w:after="0" w:line="158" w:lineRule="exact"/>
        <w:rPr>
          <w:sz w:val="20"/>
          <w:szCs w:val="20"/>
          <w:color w:val="auto"/>
        </w:rPr>
      </w:pPr>
    </w:p>
    <w:p>
      <w:pPr>
        <w:jc w:val="both"/>
        <w:ind w:firstLine="1505"/>
        <w:spacing w:after="0" w:line="244" w:lineRule="auto"/>
        <w:tabs>
          <w:tab w:leader="none" w:pos="203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w:t>
      </w:r>
      <w:r>
        <w:rPr>
          <w:rFonts w:ascii="Times New Roman" w:cs="Times New Roman" w:eastAsia="Times New Roman" w:hAnsi="Times New Roman"/>
          <w:sz w:val="21"/>
          <w:szCs w:val="21"/>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18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All Company Documents and Property</w:t>
      </w:r>
      <w:r>
        <w:rPr>
          <w:rFonts w:ascii="Times New Roman" w:cs="Times New Roman" w:eastAsia="Times New Roman" w:hAnsi="Times New Roman"/>
          <w:sz w:val="22"/>
          <w:szCs w:val="22"/>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 Agreement</w:t>
      </w:r>
      <w:r>
        <w:rPr>
          <w:rFonts w:ascii="Times New Roman" w:cs="Times New Roman" w:eastAsia="Times New Roman" w:hAnsi="Times New Roman"/>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4860-2422-7684.2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STOCK OPTION AWARD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Sally A. Washlow</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ADDRESS]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Sally: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You have been granted an option (your “Option”) to purchase shares of common stock (“Shares”) of Orion Energy Systems,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with the following terms and conditions:</w:t>
      </w:r>
    </w:p>
    <w:p>
      <w:pPr>
        <w:spacing w:after="0" w:line="186" w:lineRule="exact"/>
        <w:rPr>
          <w:sz w:val="20"/>
          <w:szCs w:val="20"/>
          <w:color w:val="auto"/>
        </w:rPr>
      </w:pPr>
    </w:p>
    <w:tbl>
      <w:tblPr>
        <w:tblLayout w:type="fixed"/>
        <w:tblInd w:w="100" w:type="dxa"/>
        <w:tblCellMar>
          <w:top w:w="0" w:type="dxa"/>
          <w:left w:w="0" w:type="dxa"/>
          <w:bottom w:w="0" w:type="dxa"/>
          <w:right w:w="0" w:type="dxa"/>
        </w:tblCellMar>
      </w:tblPr>
      <w:tr>
        <w:trPr>
          <w:trHeight w:val="3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Grant Date:</w:t>
            </w:r>
          </w:p>
        </w:tc>
        <w:tc>
          <w:tcPr>
            <w:tcW w:w="334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__________, 2025</w:t>
            </w:r>
            <w:r>
              <w:rPr>
                <w:rFonts w:ascii="Times New Roman" w:cs="Times New Roman" w:eastAsia="Times New Roman" w:hAnsi="Times New Roman"/>
                <w:sz w:val="28"/>
                <w:szCs w:val="28"/>
                <w:color w:val="auto"/>
                <w:vertAlign w:val="superscript"/>
              </w:rPr>
              <w:t>1</w:t>
            </w: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Type of Option:</w:t>
            </w:r>
          </w:p>
        </w:tc>
        <w:tc>
          <w:tcPr>
            <w:tcW w:w="334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Nonqualified Stock Option</w:t>
            </w: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Number of Option Shares:</w:t>
            </w:r>
          </w:p>
        </w:tc>
        <w:tc>
          <w:tcPr>
            <w:tcW w:w="334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500,000</w:t>
            </w: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Exercise Price per Share:</w:t>
            </w:r>
          </w:p>
        </w:tc>
        <w:tc>
          <w:tcPr>
            <w:tcW w:w="334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U.S. $_____________</w:t>
            </w: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Vesting:</w:t>
            </w:r>
          </w:p>
        </w:tc>
        <w:tc>
          <w:tcPr>
            <w:tcW w:w="3340" w:type="dxa"/>
            <w:vAlign w:val="bottom"/>
            <w:gridSpan w:val="2"/>
          </w:tcPr>
          <w:p>
            <w:pPr>
              <w:ind w:left="640"/>
              <w:spacing w:after="0"/>
              <w:rPr>
                <w:sz w:val="20"/>
                <w:szCs w:val="20"/>
                <w:color w:val="auto"/>
              </w:rPr>
            </w:pPr>
            <w:r>
              <w:rPr>
                <w:rFonts w:ascii="Times New Roman" w:cs="Times New Roman" w:eastAsia="Times New Roman" w:hAnsi="Times New Roman"/>
                <w:sz w:val="22"/>
                <w:szCs w:val="22"/>
                <w:i w:val="1"/>
                <w:iCs w:val="1"/>
                <w:color w:val="auto"/>
              </w:rPr>
              <w:t>Time-Vesting Option Shares</w:t>
            </w:r>
            <w:r>
              <w:rPr>
                <w:rFonts w:ascii="Times New Roman" w:cs="Times New Roman" w:eastAsia="Times New Roman" w:hAnsi="Times New Roman"/>
                <w:sz w:val="22"/>
                <w:szCs w:val="22"/>
                <w:color w:val="auto"/>
              </w:rPr>
              <w:t>:</w:t>
            </w:r>
          </w:p>
        </w:tc>
        <w:tc>
          <w:tcPr>
            <w:tcW w:w="4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Your Option will vest with respect to 250,000 Shares</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8120" w:type="dxa"/>
            <w:vAlign w:val="bottom"/>
            <w:gridSpan w:val="5"/>
          </w:tcPr>
          <w:p>
            <w:pPr>
              <w:ind w:left="640"/>
              <w:spacing w:after="0" w:line="243" w:lineRule="exact"/>
              <w:rPr>
                <w:sz w:val="20"/>
                <w:szCs w:val="20"/>
                <w:color w:val="auto"/>
              </w:rPr>
            </w:pPr>
            <w:r>
              <w:rPr>
                <w:rFonts w:ascii="Times New Roman" w:cs="Times New Roman" w:eastAsia="Times New Roman" w:hAnsi="Times New Roman"/>
                <w:sz w:val="22"/>
                <w:szCs w:val="22"/>
                <w:color w:val="auto"/>
                <w:w w:val="99"/>
              </w:rPr>
              <w:t>(50% of the total Shares subject to your Option) (the “Time-Vesting Option Shares”)</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8120" w:type="dxa"/>
            <w:vAlign w:val="bottom"/>
            <w:gridSpan w:val="5"/>
          </w:tcPr>
          <w:p>
            <w:pPr>
              <w:ind w:left="640"/>
              <w:spacing w:after="0" w:line="243" w:lineRule="exact"/>
              <w:rPr>
                <w:sz w:val="20"/>
                <w:szCs w:val="20"/>
                <w:color w:val="auto"/>
              </w:rPr>
            </w:pPr>
            <w:r>
              <w:rPr>
                <w:rFonts w:ascii="Times New Roman" w:cs="Times New Roman" w:eastAsia="Times New Roman" w:hAnsi="Times New Roman"/>
                <w:sz w:val="22"/>
                <w:szCs w:val="22"/>
                <w:color w:val="auto"/>
              </w:rPr>
              <w:t>as follows: Your Option will vest and become exercisable with respect to one-third</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8120" w:type="dxa"/>
            <w:vAlign w:val="bottom"/>
            <w:gridSpan w:val="5"/>
          </w:tcPr>
          <w:p>
            <w:pPr>
              <w:ind w:left="640"/>
              <w:spacing w:after="0" w:line="243" w:lineRule="exact"/>
              <w:rPr>
                <w:sz w:val="20"/>
                <w:szCs w:val="20"/>
                <w:color w:val="auto"/>
              </w:rPr>
            </w:pPr>
            <w:r>
              <w:rPr>
                <w:rFonts w:ascii="Times New Roman" w:cs="Times New Roman" w:eastAsia="Times New Roman" w:hAnsi="Times New Roman"/>
                <w:sz w:val="22"/>
                <w:szCs w:val="22"/>
                <w:color w:val="auto"/>
              </w:rPr>
              <w:t>(1/3) of the total Time-Vesting Option Shares on each of the first three anniversaries</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8120" w:type="dxa"/>
            <w:vAlign w:val="bottom"/>
            <w:gridSpan w:val="5"/>
          </w:tcPr>
          <w:p>
            <w:pPr>
              <w:ind w:left="640"/>
              <w:spacing w:after="0" w:line="243" w:lineRule="exact"/>
              <w:rPr>
                <w:sz w:val="20"/>
                <w:szCs w:val="20"/>
                <w:color w:val="auto"/>
              </w:rPr>
            </w:pPr>
            <w:r>
              <w:rPr>
                <w:rFonts w:ascii="Times New Roman" w:cs="Times New Roman" w:eastAsia="Times New Roman" w:hAnsi="Times New Roman"/>
                <w:sz w:val="22"/>
                <w:szCs w:val="22"/>
                <w:color w:val="auto"/>
              </w:rPr>
              <w:t>of the Grant Date, provided you remain in the Company’s employment until the</w:t>
            </w:r>
          </w:p>
        </w:tc>
        <w:tc>
          <w:tcPr>
            <w:tcW w:w="0" w:type="dxa"/>
            <w:vAlign w:val="bottom"/>
          </w:tcPr>
          <w:p>
            <w:pPr>
              <w:spacing w:after="0"/>
              <w:rPr>
                <w:sz w:val="1"/>
                <w:szCs w:val="1"/>
                <w:color w:val="auto"/>
              </w:rPr>
            </w:pPr>
          </w:p>
        </w:tc>
      </w:tr>
      <w:tr>
        <w:trPr>
          <w:trHeight w:val="282"/>
        </w:trPr>
        <w:tc>
          <w:tcPr>
            <w:tcW w:w="2920" w:type="dxa"/>
            <w:vAlign w:val="bottom"/>
          </w:tcPr>
          <w:p>
            <w:pPr>
              <w:spacing w:after="0"/>
              <w:rPr>
                <w:sz w:val="24"/>
                <w:szCs w:val="24"/>
                <w:color w:val="auto"/>
              </w:rPr>
            </w:pPr>
          </w:p>
        </w:tc>
        <w:tc>
          <w:tcPr>
            <w:tcW w:w="334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applicable vesting date.</w:t>
            </w: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920" w:type="dxa"/>
            <w:vAlign w:val="bottom"/>
          </w:tcPr>
          <w:p>
            <w:pPr>
              <w:spacing w:after="0"/>
              <w:rPr>
                <w:sz w:val="24"/>
                <w:szCs w:val="24"/>
                <w:color w:val="auto"/>
              </w:rPr>
            </w:pPr>
          </w:p>
        </w:tc>
        <w:tc>
          <w:tcPr>
            <w:tcW w:w="8120" w:type="dxa"/>
            <w:vAlign w:val="bottom"/>
            <w:gridSpan w:val="5"/>
          </w:tcPr>
          <w:p>
            <w:pPr>
              <w:ind w:left="640"/>
              <w:spacing w:after="0"/>
              <w:rPr>
                <w:sz w:val="20"/>
                <w:szCs w:val="20"/>
                <w:color w:val="auto"/>
              </w:rPr>
            </w:pPr>
            <w:r>
              <w:rPr>
                <w:rFonts w:ascii="Times New Roman" w:cs="Times New Roman" w:eastAsia="Times New Roman" w:hAnsi="Times New Roman"/>
                <w:sz w:val="22"/>
                <w:szCs w:val="22"/>
                <w:i w:val="1"/>
                <w:iCs w:val="1"/>
                <w:color w:val="auto"/>
              </w:rPr>
              <w:t>Performance-Vesting Option Shares</w:t>
            </w:r>
            <w:r>
              <w:rPr>
                <w:rFonts w:ascii="Times New Roman" w:cs="Times New Roman" w:eastAsia="Times New Roman" w:hAnsi="Times New Roman"/>
                <w:sz w:val="22"/>
                <w:szCs w:val="22"/>
                <w:color w:val="auto"/>
              </w:rPr>
              <w:t>:  Your Option will vest with respect to 250,000</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8120" w:type="dxa"/>
            <w:vAlign w:val="bottom"/>
            <w:gridSpan w:val="5"/>
          </w:tcPr>
          <w:p>
            <w:pPr>
              <w:ind w:left="640"/>
              <w:spacing w:after="0" w:line="243" w:lineRule="exact"/>
              <w:rPr>
                <w:sz w:val="20"/>
                <w:szCs w:val="20"/>
                <w:color w:val="auto"/>
              </w:rPr>
            </w:pPr>
            <w:r>
              <w:rPr>
                <w:rFonts w:ascii="Times New Roman" w:cs="Times New Roman" w:eastAsia="Times New Roman" w:hAnsi="Times New Roman"/>
                <w:sz w:val="22"/>
                <w:szCs w:val="22"/>
                <w:color w:val="auto"/>
              </w:rPr>
              <w:t>Shares (50% of the total Shares subject to your Option) (the “Performance-Vesting</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8120" w:type="dxa"/>
            <w:vAlign w:val="bottom"/>
            <w:gridSpan w:val="5"/>
          </w:tcPr>
          <w:p>
            <w:pPr>
              <w:ind w:left="640"/>
              <w:spacing w:after="0" w:line="243" w:lineRule="exact"/>
              <w:rPr>
                <w:sz w:val="20"/>
                <w:szCs w:val="20"/>
                <w:color w:val="auto"/>
              </w:rPr>
            </w:pPr>
            <w:r>
              <w:rPr>
                <w:rFonts w:ascii="Times New Roman" w:cs="Times New Roman" w:eastAsia="Times New Roman" w:hAnsi="Times New Roman"/>
                <w:sz w:val="22"/>
                <w:szCs w:val="22"/>
                <w:color w:val="auto"/>
              </w:rPr>
              <w:t>Option Shares”) based on the achievement of the following stock price goals,</w:t>
            </w:r>
          </w:p>
        </w:tc>
        <w:tc>
          <w:tcPr>
            <w:tcW w:w="0" w:type="dxa"/>
            <w:vAlign w:val="bottom"/>
          </w:tcPr>
          <w:p>
            <w:pPr>
              <w:spacing w:after="0"/>
              <w:rPr>
                <w:sz w:val="1"/>
                <w:szCs w:val="1"/>
                <w:color w:val="auto"/>
              </w:rPr>
            </w:pPr>
          </w:p>
        </w:tc>
      </w:tr>
      <w:tr>
        <w:trPr>
          <w:trHeight w:val="282"/>
        </w:trPr>
        <w:tc>
          <w:tcPr>
            <w:tcW w:w="2920" w:type="dxa"/>
            <w:vAlign w:val="bottom"/>
          </w:tcPr>
          <w:p>
            <w:pPr>
              <w:spacing w:after="0"/>
              <w:rPr>
                <w:sz w:val="24"/>
                <w:szCs w:val="24"/>
                <w:color w:val="auto"/>
              </w:rPr>
            </w:pPr>
          </w:p>
        </w:tc>
        <w:tc>
          <w:tcPr>
            <w:tcW w:w="8120" w:type="dxa"/>
            <w:vAlign w:val="bottom"/>
            <w:gridSpan w:val="5"/>
          </w:tcPr>
          <w:p>
            <w:pPr>
              <w:ind w:left="640"/>
              <w:spacing w:after="0"/>
              <w:rPr>
                <w:sz w:val="20"/>
                <w:szCs w:val="20"/>
                <w:color w:val="auto"/>
              </w:rPr>
            </w:pPr>
            <w:r>
              <w:rPr>
                <w:rFonts w:ascii="Times New Roman" w:cs="Times New Roman" w:eastAsia="Times New Roman" w:hAnsi="Times New Roman"/>
                <w:sz w:val="22"/>
                <w:szCs w:val="22"/>
                <w:color w:val="auto"/>
                <w:w w:val="99"/>
              </w:rPr>
              <w:t>provided you remain in the Company’s employment until the applicable vesting date:</w:t>
            </w:r>
          </w:p>
        </w:tc>
        <w:tc>
          <w:tcPr>
            <w:tcW w:w="0" w:type="dxa"/>
            <w:vAlign w:val="bottom"/>
          </w:tcPr>
          <w:p>
            <w:pPr>
              <w:spacing w:after="0"/>
              <w:rPr>
                <w:sz w:val="1"/>
                <w:szCs w:val="1"/>
                <w:color w:val="auto"/>
              </w:rPr>
            </w:pPr>
          </w:p>
        </w:tc>
      </w:tr>
      <w:tr>
        <w:trPr>
          <w:trHeight w:val="231"/>
        </w:trPr>
        <w:tc>
          <w:tcPr>
            <w:tcW w:w="2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5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4000" w:type="dxa"/>
            <w:vAlign w:val="bottom"/>
            <w:tcBorders>
              <w:right w:val="single" w:sz="8" w:color="auto"/>
            </w:tcBorders>
          </w:tcPr>
          <w:p>
            <w:pPr>
              <w:ind w:left="140"/>
              <w:spacing w:after="0" w:line="205" w:lineRule="exact"/>
              <w:rPr>
                <w:sz w:val="20"/>
                <w:szCs w:val="20"/>
                <w:color w:val="auto"/>
              </w:rPr>
            </w:pPr>
            <w:r>
              <w:rPr>
                <w:rFonts w:ascii="Times New Roman" w:cs="Times New Roman" w:eastAsia="Times New Roman" w:hAnsi="Times New Roman"/>
                <w:sz w:val="22"/>
                <w:szCs w:val="22"/>
                <w:b w:val="1"/>
                <w:bCs w:val="1"/>
                <w:color w:val="auto"/>
              </w:rPr>
              <w:t>Portion of Performance-Vesting Option</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920" w:type="dxa"/>
            <w:vAlign w:val="bottom"/>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252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8"/>
              </w:rPr>
              <w:t>Stock Price Achieved</w:t>
            </w:r>
          </w:p>
        </w:tc>
        <w:tc>
          <w:tcPr>
            <w:tcW w:w="560" w:type="dxa"/>
            <w:vAlign w:val="bottom"/>
            <w:tcBorders>
              <w:bottom w:val="single" w:sz="8" w:color="auto"/>
              <w:right w:val="single" w:sz="8" w:color="auto"/>
            </w:tcBorders>
          </w:tcPr>
          <w:p>
            <w:pPr>
              <w:spacing w:after="0"/>
              <w:rPr>
                <w:sz w:val="23"/>
                <w:szCs w:val="23"/>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Shares Vesting</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520" w:type="dxa"/>
            <w:vAlign w:val="bottom"/>
            <w:tcBorders>
              <w:bottom w:val="single" w:sz="8" w:color="auto"/>
            </w:tcBorders>
          </w:tcPr>
          <w:p>
            <w:pPr>
              <w:jc w:val="center"/>
              <w:ind w:left="432"/>
              <w:spacing w:after="0" w:line="237" w:lineRule="exact"/>
              <w:rPr>
                <w:sz w:val="20"/>
                <w:szCs w:val="20"/>
                <w:color w:val="auto"/>
              </w:rPr>
            </w:pPr>
            <w:r>
              <w:rPr>
                <w:rFonts w:ascii="Times New Roman" w:cs="Times New Roman" w:eastAsia="Times New Roman" w:hAnsi="Times New Roman"/>
                <w:sz w:val="22"/>
                <w:szCs w:val="22"/>
                <w:color w:val="auto"/>
              </w:rPr>
              <w:t>$3.00</w:t>
            </w:r>
          </w:p>
        </w:tc>
        <w:tc>
          <w:tcPr>
            <w:tcW w:w="56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520" w:type="dxa"/>
            <w:vAlign w:val="bottom"/>
            <w:tcBorders>
              <w:bottom w:val="single" w:sz="8" w:color="auto"/>
            </w:tcBorders>
          </w:tcPr>
          <w:p>
            <w:pPr>
              <w:jc w:val="center"/>
              <w:ind w:left="432"/>
              <w:spacing w:after="0" w:line="237" w:lineRule="exact"/>
              <w:rPr>
                <w:sz w:val="20"/>
                <w:szCs w:val="20"/>
                <w:color w:val="auto"/>
              </w:rPr>
            </w:pPr>
            <w:r>
              <w:rPr>
                <w:rFonts w:ascii="Times New Roman" w:cs="Times New Roman" w:eastAsia="Times New Roman" w:hAnsi="Times New Roman"/>
                <w:sz w:val="22"/>
                <w:szCs w:val="22"/>
                <w:color w:val="auto"/>
              </w:rPr>
              <w:t>$4.00</w:t>
            </w:r>
          </w:p>
        </w:tc>
        <w:tc>
          <w:tcPr>
            <w:tcW w:w="56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520" w:type="dxa"/>
            <w:vAlign w:val="bottom"/>
            <w:tcBorders>
              <w:bottom w:val="single" w:sz="8" w:color="auto"/>
            </w:tcBorders>
          </w:tcPr>
          <w:p>
            <w:pPr>
              <w:jc w:val="center"/>
              <w:ind w:left="432"/>
              <w:spacing w:after="0" w:line="237" w:lineRule="exact"/>
              <w:rPr>
                <w:sz w:val="20"/>
                <w:szCs w:val="20"/>
                <w:color w:val="auto"/>
              </w:rPr>
            </w:pPr>
            <w:r>
              <w:rPr>
                <w:rFonts w:ascii="Times New Roman" w:cs="Times New Roman" w:eastAsia="Times New Roman" w:hAnsi="Times New Roman"/>
                <w:sz w:val="22"/>
                <w:szCs w:val="22"/>
                <w:color w:val="auto"/>
              </w:rPr>
              <w:t>$5.00</w:t>
            </w:r>
          </w:p>
        </w:tc>
        <w:tc>
          <w:tcPr>
            <w:tcW w:w="560" w:type="dxa"/>
            <w:vAlign w:val="bottom"/>
            <w:tcBorders>
              <w:bottom w:val="single" w:sz="8" w:color="auto"/>
              <w:right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-826770</wp:posOffset>
            </wp:positionV>
            <wp:extent cx="231140" cy="3511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8">
                      <a:extLst>
                        <a:ext uri="{28A0092B-C50C-407E-A947-70E740481C1C}"/>
                      </a:extLst>
                    </a:blip>
                    <a:srcRect/>
                    <a:stretch>
                      <a:fillRect/>
                    </a:stretch>
                  </pic:blipFill>
                  <pic:spPr bwMode="auto">
                    <a:xfrm>
                      <a:off x="0" y="0"/>
                      <a:ext cx="231140" cy="351155"/>
                    </a:xfrm>
                    <a:prstGeom prst="rect">
                      <a:avLst/>
                    </a:prstGeom>
                    <a:noFill/>
                  </pic:spPr>
                </pic:pic>
              </a:graphicData>
            </a:graphic>
          </wp:anchor>
        </w:drawing>
      </w:r>
    </w:p>
    <w:p>
      <w:pPr>
        <w:spacing w:after="0" w:line="196" w:lineRule="exact"/>
        <w:rPr>
          <w:sz w:val="20"/>
          <w:szCs w:val="20"/>
          <w:color w:val="auto"/>
        </w:rPr>
      </w:pPr>
    </w:p>
    <w:p>
      <w:pPr>
        <w:jc w:val="both"/>
        <w:ind w:left="3660" w:right="80"/>
        <w:spacing w:after="0" w:line="244" w:lineRule="auto"/>
        <w:rPr>
          <w:sz w:val="20"/>
          <w:szCs w:val="20"/>
          <w:color w:val="auto"/>
        </w:rPr>
      </w:pPr>
      <w:r>
        <w:rPr>
          <w:rFonts w:ascii="Times New Roman" w:cs="Times New Roman" w:eastAsia="Times New Roman" w:hAnsi="Times New Roman"/>
          <w:sz w:val="22"/>
          <w:szCs w:val="22"/>
          <w:color w:val="auto"/>
        </w:rPr>
        <w:t>The stock prices above will be deemed achieved, and your Option will vest with respect to the applicable portion of the Performance-Vesting Option Shares, only if and when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1688465" cy="514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9">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08" w:lineRule="exact"/>
        <w:rPr>
          <w:sz w:val="20"/>
          <w:szCs w:val="20"/>
          <w:color w:val="auto"/>
        </w:rPr>
      </w:pPr>
    </w:p>
    <w:p>
      <w:pPr>
        <w:ind w:left="900" w:hanging="143"/>
        <w:spacing w:after="0"/>
        <w:tabs>
          <w:tab w:leader="none" w:pos="900" w:val="left"/>
        </w:tabs>
        <w:numPr>
          <w:ilvl w:val="0"/>
          <w:numId w:val="76"/>
        </w:numPr>
        <w:rPr>
          <w:rFonts w:ascii="Arial" w:cs="Arial" w:eastAsia="Arial" w:hAnsi="Arial"/>
          <w:sz w:val="29"/>
          <w:szCs w:val="29"/>
          <w:color w:val="auto"/>
          <w:vertAlign w:val="superscript"/>
        </w:rPr>
      </w:pPr>
      <w:r>
        <w:rPr>
          <w:rFonts w:ascii="Arial" w:cs="Arial" w:eastAsia="Arial" w:hAnsi="Arial"/>
          <w:sz w:val="22"/>
          <w:szCs w:val="22"/>
          <w:color w:val="auto"/>
        </w:rPr>
        <w:t>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trading day after FY2025 earnings announcement.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4812-3843-7902.5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33" w:name="page134"/>
    <w:bookmarkEnd w:id="133"/>
    <w:p>
      <w:pPr>
        <w:jc w:val="both"/>
        <w:ind w:left="3560"/>
        <w:spacing w:after="0" w:line="244" w:lineRule="auto"/>
        <w:rPr>
          <w:sz w:val="20"/>
          <w:szCs w:val="20"/>
          <w:color w:val="auto"/>
        </w:rPr>
      </w:pPr>
      <w:r>
        <w:rPr>
          <w:rFonts w:ascii="Times New Roman" w:cs="Times New Roman" w:eastAsia="Times New Roman" w:hAnsi="Times New Roman"/>
          <w:sz w:val="22"/>
          <w:szCs w:val="22"/>
          <w:color w:val="auto"/>
        </w:rPr>
        <w:t>Company determines that the average closing sale price of the Company’s common stock over five consecutive trading days during the three (3) calendar years immediately following the Grant Date equals or exceeds the applicable stock price.</w:t>
      </w:r>
    </w:p>
    <w:p>
      <w:pPr>
        <w:spacing w:after="0" w:line="200" w:lineRule="exact"/>
        <w:rPr>
          <w:sz w:val="20"/>
          <w:szCs w:val="20"/>
          <w:color w:val="auto"/>
        </w:rPr>
      </w:pPr>
    </w:p>
    <w:p>
      <w:pPr>
        <w:jc w:val="both"/>
        <w:ind w:left="3560"/>
        <w:spacing w:after="0" w:line="244" w:lineRule="auto"/>
        <w:rPr>
          <w:sz w:val="20"/>
          <w:szCs w:val="20"/>
          <w:color w:val="auto"/>
        </w:rPr>
      </w:pPr>
      <w:r>
        <w:rPr>
          <w:rFonts w:ascii="Times New Roman" w:cs="Times New Roman" w:eastAsia="Times New Roman" w:hAnsi="Times New Roman"/>
          <w:sz w:val="22"/>
          <w:szCs w:val="22"/>
          <w:color w:val="auto"/>
        </w:rPr>
        <w:t>Any portion of your Option that is not vested upon the termination of your employment with the Company for any reason or for no reason will immediately terminate upon such termination of employment with the Company.</w:t>
      </w:r>
    </w:p>
    <w:p>
      <w:pPr>
        <w:sectPr>
          <w:pgSz w:w="11900" w:h="16838" w:orient="portrait"/>
          <w:cols w:equalWidth="0" w:num="1">
            <w:col w:w="11040"/>
          </w:cols>
          <w:pgMar w:left="420" w:top="1408" w:right="43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Termination 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 Option expires at, and cannot be exercised after, the close of business at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headquarters on the earliest to occur of:</w:t>
      </w:r>
    </w:p>
    <w:p>
      <w:pPr>
        <w:spacing w:after="0" w:line="51" w:lineRule="exact"/>
        <w:rPr>
          <w:sz w:val="20"/>
          <w:szCs w:val="20"/>
          <w:color w:val="auto"/>
        </w:rPr>
      </w:pPr>
    </w:p>
    <w:p>
      <w:pPr>
        <w:sectPr>
          <w:pgSz w:w="11900" w:h="16838" w:orient="portrait"/>
          <w:cols w:equalWidth="0" w:num="2">
            <w:col w:w="2840" w:space="720"/>
            <w:col w:w="7480"/>
          </w:cols>
          <w:pgMar w:left="420" w:top="1408" w:right="439" w:bottom="1440" w:gutter="0" w:footer="0" w:header="0"/>
          <w:type w:val="continuous"/>
        </w:sectPr>
      </w:pPr>
    </w:p>
    <w:p>
      <w:pPr>
        <w:spacing w:after="0" w:line="4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The tenth (10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anniversary of the Grant Date;</w:t>
      </w:r>
    </w:p>
    <w:p>
      <w:pPr>
        <w:spacing w:after="0" w:line="144" w:lineRule="exact"/>
        <w:rPr>
          <w:sz w:val="20"/>
          <w:szCs w:val="20"/>
          <w:color w:val="auto"/>
        </w:rPr>
      </w:pPr>
    </w:p>
    <w:p>
      <w:pPr>
        <w:sectPr>
          <w:pgSz w:w="11900" w:h="16838" w:orient="portrait"/>
          <w:cols w:equalWidth="0" w:num="2">
            <w:col w:w="3620" w:space="440"/>
            <w:col w:w="6980"/>
          </w:cols>
          <w:pgMar w:left="420" w:top="1408" w:right="439" w:bottom="1440" w:gutter="0" w:footer="0" w:header="0"/>
          <w:type w:val="continuous"/>
        </w:sectPr>
      </w:pPr>
    </w:p>
    <w:p>
      <w:pPr>
        <w:spacing w:after="0" w:line="1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Times New Roman" w:cs="Times New Roman" w:eastAsia="Times New Roman" w:hAnsi="Times New Roman"/>
          <w:sz w:val="22"/>
          <w:szCs w:val="22"/>
          <w:color w:val="auto"/>
        </w:rPr>
        <w:t>One year after your termination of employment with the Company as a result of death or disability (within the meaning of Section 22(e)(3) of the Internal Revenue Code of 1986, as amended (the “Code”)); or</w:t>
      </w:r>
    </w:p>
    <w:p>
      <w:pPr>
        <w:spacing w:after="0" w:line="173" w:lineRule="exact"/>
        <w:rPr>
          <w:sz w:val="20"/>
          <w:szCs w:val="20"/>
          <w:color w:val="auto"/>
        </w:rPr>
      </w:pPr>
    </w:p>
    <w:p>
      <w:pPr>
        <w:sectPr>
          <w:pgSz w:w="11900" w:h="16838" w:orient="portrait"/>
          <w:cols w:equalWidth="0" w:num="2">
            <w:col w:w="3620" w:space="440"/>
            <w:col w:w="6980"/>
          </w:cols>
          <w:pgMar w:left="420" w:top="1408" w:right="439" w:bottom="1440" w:gutter="0" w:footer="0" w:header="0"/>
          <w:type w:val="continuous"/>
        </w:sectPr>
      </w:pPr>
    </w:p>
    <w:p>
      <w:pPr>
        <w:spacing w:after="0" w:line="1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90 days after your termination of employment with the Company for any other reason.</w:t>
      </w:r>
    </w:p>
    <w:p>
      <w:pPr>
        <w:spacing w:after="0" w:line="158" w:lineRule="exact"/>
        <w:rPr>
          <w:sz w:val="20"/>
          <w:szCs w:val="20"/>
          <w:color w:val="auto"/>
        </w:rPr>
      </w:pPr>
    </w:p>
    <w:p>
      <w:pPr>
        <w:sectPr>
          <w:pgSz w:w="11900" w:h="16838" w:orient="portrait"/>
          <w:cols w:equalWidth="0" w:num="2">
            <w:col w:w="3620" w:space="440"/>
            <w:col w:w="6980"/>
          </w:cols>
          <w:pgMar w:left="420" w:top="1408" w:right="439" w:bottom="1440" w:gutter="0" w:footer="0" w:header="0"/>
          <w:type w:val="continuous"/>
        </w:sectPr>
      </w:pPr>
    </w:p>
    <w:p>
      <w:pPr>
        <w:jc w:val="both"/>
        <w:ind w:left="3560"/>
        <w:spacing w:after="0" w:line="258" w:lineRule="auto"/>
        <w:rPr>
          <w:sz w:val="20"/>
          <w:szCs w:val="20"/>
          <w:color w:val="auto"/>
        </w:rPr>
      </w:pPr>
      <w:r>
        <w:rPr>
          <w:rFonts w:ascii="Times New Roman" w:cs="Times New Roman" w:eastAsia="Times New Roman" w:hAnsi="Times New Roman"/>
          <w:sz w:val="22"/>
          <w:szCs w:val="22"/>
          <w:color w:val="auto"/>
        </w:rPr>
        <w:t>Your Option’s termination date does not affect its vesting date(s), which expire upon your termination of employment with the Company.</w:t>
      </w:r>
    </w:p>
    <w:p>
      <w:pPr>
        <w:spacing w:after="0" w:line="185" w:lineRule="exact"/>
        <w:rPr>
          <w:sz w:val="20"/>
          <w:szCs w:val="20"/>
          <w:color w:val="auto"/>
        </w:rPr>
      </w:pPr>
    </w:p>
    <w:p>
      <w:pPr>
        <w:jc w:val="both"/>
        <w:ind w:left="3560"/>
        <w:spacing w:after="0" w:line="252" w:lineRule="auto"/>
        <w:rPr>
          <w:sz w:val="20"/>
          <w:szCs w:val="20"/>
          <w:color w:val="auto"/>
        </w:rPr>
      </w:pPr>
      <w:r>
        <w:rPr>
          <w:rFonts w:ascii="Times New Roman" w:cs="Times New Roman" w:eastAsia="Times New Roman" w:hAnsi="Times New Roman"/>
          <w:sz w:val="21"/>
          <w:szCs w:val="21"/>
          <w:color w:val="auto"/>
        </w:rPr>
        <w:t>If the date this Option terminates as specified above falls on a day on which the stock market is not open for trading or on a date that you are prohibited by Company policy (such as an insider trading policy) from exercising the Option, the termination date shall be automatically extended to the first available trading day following the original termination date, but not beyond the tenth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anniversary of the Grant Date.</w:t>
      </w:r>
    </w:p>
    <w:p>
      <w:pPr>
        <w:spacing w:after="0" w:line="118" w:lineRule="exact"/>
        <w:rPr>
          <w:sz w:val="20"/>
          <w:szCs w:val="20"/>
          <w:color w:val="auto"/>
        </w:rPr>
      </w:pPr>
    </w:p>
    <w:p>
      <w:pPr>
        <w:jc w:val="both"/>
        <w:ind w:left="3560"/>
        <w:spacing w:after="0" w:line="238" w:lineRule="auto"/>
        <w:rPr>
          <w:sz w:val="20"/>
          <w:szCs w:val="20"/>
          <w:color w:val="auto"/>
        </w:rPr>
      </w:pPr>
      <w:r>
        <w:rPr>
          <w:rFonts w:ascii="Times New Roman" w:cs="Times New Roman" w:eastAsia="Times New Roman" w:hAnsi="Times New Roman"/>
          <w:sz w:val="22"/>
          <w:szCs w:val="22"/>
          <w:color w:val="auto"/>
        </w:rPr>
        <w:t>Notwithstanding the above, your entire Option is terminated immediately if the Company or an affiliate (an “Affiliate”) terminates your employment for Cause (as defined in your Executive Employment and Severance Agreement, dated April 14, 2025, with the Company), or if your employment is otherwise terminated at a time when it could be terminated for Cause.</w:t>
      </w:r>
    </w:p>
    <w:p>
      <w:pPr>
        <w:spacing w:after="0" w:line="204" w:lineRule="exact"/>
        <w:rPr>
          <w:sz w:val="20"/>
          <w:szCs w:val="20"/>
          <w:color w:val="auto"/>
        </w:rPr>
      </w:pPr>
    </w:p>
    <w:p>
      <w:pPr>
        <w:jc w:val="both"/>
        <w:ind w:left="3560"/>
        <w:spacing w:after="0" w:line="244" w:lineRule="auto"/>
        <w:rPr>
          <w:sz w:val="20"/>
          <w:szCs w:val="20"/>
          <w:color w:val="auto"/>
        </w:rPr>
      </w:pPr>
      <w:r>
        <w:rPr>
          <w:rFonts w:ascii="Times New Roman" w:cs="Times New Roman" w:eastAsia="Times New Roman" w:hAnsi="Times New Roman"/>
          <w:sz w:val="22"/>
          <w:szCs w:val="22"/>
          <w:color w:val="auto"/>
        </w:rPr>
        <w:t>Your Option will also be terminated and forfeited in its entirety on the date of the Company’s 2025 Annual Meeting of Shareholders if the Company’s shareholders do not approve the Option at such Annual Meeting of Shareholders, and,</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08" w:right="43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7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notwithstanding anything to the contrary herein, no Shares may be issued under your</w:t>
            </w:r>
          </w:p>
        </w:tc>
      </w:tr>
      <w:tr>
        <w:trPr>
          <w:trHeight w:val="282"/>
        </w:trPr>
        <w:tc>
          <w:tcPr>
            <w:tcW w:w="3520" w:type="dxa"/>
            <w:vAlign w:val="bottom"/>
          </w:tcPr>
          <w:p>
            <w:pPr>
              <w:spacing w:after="0"/>
              <w:rPr>
                <w:sz w:val="24"/>
                <w:szCs w:val="24"/>
                <w:color w:val="auto"/>
              </w:rPr>
            </w:pPr>
          </w:p>
        </w:tc>
        <w:tc>
          <w:tcPr>
            <w:tcW w:w="7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Option prior to such shareholder approval.</w:t>
            </w:r>
          </w:p>
        </w:tc>
      </w:tr>
      <w:tr>
        <w:trPr>
          <w:trHeight w:val="447"/>
        </w:trPr>
        <w:tc>
          <w:tcPr>
            <w:tcW w:w="3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Manner of Exercise:</w:t>
            </w:r>
          </w:p>
        </w:tc>
        <w:tc>
          <w:tcPr>
            <w:tcW w:w="7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You may exercise your Option only to the extent vested and only if it has not</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terminated. To exercise your Option, you must complete the “Notice of Stock Option</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Exercise” form provided by the Company and return it to the address indicated on the</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form, or complete any online exercise notice procedure required by the Company.</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form or online exercise notice will be effective when it is received by the</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Company, but exercise will not be completed until you pay the total exercise price and</w:t>
            </w:r>
          </w:p>
        </w:tc>
      </w:tr>
      <w:tr>
        <w:trPr>
          <w:trHeight w:val="282"/>
        </w:trPr>
        <w:tc>
          <w:tcPr>
            <w:tcW w:w="3520" w:type="dxa"/>
            <w:vAlign w:val="bottom"/>
          </w:tcPr>
          <w:p>
            <w:pPr>
              <w:spacing w:after="0"/>
              <w:rPr>
                <w:sz w:val="24"/>
                <w:szCs w:val="24"/>
                <w:color w:val="auto"/>
              </w:rPr>
            </w:pPr>
          </w:p>
        </w:tc>
        <w:tc>
          <w:tcPr>
            <w:tcW w:w="7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all applicable withholding taxes due as a result of the exercise to the Company.</w:t>
            </w:r>
          </w:p>
        </w:tc>
      </w:tr>
      <w:tr>
        <w:trPr>
          <w:trHeight w:val="447"/>
        </w:trPr>
        <w:tc>
          <w:tcPr>
            <w:tcW w:w="3520" w:type="dxa"/>
            <w:vAlign w:val="bottom"/>
          </w:tcPr>
          <w:p>
            <w:pPr>
              <w:spacing w:after="0"/>
              <w:rPr>
                <w:sz w:val="24"/>
                <w:szCs w:val="24"/>
                <w:color w:val="auto"/>
              </w:rPr>
            </w:pPr>
          </w:p>
        </w:tc>
        <w:tc>
          <w:tcPr>
            <w:tcW w:w="7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someone else wants to exercise your Option after your death, that person must</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contact the Company and prove to the Company’s satisfaction that he or she is entitled</w:t>
            </w:r>
          </w:p>
        </w:tc>
      </w:tr>
      <w:tr>
        <w:trPr>
          <w:trHeight w:val="282"/>
        </w:trPr>
        <w:tc>
          <w:tcPr>
            <w:tcW w:w="3520" w:type="dxa"/>
            <w:vAlign w:val="bottom"/>
          </w:tcPr>
          <w:p>
            <w:pPr>
              <w:spacing w:after="0"/>
              <w:rPr>
                <w:sz w:val="24"/>
                <w:szCs w:val="24"/>
                <w:color w:val="auto"/>
              </w:rPr>
            </w:pPr>
          </w:p>
        </w:tc>
        <w:tc>
          <w:tcPr>
            <w:tcW w:w="7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 do so.</w:t>
            </w:r>
          </w:p>
        </w:tc>
      </w:tr>
      <w:tr>
        <w:trPr>
          <w:trHeight w:val="447"/>
        </w:trPr>
        <w:tc>
          <w:tcPr>
            <w:tcW w:w="3520" w:type="dxa"/>
            <w:vAlign w:val="bottom"/>
          </w:tcPr>
          <w:p>
            <w:pPr>
              <w:spacing w:after="0"/>
              <w:rPr>
                <w:sz w:val="24"/>
                <w:szCs w:val="24"/>
                <w:color w:val="auto"/>
              </w:rPr>
            </w:pPr>
          </w:p>
        </w:tc>
        <w:tc>
          <w:tcPr>
            <w:tcW w:w="7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Your ability to exercise your Option may be restricted by the Company if required by</w:t>
            </w:r>
          </w:p>
        </w:tc>
      </w:tr>
      <w:tr>
        <w:trPr>
          <w:trHeight w:val="282"/>
        </w:trPr>
        <w:tc>
          <w:tcPr>
            <w:tcW w:w="3520" w:type="dxa"/>
            <w:vAlign w:val="bottom"/>
          </w:tcPr>
          <w:p>
            <w:pPr>
              <w:spacing w:after="0"/>
              <w:rPr>
                <w:sz w:val="24"/>
                <w:szCs w:val="24"/>
                <w:color w:val="auto"/>
              </w:rPr>
            </w:pPr>
          </w:p>
        </w:tc>
        <w:tc>
          <w:tcPr>
            <w:tcW w:w="7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applicable law.</w:t>
            </w:r>
          </w:p>
        </w:tc>
      </w:tr>
      <w:tr>
        <w:trPr>
          <w:trHeight w:val="447"/>
        </w:trPr>
        <w:tc>
          <w:tcPr>
            <w:tcW w:w="3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Restrictions on Resale:</w:t>
            </w:r>
          </w:p>
        </w:tc>
        <w:tc>
          <w:tcPr>
            <w:tcW w:w="7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By accepting your Option, you agree not to sell any Shares acquired under your</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Option at a time when applicable laws, Company policies or an agreement between</w:t>
            </w:r>
          </w:p>
        </w:tc>
      </w:tr>
      <w:tr>
        <w:trPr>
          <w:trHeight w:val="282"/>
        </w:trPr>
        <w:tc>
          <w:tcPr>
            <w:tcW w:w="3520" w:type="dxa"/>
            <w:vAlign w:val="bottom"/>
          </w:tcPr>
          <w:p>
            <w:pPr>
              <w:spacing w:after="0"/>
              <w:rPr>
                <w:sz w:val="24"/>
                <w:szCs w:val="24"/>
                <w:color w:val="auto"/>
              </w:rPr>
            </w:pPr>
          </w:p>
        </w:tc>
        <w:tc>
          <w:tcPr>
            <w:tcW w:w="7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Company and its underwriters prohibit a sale.</w:t>
            </w:r>
          </w:p>
        </w:tc>
      </w:tr>
      <w:tr>
        <w:trPr>
          <w:trHeight w:val="447"/>
        </w:trPr>
        <w:tc>
          <w:tcPr>
            <w:tcW w:w="3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Restrictions on Transfer:</w:t>
            </w:r>
          </w:p>
        </w:tc>
        <w:tc>
          <w:tcPr>
            <w:tcW w:w="7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During your lifetime, this Option is only exercisable by you.  You may not transfer,</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pledge or assign this Option, by operation of law or otherwise, except pursuant to your</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will or the laws of descent and distribution.  If you attempt to transfer, assign, pledge,</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hypothecate or otherwise dispose of this Option, except as provided above, or in the</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event this Option is subject to levy or attachment, execution or similar process, the</w:t>
            </w:r>
          </w:p>
        </w:tc>
      </w:tr>
      <w:tr>
        <w:trPr>
          <w:trHeight w:val="282"/>
        </w:trPr>
        <w:tc>
          <w:tcPr>
            <w:tcW w:w="3520" w:type="dxa"/>
            <w:vAlign w:val="bottom"/>
          </w:tcPr>
          <w:p>
            <w:pPr>
              <w:spacing w:after="0"/>
              <w:rPr>
                <w:sz w:val="24"/>
                <w:szCs w:val="24"/>
                <w:color w:val="auto"/>
              </w:rPr>
            </w:pPr>
          </w:p>
        </w:tc>
        <w:tc>
          <w:tcPr>
            <w:tcW w:w="7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Company may terminate this Option by providing written notice to you.</w:t>
            </w:r>
          </w:p>
        </w:tc>
      </w:tr>
      <w:tr>
        <w:trPr>
          <w:trHeight w:val="447"/>
        </w:trPr>
        <w:tc>
          <w:tcPr>
            <w:tcW w:w="3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Compensation Recovery Policy;</w:t>
            </w:r>
          </w:p>
        </w:tc>
        <w:tc>
          <w:tcPr>
            <w:tcW w:w="7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This Option, and any Shares issued pursuant to the exercise of this Option, shall be</w:t>
            </w:r>
          </w:p>
        </w:tc>
      </w:tr>
      <w:tr>
        <w:trPr>
          <w:trHeight w:val="243"/>
        </w:trPr>
        <w:tc>
          <w:tcPr>
            <w:tcW w:w="35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Rescission of Exercise; Disgorgement</w:t>
            </w: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subject to the Company’s Compensation Recovery Policy and any other recoupment</w:t>
            </w:r>
          </w:p>
        </w:tc>
      </w:tr>
      <w:tr>
        <w:trPr>
          <w:trHeight w:val="243"/>
        </w:trPr>
        <w:tc>
          <w:tcPr>
            <w:tcW w:w="35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of Option Gains:</w:t>
            </w: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or clawback policy that is adopted by, or any recoupment or similar requirement</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otherwise made applicable by law, regulation or listing standards to, the Company</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from time to time.  If you are terminated for Cause, or if you are not terminated for</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Cause but the Human Capital Management and Compensation Committee (the</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“Committee”) of the Company’s Board of Directors (the “Board”) later determines</w:t>
            </w:r>
          </w:p>
        </w:tc>
      </w:tr>
      <w:tr>
        <w:trPr>
          <w:trHeight w:val="243"/>
        </w:trPr>
        <w:tc>
          <w:tcPr>
            <w:tcW w:w="3520" w:type="dxa"/>
            <w:vAlign w:val="bottom"/>
          </w:tcPr>
          <w:p>
            <w:pPr>
              <w:spacing w:after="0"/>
              <w:rPr>
                <w:sz w:val="21"/>
                <w:szCs w:val="21"/>
                <w:color w:val="auto"/>
              </w:rPr>
            </w:pPr>
          </w:p>
        </w:tc>
        <w:tc>
          <w:tcPr>
            <w:tcW w:w="77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that you could have been terminated for Cause if all facts had been known at that</w:t>
            </w:r>
          </w:p>
        </w:tc>
      </w:tr>
      <w:tr>
        <w:trPr>
          <w:trHeight w:val="282"/>
        </w:trPr>
        <w:tc>
          <w:tcPr>
            <w:tcW w:w="3520" w:type="dxa"/>
            <w:vAlign w:val="bottom"/>
          </w:tcPr>
          <w:p>
            <w:pPr>
              <w:spacing w:after="0"/>
              <w:rPr>
                <w:sz w:val="24"/>
                <w:szCs w:val="24"/>
                <w:color w:val="auto"/>
              </w:rPr>
            </w:pPr>
          </w:p>
        </w:tc>
        <w:tc>
          <w:tcPr>
            <w:tcW w:w="7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time, or if the</w:t>
            </w:r>
          </w:p>
        </w:tc>
      </w:tr>
      <w:tr>
        <w:trPr>
          <w:trHeight w:val="648"/>
        </w:trPr>
        <w:tc>
          <w:tcPr>
            <w:tcW w:w="3520" w:type="dxa"/>
            <w:vAlign w:val="bottom"/>
          </w:tcPr>
          <w:p>
            <w:pPr>
              <w:spacing w:after="0"/>
              <w:rPr>
                <w:sz w:val="24"/>
                <w:szCs w:val="24"/>
                <w:color w:val="auto"/>
              </w:rPr>
            </w:pPr>
          </w:p>
        </w:tc>
        <w:tc>
          <w:tcPr>
            <w:tcW w:w="7720" w:type="dxa"/>
            <w:vAlign w:val="bottom"/>
          </w:tcPr>
          <w:p>
            <w:pPr>
              <w:ind w:left="2060"/>
              <w:spacing w:after="0"/>
              <w:rPr>
                <w:sz w:val="20"/>
                <w:szCs w:val="20"/>
                <w:color w:val="auto"/>
              </w:rPr>
            </w:pPr>
            <w:r>
              <w:rPr>
                <w:rFonts w:ascii="Times New Roman" w:cs="Times New Roman" w:eastAsia="Times New Roman" w:hAnsi="Times New Roman"/>
                <w:sz w:val="22"/>
                <w:szCs w:val="22"/>
                <w:color w:val="auto"/>
              </w:rPr>
              <w:t>3</w:t>
            </w:r>
          </w:p>
        </w:tc>
      </w:tr>
      <w:tr>
        <w:trPr>
          <w:trHeight w:val="751"/>
        </w:trPr>
        <w:tc>
          <w:tcPr>
            <w:tcW w:w="352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53"/>
        </w:trPr>
        <w:tc>
          <w:tcPr>
            <w:tcW w:w="2160" w:type="dxa"/>
            <w:vAlign w:val="bottom"/>
          </w:tcPr>
          <w:p>
            <w:pPr>
              <w:spacing w:after="0"/>
              <w:rPr>
                <w:sz w:val="22"/>
                <w:szCs w:val="22"/>
                <w:color w:val="auto"/>
              </w:rPr>
            </w:pPr>
          </w:p>
        </w:tc>
        <w:tc>
          <w:tcPr>
            <w:tcW w:w="908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Committee determines that, after your termination of employment, you have violated</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the provisions of any non-competition, non-solicitation, confidentiality or assignment</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of inventions agreement then in effect, then your Option will terminate immediately</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on the date of such termination or determination, as applicable, and the Committee</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w w:val="99"/>
              </w:rPr>
              <w:t>may, in its sole and absolute discretion, (i) rescind any notice of exercise submitted by</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you for which payment or the issuance of Shares has not been completed, in which</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event any exercise price you have tendered will be promptly returned to you or</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retained by the Company as an offset as provided below, and/or (ii) notify you in</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writing within two (2) years after exercise of all or any portion of the Option that any</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w w:val="99"/>
              </w:rPr>
              <w:t>exercise made within the one (1) year period prior to your termination or prior to your</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breach of any non-competition, non-solicitation, confidentiality or assignment of</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inventions agreement, is rescinded.  Within ten (10) days after receiving such notice</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from the Company, you shall pay to the Company the amount of any cash payment</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received, or the value of any other gain realized, as a result of the rescinded exercise.</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Notwithstanding the foregoing, the Company shall have the right to retain (as an</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w w:val="99"/>
              </w:rPr>
              <w:t>offset against any amounts due hereunder), the exercise price and withholding amount</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tendered by you with respect to any rescinded exercise, and the Company shall have</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w w:val="99"/>
              </w:rPr>
              <w:t>the right to offset against any other amounts due from the Company to you the amount</w:t>
            </w:r>
          </w:p>
        </w:tc>
      </w:tr>
      <w:tr>
        <w:trPr>
          <w:trHeight w:val="282"/>
        </w:trPr>
        <w:tc>
          <w:tcPr>
            <w:tcW w:w="2160" w:type="dxa"/>
            <w:vAlign w:val="bottom"/>
          </w:tcPr>
          <w:p>
            <w:pPr>
              <w:spacing w:after="0"/>
              <w:rPr>
                <w:sz w:val="24"/>
                <w:szCs w:val="24"/>
                <w:color w:val="auto"/>
              </w:rPr>
            </w:pPr>
          </w:p>
        </w:tc>
        <w:tc>
          <w:tcPr>
            <w:tcW w:w="908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owed by you hereunder.</w:t>
            </w:r>
          </w:p>
        </w:tc>
      </w:tr>
      <w:tr>
        <w:trPr>
          <w:trHeight w:val="447"/>
        </w:trPr>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Taxes:</w:t>
            </w:r>
          </w:p>
        </w:tc>
        <w:tc>
          <w:tcPr>
            <w:tcW w:w="908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You (and not the Company or any Affiliate) shall be responsible for your federal,</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state, local or foreign tax liability and any of your other tax consequences that may</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arise as a result of the transactions contemplated by this Option. You shall rely solely</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on the determinations of your own tax advisors or your own determinations, and not</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on any statements or representations by the Company or any of its agents, with regard</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to all such tax matters.  To the extent that the receipt, vesting or exercise of this</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Option, or other event, results in income to you for federal, state or local income tax</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w w:val="99"/>
              </w:rPr>
              <w:t>purposes, you shall deliver to the Company or its Affiliate at the time the Company or</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its Affiliate is obligated to withhold taxes in connection with such receipt, vesting,</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exercise or other event, as the case may be, such amount as the Company or its</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Affiliate requires to meet its withholding obligation under applicable tax laws or</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w w:val="99"/>
              </w:rPr>
              <w:t>regulations, and if you fail to do so, the Company shall not be obligated to deliver any</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Shares to you and shall have the right and authority to deduct or withhold from other</w:t>
            </w:r>
          </w:p>
        </w:tc>
      </w:tr>
      <w:tr>
        <w:trPr>
          <w:trHeight w:val="243"/>
        </w:trPr>
        <w:tc>
          <w:tcPr>
            <w:tcW w:w="2160" w:type="dxa"/>
            <w:vAlign w:val="bottom"/>
          </w:tcPr>
          <w:p>
            <w:pPr>
              <w:spacing w:after="0"/>
              <w:rPr>
                <w:sz w:val="21"/>
                <w:szCs w:val="21"/>
                <w:color w:val="auto"/>
              </w:rPr>
            </w:pPr>
          </w:p>
        </w:tc>
        <w:tc>
          <w:tcPr>
            <w:tcW w:w="908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compensation  payable  to  you  an  amount  sufficient  to  satisfy  its  withholding</w:t>
            </w:r>
          </w:p>
        </w:tc>
      </w:tr>
      <w:tr>
        <w:trPr>
          <w:trHeight w:val="282"/>
        </w:trPr>
        <w:tc>
          <w:tcPr>
            <w:tcW w:w="2160" w:type="dxa"/>
            <w:vAlign w:val="bottom"/>
          </w:tcPr>
          <w:p>
            <w:pPr>
              <w:spacing w:after="0"/>
              <w:rPr>
                <w:sz w:val="24"/>
                <w:szCs w:val="24"/>
                <w:color w:val="auto"/>
              </w:rPr>
            </w:pPr>
          </w:p>
        </w:tc>
        <w:tc>
          <w:tcPr>
            <w:tcW w:w="908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obligations.</w:t>
            </w:r>
          </w:p>
        </w:tc>
      </w:tr>
      <w:tr>
        <w:trPr>
          <w:trHeight w:val="891"/>
        </w:trPr>
        <w:tc>
          <w:tcPr>
            <w:tcW w:w="2160" w:type="dxa"/>
            <w:vAlign w:val="bottom"/>
          </w:tcPr>
          <w:p>
            <w:pPr>
              <w:spacing w:after="0"/>
              <w:rPr>
                <w:sz w:val="24"/>
                <w:szCs w:val="24"/>
                <w:color w:val="auto"/>
              </w:rPr>
            </w:pPr>
          </w:p>
        </w:tc>
        <w:tc>
          <w:tcPr>
            <w:tcW w:w="9080" w:type="dxa"/>
            <w:vAlign w:val="bottom"/>
          </w:tcPr>
          <w:p>
            <w:pPr>
              <w:ind w:left="3420"/>
              <w:spacing w:after="0"/>
              <w:rPr>
                <w:sz w:val="20"/>
                <w:szCs w:val="20"/>
                <w:color w:val="auto"/>
              </w:rPr>
            </w:pPr>
            <w:r>
              <w:rPr>
                <w:rFonts w:ascii="Times New Roman" w:cs="Times New Roman" w:eastAsia="Times New Roman" w:hAnsi="Times New Roman"/>
                <w:sz w:val="22"/>
                <w:szCs w:val="22"/>
                <w:color w:val="auto"/>
              </w:rPr>
              <w:t>4</w:t>
            </w:r>
          </w:p>
        </w:tc>
      </w:tr>
      <w:tr>
        <w:trPr>
          <w:trHeight w:val="751"/>
        </w:trPr>
        <w:tc>
          <w:tcPr>
            <w:tcW w:w="2160" w:type="dxa"/>
            <w:vAlign w:val="bottom"/>
            <w:tcBorders>
              <w:bottom w:val="single" w:sz="8" w:color="9A9A9A"/>
            </w:tcBorders>
          </w:tcPr>
          <w:p>
            <w:pPr>
              <w:spacing w:after="0"/>
              <w:rPr>
                <w:sz w:val="24"/>
                <w:szCs w:val="24"/>
                <w:color w:val="auto"/>
              </w:rPr>
            </w:pPr>
          </w:p>
        </w:tc>
        <w:tc>
          <w:tcPr>
            <w:tcW w:w="9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To the extent permitted by the Company at the time a tax withholding requirement</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arises, you may satisfy the withholding requirement in whole or in part, by electing to</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have the Company withhold for its own account that number of Shares otherwise</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deliverable to you upon exercise having an aggregate Fair Market Value (as defined</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below) on the date the tax is to be determined equal to the tax that the Company must</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withhold in connection with the exercise; provided that the amount so withheld shall</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not exceed the maximum statutory rate to the extent necessary to avoid an accounting</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charge. “Fair Market Value” means, unless otherwise determined by the Committee,</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per Share on a particular date, (i) if the Shares are listed on a national securities</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exchange, the last sales price on that date on the national securities exchange on</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which the Shares are then traded, as reported in The Wall Street Journal, or if no sales</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of Shares occur on such date, then on the last preceding date on which there was a sale</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on such exchange; or (ii) if the Shares are not listed on a national securities exchange,</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but are traded in an over-the-counter market, the last sales price (or, if there is no last</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sales price reported, the average of the closing bid and asked prices) for the Shares on</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that date, or on the last preceding date on which there was a sale of Shares on that</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market; or (iii) if the Shares are neither listed on a national securities exchange nor</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traded in an over-the-counter market, the price determined by the Committee, in its</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discretion. The Fair Market Value of any fractional Share not used to satisfy the</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withholding obligation (as determined on the date the tax is determined) will be paid</w:t>
            </w:r>
          </w:p>
        </w:tc>
      </w:tr>
      <w:tr>
        <w:trPr>
          <w:trHeight w:val="282"/>
        </w:trPr>
        <w:tc>
          <w:tcPr>
            <w:tcW w:w="3560" w:type="dxa"/>
            <w:vAlign w:val="bottom"/>
          </w:tcPr>
          <w:p>
            <w:pPr>
              <w:spacing w:after="0"/>
              <w:rPr>
                <w:sz w:val="24"/>
                <w:szCs w:val="24"/>
                <w:color w:val="auto"/>
              </w:rPr>
            </w:pP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to you in cash.</w:t>
            </w:r>
          </w:p>
        </w:tc>
      </w:tr>
      <w:tr>
        <w:trPr>
          <w:trHeight w:val="447"/>
        </w:trPr>
        <w:tc>
          <w:tcPr>
            <w:tcW w:w="3560" w:type="dxa"/>
            <w:vAlign w:val="bottom"/>
          </w:tcPr>
          <w:p>
            <w:pPr>
              <w:spacing w:after="0"/>
              <w:rPr>
                <w:sz w:val="24"/>
                <w:szCs w:val="24"/>
                <w:color w:val="auto"/>
              </w:rPr>
            </w:pP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Notwithstanding any provisions of this Stock Option Award to the contrary, the</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does not guarantee to you or any other person with an interest in this Stock</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Option Award that this Option will be exempt from Code Section 409A or otherwise</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receive a specific tax treatment under any other applicable tax law, nor in any such</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case will the Company or any Affiliate be required to indemnify, defend or hold</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harmless any individual with respect to the tax consequences of this Stock Option</w:t>
            </w:r>
          </w:p>
        </w:tc>
      </w:tr>
      <w:tr>
        <w:trPr>
          <w:trHeight w:val="282"/>
        </w:trPr>
        <w:tc>
          <w:tcPr>
            <w:tcW w:w="3560" w:type="dxa"/>
            <w:vAlign w:val="bottom"/>
          </w:tcPr>
          <w:p>
            <w:pPr>
              <w:spacing w:after="0"/>
              <w:rPr>
                <w:sz w:val="24"/>
                <w:szCs w:val="24"/>
                <w:color w:val="auto"/>
              </w:rPr>
            </w:pP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Award.</w:t>
            </w:r>
          </w:p>
        </w:tc>
      </w:tr>
      <w:tr>
        <w:trPr>
          <w:trHeight w:val="447"/>
        </w:trPr>
        <w:tc>
          <w:tcPr>
            <w:tcW w:w="3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Transfer:</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Company may, at any time during the twelve months from the date you acquire</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Shares under your Option, place a stop-transfer order on any Shares issued under your</w:t>
            </w:r>
          </w:p>
        </w:tc>
      </w:tr>
      <w:tr>
        <w:trPr>
          <w:trHeight w:val="243"/>
        </w:trPr>
        <w:tc>
          <w:tcPr>
            <w:tcW w:w="3560" w:type="dxa"/>
            <w:vAlign w:val="bottom"/>
          </w:tcPr>
          <w:p>
            <w:pPr>
              <w:spacing w:after="0"/>
              <w:rPr>
                <w:sz w:val="21"/>
                <w:szCs w:val="21"/>
                <w:color w:val="auto"/>
              </w:rPr>
            </w:pP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Option requesting the Company’s transfer agent to notify the Company of any transfer</w:t>
            </w:r>
          </w:p>
        </w:tc>
      </w:tr>
      <w:tr>
        <w:trPr>
          <w:trHeight w:val="282"/>
        </w:trPr>
        <w:tc>
          <w:tcPr>
            <w:tcW w:w="3560" w:type="dxa"/>
            <w:vAlign w:val="bottom"/>
          </w:tcPr>
          <w:p>
            <w:pPr>
              <w:spacing w:after="0"/>
              <w:rPr>
                <w:sz w:val="24"/>
                <w:szCs w:val="24"/>
                <w:color w:val="auto"/>
              </w:rPr>
            </w:pP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 the Shares.</w:t>
            </w:r>
          </w:p>
        </w:tc>
      </w:tr>
      <w:tr>
        <w:trPr>
          <w:trHeight w:val="447"/>
        </w:trPr>
        <w:tc>
          <w:tcPr>
            <w:tcW w:w="3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Adjustment and Change of Control</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If (i) the Company shall at any time be involved in a merger or other transaction in</w:t>
            </w:r>
          </w:p>
        </w:tc>
      </w:tr>
      <w:tr>
        <w:trPr>
          <w:trHeight w:val="243"/>
        </w:trPr>
        <w:tc>
          <w:tcPr>
            <w:tcW w:w="3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Provisions:</w:t>
            </w:r>
          </w:p>
        </w:tc>
        <w:tc>
          <w:tcPr>
            <w:tcW w:w="76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which the Shares are changed or exchanged; (ii) the Company shall subdivide or</w:t>
            </w:r>
          </w:p>
        </w:tc>
      </w:tr>
      <w:tr>
        <w:trPr>
          <w:trHeight w:val="282"/>
        </w:trPr>
        <w:tc>
          <w:tcPr>
            <w:tcW w:w="3560" w:type="dxa"/>
            <w:vAlign w:val="bottom"/>
          </w:tcPr>
          <w:p>
            <w:pPr>
              <w:spacing w:after="0"/>
              <w:rPr>
                <w:sz w:val="24"/>
                <w:szCs w:val="24"/>
                <w:color w:val="auto"/>
              </w:rPr>
            </w:pP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combine the Shares or the</w:t>
            </w:r>
          </w:p>
        </w:tc>
      </w:tr>
      <w:tr>
        <w:trPr>
          <w:trHeight w:val="648"/>
        </w:trPr>
        <w:tc>
          <w:tcPr>
            <w:tcW w:w="3560" w:type="dxa"/>
            <w:vAlign w:val="bottom"/>
          </w:tcPr>
          <w:p>
            <w:pPr>
              <w:spacing w:after="0"/>
              <w:rPr>
                <w:sz w:val="24"/>
                <w:szCs w:val="24"/>
                <w:color w:val="auto"/>
              </w:rPr>
            </w:pPr>
          </w:p>
        </w:tc>
        <w:tc>
          <w:tcPr>
            <w:tcW w:w="7680" w:type="dxa"/>
            <w:vAlign w:val="bottom"/>
          </w:tcPr>
          <w:p>
            <w:pPr>
              <w:ind w:left="2020"/>
              <w:spacing w:after="0"/>
              <w:rPr>
                <w:sz w:val="20"/>
                <w:szCs w:val="20"/>
                <w:color w:val="auto"/>
              </w:rPr>
            </w:pPr>
            <w:r>
              <w:rPr>
                <w:rFonts w:ascii="Times New Roman" w:cs="Times New Roman" w:eastAsia="Times New Roman" w:hAnsi="Times New Roman"/>
                <w:sz w:val="22"/>
                <w:szCs w:val="22"/>
                <w:color w:val="auto"/>
              </w:rPr>
              <w:t>5</w:t>
            </w:r>
          </w:p>
        </w:tc>
      </w:tr>
      <w:tr>
        <w:trPr>
          <w:trHeight w:val="751"/>
        </w:trPr>
        <w:tc>
          <w:tcPr>
            <w:tcW w:w="356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37" w:name="page138"/>
    <w:bookmarkEnd w:id="137"/>
    <w:p>
      <w:pPr>
        <w:jc w:val="both"/>
        <w:ind w:left="2540"/>
        <w:spacing w:after="0" w:line="253" w:lineRule="auto"/>
        <w:rPr>
          <w:sz w:val="20"/>
          <w:szCs w:val="20"/>
          <w:color w:val="auto"/>
        </w:rPr>
      </w:pPr>
      <w:r>
        <w:rPr>
          <w:rFonts w:ascii="Times New Roman" w:cs="Times New Roman" w:eastAsia="Times New Roman" w:hAnsi="Times New Roman"/>
          <w:sz w:val="21"/>
          <w:szCs w:val="21"/>
          <w:color w:val="auto"/>
        </w:rPr>
        <w:t>Company shall declare a dividend payable in Shares, other securities (other than stock purchase rights issued pursuant to a shareholder rights agreement) or other property;</w:t>
      </w:r>
    </w:p>
    <w:p>
      <w:pPr>
        <w:spacing w:after="0" w:line="1" w:lineRule="exact"/>
        <w:rPr>
          <w:sz w:val="20"/>
          <w:szCs w:val="20"/>
          <w:color w:val="auto"/>
        </w:rPr>
      </w:pPr>
    </w:p>
    <w:p>
      <w:pPr>
        <w:jc w:val="both"/>
        <w:ind w:left="2540" w:hanging="4"/>
        <w:spacing w:after="0" w:line="242" w:lineRule="auto"/>
        <w:tabs>
          <w:tab w:leader="none" w:pos="2941"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effect a cash dividend the amount of which, on a per Share basis, exceeds ten percent (10%) of the Fair Market Value of a Share at the time the dividend is declared, or the Company shall effect any other dividend or other distribution on the Shares in the form of cash, or a repurchase of Shares, that the Board determines by resolution is special or extraordinary in nature or that is in connection with a transaction that the Company characterizes publicly as a recapitalization or reorganization involving the Shares; or (iv) any other event shall occur, which, in the case of this clause (iv), in the judgment of the Committee necessitates an adjustment to prevent dilution or enlargement of the benefits or potential benefits intended to be made available under this Stock Option Award, then the Committee shall, in such manner as it may deem equitable to prevent dilution or enlargement of the benefits or potential benefits intended to be made available under this Stock Option Award, adjust any or all of: (A) the number and type of Shares subject to this Stock Option Award; (B) the exercise price with respect to this Stock Option Award; and (C) the performance goals applicable to this Stock Option Award. In any such case, the Committee may also (or in lieu of the foregoing) make provision for a cash payment in exchange for the cancellation of all or a portion of this Stock Option Award (without your consent) in an amount determined by the Committee effective at such time as the Committee specifies (which may be the time such transaction or event is effective). However, the number of Shares subject to this Stock Option Award must always be a whole number. In any event, this Stock Option Award is subject to only such adjustments as are necessary to maintain the relative proportionate interest this Stock Option Award represented immediately prior to any such event and to preserve, without exceeding, the value of this Stock Option Award.</w:t>
      </w:r>
    </w:p>
    <w:p>
      <w:pPr>
        <w:spacing w:after="0" w:line="207" w:lineRule="exact"/>
        <w:rPr>
          <w:sz w:val="20"/>
          <w:szCs w:val="20"/>
          <w:color w:val="auto"/>
        </w:rPr>
      </w:pPr>
    </w:p>
    <w:p>
      <w:pPr>
        <w:jc w:val="both"/>
        <w:ind w:left="2540"/>
        <w:spacing w:after="0" w:line="235" w:lineRule="auto"/>
        <w:rPr>
          <w:sz w:val="20"/>
          <w:szCs w:val="20"/>
          <w:color w:val="auto"/>
        </w:rPr>
      </w:pPr>
      <w:r>
        <w:rPr>
          <w:rFonts w:ascii="Times New Roman" w:cs="Times New Roman" w:eastAsia="Times New Roman" w:hAnsi="Times New Roman"/>
          <w:sz w:val="22"/>
          <w:szCs w:val="22"/>
          <w:color w:val="auto"/>
        </w:rPr>
        <w:t>Without limitation, in the event of any reorganization, merger, consolidation, combination or other similar corporate transaction or event, whether or not constituting a Change of Control (as defined below) (other than any such transaction in which the Company is the continuing corporation and in which the outstanding Shares are not being converted into or exchanged for different securities, cash or other property, or any combination thereof), the Committee may substitute, on an equitable basis as the Committee determines, for each Share then subject to this Stock Option Award, the number and kind of shares of stock,</w:t>
      </w:r>
    </w:p>
    <w:p>
      <w:pPr>
        <w:spacing w:after="0" w:line="36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408" w:right="439" w:bottom="1440" w:gutter="0" w:footer="0" w:header="0"/>
        </w:sectPr>
      </w:pPr>
    </w:p>
    <w:bookmarkStart w:id="138" w:name="page139"/>
    <w:bookmarkEnd w:id="138"/>
    <w:p>
      <w:pPr>
        <w:jc w:val="both"/>
        <w:ind w:left="2540"/>
        <w:spacing w:after="0" w:line="244" w:lineRule="auto"/>
        <w:rPr>
          <w:sz w:val="20"/>
          <w:szCs w:val="20"/>
          <w:color w:val="auto"/>
        </w:rPr>
      </w:pPr>
      <w:r>
        <w:rPr>
          <w:rFonts w:ascii="Times New Roman" w:cs="Times New Roman" w:eastAsia="Times New Roman" w:hAnsi="Times New Roman"/>
          <w:sz w:val="22"/>
          <w:szCs w:val="22"/>
          <w:color w:val="auto"/>
        </w:rPr>
        <w:t>other securities, cash or other property to which holders of Shares are or will be entitled in respect of each Share pursuant to the transaction. A “Change of Control” shall have the meaning given in the Company’s 2016 Omnibus Incentive Plan.</w:t>
      </w:r>
    </w:p>
    <w:p>
      <w:pPr>
        <w:spacing w:after="0" w:line="200" w:lineRule="exact"/>
        <w:rPr>
          <w:sz w:val="20"/>
          <w:szCs w:val="20"/>
          <w:color w:val="auto"/>
        </w:rPr>
      </w:pPr>
    </w:p>
    <w:p>
      <w:pPr>
        <w:jc w:val="both"/>
        <w:ind w:left="2540"/>
        <w:spacing w:after="0" w:line="236" w:lineRule="auto"/>
        <w:rPr>
          <w:sz w:val="20"/>
          <w:szCs w:val="20"/>
          <w:color w:val="auto"/>
        </w:rPr>
      </w:pPr>
      <w:r>
        <w:rPr>
          <w:rFonts w:ascii="Times New Roman" w:cs="Times New Roman" w:eastAsia="Times New Roman" w:hAnsi="Times New Roman"/>
          <w:sz w:val="22"/>
          <w:szCs w:val="22"/>
          <w:color w:val="auto"/>
        </w:rPr>
        <w:t>Notwithstanding the foregoing, in the case of a stock dividend (other than a stock dividend declared in lieu of an ordinary cash dividend) or subdivision or combination of the Shares (including a reverse stock split), if no action is taken by the Committee, adjustments contemplated by this subsection that are proportionate shall nevertheless automatically be made as of the date of such stock dividend or subdivision or combination of the Shares.</w:t>
      </w:r>
    </w:p>
    <w:p>
      <w:pPr>
        <w:spacing w:after="0" w:line="208" w:lineRule="exact"/>
        <w:rPr>
          <w:sz w:val="20"/>
          <w:szCs w:val="20"/>
          <w:color w:val="auto"/>
        </w:rPr>
      </w:pPr>
    </w:p>
    <w:p>
      <w:pPr>
        <w:jc w:val="both"/>
        <w:ind w:left="2540"/>
        <w:spacing w:after="0" w:line="239" w:lineRule="auto"/>
        <w:rPr>
          <w:sz w:val="20"/>
          <w:szCs w:val="20"/>
          <w:color w:val="auto"/>
        </w:rPr>
      </w:pPr>
      <w:r>
        <w:rPr>
          <w:rFonts w:ascii="Times New Roman" w:cs="Times New Roman" w:eastAsia="Times New Roman" w:hAnsi="Times New Roman"/>
          <w:sz w:val="22"/>
          <w:szCs w:val="22"/>
          <w:color w:val="auto"/>
        </w:rPr>
        <w:t>Notwithstanding any other provision of this Stock Option Award, in connection with any merger, consolidation, acquisition of property or stock, or reorganization, the Committee may authorize the issuance or assumption of this Stock Option Award upon such terms and conditions as it may deem appropriate.</w:t>
      </w:r>
    </w:p>
    <w:p>
      <w:pPr>
        <w:spacing w:after="0" w:line="207" w:lineRule="exact"/>
        <w:rPr>
          <w:sz w:val="20"/>
          <w:szCs w:val="20"/>
          <w:color w:val="auto"/>
        </w:rPr>
      </w:pPr>
    </w:p>
    <w:p>
      <w:pPr>
        <w:jc w:val="both"/>
        <w:ind w:left="2540"/>
        <w:spacing w:after="0" w:line="243" w:lineRule="auto"/>
        <w:rPr>
          <w:sz w:val="20"/>
          <w:szCs w:val="20"/>
          <w:color w:val="auto"/>
        </w:rPr>
      </w:pPr>
      <w:r>
        <w:rPr>
          <w:rFonts w:ascii="Times New Roman" w:cs="Times New Roman" w:eastAsia="Times New Roman" w:hAnsi="Times New Roman"/>
          <w:sz w:val="21"/>
          <w:szCs w:val="21"/>
          <w:color w:val="auto"/>
        </w:rPr>
        <w:t>In order to preserve your rights under this Stock Option Award in the event of a Change of Control, the Committee in its discretion may take one or more of the following actions at any time: (a) provide for the acceleration of any time period, or the deemed achievement of any performance goals, relating to the exercise or realization of this Stock Option Award; (b) provide for the purchase of this Stock Option Award for an amount of cash or other property that could have been received upon the exercise or realization of this Stock Option Award had this Stock Option Award been currently exercisable or payable (or the cancellation of this Stock Option Award in exchange for no payment to the extent that no cash or other property would be received upon the exercise or realization of this Stock Option Award in such circumstances); (c) adjust the terms of this Stock Option Award in the manner determined by the Committee to reflect the Change of Control; (d) cause this Stock Option Award to be assumed, or new right substituted therefor, by another entity; or</w:t>
      </w:r>
    </w:p>
    <w:p>
      <w:pPr>
        <w:spacing w:after="0" w:line="4" w:lineRule="exact"/>
        <w:rPr>
          <w:sz w:val="20"/>
          <w:szCs w:val="20"/>
          <w:color w:val="auto"/>
        </w:rPr>
      </w:pPr>
    </w:p>
    <w:p>
      <w:pPr>
        <w:ind w:left="2540" w:hanging="4"/>
        <w:spacing w:after="0" w:line="237" w:lineRule="auto"/>
        <w:tabs>
          <w:tab w:leader="none" w:pos="286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such other provision as the Committee may consider equitable and in the best interests of the Company.</w:t>
      </w:r>
    </w:p>
    <w:p>
      <w:pPr>
        <w:spacing w:after="0" w:line="205" w:lineRule="exact"/>
        <w:rPr>
          <w:sz w:val="20"/>
          <w:szCs w:val="20"/>
          <w:color w:val="auto"/>
        </w:rPr>
      </w:pPr>
    </w:p>
    <w:p>
      <w:pPr>
        <w:jc w:val="both"/>
        <w:ind w:left="2540"/>
        <w:spacing w:after="0" w:line="239" w:lineRule="auto"/>
        <w:rPr>
          <w:sz w:val="20"/>
          <w:szCs w:val="20"/>
          <w:color w:val="auto"/>
        </w:rPr>
      </w:pPr>
      <w:r>
        <w:rPr>
          <w:rFonts w:ascii="Times New Roman" w:cs="Times New Roman" w:eastAsia="Times New Roman" w:hAnsi="Times New Roman"/>
          <w:sz w:val="22"/>
          <w:szCs w:val="22"/>
          <w:color w:val="auto"/>
        </w:rPr>
        <w:t>Except as otherwise expressly provided in any agreement between you and the Company or an Affiliate, if the receipt of any payment by you under the circumstances described above would result in the payment by you of any excise tax provided for in Section 280G and Section 4999 of the Code, then the</w:t>
      </w:r>
    </w:p>
    <w:p>
      <w:pPr>
        <w:spacing w:after="0" w:line="36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408" w:right="4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53"/>
        </w:trPr>
        <w:tc>
          <w:tcPr>
            <w:tcW w:w="2540" w:type="dxa"/>
            <w:vAlign w:val="bottom"/>
          </w:tcPr>
          <w:p>
            <w:pPr>
              <w:spacing w:after="0"/>
              <w:rPr>
                <w:sz w:val="22"/>
                <w:szCs w:val="22"/>
                <w:color w:val="auto"/>
              </w:rPr>
            </w:pPr>
          </w:p>
        </w:tc>
        <w:tc>
          <w:tcPr>
            <w:tcW w:w="8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amount of such payment shall be reduced to the extent required to prevent the</w:t>
            </w:r>
          </w:p>
        </w:tc>
      </w:tr>
      <w:tr>
        <w:trPr>
          <w:trHeight w:val="282"/>
        </w:trPr>
        <w:tc>
          <w:tcPr>
            <w:tcW w:w="2540" w:type="dxa"/>
            <w:vAlign w:val="bottom"/>
          </w:tcPr>
          <w:p>
            <w:pPr>
              <w:spacing w:after="0"/>
              <w:rPr>
                <w:sz w:val="24"/>
                <w:szCs w:val="24"/>
                <w:color w:val="auto"/>
              </w:rPr>
            </w:pPr>
          </w:p>
        </w:tc>
        <w:tc>
          <w:tcPr>
            <w:tcW w:w="87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imposition of such excise tax.</w:t>
            </w:r>
          </w:p>
        </w:tc>
      </w:tr>
      <w:tr>
        <w:trPr>
          <w:trHeight w:val="447"/>
        </w:trPr>
        <w:tc>
          <w:tcPr>
            <w:tcW w:w="2540" w:type="dxa"/>
            <w:vAlign w:val="bottom"/>
          </w:tcPr>
          <w:p>
            <w:pPr>
              <w:spacing w:after="0"/>
              <w:rPr>
                <w:sz w:val="24"/>
                <w:szCs w:val="24"/>
                <w:color w:val="auto"/>
              </w:rPr>
            </w:pPr>
          </w:p>
        </w:tc>
        <w:tc>
          <w:tcPr>
            <w:tcW w:w="8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Notwithstanding anything contained in this section, the Board may, in its sole and</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absolute discretion, amend, modify or rescind the provisions of this section if it</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determines that the operation of this section may prevent a transaction in which the</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Company or any Affiliate is a party from receiving desired tax treatment, including</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without limitation requiring that you receive a replacement or substitute Stock Option</w:t>
            </w:r>
          </w:p>
        </w:tc>
      </w:tr>
      <w:tr>
        <w:trPr>
          <w:trHeight w:val="282"/>
        </w:trPr>
        <w:tc>
          <w:tcPr>
            <w:tcW w:w="2540" w:type="dxa"/>
            <w:vAlign w:val="bottom"/>
          </w:tcPr>
          <w:p>
            <w:pPr>
              <w:spacing w:after="0"/>
              <w:rPr>
                <w:sz w:val="24"/>
                <w:szCs w:val="24"/>
                <w:color w:val="auto"/>
              </w:rPr>
            </w:pPr>
          </w:p>
        </w:tc>
        <w:tc>
          <w:tcPr>
            <w:tcW w:w="87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Award issued by the surviving or acquiring corporation.</w:t>
            </w:r>
          </w:p>
        </w:tc>
      </w:tr>
      <w:tr>
        <w:trPr>
          <w:trHeight w:val="447"/>
        </w:trPr>
        <w:tc>
          <w:tcPr>
            <w:tcW w:w="25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Miscellaneous:</w:t>
            </w:r>
          </w:p>
        </w:tc>
        <w:tc>
          <w:tcPr>
            <w:tcW w:w="8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grant of the Option shall not constitute or be evidence of any agreement or</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understanding, express or implied, that you have a right to continue as an</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employee of the Company or any of its Affiliates for any period of time, or at any</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particular rate of compensation, or provide you with any rights as a shareholder of</w:t>
            </w:r>
          </w:p>
        </w:tc>
      </w:tr>
      <w:tr>
        <w:trPr>
          <w:trHeight w:val="282"/>
        </w:trPr>
        <w:tc>
          <w:tcPr>
            <w:tcW w:w="2540" w:type="dxa"/>
            <w:vAlign w:val="bottom"/>
          </w:tcPr>
          <w:p>
            <w:pPr>
              <w:spacing w:after="0"/>
              <w:rPr>
                <w:sz w:val="24"/>
                <w:szCs w:val="24"/>
                <w:color w:val="auto"/>
              </w:rPr>
            </w:pPr>
          </w:p>
        </w:tc>
        <w:tc>
          <w:tcPr>
            <w:tcW w:w="87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the Company.</w:t>
            </w:r>
          </w:p>
        </w:tc>
      </w:tr>
      <w:tr>
        <w:trPr>
          <w:trHeight w:val="312"/>
        </w:trPr>
        <w:tc>
          <w:tcPr>
            <w:tcW w:w="2540" w:type="dxa"/>
            <w:vAlign w:val="bottom"/>
          </w:tcPr>
          <w:p>
            <w:pPr>
              <w:spacing w:after="0"/>
              <w:rPr>
                <w:sz w:val="24"/>
                <w:szCs w:val="24"/>
                <w:color w:val="auto"/>
              </w:rPr>
            </w:pPr>
          </w:p>
        </w:tc>
        <w:tc>
          <w:tcPr>
            <w:tcW w:w="8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As a condition of the granting of your Option, you agree, for yourself and your</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legal  representatives  or  guardians,  that  this  Stock  Option  Award  shall  be</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interpreted by the Committee and that any interpretation by the Committee of the</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terms of this Stock Option Award and any determination made by the Committee</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pursuant to this Stock Option Award shall be final, binding and conclusive.  The</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Committee may modify, amend or cancel this Stock Option Award, or waive any</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restrictions or conditions applicable to this Stock Option Award or the exercise of</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your Option; provided that, except as otherwise provided herein, any modification</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or amendment that materially diminishes your rights, or the cancellation of this</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Stock Option Award, shall be effective only if agreed to by you, but the</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Committee need not obtain your (or other interested party’s) consent for the</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modification, amendment or cancellation of this Stock Option Award pursuant to</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the provision below relating to certain conduct or the “Adjustment and Change of</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Control Provisions” of this Stock Option Award or as follows: (A) to the extent the</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Committee deems such action necessary to comply with any applicable law or the</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listing requirements of any principal securities exchange or market on which the</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Shares are then traded; (B) to the extent the Committee deems necessary to</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preserve favorable accounting or tax treatment of this Stock Option Award for the</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Company; or (C) to the extent the Committee determines that such action does not</w:t>
            </w:r>
          </w:p>
        </w:tc>
      </w:tr>
      <w:tr>
        <w:trPr>
          <w:trHeight w:val="243"/>
        </w:trPr>
        <w:tc>
          <w:tcPr>
            <w:tcW w:w="2540" w:type="dxa"/>
            <w:vAlign w:val="bottom"/>
          </w:tcPr>
          <w:p>
            <w:pPr>
              <w:spacing w:after="0"/>
              <w:rPr>
                <w:sz w:val="21"/>
                <w:szCs w:val="21"/>
                <w:color w:val="auto"/>
              </w:rPr>
            </w:pPr>
          </w:p>
        </w:tc>
        <w:tc>
          <w:tcPr>
            <w:tcW w:w="8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materially and adversely affect the value of this Stock Option Award or that such</w:t>
            </w:r>
          </w:p>
        </w:tc>
      </w:tr>
      <w:tr>
        <w:trPr>
          <w:trHeight w:val="282"/>
        </w:trPr>
        <w:tc>
          <w:tcPr>
            <w:tcW w:w="2540" w:type="dxa"/>
            <w:vAlign w:val="bottom"/>
          </w:tcPr>
          <w:p>
            <w:pPr>
              <w:spacing w:after="0"/>
              <w:rPr>
                <w:sz w:val="24"/>
                <w:szCs w:val="24"/>
                <w:color w:val="auto"/>
              </w:rPr>
            </w:pPr>
          </w:p>
        </w:tc>
        <w:tc>
          <w:tcPr>
            <w:tcW w:w="87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action is in your best</w:t>
            </w:r>
          </w:p>
        </w:tc>
      </w:tr>
      <w:tr>
        <w:trPr>
          <w:trHeight w:val="648"/>
        </w:trPr>
        <w:tc>
          <w:tcPr>
            <w:tcW w:w="2540" w:type="dxa"/>
            <w:vAlign w:val="bottom"/>
          </w:tcPr>
          <w:p>
            <w:pPr>
              <w:spacing w:after="0"/>
              <w:rPr>
                <w:sz w:val="24"/>
                <w:szCs w:val="24"/>
                <w:color w:val="auto"/>
              </w:rPr>
            </w:pPr>
          </w:p>
        </w:tc>
        <w:tc>
          <w:tcPr>
            <w:tcW w:w="8700" w:type="dxa"/>
            <w:vAlign w:val="bottom"/>
          </w:tcPr>
          <w:p>
            <w:pPr>
              <w:jc w:val="right"/>
              <w:ind w:right="5453"/>
              <w:spacing w:after="0"/>
              <w:rPr>
                <w:sz w:val="20"/>
                <w:szCs w:val="20"/>
                <w:color w:val="auto"/>
              </w:rPr>
            </w:pPr>
            <w:r>
              <w:rPr>
                <w:rFonts w:ascii="Times New Roman" w:cs="Times New Roman" w:eastAsia="Times New Roman" w:hAnsi="Times New Roman"/>
                <w:sz w:val="22"/>
                <w:szCs w:val="22"/>
                <w:color w:val="auto"/>
              </w:rPr>
              <w:t>8</w:t>
            </w:r>
          </w:p>
        </w:tc>
      </w:tr>
      <w:tr>
        <w:trPr>
          <w:trHeight w:val="751"/>
        </w:trPr>
        <w:tc>
          <w:tcPr>
            <w:tcW w:w="254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40" w:name="page141"/>
    <w:bookmarkEnd w:id="140"/>
    <w:p>
      <w:pPr>
        <w:jc w:val="both"/>
        <w:ind w:left="2840"/>
        <w:spacing w:after="0" w:line="244" w:lineRule="auto"/>
        <w:rPr>
          <w:sz w:val="20"/>
          <w:szCs w:val="20"/>
          <w:color w:val="auto"/>
        </w:rPr>
      </w:pPr>
      <w:r>
        <w:rPr>
          <w:rFonts w:ascii="Times New Roman" w:cs="Times New Roman" w:eastAsia="Times New Roman" w:hAnsi="Times New Roman"/>
          <w:sz w:val="21"/>
          <w:szCs w:val="21"/>
          <w:color w:val="auto"/>
        </w:rPr>
        <w:t>interest (or any other person(s) as may then have an interest in this Stock Option Award). Notwithstanding anything to the contrary herein, the Committee shall have full power and authority to terminate or cause you to forfeit this Stock Option Award, and require you to disgorge to the Company any gains attributable to this Stock Option Award, if you engage in any action constituting, as determined by the Committee in its discretion, Cause for termination, or a breach of this Stock Option Award or any other agreement between you and the Company or an Affiliate concerning noncompetition, nonsolicitation, confidentiality, trade secrets, intellectual property, nondisparagement or similar obligations.</w:t>
      </w:r>
    </w:p>
    <w:p>
      <w:pPr>
        <w:spacing w:after="0" w:line="1" w:lineRule="exact"/>
        <w:rPr>
          <w:sz w:val="20"/>
          <w:szCs w:val="20"/>
          <w:color w:val="auto"/>
        </w:rPr>
      </w:pPr>
    </w:p>
    <w:p>
      <w:pPr>
        <w:jc w:val="both"/>
        <w:ind w:left="2840" w:hanging="304"/>
        <w:spacing w:after="0" w:line="232" w:lineRule="auto"/>
        <w:tabs>
          <w:tab w:leader="none" w:pos="28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 a condition of the granting of your Option, you acknowledge and agree that this Stock Option Award constitutes the entire agreement of the parties with respect to the subject matter of this Stock Option Award. This Stock Option Award supersedes any and all other agreements or representations, both verbal and written, between the parties to this Stock Option Award with respect to your Option. You represent and warrant that you have no other outstanding options to purchase common stock or any other security of the Company other than your Option or any options previously granted and described in any agreement similar to this Stock Option Award, and you hereby release the Company from any claims and liabilities relating thereto.</w:t>
      </w:r>
    </w:p>
    <w:p>
      <w:pPr>
        <w:spacing w:after="0" w:line="176" w:lineRule="exact"/>
        <w:rPr>
          <w:rFonts w:ascii="Times New Roman" w:cs="Times New Roman" w:eastAsia="Times New Roman" w:hAnsi="Times New Roman"/>
          <w:sz w:val="20"/>
          <w:szCs w:val="20"/>
          <w:color w:val="auto"/>
        </w:rPr>
      </w:pPr>
    </w:p>
    <w:p>
      <w:pPr>
        <w:ind w:left="2840" w:hanging="304"/>
        <w:spacing w:after="0"/>
        <w:tabs>
          <w:tab w:leader="none" w:pos="28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This Stock Option Award may be executed in counterparts.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i w:val="1"/>
          <w:iCs w:val="1"/>
          <w:color w:val="auto"/>
        </w:rPr>
        <w:t>[Signatures on next page]</w:t>
      </w: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408" w:right="439" w:bottom="1440" w:gutter="0" w:footer="0" w:header="0"/>
        </w:sectPr>
      </w:pPr>
    </w:p>
    <w:bookmarkStart w:id="141" w:name="page142"/>
    <w:bookmarkEnd w:id="141"/>
    <w:p>
      <w:pPr>
        <w:jc w:val="center"/>
        <w:ind w:right="40"/>
        <w:spacing w:after="0" w:line="258" w:lineRule="auto"/>
        <w:rPr>
          <w:sz w:val="20"/>
          <w:szCs w:val="20"/>
          <w:color w:val="auto"/>
        </w:rPr>
      </w:pPr>
      <w:r>
        <w:rPr>
          <w:rFonts w:ascii="Times New Roman" w:cs="Times New Roman" w:eastAsia="Times New Roman" w:hAnsi="Times New Roman"/>
          <w:sz w:val="22"/>
          <w:szCs w:val="22"/>
          <w:color w:val="auto"/>
        </w:rPr>
        <w:t>BY SIGNING BELOW AND ACCEPTING THIS STOCK OPTION AWARD, YOU AGREE TO ALL OF THE TERMS AND CONDITIONS DESCRIBED HEREIN.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ORION ENERGY SYSTEMS, INC.</w:t>
            </w:r>
          </w:p>
        </w:tc>
        <w:tc>
          <w:tcPr>
            <w:tcW w:w="7600" w:type="dxa"/>
            <w:vAlign w:val="bottom"/>
          </w:tcPr>
          <w:p>
            <w:pPr>
              <w:spacing w:after="0"/>
              <w:rPr>
                <w:sz w:val="24"/>
                <w:szCs w:val="24"/>
                <w:color w:val="auto"/>
              </w:rPr>
            </w:pPr>
          </w:p>
        </w:tc>
      </w:tr>
      <w:tr>
        <w:trPr>
          <w:trHeight w:val="447"/>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By: ____________________________</w:t>
            </w:r>
          </w:p>
        </w:tc>
        <w:tc>
          <w:tcPr>
            <w:tcW w:w="7600" w:type="dxa"/>
            <w:vAlign w:val="bottom"/>
          </w:tcPr>
          <w:p>
            <w:pPr>
              <w:jc w:val="right"/>
              <w:ind w:right="3452"/>
              <w:spacing w:after="0"/>
              <w:rPr>
                <w:sz w:val="20"/>
                <w:szCs w:val="20"/>
                <w:color w:val="auto"/>
              </w:rPr>
            </w:pPr>
            <w:r>
              <w:rPr>
                <w:rFonts w:ascii="Times New Roman" w:cs="Times New Roman" w:eastAsia="Times New Roman" w:hAnsi="Times New Roman"/>
                <w:sz w:val="22"/>
                <w:szCs w:val="22"/>
                <w:color w:val="auto"/>
              </w:rPr>
              <w:t>___________________________________</w:t>
            </w:r>
          </w:p>
        </w:tc>
      </w:tr>
      <w:tr>
        <w:trPr>
          <w:trHeight w:val="243"/>
        </w:trPr>
        <w:tc>
          <w:tcPr>
            <w:tcW w:w="3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Name:   Anthony L. Otten</w:t>
            </w:r>
          </w:p>
        </w:tc>
        <w:tc>
          <w:tcPr>
            <w:tcW w:w="7600" w:type="dxa"/>
            <w:vAlign w:val="bottom"/>
          </w:tcPr>
          <w:p>
            <w:pPr>
              <w:jc w:val="right"/>
              <w:ind w:right="4792"/>
              <w:spacing w:after="0" w:line="243" w:lineRule="exact"/>
              <w:rPr>
                <w:sz w:val="20"/>
                <w:szCs w:val="20"/>
                <w:color w:val="auto"/>
              </w:rPr>
            </w:pPr>
            <w:r>
              <w:rPr>
                <w:rFonts w:ascii="Times New Roman" w:cs="Times New Roman" w:eastAsia="Times New Roman" w:hAnsi="Times New Roman"/>
                <w:sz w:val="22"/>
                <w:szCs w:val="22"/>
                <w:color w:val="auto"/>
              </w:rPr>
              <w:t>Sally A. Washlow</w:t>
            </w:r>
          </w:p>
        </w:tc>
      </w:tr>
      <w:tr>
        <w:trPr>
          <w:trHeight w:val="282"/>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Title: Chair of the Board</w:t>
            </w:r>
          </w:p>
        </w:tc>
        <w:tc>
          <w:tcPr>
            <w:tcW w:w="7600" w:type="dxa"/>
            <w:vAlign w:val="bottom"/>
          </w:tcPr>
          <w:p>
            <w:pPr>
              <w:spacing w:after="0"/>
              <w:rPr>
                <w:sz w:val="24"/>
                <w:szCs w:val="24"/>
                <w:color w:val="auto"/>
              </w:rPr>
            </w:pPr>
          </w:p>
        </w:tc>
      </w:tr>
      <w:tr>
        <w:trPr>
          <w:trHeight w:val="648"/>
        </w:trPr>
        <w:tc>
          <w:tcPr>
            <w:tcW w:w="3640" w:type="dxa"/>
            <w:vAlign w:val="bottom"/>
          </w:tcPr>
          <w:p>
            <w:pPr>
              <w:spacing w:after="0"/>
              <w:rPr>
                <w:sz w:val="24"/>
                <w:szCs w:val="24"/>
                <w:color w:val="auto"/>
              </w:rPr>
            </w:pPr>
          </w:p>
        </w:tc>
        <w:tc>
          <w:tcPr>
            <w:tcW w:w="7600" w:type="dxa"/>
            <w:vAlign w:val="bottom"/>
          </w:tcPr>
          <w:p>
            <w:pPr>
              <w:jc w:val="right"/>
              <w:ind w:right="5392"/>
              <w:spacing w:after="0"/>
              <w:rPr>
                <w:sz w:val="20"/>
                <w:szCs w:val="20"/>
                <w:color w:val="auto"/>
              </w:rPr>
            </w:pPr>
            <w:r>
              <w:rPr>
                <w:rFonts w:ascii="Times New Roman" w:cs="Times New Roman" w:eastAsia="Times New Roman" w:hAnsi="Times New Roman"/>
                <w:sz w:val="22"/>
                <w:szCs w:val="22"/>
                <w:color w:val="auto"/>
              </w:rPr>
              <w:t>10</w:t>
            </w:r>
          </w:p>
        </w:tc>
      </w:tr>
      <w:tr>
        <w:trPr>
          <w:trHeight w:val="751"/>
        </w:trPr>
        <w:tc>
          <w:tcPr>
            <w:tcW w:w="364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ORION ENERGY SYSTEMS, INC.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STOCK OPTION EXERCISE</w:t>
      </w:r>
    </w:p>
    <w:p>
      <w:pPr>
        <w:spacing w:after="0" w:line="337" w:lineRule="exact"/>
        <w:rPr>
          <w:sz w:val="20"/>
          <w:szCs w:val="20"/>
          <w:color w:val="auto"/>
        </w:rPr>
      </w:pPr>
    </w:p>
    <w:p>
      <w:pPr>
        <w:spacing w:after="0"/>
        <w:tabs>
          <w:tab w:leader="none" w:pos="8020" w:val="left"/>
        </w:tabs>
        <w:rPr>
          <w:sz w:val="20"/>
          <w:szCs w:val="20"/>
          <w:color w:val="auto"/>
        </w:rPr>
      </w:pPr>
      <w:r>
        <w:rPr>
          <w:rFonts w:ascii="Times New Roman" w:cs="Times New Roman" w:eastAsia="Times New Roman" w:hAnsi="Times New Roman"/>
          <w:sz w:val="20"/>
          <w:szCs w:val="20"/>
          <w:i w:val="1"/>
          <w:iCs w:val="1"/>
          <w:color w:val="auto"/>
        </w:rPr>
        <w:t>Your completed form should be sent by mail or email to:____________________________.</w:t>
        <w:tab/>
        <w:t>Phone: ___________________ Email: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_____________________________________. </w:t>
      </w:r>
      <w:r>
        <w:rPr>
          <w:rFonts w:ascii="Times New Roman" w:cs="Times New Roman" w:eastAsia="Times New Roman" w:hAnsi="Times New Roman"/>
          <w:sz w:val="20"/>
          <w:szCs w:val="20"/>
          <w:b w:val="1"/>
          <w:bCs w:val="1"/>
          <w:i w:val="1"/>
          <w:iCs w:val="1"/>
          <w:color w:val="auto"/>
        </w:rPr>
        <w:t>Incomplete forms may cause a delay in processing your option exercise.</w:t>
      </w:r>
    </w:p>
    <w:p>
      <w:pPr>
        <w:spacing w:after="0" w:line="2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PART 1: OPTIONEE INFORMATION </w:t>
      </w:r>
      <w:r>
        <w:rPr>
          <w:rFonts w:ascii="Times New Roman" w:cs="Times New Roman" w:eastAsia="Times New Roman" w:hAnsi="Times New Roman"/>
          <w:sz w:val="20"/>
          <w:szCs w:val="20"/>
          <w:i w:val="1"/>
          <w:iCs w:val="1"/>
          <w:color w:val="auto"/>
        </w:rPr>
        <w:t>Please complete the following. PLEASE WRITE YOUR FULL LEGAL NAME SINCE THIS NAME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WILL BE ON YOUR STOCK CERTIFICATE.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Name:________________________________________________________________________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Street Address: ________________________________________________________________</w:t>
      </w:r>
    </w:p>
    <w:p>
      <w:pPr>
        <w:spacing w:after="0" w:line="229" w:lineRule="exact"/>
        <w:rPr>
          <w:sz w:val="20"/>
          <w:szCs w:val="20"/>
          <w:color w:val="auto"/>
        </w:rPr>
      </w:pPr>
    </w:p>
    <w:p>
      <w:pPr>
        <w:spacing w:after="0"/>
        <w:tabs>
          <w:tab w:leader="none" w:pos="2760" w:val="left"/>
          <w:tab w:leader="none" w:pos="5140" w:val="left"/>
        </w:tabs>
        <w:rPr>
          <w:sz w:val="20"/>
          <w:szCs w:val="20"/>
          <w:color w:val="auto"/>
        </w:rPr>
      </w:pPr>
      <w:r>
        <w:rPr>
          <w:rFonts w:ascii="Times New Roman" w:cs="Times New Roman" w:eastAsia="Times New Roman" w:hAnsi="Times New Roman"/>
          <w:sz w:val="20"/>
          <w:szCs w:val="20"/>
          <w:color w:val="auto"/>
        </w:rPr>
        <w:t>City: _____________________</w:t>
        <w:tab/>
        <w:t>State:_________________</w:t>
      </w:r>
      <w:r>
        <w:rPr>
          <w:sz w:val="20"/>
          <w:szCs w:val="20"/>
          <w:color w:val="auto"/>
        </w:rPr>
        <w:tab/>
      </w:r>
      <w:r>
        <w:rPr>
          <w:rFonts w:ascii="Times New Roman" w:cs="Times New Roman" w:eastAsia="Times New Roman" w:hAnsi="Times New Roman"/>
          <w:sz w:val="19"/>
          <w:szCs w:val="19"/>
          <w:color w:val="auto"/>
        </w:rPr>
        <w:t>Zip Code:_______________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Work Phone #: (_____) - _______- ________ Home Phone #: (_____) - _______- 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Social Security #: ______ - _____ - _______</w:t>
      </w:r>
    </w:p>
    <w:p>
      <w:pPr>
        <w:spacing w:after="0" w:line="225" w:lineRule="exact"/>
        <w:rPr>
          <w:sz w:val="20"/>
          <w:szCs w:val="20"/>
          <w:color w:val="auto"/>
        </w:rPr>
      </w:pPr>
    </w:p>
    <w:p>
      <w:pPr>
        <w:spacing w:after="0"/>
        <w:tabs>
          <w:tab w:leader="none" w:pos="5420" w:val="left"/>
        </w:tabs>
        <w:rPr>
          <w:sz w:val="20"/>
          <w:szCs w:val="20"/>
          <w:color w:val="auto"/>
        </w:rPr>
      </w:pPr>
      <w:r>
        <w:rPr>
          <w:rFonts w:ascii="Times New Roman" w:cs="Times New Roman" w:eastAsia="Times New Roman" w:hAnsi="Times New Roman"/>
          <w:sz w:val="20"/>
          <w:szCs w:val="20"/>
          <w:color w:val="auto"/>
        </w:rPr>
        <w:t>PART 2: DESCRIPTION OF OPTION(S) BEING EXERCISED</w:t>
      </w:r>
      <w:r>
        <w:rPr>
          <w:sz w:val="20"/>
          <w:szCs w:val="20"/>
          <w:color w:val="auto"/>
        </w:rPr>
        <w:tab/>
      </w:r>
      <w:r>
        <w:rPr>
          <w:rFonts w:ascii="Times New Roman" w:cs="Times New Roman" w:eastAsia="Times New Roman" w:hAnsi="Times New Roman"/>
          <w:sz w:val="20"/>
          <w:szCs w:val="20"/>
          <w:i w:val="1"/>
          <w:iCs w:val="1"/>
          <w:color w:val="auto"/>
        </w:rPr>
        <w:t>Please complete the following for each option that you wish to exercise.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For each option listed below, </w:t>
      </w:r>
      <w:r>
        <w:rPr>
          <w:rFonts w:ascii="Times New Roman" w:cs="Times New Roman" w:eastAsia="Times New Roman" w:hAnsi="Times New Roman"/>
          <w:sz w:val="20"/>
          <w:szCs w:val="20"/>
          <w:i w:val="1"/>
          <w:iCs w:val="1"/>
          <w:u w:val="single" w:color="auto"/>
          <w:color w:val="auto"/>
        </w:rPr>
        <w:t>you must exercise at least 100 shares</w:t>
      </w:r>
      <w:r>
        <w:rPr>
          <w:rFonts w:ascii="Times New Roman" w:cs="Times New Roman" w:eastAsia="Times New Roman" w:hAnsi="Times New Roman"/>
          <w:sz w:val="20"/>
          <w:szCs w:val="20"/>
          <w:i w:val="1"/>
          <w:iCs w:val="1"/>
          <w:color w:val="auto"/>
        </w:rPr>
        <w:t>, unless you are exercising the entire remaining portion of an option.</w:t>
      </w:r>
    </w:p>
    <w:p>
      <w:pPr>
        <w:spacing w:after="0" w:line="207"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2340" w:type="dxa"/>
            <w:vAlign w:val="bottom"/>
            <w:tcBorders>
              <w:top w:val="single" w:sz="8" w:color="auto"/>
              <w:left w:val="single" w:sz="8" w:color="auto"/>
              <w:right w:val="single" w:sz="8" w:color="auto"/>
            </w:tcBorders>
          </w:tcPr>
          <w:p>
            <w:pPr>
              <w:ind w:left="620"/>
              <w:spacing w:after="0" w:line="224" w:lineRule="exact"/>
              <w:rPr>
                <w:sz w:val="20"/>
                <w:szCs w:val="20"/>
                <w:color w:val="auto"/>
              </w:rPr>
            </w:pPr>
            <w:r>
              <w:rPr>
                <w:rFonts w:ascii="Times New Roman" w:cs="Times New Roman" w:eastAsia="Times New Roman" w:hAnsi="Times New Roman"/>
                <w:sz w:val="20"/>
                <w:szCs w:val="20"/>
                <w:color w:val="auto"/>
              </w:rPr>
              <w:t>Date of Grant</w:t>
            </w:r>
          </w:p>
        </w:tc>
        <w:tc>
          <w:tcPr>
            <w:tcW w:w="1720" w:type="dxa"/>
            <w:vAlign w:val="bottom"/>
            <w:tcBorders>
              <w:top w:val="single" w:sz="8" w:color="auto"/>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8"/>
              </w:rPr>
              <w:t>Type of Option</w:t>
            </w:r>
          </w:p>
        </w:tc>
        <w:tc>
          <w:tcPr>
            <w:tcW w:w="240" w:type="dxa"/>
            <w:vAlign w:val="bottom"/>
            <w:tcBorders>
              <w:top w:val="single" w:sz="8" w:color="auto"/>
            </w:tcBorders>
          </w:tcPr>
          <w:p>
            <w:pPr>
              <w:spacing w:after="0"/>
              <w:rPr>
                <w:sz w:val="19"/>
                <w:szCs w:val="19"/>
                <w:color w:val="auto"/>
              </w:rPr>
            </w:pPr>
          </w:p>
        </w:tc>
        <w:tc>
          <w:tcPr>
            <w:tcW w:w="1840" w:type="dxa"/>
            <w:vAlign w:val="bottom"/>
            <w:tcBorders>
              <w:top w:val="single" w:sz="8" w:color="auto"/>
              <w:right w:val="single" w:sz="8" w:color="auto"/>
            </w:tcBorders>
          </w:tcPr>
          <w:p>
            <w:pPr>
              <w:jc w:val="center"/>
              <w:ind w:right="221"/>
              <w:spacing w:after="0" w:line="224" w:lineRule="exact"/>
              <w:rPr>
                <w:sz w:val="20"/>
                <w:szCs w:val="20"/>
                <w:color w:val="auto"/>
              </w:rPr>
            </w:pPr>
            <w:r>
              <w:rPr>
                <w:rFonts w:ascii="Times New Roman" w:cs="Times New Roman" w:eastAsia="Times New Roman" w:hAnsi="Times New Roman"/>
                <w:sz w:val="20"/>
                <w:szCs w:val="20"/>
                <w:color w:val="auto"/>
                <w:w w:val="98"/>
              </w:rPr>
              <w:t>Exercise Price Per</w:t>
            </w:r>
          </w:p>
        </w:tc>
        <w:tc>
          <w:tcPr>
            <w:tcW w:w="1720" w:type="dxa"/>
            <w:vAlign w:val="bottom"/>
            <w:tcBorders>
              <w:top w:val="single" w:sz="8" w:color="auto"/>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rPr>
              <w:t>Number of Option</w:t>
            </w:r>
          </w:p>
        </w:tc>
        <w:tc>
          <w:tcPr>
            <w:tcW w:w="3160" w:type="dxa"/>
            <w:vAlign w:val="bottom"/>
            <w:tcBorders>
              <w:top w:val="single" w:sz="8" w:color="auto"/>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Aggregate Exercise Price (multiply</w:t>
            </w:r>
          </w:p>
        </w:tc>
      </w:tr>
      <w:tr>
        <w:trPr>
          <w:trHeight w:val="230"/>
        </w:trPr>
        <w:tc>
          <w:tcPr>
            <w:tcW w:w="234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(specify ISO or</w:t>
            </w:r>
          </w:p>
        </w:tc>
        <w:tc>
          <w:tcPr>
            <w:tcW w:w="240" w:type="dxa"/>
            <w:vAlign w:val="bottom"/>
          </w:tcPr>
          <w:p>
            <w:pPr>
              <w:spacing w:after="0"/>
              <w:rPr>
                <w:sz w:val="19"/>
                <w:szCs w:val="19"/>
                <w:color w:val="auto"/>
              </w:rPr>
            </w:pPr>
          </w:p>
        </w:tc>
        <w:tc>
          <w:tcPr>
            <w:tcW w:w="1840" w:type="dxa"/>
            <w:vAlign w:val="bottom"/>
            <w:tcBorders>
              <w:right w:val="single" w:sz="8" w:color="auto"/>
            </w:tcBorders>
          </w:tcPr>
          <w:p>
            <w:pPr>
              <w:jc w:val="center"/>
              <w:ind w:right="161"/>
              <w:spacing w:after="0"/>
              <w:rPr>
                <w:sz w:val="20"/>
                <w:szCs w:val="20"/>
                <w:color w:val="auto"/>
              </w:rPr>
            </w:pPr>
            <w:r>
              <w:rPr>
                <w:rFonts w:ascii="Times New Roman" w:cs="Times New Roman" w:eastAsia="Times New Roman" w:hAnsi="Times New Roman"/>
                <w:sz w:val="20"/>
                <w:szCs w:val="20"/>
                <w:color w:val="auto"/>
              </w:rPr>
              <w:t>Share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Shares Being</w:t>
            </w:r>
          </w:p>
        </w:tc>
        <w:tc>
          <w:tcPr>
            <w:tcW w:w="316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w w:val="99"/>
              </w:rPr>
              <w:t>Exercise Price Per Share by number</w:t>
            </w:r>
          </w:p>
        </w:tc>
      </w:tr>
      <w:tr>
        <w:trPr>
          <w:trHeight w:val="269"/>
        </w:trPr>
        <w:tc>
          <w:tcPr>
            <w:tcW w:w="2340" w:type="dxa"/>
            <w:vAlign w:val="bottom"/>
            <w:tcBorders>
              <w:left w:val="single" w:sz="8" w:color="auto"/>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NQSO)</w:t>
            </w:r>
          </w:p>
        </w:tc>
        <w:tc>
          <w:tcPr>
            <w:tcW w:w="240" w:type="dxa"/>
            <w:vAlign w:val="bottom"/>
            <w:tcBorders>
              <w:bottom w:val="single" w:sz="8" w:color="auto"/>
            </w:tcBorders>
          </w:tcPr>
          <w:p>
            <w:pPr>
              <w:spacing w:after="0"/>
              <w:rPr>
                <w:sz w:val="23"/>
                <w:szCs w:val="23"/>
                <w:color w:val="auto"/>
              </w:rPr>
            </w:pPr>
          </w:p>
        </w:tc>
        <w:tc>
          <w:tcPr>
            <w:tcW w:w="184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Purchased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of Option Shares being purchased)</w:t>
            </w:r>
          </w:p>
        </w:tc>
      </w:tr>
      <w:tr>
        <w:trPr>
          <w:trHeight w:val="235"/>
        </w:trPr>
        <w:tc>
          <w:tcPr>
            <w:tcW w:w="2340" w:type="dxa"/>
            <w:vAlign w:val="bottom"/>
            <w:tcBorders>
              <w:left w:val="single" w:sz="8" w:color="auto"/>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jc w:val="right"/>
              <w:ind w:right="288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3160" w:type="dxa"/>
            <w:vAlign w:val="bottom"/>
            <w:tcBorders>
              <w:bottom w:val="single" w:sz="8" w:color="auto"/>
              <w:right w:val="single" w:sz="8" w:color="auto"/>
            </w:tcBorders>
          </w:tcPr>
          <w:p>
            <w:pPr>
              <w:spacing w:after="0"/>
              <w:rPr>
                <w:sz w:val="17"/>
                <w:szCs w:val="17"/>
                <w:color w:val="auto"/>
              </w:rPr>
            </w:pPr>
          </w:p>
        </w:tc>
      </w:tr>
      <w:tr>
        <w:trPr>
          <w:trHeight w:val="252"/>
        </w:trPr>
        <w:tc>
          <w:tcPr>
            <w:tcW w:w="2340" w:type="dxa"/>
            <w:vAlign w:val="bottom"/>
            <w:tcBorders>
              <w:left w:val="single" w:sz="8" w:color="auto"/>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3160" w:type="dxa"/>
            <w:vAlign w:val="bottom"/>
            <w:tcBorders>
              <w:right w:val="single" w:sz="8" w:color="auto"/>
            </w:tcBorders>
          </w:tcPr>
          <w:p>
            <w:pPr>
              <w:jc w:val="right"/>
              <w:ind w:right="288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3160" w:type="dxa"/>
            <w:vAlign w:val="bottom"/>
            <w:tcBorders>
              <w:bottom w:val="single" w:sz="8" w:color="auto"/>
              <w:right w:val="single" w:sz="8" w:color="auto"/>
            </w:tcBorders>
          </w:tcPr>
          <w:p>
            <w:pPr>
              <w:spacing w:after="0"/>
              <w:rPr>
                <w:sz w:val="17"/>
                <w:szCs w:val="17"/>
                <w:color w:val="auto"/>
              </w:rPr>
            </w:pPr>
          </w:p>
        </w:tc>
      </w:tr>
      <w:tr>
        <w:trPr>
          <w:trHeight w:val="252"/>
        </w:trPr>
        <w:tc>
          <w:tcPr>
            <w:tcW w:w="2340" w:type="dxa"/>
            <w:vAlign w:val="bottom"/>
            <w:tcBorders>
              <w:left w:val="single" w:sz="8" w:color="auto"/>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3160" w:type="dxa"/>
            <w:vAlign w:val="bottom"/>
            <w:tcBorders>
              <w:right w:val="single" w:sz="8" w:color="auto"/>
            </w:tcBorders>
          </w:tcPr>
          <w:p>
            <w:pPr>
              <w:jc w:val="right"/>
              <w:ind w:right="288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3160" w:type="dxa"/>
            <w:vAlign w:val="bottom"/>
            <w:tcBorders>
              <w:bottom w:val="single" w:sz="8" w:color="auto"/>
              <w:right w:val="single" w:sz="8" w:color="auto"/>
            </w:tcBorders>
          </w:tcPr>
          <w:p>
            <w:pPr>
              <w:spacing w:after="0"/>
              <w:rPr>
                <w:sz w:val="17"/>
                <w:szCs w:val="17"/>
                <w:color w:val="auto"/>
              </w:rPr>
            </w:pPr>
          </w:p>
        </w:tc>
      </w:tr>
      <w:tr>
        <w:trPr>
          <w:trHeight w:val="252"/>
        </w:trPr>
        <w:tc>
          <w:tcPr>
            <w:tcW w:w="2340" w:type="dxa"/>
            <w:vAlign w:val="bottom"/>
            <w:tcBorders>
              <w:left w:val="single" w:sz="8" w:color="auto"/>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3160" w:type="dxa"/>
            <w:vAlign w:val="bottom"/>
            <w:tcBorders>
              <w:right w:val="single" w:sz="8" w:color="auto"/>
            </w:tcBorders>
          </w:tcPr>
          <w:p>
            <w:pPr>
              <w:jc w:val="right"/>
              <w:ind w:right="288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3160" w:type="dxa"/>
            <w:vAlign w:val="bottom"/>
            <w:tcBorders>
              <w:bottom w:val="single" w:sz="8" w:color="auto"/>
              <w:right w:val="single" w:sz="8" w:color="auto"/>
            </w:tcBorders>
          </w:tcPr>
          <w:p>
            <w:pPr>
              <w:spacing w:after="0"/>
              <w:rPr>
                <w:sz w:val="17"/>
                <w:szCs w:val="17"/>
                <w:color w:val="auto"/>
              </w:rPr>
            </w:pPr>
          </w:p>
        </w:tc>
      </w:tr>
      <w:tr>
        <w:trPr>
          <w:trHeight w:val="252"/>
        </w:trPr>
        <w:tc>
          <w:tcPr>
            <w:tcW w:w="2340" w:type="dxa"/>
            <w:vAlign w:val="bottom"/>
            <w:tcBorders>
              <w:left w:val="single" w:sz="8" w:color="auto"/>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3160" w:type="dxa"/>
            <w:vAlign w:val="bottom"/>
            <w:tcBorders>
              <w:right w:val="single" w:sz="8" w:color="auto"/>
            </w:tcBorders>
          </w:tcPr>
          <w:p>
            <w:pPr>
              <w:jc w:val="right"/>
              <w:ind w:right="288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3160" w:type="dxa"/>
            <w:vAlign w:val="bottom"/>
            <w:tcBorders>
              <w:bottom w:val="single" w:sz="8" w:color="auto"/>
              <w:right w:val="single" w:sz="8" w:color="auto"/>
            </w:tcBorders>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Total Exercise Price for all of the options being exercised (as listed above) is: $_________________.</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color w:val="auto"/>
        </w:rPr>
        <w:t xml:space="preserve">PART 3: METHOD OF PAYMENT OF OPTION EXERCISE PRICE  </w:t>
      </w:r>
      <w:r>
        <w:rPr>
          <w:rFonts w:ascii="Times New Roman" w:cs="Times New Roman" w:eastAsia="Times New Roman" w:hAnsi="Times New Roman"/>
          <w:sz w:val="20"/>
          <w:szCs w:val="20"/>
          <w:i w:val="1"/>
          <w:iCs w:val="1"/>
          <w:color w:val="auto"/>
        </w:rPr>
        <w:t>Please select only one: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Exercise</w:t>
      </w:r>
      <w:r>
        <w:rPr>
          <w:rFonts w:ascii="Times New Roman" w:cs="Times New Roman" w:eastAsia="Times New Roman" w:hAnsi="Times New Roman"/>
          <w:sz w:val="20"/>
          <w:szCs w:val="20"/>
          <w:color w:val="auto"/>
        </w:rPr>
        <w:t>. I am enclosing a check or money order payable to “Orion Energy Systems, Inc.” for the Total Exercise Price.</w:t>
      </w:r>
    </w:p>
    <w:p>
      <w:pPr>
        <w:spacing w:after="0" w:line="242" w:lineRule="exact"/>
        <w:rPr>
          <w:sz w:val="20"/>
          <w:szCs w:val="20"/>
          <w:color w:val="auto"/>
        </w:rPr>
      </w:pPr>
    </w:p>
    <w:p>
      <w:pPr>
        <w:ind w:left="380" w:right="140"/>
        <w:spacing w:after="0" w:line="254" w:lineRule="auto"/>
        <w:rPr>
          <w:sz w:val="20"/>
          <w:szCs w:val="20"/>
          <w:color w:val="auto"/>
        </w:rPr>
      </w:pPr>
      <w:r>
        <w:rPr>
          <w:rFonts w:ascii="Times New Roman" w:cs="Times New Roman" w:eastAsia="Times New Roman" w:hAnsi="Times New Roman"/>
          <w:sz w:val="20"/>
          <w:szCs w:val="20"/>
          <w:u w:val="single" w:color="auto"/>
          <w:color w:val="auto"/>
        </w:rPr>
        <w:t>Cashless Exercise Through the Company.</w:t>
      </w:r>
      <w:r>
        <w:rPr>
          <w:rFonts w:ascii="Times New Roman" w:cs="Times New Roman" w:eastAsia="Times New Roman" w:hAnsi="Times New Roman"/>
          <w:sz w:val="20"/>
          <w:szCs w:val="20"/>
          <w:color w:val="auto"/>
        </w:rPr>
        <w:t xml:space="preserve"> Please withhold a whole number of shares otherwise deliverable to me upon exercise having a Fair Market Value equal to the Total Exercise Price and issue the net number of shares to me. Any fractional share remaining will be paid to me in cash.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Cashless Exercise Through a Broker-Dealer</w:t>
      </w:r>
      <w:r>
        <w:rPr>
          <w:rFonts w:ascii="Times New Roman" w:cs="Times New Roman" w:eastAsia="Times New Roman" w:hAnsi="Times New Roman"/>
          <w:sz w:val="20"/>
          <w:szCs w:val="20"/>
          <w:color w:val="auto"/>
        </w:rPr>
        <w:t>. I have requested through the broker specified below to (</w:t>
      </w:r>
      <w:r>
        <w:rPr>
          <w:rFonts w:ascii="Times New Roman" w:cs="Times New Roman" w:eastAsia="Times New Roman" w:hAnsi="Times New Roman"/>
          <w:sz w:val="20"/>
          <w:szCs w:val="20"/>
          <w:i w:val="1"/>
          <w:iCs w:val="1"/>
          <w:color w:val="auto"/>
        </w:rPr>
        <w:t>select only one</w:t>
      </w:r>
      <w:r>
        <w:rPr>
          <w:rFonts w:ascii="Times New Roman" w:cs="Times New Roman" w:eastAsia="Times New Roman" w:hAnsi="Times New Roman"/>
          <w:sz w:val="20"/>
          <w:szCs w:val="20"/>
          <w:color w:val="auto"/>
        </w:rPr>
        <w:t>):</w:t>
      </w:r>
    </w:p>
    <w:p>
      <w:pPr>
        <w:spacing w:after="0" w:line="242" w:lineRule="exact"/>
        <w:rPr>
          <w:sz w:val="20"/>
          <w:szCs w:val="20"/>
          <w:color w:val="auto"/>
        </w:rPr>
      </w:pPr>
    </w:p>
    <w:p>
      <w:pPr>
        <w:ind w:left="840" w:right="120"/>
        <w:spacing w:after="0" w:line="254" w:lineRule="auto"/>
        <w:rPr>
          <w:sz w:val="20"/>
          <w:szCs w:val="20"/>
          <w:color w:val="auto"/>
        </w:rPr>
      </w:pPr>
      <w:r>
        <w:rPr>
          <w:rFonts w:ascii="Times New Roman" w:cs="Times New Roman" w:eastAsia="Times New Roman" w:hAnsi="Times New Roman"/>
          <w:sz w:val="20"/>
          <w:szCs w:val="20"/>
          <w:u w:val="single" w:color="auto"/>
          <w:color w:val="auto"/>
        </w:rPr>
        <w:t>Sell to Cover</w:t>
      </w:r>
      <w:r>
        <w:rPr>
          <w:rFonts w:ascii="Times New Roman" w:cs="Times New Roman" w:eastAsia="Times New Roman" w:hAnsi="Times New Roman"/>
          <w:sz w:val="20"/>
          <w:szCs w:val="20"/>
          <w:color w:val="auto"/>
        </w:rPr>
        <w:t xml:space="preserve">. Sell or margin </w:t>
      </w:r>
      <w:r>
        <w:rPr>
          <w:rFonts w:ascii="Times New Roman" w:cs="Times New Roman" w:eastAsia="Times New Roman" w:hAnsi="Times New Roman"/>
          <w:sz w:val="20"/>
          <w:szCs w:val="20"/>
          <w:u w:val="single" w:color="auto"/>
          <w:color w:val="auto"/>
        </w:rPr>
        <w:t>only enough</w:t>
      </w:r>
      <w:r>
        <w:rPr>
          <w:rFonts w:ascii="Times New Roman" w:cs="Times New Roman" w:eastAsia="Times New Roman" w:hAnsi="Times New Roman"/>
          <w:sz w:val="20"/>
          <w:szCs w:val="20"/>
          <w:color w:val="auto"/>
        </w:rPr>
        <w:t xml:space="preserve"> of the option(s) being exercised to cover the Total Exercise Price (and tax withholding, if elected in Part 5), deliver the sale or margin loan proceeds directly to Orion Energy Systems, Inc., and deposit the remaining shares and any residual cash in my brokerage account.</w:t>
      </w:r>
    </w:p>
    <w:p>
      <w:pPr>
        <w:spacing w:after="0" w:line="201" w:lineRule="exact"/>
        <w:rPr>
          <w:sz w:val="20"/>
          <w:szCs w:val="20"/>
          <w:color w:val="auto"/>
        </w:rPr>
      </w:pPr>
    </w:p>
    <w:p>
      <w:pPr>
        <w:ind w:left="840"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Same-Day-Sale</w:t>
      </w:r>
      <w:r>
        <w:rPr>
          <w:rFonts w:ascii="Times New Roman" w:cs="Times New Roman" w:eastAsia="Times New Roman" w:hAnsi="Times New Roman"/>
          <w:sz w:val="20"/>
          <w:szCs w:val="20"/>
          <w:color w:val="auto"/>
        </w:rPr>
        <w:t xml:space="preserve">. Sell or margin </w:t>
      </w:r>
      <w:r>
        <w:rPr>
          <w:rFonts w:ascii="Times New Roman" w:cs="Times New Roman" w:eastAsia="Times New Roman" w:hAnsi="Times New Roman"/>
          <w:sz w:val="20"/>
          <w:szCs w:val="20"/>
          <w:u w:val="single" w:color="auto"/>
          <w:color w:val="auto"/>
        </w:rPr>
        <w:t>all</w:t>
      </w:r>
      <w:r>
        <w:rPr>
          <w:rFonts w:ascii="Times New Roman" w:cs="Times New Roman" w:eastAsia="Times New Roman" w:hAnsi="Times New Roman"/>
          <w:sz w:val="20"/>
          <w:szCs w:val="20"/>
          <w:color w:val="auto"/>
        </w:rPr>
        <w:t xml:space="preserve"> of the shares of common stock issuable upon exercise of the option(s), deliver a portion of the sale or margin loan proceeds directly to Orion Energy Systems, Inc. to pay the Total Exercise Price (and tax withholding, if elected in Part 5), and deposit any remaining cash proceeds in my brokerage account.</w:t>
      </w:r>
    </w:p>
    <w:p>
      <w:pPr>
        <w:spacing w:after="0" w:line="206" w:lineRule="exact"/>
        <w:rPr>
          <w:sz w:val="20"/>
          <w:szCs w:val="20"/>
          <w:color w:val="auto"/>
        </w:rPr>
      </w:pPr>
    </w:p>
    <w:p>
      <w:pPr>
        <w:ind w:left="300"/>
        <w:spacing w:after="0"/>
        <w:tabs>
          <w:tab w:leader="none" w:pos="3460" w:val="left"/>
        </w:tabs>
        <w:rPr>
          <w:sz w:val="20"/>
          <w:szCs w:val="20"/>
          <w:color w:val="auto"/>
        </w:rPr>
      </w:pPr>
      <w:r>
        <w:rPr>
          <w:rFonts w:ascii="Times New Roman" w:cs="Times New Roman" w:eastAsia="Times New Roman" w:hAnsi="Times New Roman"/>
          <w:sz w:val="20"/>
          <w:szCs w:val="20"/>
          <w:color w:val="auto"/>
        </w:rPr>
        <w:t>Sale Price*: __________________</w:t>
      </w:r>
      <w:r>
        <w:rPr>
          <w:sz w:val="20"/>
          <w:szCs w:val="20"/>
          <w:color w:val="auto"/>
        </w:rPr>
        <w:tab/>
      </w:r>
      <w:r>
        <w:rPr>
          <w:rFonts w:ascii="Times New Roman" w:cs="Times New Roman" w:eastAsia="Times New Roman" w:hAnsi="Times New Roman"/>
          <w:sz w:val="19"/>
          <w:szCs w:val="19"/>
          <w:color w:val="auto"/>
        </w:rPr>
        <w:t>Sale Date*: _______________________________</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i w:val="1"/>
          <w:iCs w:val="1"/>
          <w:color w:val="auto"/>
        </w:rPr>
        <w:t>*The sale price and sale date are required in order to execute the cashless exercise.</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Broker-Dealer Name:_________________________________________________________</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Contact Person: ______________________________________________________________</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DWAC – Depository Trust Company (DTC) #: ____________________________________</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Brokerage Account #: _________________________________________________________</w:t>
      </w:r>
    </w:p>
    <w:p>
      <w:pPr>
        <w:spacing w:after="0" w:line="229" w:lineRule="exact"/>
        <w:rPr>
          <w:sz w:val="20"/>
          <w:szCs w:val="20"/>
          <w:color w:val="auto"/>
        </w:rPr>
      </w:pPr>
    </w:p>
    <w:p>
      <w:pPr>
        <w:ind w:left="300"/>
        <w:spacing w:after="0"/>
        <w:tabs>
          <w:tab w:leader="none" w:pos="2040" w:val="left"/>
          <w:tab w:leader="none" w:pos="2720" w:val="left"/>
          <w:tab w:leader="none" w:pos="3460" w:val="left"/>
        </w:tabs>
        <w:rPr>
          <w:sz w:val="20"/>
          <w:szCs w:val="20"/>
          <w:color w:val="auto"/>
        </w:rPr>
      </w:pPr>
      <w:r>
        <w:rPr>
          <w:rFonts w:ascii="Times New Roman" w:cs="Times New Roman" w:eastAsia="Times New Roman" w:hAnsi="Times New Roman"/>
          <w:sz w:val="20"/>
          <w:szCs w:val="20"/>
          <w:color w:val="auto"/>
        </w:rPr>
        <w:t xml:space="preserve">Broker Phone #: </w:t>
      </w:r>
      <w:r>
        <w:rPr>
          <w:rFonts w:ascii="Times New Roman" w:cs="Times New Roman" w:eastAsia="Times New Roman" w:hAnsi="Times New Roman"/>
          <w:sz w:val="20"/>
          <w:szCs w:val="20"/>
          <w:u w:val="single" w:color="auto"/>
          <w:color w:val="auto"/>
        </w:rPr>
        <w:t>(</w:t>
      </w:r>
      <w:r>
        <w:rPr>
          <w:sz w:val="20"/>
          <w:szCs w:val="20"/>
          <w:color w:val="auto"/>
        </w:rPr>
        <w:tab/>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Broker Fax #:  (_____</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________</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-10795</wp:posOffset>
            </wp:positionV>
            <wp:extent cx="7327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6">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205" w:lineRule="exact"/>
        <w:rPr>
          <w:sz w:val="20"/>
          <w:szCs w:val="20"/>
          <w:color w:val="auto"/>
        </w:rPr>
      </w:pPr>
    </w:p>
    <w:p>
      <w:pPr>
        <w:jc w:val="center"/>
        <w:ind w:left="600" w:right="2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It is your responsibility to contact a broker to open a brokerage account and sell your stock option shares. Orion Energy Systems, Inc. WILL NOT send this form to your broker.</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PART 4 CERTIFICATE MAILING INSTRUCTIONS </w:t>
      </w:r>
      <w:r>
        <w:rPr>
          <w:rFonts w:ascii="Times New Roman" w:cs="Times New Roman" w:eastAsia="Times New Roman" w:hAnsi="Times New Roman"/>
          <w:sz w:val="20"/>
          <w:szCs w:val="20"/>
          <w:i w:val="1"/>
          <w:iCs w:val="1"/>
          <w:color w:val="auto"/>
        </w:rPr>
        <w:t>Do not complete this portion if you elected a cashless exercise through a broker-dealer. (Shares issued pursuant to a cashless exercise through a broker-dealer will be automatically sent to your specified broker.) Also, complete this section only if the certificate for the purchased shares is to be sent to a different address than specified in Part 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certificate for the purchased shares should be sent to the following address: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Street Address: ________________________________________________________________</w:t>
      </w:r>
    </w:p>
    <w:p>
      <w:pPr>
        <w:spacing w:after="0" w:line="229" w:lineRule="exact"/>
        <w:rPr>
          <w:sz w:val="20"/>
          <w:szCs w:val="20"/>
          <w:color w:val="auto"/>
        </w:rPr>
      </w:pPr>
    </w:p>
    <w:p>
      <w:pPr>
        <w:spacing w:after="0"/>
        <w:tabs>
          <w:tab w:leader="none" w:pos="2760" w:val="left"/>
          <w:tab w:leader="none" w:pos="5140" w:val="left"/>
        </w:tabs>
        <w:rPr>
          <w:sz w:val="20"/>
          <w:szCs w:val="20"/>
          <w:color w:val="auto"/>
        </w:rPr>
      </w:pPr>
      <w:r>
        <w:rPr>
          <w:rFonts w:ascii="Times New Roman" w:cs="Times New Roman" w:eastAsia="Times New Roman" w:hAnsi="Times New Roman"/>
          <w:sz w:val="20"/>
          <w:szCs w:val="20"/>
          <w:color w:val="auto"/>
        </w:rPr>
        <w:t>City: _____________________</w:t>
        <w:tab/>
        <w:t>State:_________________</w:t>
      </w:r>
      <w:r>
        <w:rPr>
          <w:sz w:val="20"/>
          <w:szCs w:val="20"/>
          <w:color w:val="auto"/>
        </w:rPr>
        <w:tab/>
      </w:r>
      <w:r>
        <w:rPr>
          <w:rFonts w:ascii="Times New Roman" w:cs="Times New Roman" w:eastAsia="Times New Roman" w:hAnsi="Times New Roman"/>
          <w:sz w:val="19"/>
          <w:szCs w:val="19"/>
          <w:color w:val="auto"/>
        </w:rPr>
        <w:t>Zip Code:_______________</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4" w:name="page145"/>
    <w:bookmarkEnd w:id="144"/>
    <w:p>
      <w:pPr>
        <w:spacing w:after="0" w:line="273" w:lineRule="auto"/>
        <w:rPr>
          <w:sz w:val="20"/>
          <w:szCs w:val="20"/>
          <w:color w:val="auto"/>
        </w:rPr>
      </w:pPr>
      <w:r>
        <w:rPr>
          <w:rFonts w:ascii="Times New Roman" w:cs="Times New Roman" w:eastAsia="Times New Roman" w:hAnsi="Times New Roman"/>
          <w:sz w:val="20"/>
          <w:szCs w:val="20"/>
          <w:color w:val="auto"/>
        </w:rPr>
        <w:t xml:space="preserve">PART 5: METHOD OF SATISFYING TAX WITHHOLDING OBLIGATION </w:t>
      </w:r>
      <w:r>
        <w:rPr>
          <w:rFonts w:ascii="Times New Roman" w:cs="Times New Roman" w:eastAsia="Times New Roman" w:hAnsi="Times New Roman"/>
          <w:sz w:val="20"/>
          <w:szCs w:val="20"/>
          <w:i w:val="1"/>
          <w:iCs w:val="1"/>
          <w:color w:val="auto"/>
        </w:rPr>
        <w:t>Please select only one. You do not need to complete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Part if you are exercising only incentive stock options (ISOs) or if you are a non-employee director.</w:t>
      </w:r>
    </w:p>
    <w:p>
      <w:pPr>
        <w:spacing w:after="0" w:line="165" w:lineRule="exact"/>
        <w:rPr>
          <w:sz w:val="20"/>
          <w:szCs w:val="20"/>
          <w:color w:val="auto"/>
        </w:rPr>
      </w:pPr>
    </w:p>
    <w:p>
      <w:pPr>
        <w:ind w:left="380" w:right="180"/>
        <w:spacing w:after="0" w:line="269" w:lineRule="auto"/>
        <w:rPr>
          <w:sz w:val="20"/>
          <w:szCs w:val="20"/>
          <w:color w:val="auto"/>
        </w:rPr>
      </w:pPr>
      <w:r>
        <w:rPr>
          <w:rFonts w:ascii="Times New Roman" w:cs="Times New Roman" w:eastAsia="Times New Roman" w:hAnsi="Times New Roman"/>
          <w:sz w:val="20"/>
          <w:szCs w:val="20"/>
          <w:u w:val="single" w:color="auto"/>
          <w:color w:val="auto"/>
        </w:rPr>
        <w:t>Broker Exercise</w:t>
      </w:r>
      <w:r>
        <w:rPr>
          <w:rFonts w:ascii="Times New Roman" w:cs="Times New Roman" w:eastAsia="Times New Roman" w:hAnsi="Times New Roman"/>
          <w:sz w:val="20"/>
          <w:szCs w:val="20"/>
          <w:color w:val="auto"/>
        </w:rPr>
        <w:t>. I have elected to exercise my option(s) through a broker in Part 3. The broker will sell sufficient shares to pay for the tax amount and will remit that amount to Orion Energy Systems, Inc.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w:t>
      </w:r>
      <w:r>
        <w:rPr>
          <w:rFonts w:ascii="Times New Roman" w:cs="Times New Roman" w:eastAsia="Times New Roman" w:hAnsi="Times New Roman"/>
          <w:sz w:val="20"/>
          <w:szCs w:val="20"/>
          <w:color w:val="auto"/>
        </w:rPr>
        <w:t>. I am enclosing a check or money order payable to “Orion Energy Systems, Inc.” for the withholding tax amount.</w:t>
      </w:r>
    </w:p>
    <w:p>
      <w:pPr>
        <w:spacing w:after="0" w:line="242" w:lineRule="exact"/>
        <w:rPr>
          <w:sz w:val="20"/>
          <w:szCs w:val="20"/>
          <w:color w:val="auto"/>
        </w:rPr>
      </w:pPr>
    </w:p>
    <w:p>
      <w:pPr>
        <w:ind w:left="380" w:right="420"/>
        <w:spacing w:after="0" w:line="295" w:lineRule="auto"/>
        <w:rPr>
          <w:sz w:val="20"/>
          <w:szCs w:val="20"/>
          <w:color w:val="auto"/>
        </w:rPr>
      </w:pPr>
      <w:r>
        <w:rPr>
          <w:rFonts w:ascii="Times New Roman" w:cs="Times New Roman" w:eastAsia="Times New Roman" w:hAnsi="Times New Roman"/>
          <w:sz w:val="19"/>
          <w:szCs w:val="19"/>
          <w:u w:val="single" w:color="auto"/>
          <w:color w:val="auto"/>
        </w:rPr>
        <w:t>Withhold Shares</w:t>
      </w:r>
      <w:r>
        <w:rPr>
          <w:rFonts w:ascii="Times New Roman" w:cs="Times New Roman" w:eastAsia="Times New Roman" w:hAnsi="Times New Roman"/>
          <w:sz w:val="19"/>
          <w:szCs w:val="19"/>
          <w:color w:val="auto"/>
        </w:rPr>
        <w:t xml:space="preserve">. Please withhold a whole number of shares otherwise deliverable to me upon exercise having a Fair Market Value equal to the </w:t>
      </w:r>
      <w:r>
        <w:rPr>
          <w:rFonts w:ascii="Times New Roman" w:cs="Times New Roman" w:eastAsia="Times New Roman" w:hAnsi="Times New Roman"/>
          <w:sz w:val="19"/>
          <w:szCs w:val="19"/>
          <w:u w:val="single" w:color="auto"/>
          <w:color w:val="auto"/>
        </w:rPr>
        <w:t>minimum</w:t>
      </w:r>
      <w:r>
        <w:rPr>
          <w:rFonts w:ascii="Times New Roman" w:cs="Times New Roman" w:eastAsia="Times New Roman" w:hAnsi="Times New Roman"/>
          <w:sz w:val="19"/>
          <w:szCs w:val="19"/>
          <w:color w:val="auto"/>
        </w:rPr>
        <w:t xml:space="preserve"> statutory tax that is required to be withheld. Any fractional share remaining will be paid to me in cash.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6 ACKNOWLEDGEMENTS AND SIGNATURE</w:t>
      </w:r>
    </w:p>
    <w:p>
      <w:pPr>
        <w:spacing w:after="0" w:line="216" w:lineRule="exact"/>
        <w:rPr>
          <w:sz w:val="20"/>
          <w:szCs w:val="20"/>
          <w:color w:val="auto"/>
        </w:rPr>
      </w:pPr>
    </w:p>
    <w:p>
      <w:pPr>
        <w:ind w:left="760" w:hanging="752"/>
        <w:spacing w:after="0" w:line="269" w:lineRule="auto"/>
        <w:tabs>
          <w:tab w:leader="none" w:pos="7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all sales of Orion’s common stock received upon exercise of this option are subject to compliance with the company’s policy on securities trades.</w:t>
      </w:r>
    </w:p>
    <w:p>
      <w:pPr>
        <w:spacing w:after="0" w:line="159"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hereby acknowledge that I have read a copy of the prospectus describing this option, and understand the tax consequences of an exercise.</w:t>
      </w:r>
    </w:p>
    <w:p>
      <w:pPr>
        <w:spacing w:after="0" w:line="159" w:lineRule="exact"/>
        <w:rPr>
          <w:rFonts w:ascii="Times New Roman" w:cs="Times New Roman" w:eastAsia="Times New Roman" w:hAnsi="Times New Roman"/>
          <w:sz w:val="20"/>
          <w:szCs w:val="20"/>
          <w:color w:val="auto"/>
        </w:rPr>
      </w:pPr>
    </w:p>
    <w:p>
      <w:pPr>
        <w:jc w:val="both"/>
        <w:ind w:left="760" w:hanging="752"/>
        <w:spacing w:after="0" w:line="254" w:lineRule="auto"/>
        <w:tabs>
          <w:tab w:leader="none" w:pos="7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this notice cannot be revoked by me if I have selected a cashless exercise through a broker-dealer. I personally guarantee that the Total Exercise Price and applicable taxes will be paid to Orion Energy Systems, Inc. in full in the event the Company does not receive the full amount from the Broker for any reason.</w:t>
      </w:r>
    </w:p>
    <w:p>
      <w:pPr>
        <w:spacing w:after="0" w:line="200" w:lineRule="exact"/>
        <w:rPr>
          <w:sz w:val="20"/>
          <w:szCs w:val="20"/>
          <w:color w:val="auto"/>
        </w:rPr>
      </w:pPr>
    </w:p>
    <w:p>
      <w:pPr>
        <w:spacing w:after="0" w:line="204"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Date: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-10795</wp:posOffset>
            </wp:positionV>
            <wp:extent cx="117983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8">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77152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9">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i w:val="1"/>
          <w:iCs w:val="1"/>
          <w:color w:val="auto"/>
        </w:rPr>
        <w:t>To be completed by Corporate Human Resource Department:</w:t>
      </w:r>
    </w:p>
    <w:p>
      <w:pPr>
        <w:spacing w:after="0" w:line="2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Received by:</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2"/>
          <w:szCs w:val="22"/>
          <w:b w:val="1"/>
          <w:bCs w:val="1"/>
          <w:color w:val="auto"/>
        </w:rPr>
        <w:t>Exhibit 10.31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2016 OMNIBUS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AWARD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ADDRESS]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__________:</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 have been granted an option (your “Option”) to purchase shares of common stock (“Shares”) of Orion Energy Systems, Inc. (the “Company”) under the Orion Energy Systems, Inc. 2016 Omnibus Incentive Plan (the “Plan”) with the following terms and conditions:</w:t>
      </w:r>
    </w:p>
    <w:p>
      <w:pPr>
        <w:spacing w:after="0" w:line="200"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Grant Date:</w:t>
            </w:r>
          </w:p>
        </w:tc>
        <w:tc>
          <w:tcPr>
            <w:tcW w:w="440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rPr>
              <w:t>__________</w:t>
            </w: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Type of Option:</w:t>
            </w:r>
          </w:p>
        </w:tc>
        <w:tc>
          <w:tcPr>
            <w:tcW w:w="440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rPr>
              <w:t>Nonqualified Stock Option</w:t>
            </w: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Number of Option Shares:</w:t>
            </w:r>
          </w:p>
        </w:tc>
        <w:tc>
          <w:tcPr>
            <w:tcW w:w="440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rPr>
              <w:t>__________</w:t>
            </w: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Exercise Price per Share:</w:t>
            </w:r>
          </w:p>
        </w:tc>
        <w:tc>
          <w:tcPr>
            <w:tcW w:w="440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rPr>
              <w:t>U.S. $_____________</w:t>
            </w: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Vesting</w:t>
            </w:r>
          </w:p>
        </w:tc>
        <w:tc>
          <w:tcPr>
            <w:tcW w:w="814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Your Option will vest based on the achievement of the following stock price goals,</w:t>
            </w:r>
          </w:p>
        </w:tc>
        <w:tc>
          <w:tcPr>
            <w:tcW w:w="0" w:type="dxa"/>
            <w:vAlign w:val="bottom"/>
          </w:tcPr>
          <w:p>
            <w:pPr>
              <w:spacing w:after="0"/>
              <w:rPr>
                <w:sz w:val="1"/>
                <w:szCs w:val="1"/>
                <w:color w:val="auto"/>
              </w:rPr>
            </w:pPr>
          </w:p>
        </w:tc>
      </w:tr>
      <w:tr>
        <w:trPr>
          <w:trHeight w:val="282"/>
        </w:trPr>
        <w:tc>
          <w:tcPr>
            <w:tcW w:w="2900" w:type="dxa"/>
            <w:vAlign w:val="bottom"/>
          </w:tcPr>
          <w:p>
            <w:pPr>
              <w:spacing w:after="0"/>
              <w:rPr>
                <w:sz w:val="24"/>
                <w:szCs w:val="24"/>
                <w:color w:val="auto"/>
              </w:rPr>
            </w:pPr>
          </w:p>
        </w:tc>
        <w:tc>
          <w:tcPr>
            <w:tcW w:w="814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w w:val="99"/>
              </w:rPr>
              <w:t>provided you remain in the Company’s employment until the applicable vesting date:</w:t>
            </w:r>
          </w:p>
        </w:tc>
        <w:tc>
          <w:tcPr>
            <w:tcW w:w="0" w:type="dxa"/>
            <w:vAlign w:val="bottom"/>
          </w:tcPr>
          <w:p>
            <w:pPr>
              <w:spacing w:after="0"/>
              <w:rPr>
                <w:sz w:val="1"/>
                <w:szCs w:val="1"/>
                <w:color w:val="auto"/>
              </w:rPr>
            </w:pPr>
          </w:p>
        </w:tc>
      </w:tr>
      <w:tr>
        <w:trPr>
          <w:trHeight w:val="231"/>
        </w:trPr>
        <w:tc>
          <w:tcPr>
            <w:tcW w:w="2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5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90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35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tcPr>
          <w:p>
            <w:pPr>
              <w:ind w:left="940"/>
              <w:spacing w:after="0" w:line="205" w:lineRule="exact"/>
              <w:rPr>
                <w:sz w:val="20"/>
                <w:szCs w:val="20"/>
                <w:color w:val="auto"/>
              </w:rPr>
            </w:pPr>
            <w:r>
              <w:rPr>
                <w:rFonts w:ascii="Times New Roman" w:cs="Times New Roman" w:eastAsia="Times New Roman" w:hAnsi="Times New Roman"/>
                <w:sz w:val="22"/>
                <w:szCs w:val="22"/>
                <w:b w:val="1"/>
                <w:bCs w:val="1"/>
                <w:color w:val="auto"/>
              </w:rPr>
              <w:t>Portion of Option</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90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Stock Price Achieved</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Shares Vesting</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$_____</w:t>
            </w:r>
          </w:p>
        </w:tc>
        <w:tc>
          <w:tcPr>
            <w:tcW w:w="3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$_____</w:t>
            </w:r>
          </w:p>
        </w:tc>
        <w:tc>
          <w:tcPr>
            <w:tcW w:w="3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$_____</w:t>
            </w:r>
          </w:p>
        </w:tc>
        <w:tc>
          <w:tcPr>
            <w:tcW w:w="3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6953250</wp:posOffset>
            </wp:positionH>
            <wp:positionV relativeFrom="paragraph">
              <wp:posOffset>-826770</wp:posOffset>
            </wp:positionV>
            <wp:extent cx="196850" cy="3511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1">
                      <a:extLst>
                        <a:ext uri="{28A0092B-C50C-407E-A947-70E740481C1C}"/>
                      </a:extLst>
                    </a:blip>
                    <a:srcRect/>
                    <a:stretch>
                      <a:fillRect/>
                    </a:stretch>
                  </pic:blipFill>
                  <pic:spPr bwMode="auto">
                    <a:xfrm>
                      <a:off x="0" y="0"/>
                      <a:ext cx="196850" cy="351155"/>
                    </a:xfrm>
                    <a:prstGeom prst="rect">
                      <a:avLst/>
                    </a:prstGeom>
                    <a:noFill/>
                  </pic:spPr>
                </pic:pic>
              </a:graphicData>
            </a:graphic>
          </wp:anchor>
        </w:drawing>
      </w:r>
    </w:p>
    <w:p>
      <w:pPr>
        <w:spacing w:after="0" w:line="196" w:lineRule="exact"/>
        <w:rPr>
          <w:sz w:val="20"/>
          <w:szCs w:val="20"/>
          <w:color w:val="auto"/>
        </w:rPr>
      </w:pPr>
    </w:p>
    <w:p>
      <w:pPr>
        <w:jc w:val="both"/>
        <w:ind w:left="3620" w:right="100"/>
        <w:spacing w:after="0" w:line="238" w:lineRule="auto"/>
        <w:rPr>
          <w:sz w:val="20"/>
          <w:szCs w:val="20"/>
          <w:color w:val="auto"/>
        </w:rPr>
      </w:pPr>
      <w:r>
        <w:rPr>
          <w:rFonts w:ascii="Times New Roman" w:cs="Times New Roman" w:eastAsia="Times New Roman" w:hAnsi="Times New Roman"/>
          <w:sz w:val="22"/>
          <w:szCs w:val="22"/>
          <w:color w:val="auto"/>
        </w:rPr>
        <w:t>The stock prices above will be deemed achieved, and your Option will vest with respect to the applicable portion of the Option Shares, only if and when the Company determines that the average closing sale price of the Company’s common stock over five consecutive trading days during the three (3) calendar years immediately following the Grant Date equals or exceeds the applicable stock price.</w:t>
      </w:r>
    </w:p>
    <w:p>
      <w:pPr>
        <w:spacing w:after="0" w:line="204" w:lineRule="exact"/>
        <w:rPr>
          <w:sz w:val="20"/>
          <w:szCs w:val="20"/>
          <w:color w:val="auto"/>
        </w:rPr>
      </w:pPr>
    </w:p>
    <w:p>
      <w:pPr>
        <w:jc w:val="both"/>
        <w:ind w:left="3620" w:right="100"/>
        <w:spacing w:after="0" w:line="244" w:lineRule="auto"/>
        <w:rPr>
          <w:sz w:val="20"/>
          <w:szCs w:val="20"/>
          <w:color w:val="auto"/>
        </w:rPr>
      </w:pPr>
      <w:r>
        <w:rPr>
          <w:rFonts w:ascii="Times New Roman" w:cs="Times New Roman" w:eastAsia="Times New Roman" w:hAnsi="Times New Roman"/>
          <w:sz w:val="22"/>
          <w:szCs w:val="22"/>
          <w:color w:val="auto"/>
        </w:rPr>
        <w:t>Any portion of your Option that is not vested upon the termination of your employment with the Company for any reason or for no reason will immediately terminate upon such termination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DMS=NetDocuments Format=&lt;&lt;ID&gt;&gt;.&lt;&lt;VER&gt;&gt; \* MERGEFORMAT 4905-1863-4056.2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53"/>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Termination Date:</w:t>
            </w:r>
          </w:p>
        </w:tc>
        <w:tc>
          <w:tcPr>
            <w:tcW w:w="840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Your Option expires at, and cannot be exercised after, the close of business at the</w:t>
            </w:r>
          </w:p>
        </w:tc>
      </w:tr>
      <w:tr>
        <w:trPr>
          <w:trHeight w:val="282"/>
        </w:trPr>
        <w:tc>
          <w:tcPr>
            <w:tcW w:w="2640" w:type="dxa"/>
            <w:vAlign w:val="bottom"/>
          </w:tcPr>
          <w:p>
            <w:pPr>
              <w:spacing w:after="0"/>
              <w:rPr>
                <w:sz w:val="24"/>
                <w:szCs w:val="24"/>
                <w:color w:val="auto"/>
              </w:rPr>
            </w:pPr>
          </w:p>
        </w:tc>
        <w:tc>
          <w:tcPr>
            <w:tcW w:w="840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Company’s headquarters on the earliest to occur of:</w:t>
            </w:r>
          </w:p>
        </w:tc>
      </w:tr>
      <w:tr>
        <w:trPr>
          <w:trHeight w:val="420"/>
        </w:trPr>
        <w:tc>
          <w:tcPr>
            <w:tcW w:w="26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Grant Date;</w:t>
            </w:r>
          </w:p>
        </w:tc>
      </w:tr>
      <w:tr>
        <w:trPr>
          <w:trHeight w:val="243"/>
        </w:trPr>
        <w:tc>
          <w:tcPr>
            <w:tcW w:w="2640" w:type="dxa"/>
            <w:vAlign w:val="bottom"/>
          </w:tcPr>
          <w:p>
            <w:pPr>
              <w:spacing w:after="0"/>
              <w:rPr>
                <w:sz w:val="21"/>
                <w:szCs w:val="21"/>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7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w w:val="99"/>
              </w:rPr>
              <w:t>One year after your termination of employment with the Company as a result of</w:t>
            </w:r>
          </w:p>
        </w:tc>
      </w:tr>
      <w:tr>
        <w:trPr>
          <w:trHeight w:val="282"/>
        </w:trPr>
        <w:tc>
          <w:tcPr>
            <w:tcW w:w="2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death or disability (within the meaning of Code Section 22(e)(3)); or</w:t>
            </w:r>
          </w:p>
        </w:tc>
      </w:tr>
      <w:tr>
        <w:trPr>
          <w:trHeight w:val="420"/>
        </w:trPr>
        <w:tc>
          <w:tcPr>
            <w:tcW w:w="264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90 days after your termination of employment with the Company for any other</w:t>
            </w:r>
          </w:p>
        </w:tc>
      </w:tr>
      <w:tr>
        <w:trPr>
          <w:trHeight w:val="282"/>
        </w:trPr>
        <w:tc>
          <w:tcPr>
            <w:tcW w:w="2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reason.</w:t>
            </w:r>
          </w:p>
        </w:tc>
      </w:tr>
      <w:tr>
        <w:trPr>
          <w:trHeight w:val="420"/>
        </w:trPr>
        <w:tc>
          <w:tcPr>
            <w:tcW w:w="2640" w:type="dxa"/>
            <w:vAlign w:val="bottom"/>
          </w:tcPr>
          <w:p>
            <w:pPr>
              <w:spacing w:after="0"/>
              <w:rPr>
                <w:sz w:val="24"/>
                <w:szCs w:val="24"/>
                <w:color w:val="auto"/>
              </w:rPr>
            </w:pPr>
          </w:p>
        </w:tc>
        <w:tc>
          <w:tcPr>
            <w:tcW w:w="840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Your Option’s termination date does not affect its vesting date(s), which expire upon</w:t>
            </w:r>
          </w:p>
        </w:tc>
      </w:tr>
      <w:tr>
        <w:trPr>
          <w:trHeight w:val="282"/>
        </w:trPr>
        <w:tc>
          <w:tcPr>
            <w:tcW w:w="2640" w:type="dxa"/>
            <w:vAlign w:val="bottom"/>
          </w:tcPr>
          <w:p>
            <w:pPr>
              <w:spacing w:after="0"/>
              <w:rPr>
                <w:sz w:val="24"/>
                <w:szCs w:val="24"/>
                <w:color w:val="auto"/>
              </w:rPr>
            </w:pPr>
          </w:p>
        </w:tc>
        <w:tc>
          <w:tcPr>
            <w:tcW w:w="840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your termination of employment with the Company.</w:t>
            </w:r>
          </w:p>
        </w:tc>
      </w:tr>
      <w:tr>
        <w:trPr>
          <w:trHeight w:val="447"/>
        </w:trPr>
        <w:tc>
          <w:tcPr>
            <w:tcW w:w="2640" w:type="dxa"/>
            <w:vAlign w:val="bottom"/>
          </w:tcPr>
          <w:p>
            <w:pPr>
              <w:spacing w:after="0"/>
              <w:rPr>
                <w:sz w:val="24"/>
                <w:szCs w:val="24"/>
                <w:color w:val="auto"/>
              </w:rPr>
            </w:pPr>
          </w:p>
        </w:tc>
        <w:tc>
          <w:tcPr>
            <w:tcW w:w="840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w w:val="99"/>
              </w:rPr>
              <w:t>If the date this Option terminates as specified above falls on a day on which the stock</w:t>
            </w:r>
          </w:p>
        </w:tc>
      </w:tr>
      <w:tr>
        <w:trPr>
          <w:trHeight w:val="243"/>
        </w:trPr>
        <w:tc>
          <w:tcPr>
            <w:tcW w:w="2640" w:type="dxa"/>
            <w:vAlign w:val="bottom"/>
          </w:tcPr>
          <w:p>
            <w:pPr>
              <w:spacing w:after="0"/>
              <w:rPr>
                <w:sz w:val="21"/>
                <w:szCs w:val="21"/>
                <w:color w:val="auto"/>
              </w:rPr>
            </w:pPr>
          </w:p>
        </w:tc>
        <w:tc>
          <w:tcPr>
            <w:tcW w:w="8400" w:type="dxa"/>
            <w:vAlign w:val="bottom"/>
            <w:gridSpan w:val="2"/>
          </w:tcPr>
          <w:p>
            <w:pPr>
              <w:ind w:left="880"/>
              <w:spacing w:after="0" w:line="243" w:lineRule="exact"/>
              <w:rPr>
                <w:sz w:val="20"/>
                <w:szCs w:val="20"/>
                <w:color w:val="auto"/>
              </w:rPr>
            </w:pPr>
            <w:r>
              <w:rPr>
                <w:rFonts w:ascii="Times New Roman" w:cs="Times New Roman" w:eastAsia="Times New Roman" w:hAnsi="Times New Roman"/>
                <w:sz w:val="22"/>
                <w:szCs w:val="22"/>
                <w:color w:val="auto"/>
                <w:w w:val="99"/>
              </w:rPr>
              <w:t>market is not open for trading or on a date that you are prohibited by Company policy</w:t>
            </w:r>
          </w:p>
        </w:tc>
      </w:tr>
      <w:tr>
        <w:trPr>
          <w:trHeight w:val="243"/>
        </w:trPr>
        <w:tc>
          <w:tcPr>
            <w:tcW w:w="2640" w:type="dxa"/>
            <w:vAlign w:val="bottom"/>
          </w:tcPr>
          <w:p>
            <w:pPr>
              <w:spacing w:after="0"/>
              <w:rPr>
                <w:sz w:val="21"/>
                <w:szCs w:val="21"/>
                <w:color w:val="auto"/>
              </w:rPr>
            </w:pPr>
          </w:p>
        </w:tc>
        <w:tc>
          <w:tcPr>
            <w:tcW w:w="8400" w:type="dxa"/>
            <w:vAlign w:val="bottom"/>
            <w:gridSpan w:val="2"/>
          </w:tcPr>
          <w:p>
            <w:pPr>
              <w:ind w:left="880"/>
              <w:spacing w:after="0" w:line="243" w:lineRule="exact"/>
              <w:rPr>
                <w:sz w:val="20"/>
                <w:szCs w:val="20"/>
                <w:color w:val="auto"/>
              </w:rPr>
            </w:pPr>
            <w:r>
              <w:rPr>
                <w:rFonts w:ascii="Times New Roman" w:cs="Times New Roman" w:eastAsia="Times New Roman" w:hAnsi="Times New Roman"/>
                <w:sz w:val="22"/>
                <w:szCs w:val="22"/>
                <w:color w:val="auto"/>
              </w:rPr>
              <w:t>(such as an insider trading policy) from exercising the Option, the termination date</w:t>
            </w:r>
          </w:p>
        </w:tc>
      </w:tr>
      <w:tr>
        <w:trPr>
          <w:trHeight w:val="220"/>
        </w:trPr>
        <w:tc>
          <w:tcPr>
            <w:tcW w:w="2640" w:type="dxa"/>
            <w:vAlign w:val="bottom"/>
          </w:tcPr>
          <w:p>
            <w:pPr>
              <w:spacing w:after="0"/>
              <w:rPr>
                <w:sz w:val="19"/>
                <w:szCs w:val="19"/>
                <w:color w:val="auto"/>
              </w:rPr>
            </w:pPr>
          </w:p>
        </w:tc>
        <w:tc>
          <w:tcPr>
            <w:tcW w:w="8400" w:type="dxa"/>
            <w:vAlign w:val="bottom"/>
            <w:gridSpan w:val="2"/>
          </w:tcPr>
          <w:p>
            <w:pPr>
              <w:ind w:left="880"/>
              <w:spacing w:after="0" w:line="220" w:lineRule="exact"/>
              <w:rPr>
                <w:sz w:val="20"/>
                <w:szCs w:val="20"/>
                <w:color w:val="auto"/>
              </w:rPr>
            </w:pPr>
            <w:r>
              <w:rPr>
                <w:rFonts w:ascii="Times New Roman" w:cs="Times New Roman" w:eastAsia="Times New Roman" w:hAnsi="Times New Roman"/>
                <w:sz w:val="22"/>
                <w:szCs w:val="22"/>
                <w:color w:val="auto"/>
                <w:w w:val="98"/>
              </w:rPr>
              <w:t>shall be automatically extended to the first available trading day following the original</w:t>
            </w:r>
          </w:p>
        </w:tc>
      </w:tr>
      <w:tr>
        <w:trPr>
          <w:trHeight w:val="382"/>
        </w:trPr>
        <w:tc>
          <w:tcPr>
            <w:tcW w:w="2640" w:type="dxa"/>
            <w:vAlign w:val="bottom"/>
          </w:tcPr>
          <w:p>
            <w:pPr>
              <w:spacing w:after="0"/>
              <w:rPr>
                <w:sz w:val="24"/>
                <w:szCs w:val="24"/>
                <w:color w:val="auto"/>
              </w:rPr>
            </w:pPr>
          </w:p>
        </w:tc>
        <w:tc>
          <w:tcPr>
            <w:tcW w:w="840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termination date, but not beyond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Grant Date.</w:t>
            </w:r>
          </w:p>
        </w:tc>
      </w:tr>
      <w:tr>
        <w:trPr>
          <w:trHeight w:val="370"/>
        </w:trPr>
        <w:tc>
          <w:tcPr>
            <w:tcW w:w="2640" w:type="dxa"/>
            <w:vAlign w:val="bottom"/>
          </w:tcPr>
          <w:p>
            <w:pPr>
              <w:spacing w:after="0"/>
              <w:rPr>
                <w:sz w:val="24"/>
                <w:szCs w:val="24"/>
                <w:color w:val="auto"/>
              </w:rPr>
            </w:pPr>
          </w:p>
        </w:tc>
        <w:tc>
          <w:tcPr>
            <w:tcW w:w="840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Notwithstanding the above, your entire Option is terminated immediately if the</w:t>
            </w:r>
          </w:p>
        </w:tc>
      </w:tr>
      <w:tr>
        <w:trPr>
          <w:trHeight w:val="243"/>
        </w:trPr>
        <w:tc>
          <w:tcPr>
            <w:tcW w:w="2640" w:type="dxa"/>
            <w:vAlign w:val="bottom"/>
          </w:tcPr>
          <w:p>
            <w:pPr>
              <w:spacing w:after="0"/>
              <w:rPr>
                <w:sz w:val="21"/>
                <w:szCs w:val="21"/>
                <w:color w:val="auto"/>
              </w:rPr>
            </w:pPr>
          </w:p>
        </w:tc>
        <w:tc>
          <w:tcPr>
            <w:tcW w:w="8400" w:type="dxa"/>
            <w:vAlign w:val="bottom"/>
            <w:gridSpan w:val="2"/>
          </w:tcPr>
          <w:p>
            <w:pPr>
              <w:ind w:left="880"/>
              <w:spacing w:after="0" w:line="243" w:lineRule="exact"/>
              <w:rPr>
                <w:sz w:val="20"/>
                <w:szCs w:val="20"/>
                <w:color w:val="auto"/>
              </w:rPr>
            </w:pPr>
            <w:r>
              <w:rPr>
                <w:rFonts w:ascii="Times New Roman" w:cs="Times New Roman" w:eastAsia="Times New Roman" w:hAnsi="Times New Roman"/>
                <w:sz w:val="22"/>
                <w:szCs w:val="22"/>
                <w:color w:val="auto"/>
              </w:rPr>
              <w:t>Company or an Affiliate terminates your employment for Cause (as defined in your</w:t>
            </w:r>
          </w:p>
        </w:tc>
      </w:tr>
      <w:tr>
        <w:trPr>
          <w:trHeight w:val="243"/>
        </w:trPr>
        <w:tc>
          <w:tcPr>
            <w:tcW w:w="2640" w:type="dxa"/>
            <w:vAlign w:val="bottom"/>
          </w:tcPr>
          <w:p>
            <w:pPr>
              <w:spacing w:after="0"/>
              <w:rPr>
                <w:sz w:val="21"/>
                <w:szCs w:val="21"/>
                <w:color w:val="auto"/>
              </w:rPr>
            </w:pPr>
          </w:p>
        </w:tc>
        <w:tc>
          <w:tcPr>
            <w:tcW w:w="8400" w:type="dxa"/>
            <w:vAlign w:val="bottom"/>
            <w:gridSpan w:val="2"/>
          </w:tcPr>
          <w:p>
            <w:pPr>
              <w:ind w:left="880"/>
              <w:spacing w:after="0" w:line="243" w:lineRule="exact"/>
              <w:rPr>
                <w:sz w:val="20"/>
                <w:szCs w:val="20"/>
                <w:color w:val="auto"/>
              </w:rPr>
            </w:pPr>
            <w:r>
              <w:rPr>
                <w:rFonts w:ascii="Times New Roman" w:cs="Times New Roman" w:eastAsia="Times New Roman" w:hAnsi="Times New Roman"/>
                <w:sz w:val="22"/>
                <w:szCs w:val="22"/>
                <w:color w:val="auto"/>
                <w:w w:val="98"/>
              </w:rPr>
              <w:t>Amended and Restated Executive Employment and Severance Agreement, effective as</w:t>
            </w:r>
          </w:p>
        </w:tc>
      </w:tr>
      <w:tr>
        <w:trPr>
          <w:trHeight w:val="243"/>
        </w:trPr>
        <w:tc>
          <w:tcPr>
            <w:tcW w:w="2640" w:type="dxa"/>
            <w:vAlign w:val="bottom"/>
          </w:tcPr>
          <w:p>
            <w:pPr>
              <w:spacing w:after="0"/>
              <w:rPr>
                <w:sz w:val="21"/>
                <w:szCs w:val="21"/>
                <w:color w:val="auto"/>
              </w:rPr>
            </w:pPr>
          </w:p>
        </w:tc>
        <w:tc>
          <w:tcPr>
            <w:tcW w:w="8400" w:type="dxa"/>
            <w:vAlign w:val="bottom"/>
            <w:gridSpan w:val="2"/>
          </w:tcPr>
          <w:p>
            <w:pPr>
              <w:ind w:left="880"/>
              <w:spacing w:after="0" w:line="243" w:lineRule="exact"/>
              <w:rPr>
                <w:sz w:val="20"/>
                <w:szCs w:val="20"/>
                <w:color w:val="auto"/>
              </w:rPr>
            </w:pPr>
            <w:r>
              <w:rPr>
                <w:rFonts w:ascii="Times New Roman" w:cs="Times New Roman" w:eastAsia="Times New Roman" w:hAnsi="Times New Roman"/>
                <w:sz w:val="22"/>
                <w:szCs w:val="22"/>
                <w:color w:val="auto"/>
                <w:w w:val="98"/>
              </w:rPr>
              <w:t>of June 1, 2020, with the Company), or if your employment is otherwise terminated at</w:t>
            </w:r>
          </w:p>
        </w:tc>
      </w:tr>
      <w:tr>
        <w:trPr>
          <w:trHeight w:val="282"/>
        </w:trPr>
        <w:tc>
          <w:tcPr>
            <w:tcW w:w="2640" w:type="dxa"/>
            <w:vAlign w:val="bottom"/>
          </w:tcPr>
          <w:p>
            <w:pPr>
              <w:spacing w:after="0"/>
              <w:rPr>
                <w:sz w:val="24"/>
                <w:szCs w:val="24"/>
                <w:color w:val="auto"/>
              </w:rPr>
            </w:pPr>
          </w:p>
        </w:tc>
        <w:tc>
          <w:tcPr>
            <w:tcW w:w="840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a time when it could be terminated for Cause.</w:t>
            </w:r>
          </w:p>
        </w:tc>
      </w:tr>
      <w:tr>
        <w:trPr>
          <w:trHeight w:val="44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Manner of Exercise:</w:t>
            </w:r>
          </w:p>
        </w:tc>
        <w:tc>
          <w:tcPr>
            <w:tcW w:w="13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You</w:t>
            </w:r>
          </w:p>
        </w:tc>
        <w:tc>
          <w:tcPr>
            <w:tcW w:w="7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may exercise your Option only to the extent vested and only if it has not</w:t>
            </w:r>
          </w:p>
        </w:tc>
      </w:tr>
      <w:tr>
        <w:trPr>
          <w:trHeight w:val="243"/>
        </w:trPr>
        <w:tc>
          <w:tcPr>
            <w:tcW w:w="2640" w:type="dxa"/>
            <w:vAlign w:val="bottom"/>
          </w:tcPr>
          <w:p>
            <w:pPr>
              <w:spacing w:after="0"/>
              <w:rPr>
                <w:sz w:val="21"/>
                <w:szCs w:val="21"/>
                <w:color w:val="auto"/>
              </w:rPr>
            </w:pPr>
          </w:p>
        </w:tc>
        <w:tc>
          <w:tcPr>
            <w:tcW w:w="8400" w:type="dxa"/>
            <w:vAlign w:val="bottom"/>
            <w:gridSpan w:val="2"/>
          </w:tcPr>
          <w:p>
            <w:pPr>
              <w:ind w:left="880"/>
              <w:spacing w:after="0" w:line="243" w:lineRule="exact"/>
              <w:rPr>
                <w:sz w:val="20"/>
                <w:szCs w:val="20"/>
                <w:color w:val="auto"/>
              </w:rPr>
            </w:pPr>
            <w:r>
              <w:rPr>
                <w:rFonts w:ascii="Times New Roman" w:cs="Times New Roman" w:eastAsia="Times New Roman" w:hAnsi="Times New Roman"/>
                <w:sz w:val="22"/>
                <w:szCs w:val="22"/>
                <w:color w:val="auto"/>
                <w:w w:val="99"/>
              </w:rPr>
              <w:t>terminated. To exercise your Option, you must complete the “Notice of Stock Option</w:t>
            </w:r>
          </w:p>
        </w:tc>
      </w:tr>
      <w:tr>
        <w:trPr>
          <w:trHeight w:val="243"/>
        </w:trPr>
        <w:tc>
          <w:tcPr>
            <w:tcW w:w="2640" w:type="dxa"/>
            <w:vAlign w:val="bottom"/>
          </w:tcPr>
          <w:p>
            <w:pPr>
              <w:spacing w:after="0"/>
              <w:rPr>
                <w:sz w:val="21"/>
                <w:szCs w:val="21"/>
                <w:color w:val="auto"/>
              </w:rPr>
            </w:pPr>
          </w:p>
        </w:tc>
        <w:tc>
          <w:tcPr>
            <w:tcW w:w="8400" w:type="dxa"/>
            <w:vAlign w:val="bottom"/>
            <w:gridSpan w:val="2"/>
          </w:tcPr>
          <w:p>
            <w:pPr>
              <w:ind w:left="880"/>
              <w:spacing w:after="0" w:line="243" w:lineRule="exact"/>
              <w:rPr>
                <w:sz w:val="20"/>
                <w:szCs w:val="20"/>
                <w:color w:val="auto"/>
              </w:rPr>
            </w:pPr>
            <w:r>
              <w:rPr>
                <w:rFonts w:ascii="Times New Roman" w:cs="Times New Roman" w:eastAsia="Times New Roman" w:hAnsi="Times New Roman"/>
                <w:sz w:val="22"/>
                <w:szCs w:val="22"/>
                <w:color w:val="auto"/>
                <w:w w:val="99"/>
              </w:rPr>
              <w:t>Exercise” form provided by the Company and return it to the address indicated on the</w:t>
            </w:r>
          </w:p>
        </w:tc>
      </w:tr>
      <w:tr>
        <w:trPr>
          <w:trHeight w:val="243"/>
        </w:trPr>
        <w:tc>
          <w:tcPr>
            <w:tcW w:w="2640" w:type="dxa"/>
            <w:vAlign w:val="bottom"/>
          </w:tcPr>
          <w:p>
            <w:pPr>
              <w:spacing w:after="0"/>
              <w:rPr>
                <w:sz w:val="21"/>
                <w:szCs w:val="21"/>
                <w:color w:val="auto"/>
              </w:rPr>
            </w:pPr>
          </w:p>
        </w:tc>
        <w:tc>
          <w:tcPr>
            <w:tcW w:w="8400" w:type="dxa"/>
            <w:vAlign w:val="bottom"/>
            <w:gridSpan w:val="2"/>
          </w:tcPr>
          <w:p>
            <w:pPr>
              <w:ind w:left="880"/>
              <w:spacing w:after="0" w:line="243" w:lineRule="exact"/>
              <w:rPr>
                <w:sz w:val="20"/>
                <w:szCs w:val="20"/>
                <w:color w:val="auto"/>
              </w:rPr>
            </w:pPr>
            <w:r>
              <w:rPr>
                <w:rFonts w:ascii="Times New Roman" w:cs="Times New Roman" w:eastAsia="Times New Roman" w:hAnsi="Times New Roman"/>
                <w:sz w:val="22"/>
                <w:szCs w:val="22"/>
                <w:color w:val="auto"/>
                <w:w w:val="98"/>
              </w:rPr>
              <w:t>form, or complete any online exercise notice procedure required by the Company. The</w:t>
            </w:r>
          </w:p>
        </w:tc>
      </w:tr>
      <w:tr>
        <w:trPr>
          <w:trHeight w:val="267"/>
        </w:trPr>
        <w:tc>
          <w:tcPr>
            <w:tcW w:w="2640" w:type="dxa"/>
            <w:vAlign w:val="bottom"/>
          </w:tcPr>
          <w:p>
            <w:pPr>
              <w:spacing w:after="0"/>
              <w:rPr>
                <w:sz w:val="23"/>
                <w:szCs w:val="23"/>
                <w:color w:val="auto"/>
              </w:rPr>
            </w:pPr>
          </w:p>
        </w:tc>
        <w:tc>
          <w:tcPr>
            <w:tcW w:w="840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form or online exercise notice will be effective when it is received by the Company,</w:t>
            </w:r>
          </w:p>
        </w:tc>
      </w:tr>
    </w:tbl>
    <w:p>
      <w:pPr>
        <w:jc w:val="both"/>
        <w:ind w:left="3520"/>
        <w:spacing w:after="0" w:line="237" w:lineRule="auto"/>
        <w:rPr>
          <w:sz w:val="20"/>
          <w:szCs w:val="20"/>
          <w:color w:val="auto"/>
        </w:rPr>
      </w:pPr>
      <w:r>
        <w:rPr>
          <w:rFonts w:ascii="Times New Roman" w:cs="Times New Roman" w:eastAsia="Times New Roman" w:hAnsi="Times New Roman"/>
          <w:sz w:val="22"/>
          <w:szCs w:val="22"/>
          <w:color w:val="auto"/>
        </w:rPr>
        <w:t>but exercise will not be completed until you pay the total exercise price and all applicable withholding taxes due as a result of the exercise to the Company.</w:t>
      </w:r>
    </w:p>
    <w:p>
      <w:pPr>
        <w:spacing w:after="0" w:line="205" w:lineRule="exact"/>
        <w:rPr>
          <w:sz w:val="20"/>
          <w:szCs w:val="20"/>
          <w:color w:val="auto"/>
        </w:rPr>
      </w:pPr>
    </w:p>
    <w:p>
      <w:pPr>
        <w:jc w:val="both"/>
        <w:ind w:left="3520"/>
        <w:spacing w:after="0" w:line="244" w:lineRule="auto"/>
        <w:rPr>
          <w:sz w:val="20"/>
          <w:szCs w:val="20"/>
          <w:color w:val="auto"/>
        </w:rPr>
      </w:pPr>
      <w:r>
        <w:rPr>
          <w:rFonts w:ascii="Times New Roman" w:cs="Times New Roman" w:eastAsia="Times New Roman" w:hAnsi="Times New Roman"/>
          <w:sz w:val="22"/>
          <w:szCs w:val="22"/>
          <w:color w:val="auto"/>
        </w:rPr>
        <w:t>If someone else wants to exercise your Option after your death, that person must contact the Company and prove to the Company’s satisfaction that he or she is entitled to do so.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581025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398" w:right="4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Your ability to exercise your Option may be restricted by the Company if required by</w:t>
            </w:r>
          </w:p>
        </w:tc>
      </w:tr>
      <w:tr>
        <w:trPr>
          <w:trHeight w:val="282"/>
        </w:trPr>
        <w:tc>
          <w:tcPr>
            <w:tcW w:w="3500" w:type="dxa"/>
            <w:vAlign w:val="bottom"/>
          </w:tcPr>
          <w:p>
            <w:pPr>
              <w:spacing w:after="0"/>
              <w:rPr>
                <w:sz w:val="24"/>
                <w:szCs w:val="24"/>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applicable law.</w:t>
            </w:r>
          </w:p>
        </w:tc>
      </w:tr>
      <w:tr>
        <w:trPr>
          <w:trHeight w:val="447"/>
        </w:trPr>
        <w:tc>
          <w:tcPr>
            <w:tcW w:w="3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Restrictions on Resale:</w:t>
            </w:r>
          </w:p>
        </w:tc>
        <w:tc>
          <w:tcPr>
            <w:tcW w:w="7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By accepting your Option, you agree not to sell any Shares acquired under your</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Option at a time when applicable laws, Company policies or an agreement between the</w:t>
            </w:r>
          </w:p>
        </w:tc>
      </w:tr>
      <w:tr>
        <w:trPr>
          <w:trHeight w:val="282"/>
        </w:trPr>
        <w:tc>
          <w:tcPr>
            <w:tcW w:w="3500" w:type="dxa"/>
            <w:vAlign w:val="bottom"/>
          </w:tcPr>
          <w:p>
            <w:pPr>
              <w:spacing w:after="0"/>
              <w:rPr>
                <w:sz w:val="24"/>
                <w:szCs w:val="24"/>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Company and its underwriters prohibit a sale.</w:t>
            </w:r>
          </w:p>
        </w:tc>
      </w:tr>
      <w:tr>
        <w:trPr>
          <w:trHeight w:val="447"/>
        </w:trPr>
        <w:tc>
          <w:tcPr>
            <w:tcW w:w="3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Restrictions on Transfer:</w:t>
            </w:r>
          </w:p>
        </w:tc>
        <w:tc>
          <w:tcPr>
            <w:tcW w:w="7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During your lifetime, this Option is only exercisable by you.  You may not transfer,</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pledge or assign this Option, by operation of law or otherwise, except pursuant to your</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will or the laws of descent and distribution. If you attempt to transfer, assign, pledge,</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hypothecate or otherwise dispose of this Option, except as provided above, or in the</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event this Option is subject to levy or attachment, execution or similar process, the</w:t>
            </w:r>
          </w:p>
        </w:tc>
      </w:tr>
      <w:tr>
        <w:trPr>
          <w:trHeight w:val="282"/>
        </w:trPr>
        <w:tc>
          <w:tcPr>
            <w:tcW w:w="3500" w:type="dxa"/>
            <w:vAlign w:val="bottom"/>
          </w:tcPr>
          <w:p>
            <w:pPr>
              <w:spacing w:after="0"/>
              <w:rPr>
                <w:sz w:val="24"/>
                <w:szCs w:val="24"/>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Company may terminate this Option by providing written notice to you.</w:t>
            </w:r>
          </w:p>
        </w:tc>
      </w:tr>
      <w:tr>
        <w:trPr>
          <w:trHeight w:val="447"/>
        </w:trPr>
        <w:tc>
          <w:tcPr>
            <w:tcW w:w="3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Compensation Recovery Policy;</w:t>
            </w:r>
          </w:p>
        </w:tc>
        <w:tc>
          <w:tcPr>
            <w:tcW w:w="7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This Option, and any Shares issued pursuant to the exercise of this Option, shall be</w:t>
            </w:r>
          </w:p>
        </w:tc>
      </w:tr>
      <w:tr>
        <w:trPr>
          <w:trHeight w:val="243"/>
        </w:trPr>
        <w:tc>
          <w:tcPr>
            <w:tcW w:w="35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Rescission of Exercise; Disgorgement</w:t>
            </w: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subject to the Company’s Compensation Recovery Policy and any other recoupment or</w:t>
            </w:r>
          </w:p>
        </w:tc>
      </w:tr>
      <w:tr>
        <w:trPr>
          <w:trHeight w:val="243"/>
        </w:trPr>
        <w:tc>
          <w:tcPr>
            <w:tcW w:w="35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of Option Gains:</w:t>
            </w: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clawback policy that is adopted by, or any recoupment or similar requirement</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otherwise made applicable by law, regulation or listing standards to, the Company</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from time to time.  If you are terminated for Cause, or if you are not terminated for</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Cause but the Committee later determines that you could have been terminated for</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Cause if all facts had been known at that time, or if the Committee determines that,</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after your termination of employment, you have violated the provisions of any non-</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competition, non-solicitation, confidentiality or assignment of inventions agreement</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then in effect, then your Option will terminate immediately on the date of such</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termination or determination, as applicable, and the Committee may, in its sole and</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absolute discretion, (i) rescind any notice of exercise submitted by you for which</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payment or the issuance of Shares has not been completed, in which event any</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exercise price you have tendered will be promptly returned to you or retained by the</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Company as an offset as provided below, and/or (ii) notify you in writing within two</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 years after exercise of all or any portion of the Option that any exercise made</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within the one (1) year period prior to your termination or prior to your breach of any</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non-competition,  non-solicitation,  confidentiality  or  assignment  of  inventions</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agreement, is rescinded.  Within ten (10) days after receiving such notice from the</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Company, you shall pay to the Company the amount of any cash payment received, or</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the  value  of  any  other  gain  realized,  as  a  result  of  the  rescinded  exercise.</w:t>
            </w:r>
          </w:p>
        </w:tc>
      </w:tr>
      <w:tr>
        <w:trPr>
          <w:trHeight w:val="243"/>
        </w:trPr>
        <w:tc>
          <w:tcPr>
            <w:tcW w:w="3500" w:type="dxa"/>
            <w:vAlign w:val="bottom"/>
          </w:tcPr>
          <w:p>
            <w:pPr>
              <w:spacing w:after="0"/>
              <w:rPr>
                <w:sz w:val="21"/>
                <w:szCs w:val="21"/>
                <w:color w:val="auto"/>
              </w:rPr>
            </w:pPr>
          </w:p>
        </w:tc>
        <w:tc>
          <w:tcPr>
            <w:tcW w:w="7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Notwithstanding the foregoing, the Company shall have the right to retain (as an offset</w:t>
            </w:r>
          </w:p>
        </w:tc>
      </w:tr>
      <w:tr>
        <w:trPr>
          <w:trHeight w:val="282"/>
        </w:trPr>
        <w:tc>
          <w:tcPr>
            <w:tcW w:w="3500" w:type="dxa"/>
            <w:vAlign w:val="bottom"/>
          </w:tcPr>
          <w:p>
            <w:pPr>
              <w:spacing w:after="0"/>
              <w:rPr>
                <w:sz w:val="24"/>
                <w:szCs w:val="24"/>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against any amounts due</w:t>
            </w:r>
          </w:p>
        </w:tc>
      </w:tr>
      <w:tr>
        <w:trPr>
          <w:trHeight w:val="486"/>
        </w:trPr>
        <w:tc>
          <w:tcPr>
            <w:tcW w:w="3500" w:type="dxa"/>
            <w:vAlign w:val="bottom"/>
          </w:tcPr>
          <w:p>
            <w:pPr>
              <w:spacing w:after="0"/>
              <w:rPr>
                <w:sz w:val="24"/>
                <w:szCs w:val="24"/>
                <w:color w:val="auto"/>
              </w:rPr>
            </w:pPr>
          </w:p>
        </w:tc>
        <w:tc>
          <w:tcPr>
            <w:tcW w:w="7740" w:type="dxa"/>
            <w:vAlign w:val="bottom"/>
          </w:tcPr>
          <w:p>
            <w:pPr>
              <w:ind w:left="2080"/>
              <w:spacing w:after="0"/>
              <w:rPr>
                <w:sz w:val="20"/>
                <w:szCs w:val="20"/>
                <w:color w:val="auto"/>
              </w:rPr>
            </w:pPr>
            <w:r>
              <w:rPr>
                <w:rFonts w:ascii="Times New Roman" w:cs="Times New Roman" w:eastAsia="Times New Roman" w:hAnsi="Times New Roman"/>
                <w:sz w:val="22"/>
                <w:szCs w:val="22"/>
                <w:color w:val="auto"/>
              </w:rPr>
              <w:t>3</w:t>
            </w:r>
          </w:p>
        </w:tc>
      </w:tr>
      <w:tr>
        <w:trPr>
          <w:trHeight w:val="913"/>
        </w:trPr>
        <w:tc>
          <w:tcPr>
            <w:tcW w:w="350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53"/>
        </w:trPr>
        <w:tc>
          <w:tcPr>
            <w:tcW w:w="2680" w:type="dxa"/>
            <w:vAlign w:val="bottom"/>
          </w:tcPr>
          <w:p>
            <w:pPr>
              <w:spacing w:after="0"/>
              <w:rPr>
                <w:sz w:val="22"/>
                <w:szCs w:val="22"/>
                <w:color w:val="auto"/>
              </w:rPr>
            </w:pPr>
          </w:p>
        </w:tc>
        <w:tc>
          <w:tcPr>
            <w:tcW w:w="856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9"/>
              </w:rPr>
              <w:t>hereunder), the exercise price and withholding amount tendered by you with respect to</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any rescinded exercise, and the Company shall have the right to offset against any</w:t>
            </w:r>
          </w:p>
        </w:tc>
      </w:tr>
      <w:tr>
        <w:trPr>
          <w:trHeight w:val="282"/>
        </w:trPr>
        <w:tc>
          <w:tcPr>
            <w:tcW w:w="2680" w:type="dxa"/>
            <w:vAlign w:val="bottom"/>
          </w:tcPr>
          <w:p>
            <w:pPr>
              <w:spacing w:after="0"/>
              <w:rPr>
                <w:sz w:val="24"/>
                <w:szCs w:val="24"/>
                <w:color w:val="auto"/>
              </w:rPr>
            </w:pPr>
          </w:p>
        </w:tc>
        <w:tc>
          <w:tcPr>
            <w:tcW w:w="85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other amounts due from the Company to you the amount owed by you hereunder.</w:t>
            </w:r>
          </w:p>
        </w:tc>
      </w:tr>
      <w:tr>
        <w:trPr>
          <w:trHeight w:val="447"/>
        </w:trPr>
        <w:tc>
          <w:tcPr>
            <w:tcW w:w="2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Taxes:</w:t>
            </w:r>
          </w:p>
        </w:tc>
        <w:tc>
          <w:tcPr>
            <w:tcW w:w="85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You (and not the Company or any Affiliate) shall be responsible for your federal,</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state, local or foreign tax liability and any of your other tax consequences that may</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arise as a result of the transactions contemplated by this Option. You shall rely solely</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on the determinations of your own tax advisors or your own determinations, and not</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on any statements or representations by the Company or any of its agents, with regard</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to all such tax matters.  To the extent that the receipt, vesting or exercise of this</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Option, or other event, results in income to you for federal, state or local income tax</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purposes, you shall deliver to the Company or its Affiliate at the time the Company or</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its Affiliate is obligated to withhold taxes in connection with such receipt, vesting,</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exercise or other event, as the case may be, such amount as the Company or its</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Affiliate requires to meet its withholding obligation under applicable tax laws or</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regulations, and if you fail to do so, the Company shall not be obligated to deliver any</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Shares to you and shall have the right and authority to deduct or withhold from other</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compensation  payable  to  you  an  amount  sufficient  to  satisfy  its  withholding</w:t>
            </w:r>
          </w:p>
        </w:tc>
      </w:tr>
      <w:tr>
        <w:trPr>
          <w:trHeight w:val="282"/>
        </w:trPr>
        <w:tc>
          <w:tcPr>
            <w:tcW w:w="2680" w:type="dxa"/>
            <w:vAlign w:val="bottom"/>
          </w:tcPr>
          <w:p>
            <w:pPr>
              <w:spacing w:after="0"/>
              <w:rPr>
                <w:sz w:val="24"/>
                <w:szCs w:val="24"/>
                <w:color w:val="auto"/>
              </w:rPr>
            </w:pPr>
          </w:p>
        </w:tc>
        <w:tc>
          <w:tcPr>
            <w:tcW w:w="85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obligations.</w:t>
            </w:r>
          </w:p>
        </w:tc>
      </w:tr>
      <w:tr>
        <w:trPr>
          <w:trHeight w:val="690"/>
        </w:trPr>
        <w:tc>
          <w:tcPr>
            <w:tcW w:w="2680" w:type="dxa"/>
            <w:vAlign w:val="bottom"/>
          </w:tcPr>
          <w:p>
            <w:pPr>
              <w:spacing w:after="0"/>
              <w:rPr>
                <w:sz w:val="24"/>
                <w:szCs w:val="24"/>
                <w:color w:val="auto"/>
              </w:rPr>
            </w:pPr>
          </w:p>
        </w:tc>
        <w:tc>
          <w:tcPr>
            <w:tcW w:w="85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To the extent permitted by the Company at the time a tax withholding requirement</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arises, you may satisfy the withholding requirement in whole or in part, by electing to</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have the Company withhold for its own account that number of Shares otherwise</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deliverable to you upon exercise having an aggregate Fair Market Value on the date</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the tax is to be determined equal to the tax that the Company must withhold in</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connection with the exercise; provided that the amount so withheld shall not exceed</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w w:val="99"/>
              </w:rPr>
              <w:t>the maximum statutory rate to the extent necessary to avoid an accounting charge. The</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Fair Market Value of any fractional Share not used to satisfy the withholding</w:t>
            </w:r>
          </w:p>
        </w:tc>
      </w:tr>
      <w:tr>
        <w:trPr>
          <w:trHeight w:val="282"/>
        </w:trPr>
        <w:tc>
          <w:tcPr>
            <w:tcW w:w="2680" w:type="dxa"/>
            <w:vAlign w:val="bottom"/>
          </w:tcPr>
          <w:p>
            <w:pPr>
              <w:spacing w:after="0"/>
              <w:rPr>
                <w:sz w:val="24"/>
                <w:szCs w:val="24"/>
                <w:color w:val="auto"/>
              </w:rPr>
            </w:pPr>
          </w:p>
        </w:tc>
        <w:tc>
          <w:tcPr>
            <w:tcW w:w="856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9"/>
              </w:rPr>
              <w:t>obligation (as determined on the date the tax is determined) will be paid to you in cash.</w:t>
            </w:r>
          </w:p>
        </w:tc>
      </w:tr>
      <w:tr>
        <w:trPr>
          <w:trHeight w:val="447"/>
        </w:trPr>
        <w:tc>
          <w:tcPr>
            <w:tcW w:w="2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Transfer:</w:t>
            </w:r>
          </w:p>
        </w:tc>
        <w:tc>
          <w:tcPr>
            <w:tcW w:w="85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The Company may, at any time during the twelve months from the date you acquire</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Shares under your Option, place a stop-transfer order on any Shares issued under your</w:t>
            </w:r>
          </w:p>
        </w:tc>
      </w:tr>
      <w:tr>
        <w:trPr>
          <w:trHeight w:val="243"/>
        </w:trPr>
        <w:tc>
          <w:tcPr>
            <w:tcW w:w="2680" w:type="dxa"/>
            <w:vAlign w:val="bottom"/>
          </w:tcPr>
          <w:p>
            <w:pPr>
              <w:spacing w:after="0"/>
              <w:rPr>
                <w:sz w:val="21"/>
                <w:szCs w:val="21"/>
                <w:color w:val="auto"/>
              </w:rPr>
            </w:pPr>
          </w:p>
        </w:tc>
        <w:tc>
          <w:tcPr>
            <w:tcW w:w="856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w w:val="99"/>
              </w:rPr>
              <w:t>Option requesting the Company’s transfer agent to notify the Company of any transfer</w:t>
            </w:r>
          </w:p>
        </w:tc>
      </w:tr>
      <w:tr>
        <w:trPr>
          <w:trHeight w:val="282"/>
        </w:trPr>
        <w:tc>
          <w:tcPr>
            <w:tcW w:w="2680" w:type="dxa"/>
            <w:vAlign w:val="bottom"/>
          </w:tcPr>
          <w:p>
            <w:pPr>
              <w:spacing w:after="0"/>
              <w:rPr>
                <w:sz w:val="24"/>
                <w:szCs w:val="24"/>
                <w:color w:val="auto"/>
              </w:rPr>
            </w:pPr>
          </w:p>
        </w:tc>
        <w:tc>
          <w:tcPr>
            <w:tcW w:w="85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of the Shares.</w:t>
            </w:r>
          </w:p>
        </w:tc>
      </w:tr>
      <w:tr>
        <w:trPr>
          <w:trHeight w:val="729"/>
        </w:trPr>
        <w:tc>
          <w:tcPr>
            <w:tcW w:w="2680" w:type="dxa"/>
            <w:vAlign w:val="bottom"/>
          </w:tcPr>
          <w:p>
            <w:pPr>
              <w:spacing w:after="0"/>
              <w:rPr>
                <w:sz w:val="24"/>
                <w:szCs w:val="24"/>
                <w:color w:val="auto"/>
              </w:rPr>
            </w:pPr>
          </w:p>
        </w:tc>
        <w:tc>
          <w:tcPr>
            <w:tcW w:w="8560" w:type="dxa"/>
            <w:vAlign w:val="bottom"/>
          </w:tcPr>
          <w:p>
            <w:pPr>
              <w:ind w:left="2900"/>
              <w:spacing w:after="0"/>
              <w:rPr>
                <w:sz w:val="20"/>
                <w:szCs w:val="20"/>
                <w:color w:val="auto"/>
              </w:rPr>
            </w:pPr>
            <w:r>
              <w:rPr>
                <w:rFonts w:ascii="Times New Roman" w:cs="Times New Roman" w:eastAsia="Times New Roman" w:hAnsi="Times New Roman"/>
                <w:sz w:val="22"/>
                <w:szCs w:val="22"/>
                <w:color w:val="auto"/>
              </w:rPr>
              <w:t>4</w:t>
            </w:r>
          </w:p>
        </w:tc>
      </w:tr>
      <w:tr>
        <w:trPr>
          <w:trHeight w:val="913"/>
        </w:trPr>
        <w:tc>
          <w:tcPr>
            <w:tcW w:w="268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49" w:name="page150"/>
    <w:bookmarkEnd w:id="149"/>
    <w:p>
      <w:pPr>
        <w:ind w:left="100"/>
        <w:spacing w:after="0"/>
        <w:rPr>
          <w:sz w:val="20"/>
          <w:szCs w:val="20"/>
          <w:color w:val="auto"/>
        </w:rPr>
      </w:pPr>
      <w:r>
        <w:rPr>
          <w:rFonts w:ascii="Times New Roman" w:cs="Times New Roman" w:eastAsia="Times New Roman" w:hAnsi="Times New Roman"/>
          <w:sz w:val="21"/>
          <w:szCs w:val="21"/>
          <w:color w:val="auto"/>
        </w:rPr>
        <w:t>Miscellaneous: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jc w:val="both"/>
        <w:ind w:right="100"/>
        <w:spacing w:after="0" w:line="238" w:lineRule="auto"/>
        <w:rPr>
          <w:sz w:val="20"/>
          <w:szCs w:val="20"/>
          <w:color w:val="auto"/>
        </w:rPr>
      </w:pPr>
      <w:r>
        <w:rPr>
          <w:rFonts w:ascii="Times New Roman" w:cs="Times New Roman" w:eastAsia="Times New Roman" w:hAnsi="Times New Roman"/>
          <w:sz w:val="22"/>
          <w:szCs w:val="22"/>
          <w:color w:val="auto"/>
        </w:rPr>
        <w:t>Neither the Plan nor the grant of the Option shall constitute or be evidence of any agreement or understanding, express or implied, that you have a right to continue as an employee of the Company or any of its Affiliates for any period of time, or at any particular rate of compensation, or provide you with any rights as a shareholder of the Company.</w:t>
      </w:r>
    </w:p>
    <w:p>
      <w:pPr>
        <w:spacing w:after="0" w:line="69" w:lineRule="exact"/>
        <w:rPr>
          <w:sz w:val="20"/>
          <w:szCs w:val="20"/>
          <w:color w:val="auto"/>
        </w:rPr>
      </w:pPr>
    </w:p>
    <w:p>
      <w:pPr>
        <w:sectPr>
          <w:pgSz w:w="11900" w:h="16838" w:orient="portrait"/>
          <w:cols w:equalWidth="0" w:num="3">
            <w:col w:w="2900" w:space="720"/>
            <w:col w:w="60" w:space="240"/>
            <w:col w:w="7320"/>
          </w:cols>
          <w:pgMar w:left="320" w:top="1408" w:right="339" w:bottom="1440" w:gutter="0" w:footer="0" w:header="0"/>
        </w:sectPr>
      </w:pPr>
    </w:p>
    <w:p>
      <w:pPr>
        <w:spacing w:after="0" w:line="1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jc w:val="both"/>
        <w:ind w:right="100"/>
        <w:spacing w:after="0" w:line="235" w:lineRule="auto"/>
        <w:rPr>
          <w:sz w:val="20"/>
          <w:szCs w:val="20"/>
          <w:color w:val="auto"/>
        </w:rPr>
      </w:pPr>
      <w:r>
        <w:rPr>
          <w:rFonts w:ascii="Times New Roman" w:cs="Times New Roman" w:eastAsia="Times New Roman" w:hAnsi="Times New Roman"/>
          <w:sz w:val="22"/>
          <w:szCs w:val="22"/>
          <w:color w:val="auto"/>
        </w:rPr>
        <w:t>As a condition of the granting of your Option, you agree, for yourself and your legal representatives or guardians, that this Stock Option Award shall be interpreted by the Committee and that any interpretation by the Committee of the terms of this Stock Option Award or the Plan and any determination made by the Committee pursuant to this Stock Option Award or the Plan shall be final, binding and conclusive. This Stock Option Award may be amended as provided by the Plan.</w:t>
      </w:r>
    </w:p>
    <w:p>
      <w:pPr>
        <w:spacing w:after="0" w:line="75" w:lineRule="exact"/>
        <w:rPr>
          <w:sz w:val="20"/>
          <w:szCs w:val="20"/>
          <w:color w:val="auto"/>
        </w:rPr>
      </w:pPr>
    </w:p>
    <w:p>
      <w:pPr>
        <w:sectPr>
          <w:pgSz w:w="11900" w:h="16838" w:orient="portrait"/>
          <w:cols w:equalWidth="0" w:num="2">
            <w:col w:w="3680" w:space="240"/>
            <w:col w:w="7320"/>
          </w:cols>
          <w:pgMar w:left="320" w:top="1408" w:right="339" w:bottom="1440" w:gutter="0" w:footer="0" w:header="0"/>
          <w:type w:val="continuous"/>
        </w:sectPr>
      </w:pPr>
    </w:p>
    <w:p>
      <w:pPr>
        <w:spacing w:after="0" w:line="1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jc w:val="both"/>
        <w:ind w:right="100"/>
        <w:spacing w:after="0" w:line="234" w:lineRule="auto"/>
        <w:rPr>
          <w:sz w:val="20"/>
          <w:szCs w:val="20"/>
          <w:color w:val="auto"/>
        </w:rPr>
      </w:pPr>
      <w:r>
        <w:rPr>
          <w:rFonts w:ascii="Times New Roman" w:cs="Times New Roman" w:eastAsia="Times New Roman" w:hAnsi="Times New Roman"/>
          <w:sz w:val="22"/>
          <w:szCs w:val="22"/>
          <w:color w:val="auto"/>
        </w:rPr>
        <w:t>As a condition of the granting of your Option, you acknowledge and agree that this Stock Option Award and the Plan constitute the entire agreement of the parties with respect to the subject matter of this Stock Option Award. This Stock Option Award and the Plan supersede any and all other agreements or representations, both verbal and written, between the parties to this Stock Option Award with respect to your Option. You represent and warrant that you have no other outstanding options to purchase common stock or any other security of the Company other than your Option or any options previously granted and described in any agreement similar to this Stock Option Award, and you hereby release the Company from any claims and liabilities relating thereto.</w:t>
      </w:r>
    </w:p>
    <w:p>
      <w:pPr>
        <w:spacing w:after="0" w:line="179" w:lineRule="exact"/>
        <w:rPr>
          <w:sz w:val="20"/>
          <w:szCs w:val="20"/>
          <w:color w:val="auto"/>
        </w:rPr>
      </w:pPr>
    </w:p>
    <w:p>
      <w:pPr>
        <w:sectPr>
          <w:pgSz w:w="11900" w:h="16838" w:orient="portrait"/>
          <w:cols w:equalWidth="0" w:num="2">
            <w:col w:w="3680" w:space="240"/>
            <w:col w:w="7320"/>
          </w:cols>
          <w:pgMar w:left="320" w:top="1408" w:right="339" w:bottom="1440" w:gutter="0" w:footer="0" w:header="0"/>
          <w:type w:val="continuous"/>
        </w:sectPr>
      </w:pPr>
    </w:p>
    <w:p>
      <w:pPr>
        <w:spacing w:after="0" w:line="1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This Stock Option Award may be executed in counterparts.</w:t>
      </w:r>
    </w:p>
    <w:p>
      <w:pPr>
        <w:spacing w:after="0" w:line="200" w:lineRule="exact"/>
        <w:rPr>
          <w:sz w:val="20"/>
          <w:szCs w:val="20"/>
          <w:color w:val="auto"/>
        </w:rPr>
      </w:pPr>
    </w:p>
    <w:p>
      <w:pPr>
        <w:sectPr>
          <w:pgSz w:w="11900" w:h="16838" w:orient="portrait"/>
          <w:cols w:equalWidth="0" w:num="2">
            <w:col w:w="3680" w:space="240"/>
            <w:col w:w="7320"/>
          </w:cols>
          <w:pgMar w:left="320" w:top="1408" w:right="339" w:bottom="1440" w:gutter="0" w:footer="0" w:header="0"/>
          <w:type w:val="continuous"/>
        </w:sectPr>
      </w:pPr>
    </w:p>
    <w:p>
      <w:pPr>
        <w:spacing w:after="0" w:line="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Your Option is granted under and governed by the terms and conditions of the Plan. Additional provisions regarding your Option and definitions of capitalized terms used and not defined in your Option can be found in the Plan.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[Signatures on next page]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150" w:name="page151"/>
    <w:bookmarkEnd w:id="150"/>
    <w:p>
      <w:pPr>
        <w:ind w:left="280" w:right="80" w:hanging="239"/>
        <w:spacing w:after="0" w:line="282" w:lineRule="auto"/>
        <w:rPr>
          <w:sz w:val="20"/>
          <w:szCs w:val="20"/>
          <w:color w:val="auto"/>
        </w:rPr>
      </w:pPr>
      <w:r>
        <w:rPr>
          <w:rFonts w:ascii="Times New Roman" w:cs="Times New Roman" w:eastAsia="Times New Roman" w:hAnsi="Times New Roman"/>
          <w:sz w:val="21"/>
          <w:szCs w:val="21"/>
          <w:color w:val="auto"/>
        </w:rPr>
        <w:t>BY SIGNING BELOW AND ACCEPTING THIS STOCK OPTION AWARD, YOU AGREE TO ALL OF THE TERMS AND CONDITIONS DESCRIBED HEREIN AND IN THE PLAN. YOU ALSO ACKNOWLEDGE RECEIPT OF THE PLAN.</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ORION ENERGY SYSTEMS, INC.</w:t>
            </w:r>
          </w:p>
        </w:tc>
        <w:tc>
          <w:tcPr>
            <w:tcW w:w="7600" w:type="dxa"/>
            <w:vAlign w:val="bottom"/>
          </w:tcPr>
          <w:p>
            <w:pPr>
              <w:spacing w:after="0"/>
              <w:rPr>
                <w:sz w:val="24"/>
                <w:szCs w:val="24"/>
                <w:color w:val="auto"/>
              </w:rPr>
            </w:pPr>
          </w:p>
        </w:tc>
      </w:tr>
      <w:tr>
        <w:trPr>
          <w:trHeight w:val="447"/>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By: ____________________________</w:t>
            </w:r>
          </w:p>
        </w:tc>
        <w:tc>
          <w:tcPr>
            <w:tcW w:w="7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___________________________________</w:t>
            </w:r>
          </w:p>
        </w:tc>
      </w:tr>
      <w:tr>
        <w:trPr>
          <w:trHeight w:val="243"/>
        </w:trPr>
        <w:tc>
          <w:tcPr>
            <w:tcW w:w="3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Name:   Sally A. Washlow</w:t>
            </w:r>
          </w:p>
        </w:tc>
        <w:tc>
          <w:tcPr>
            <w:tcW w:w="76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Grantee</w:t>
            </w:r>
          </w:p>
        </w:tc>
      </w:tr>
      <w:tr>
        <w:trPr>
          <w:trHeight w:val="282"/>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Title: Chief Executive Officer</w:t>
            </w:r>
          </w:p>
        </w:tc>
        <w:tc>
          <w:tcPr>
            <w:tcW w:w="7600" w:type="dxa"/>
            <w:vAlign w:val="bottom"/>
          </w:tcPr>
          <w:p>
            <w:pPr>
              <w:spacing w:after="0"/>
              <w:rPr>
                <w:sz w:val="24"/>
                <w:szCs w:val="24"/>
                <w:color w:val="auto"/>
              </w:rPr>
            </w:pPr>
          </w:p>
        </w:tc>
      </w:tr>
      <w:tr>
        <w:trPr>
          <w:trHeight w:val="486"/>
        </w:trPr>
        <w:tc>
          <w:tcPr>
            <w:tcW w:w="3640" w:type="dxa"/>
            <w:vAlign w:val="bottom"/>
          </w:tcPr>
          <w:p>
            <w:pPr>
              <w:spacing w:after="0"/>
              <w:rPr>
                <w:sz w:val="24"/>
                <w:szCs w:val="24"/>
                <w:color w:val="auto"/>
              </w:rPr>
            </w:pPr>
          </w:p>
        </w:tc>
        <w:tc>
          <w:tcPr>
            <w:tcW w:w="7600" w:type="dxa"/>
            <w:vAlign w:val="bottom"/>
          </w:tcPr>
          <w:p>
            <w:pPr>
              <w:jc w:val="right"/>
              <w:ind w:right="5452"/>
              <w:spacing w:after="0"/>
              <w:rPr>
                <w:sz w:val="20"/>
                <w:szCs w:val="20"/>
                <w:color w:val="auto"/>
              </w:rPr>
            </w:pPr>
            <w:r>
              <w:rPr>
                <w:rFonts w:ascii="Times New Roman" w:cs="Times New Roman" w:eastAsia="Times New Roman" w:hAnsi="Times New Roman"/>
                <w:sz w:val="22"/>
                <w:szCs w:val="22"/>
                <w:color w:val="auto"/>
              </w:rPr>
              <w:t>6</w:t>
            </w:r>
          </w:p>
        </w:tc>
      </w:tr>
      <w:tr>
        <w:trPr>
          <w:trHeight w:val="913"/>
        </w:trPr>
        <w:tc>
          <w:tcPr>
            <w:tcW w:w="364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ORION ENERGY SYSTEMS, INC.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STOCK OPTION EXERCISE</w:t>
      </w:r>
    </w:p>
    <w:p>
      <w:pPr>
        <w:spacing w:after="0" w:line="337" w:lineRule="exact"/>
        <w:rPr>
          <w:sz w:val="20"/>
          <w:szCs w:val="20"/>
          <w:color w:val="auto"/>
        </w:rPr>
      </w:pPr>
    </w:p>
    <w:p>
      <w:pPr>
        <w:spacing w:after="0"/>
        <w:tabs>
          <w:tab w:leader="none" w:pos="8020" w:val="left"/>
        </w:tabs>
        <w:rPr>
          <w:sz w:val="20"/>
          <w:szCs w:val="20"/>
          <w:color w:val="auto"/>
        </w:rPr>
      </w:pPr>
      <w:r>
        <w:rPr>
          <w:rFonts w:ascii="Times New Roman" w:cs="Times New Roman" w:eastAsia="Times New Roman" w:hAnsi="Times New Roman"/>
          <w:sz w:val="20"/>
          <w:szCs w:val="20"/>
          <w:i w:val="1"/>
          <w:iCs w:val="1"/>
          <w:color w:val="auto"/>
        </w:rPr>
        <w:t>Your completed form should be sent by mail or email to:____________________________.</w:t>
        <w:tab/>
        <w:t>Phone: ___________________ Email: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_____________________________________. </w:t>
      </w:r>
      <w:r>
        <w:rPr>
          <w:rFonts w:ascii="Times New Roman" w:cs="Times New Roman" w:eastAsia="Times New Roman" w:hAnsi="Times New Roman"/>
          <w:sz w:val="20"/>
          <w:szCs w:val="20"/>
          <w:b w:val="1"/>
          <w:bCs w:val="1"/>
          <w:i w:val="1"/>
          <w:iCs w:val="1"/>
          <w:color w:val="auto"/>
        </w:rPr>
        <w:t>Incomplete forms may cause a delay in processing your option exercise.</w:t>
      </w:r>
    </w:p>
    <w:p>
      <w:pPr>
        <w:spacing w:after="0" w:line="2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PART 1: OPTIONEE INFORMATION </w:t>
      </w:r>
      <w:r>
        <w:rPr>
          <w:rFonts w:ascii="Times New Roman" w:cs="Times New Roman" w:eastAsia="Times New Roman" w:hAnsi="Times New Roman"/>
          <w:sz w:val="20"/>
          <w:szCs w:val="20"/>
          <w:i w:val="1"/>
          <w:iCs w:val="1"/>
          <w:color w:val="auto"/>
        </w:rPr>
        <w:t>Please complete the following. PLEASE WRITE YOUR FULL LEGAL NAME SINCE THIS NAME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WILL BE ON YOUR STOCK CERTIFICATE.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Name:________________________________________________________________________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Street Address: ________________________________________________________________</w:t>
      </w:r>
    </w:p>
    <w:p>
      <w:pPr>
        <w:spacing w:after="0" w:line="229" w:lineRule="exact"/>
        <w:rPr>
          <w:sz w:val="20"/>
          <w:szCs w:val="20"/>
          <w:color w:val="auto"/>
        </w:rPr>
      </w:pPr>
    </w:p>
    <w:p>
      <w:pPr>
        <w:spacing w:after="0"/>
        <w:tabs>
          <w:tab w:leader="none" w:pos="2760" w:val="left"/>
          <w:tab w:leader="none" w:pos="5140" w:val="left"/>
        </w:tabs>
        <w:rPr>
          <w:sz w:val="20"/>
          <w:szCs w:val="20"/>
          <w:color w:val="auto"/>
        </w:rPr>
      </w:pPr>
      <w:r>
        <w:rPr>
          <w:rFonts w:ascii="Times New Roman" w:cs="Times New Roman" w:eastAsia="Times New Roman" w:hAnsi="Times New Roman"/>
          <w:sz w:val="20"/>
          <w:szCs w:val="20"/>
          <w:color w:val="auto"/>
        </w:rPr>
        <w:t>City: _____________________</w:t>
        <w:tab/>
        <w:t>State:_________________</w:t>
      </w:r>
      <w:r>
        <w:rPr>
          <w:sz w:val="20"/>
          <w:szCs w:val="20"/>
          <w:color w:val="auto"/>
        </w:rPr>
        <w:tab/>
      </w:r>
      <w:r>
        <w:rPr>
          <w:rFonts w:ascii="Times New Roman" w:cs="Times New Roman" w:eastAsia="Times New Roman" w:hAnsi="Times New Roman"/>
          <w:sz w:val="19"/>
          <w:szCs w:val="19"/>
          <w:color w:val="auto"/>
        </w:rPr>
        <w:t>Zip Code:_______________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Work Phone #: (_____) - _______- ________ Home Phone #: (_____) - _______- 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Social Security #: ______ - _____ - _______</w:t>
      </w:r>
    </w:p>
    <w:p>
      <w:pPr>
        <w:spacing w:after="0" w:line="225" w:lineRule="exact"/>
        <w:rPr>
          <w:sz w:val="20"/>
          <w:szCs w:val="20"/>
          <w:color w:val="auto"/>
        </w:rPr>
      </w:pPr>
    </w:p>
    <w:p>
      <w:pPr>
        <w:spacing w:after="0"/>
        <w:tabs>
          <w:tab w:leader="none" w:pos="5420" w:val="left"/>
        </w:tabs>
        <w:rPr>
          <w:sz w:val="20"/>
          <w:szCs w:val="20"/>
          <w:color w:val="auto"/>
        </w:rPr>
      </w:pPr>
      <w:r>
        <w:rPr>
          <w:rFonts w:ascii="Times New Roman" w:cs="Times New Roman" w:eastAsia="Times New Roman" w:hAnsi="Times New Roman"/>
          <w:sz w:val="20"/>
          <w:szCs w:val="20"/>
          <w:color w:val="auto"/>
        </w:rPr>
        <w:t>PART 2: DESCRIPTION OF OPTION(S) BEING EXERCISED</w:t>
      </w:r>
      <w:r>
        <w:rPr>
          <w:sz w:val="20"/>
          <w:szCs w:val="20"/>
          <w:color w:val="auto"/>
        </w:rPr>
        <w:tab/>
      </w:r>
      <w:r>
        <w:rPr>
          <w:rFonts w:ascii="Times New Roman" w:cs="Times New Roman" w:eastAsia="Times New Roman" w:hAnsi="Times New Roman"/>
          <w:sz w:val="20"/>
          <w:szCs w:val="20"/>
          <w:i w:val="1"/>
          <w:iCs w:val="1"/>
          <w:color w:val="auto"/>
        </w:rPr>
        <w:t>Please complete the following for each option that you wish to exercise.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For each option listed below, </w:t>
      </w:r>
      <w:r>
        <w:rPr>
          <w:rFonts w:ascii="Times New Roman" w:cs="Times New Roman" w:eastAsia="Times New Roman" w:hAnsi="Times New Roman"/>
          <w:sz w:val="20"/>
          <w:szCs w:val="20"/>
          <w:i w:val="1"/>
          <w:iCs w:val="1"/>
          <w:u w:val="single" w:color="auto"/>
          <w:color w:val="auto"/>
        </w:rPr>
        <w:t>you must exercise at least 100 shares</w:t>
      </w:r>
      <w:r>
        <w:rPr>
          <w:rFonts w:ascii="Times New Roman" w:cs="Times New Roman" w:eastAsia="Times New Roman" w:hAnsi="Times New Roman"/>
          <w:sz w:val="20"/>
          <w:szCs w:val="20"/>
          <w:i w:val="1"/>
          <w:iCs w:val="1"/>
          <w:color w:val="auto"/>
        </w:rPr>
        <w:t>, unless you are exercising the entire remaining portion of an option.</w:t>
      </w:r>
    </w:p>
    <w:p>
      <w:pPr>
        <w:spacing w:after="0" w:line="207"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2340" w:type="dxa"/>
            <w:vAlign w:val="bottom"/>
            <w:tcBorders>
              <w:top w:val="single" w:sz="8" w:color="auto"/>
              <w:left w:val="single" w:sz="8" w:color="auto"/>
              <w:right w:val="single" w:sz="8" w:color="auto"/>
            </w:tcBorders>
          </w:tcPr>
          <w:p>
            <w:pPr>
              <w:ind w:left="620"/>
              <w:spacing w:after="0" w:line="224" w:lineRule="exact"/>
              <w:rPr>
                <w:sz w:val="20"/>
                <w:szCs w:val="20"/>
                <w:color w:val="auto"/>
              </w:rPr>
            </w:pPr>
            <w:r>
              <w:rPr>
                <w:rFonts w:ascii="Times New Roman" w:cs="Times New Roman" w:eastAsia="Times New Roman" w:hAnsi="Times New Roman"/>
                <w:sz w:val="20"/>
                <w:szCs w:val="20"/>
                <w:color w:val="auto"/>
              </w:rPr>
              <w:t>Date of Grant</w:t>
            </w:r>
          </w:p>
        </w:tc>
        <w:tc>
          <w:tcPr>
            <w:tcW w:w="1720" w:type="dxa"/>
            <w:vAlign w:val="bottom"/>
            <w:tcBorders>
              <w:top w:val="single" w:sz="8" w:color="auto"/>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8"/>
              </w:rPr>
              <w:t>Type of Option</w:t>
            </w:r>
          </w:p>
        </w:tc>
        <w:tc>
          <w:tcPr>
            <w:tcW w:w="240" w:type="dxa"/>
            <w:vAlign w:val="bottom"/>
            <w:tcBorders>
              <w:top w:val="single" w:sz="8" w:color="auto"/>
            </w:tcBorders>
          </w:tcPr>
          <w:p>
            <w:pPr>
              <w:spacing w:after="0"/>
              <w:rPr>
                <w:sz w:val="19"/>
                <w:szCs w:val="19"/>
                <w:color w:val="auto"/>
              </w:rPr>
            </w:pPr>
          </w:p>
        </w:tc>
        <w:tc>
          <w:tcPr>
            <w:tcW w:w="1840" w:type="dxa"/>
            <w:vAlign w:val="bottom"/>
            <w:tcBorders>
              <w:top w:val="single" w:sz="8" w:color="auto"/>
              <w:right w:val="single" w:sz="8" w:color="auto"/>
            </w:tcBorders>
          </w:tcPr>
          <w:p>
            <w:pPr>
              <w:jc w:val="center"/>
              <w:ind w:right="221"/>
              <w:spacing w:after="0" w:line="224" w:lineRule="exact"/>
              <w:rPr>
                <w:sz w:val="20"/>
                <w:szCs w:val="20"/>
                <w:color w:val="auto"/>
              </w:rPr>
            </w:pPr>
            <w:r>
              <w:rPr>
                <w:rFonts w:ascii="Times New Roman" w:cs="Times New Roman" w:eastAsia="Times New Roman" w:hAnsi="Times New Roman"/>
                <w:sz w:val="20"/>
                <w:szCs w:val="20"/>
                <w:color w:val="auto"/>
                <w:w w:val="98"/>
              </w:rPr>
              <w:t>Exercise Price Per</w:t>
            </w:r>
          </w:p>
        </w:tc>
        <w:tc>
          <w:tcPr>
            <w:tcW w:w="1720" w:type="dxa"/>
            <w:vAlign w:val="bottom"/>
            <w:tcBorders>
              <w:top w:val="single" w:sz="8" w:color="auto"/>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rPr>
              <w:t>Number of Option</w:t>
            </w:r>
          </w:p>
        </w:tc>
        <w:tc>
          <w:tcPr>
            <w:tcW w:w="3160" w:type="dxa"/>
            <w:vAlign w:val="bottom"/>
            <w:tcBorders>
              <w:top w:val="single" w:sz="8" w:color="auto"/>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Aggregate Exercise Price (multiply</w:t>
            </w:r>
          </w:p>
        </w:tc>
      </w:tr>
      <w:tr>
        <w:trPr>
          <w:trHeight w:val="230"/>
        </w:trPr>
        <w:tc>
          <w:tcPr>
            <w:tcW w:w="234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(specify ISO or</w:t>
            </w:r>
          </w:p>
        </w:tc>
        <w:tc>
          <w:tcPr>
            <w:tcW w:w="240" w:type="dxa"/>
            <w:vAlign w:val="bottom"/>
          </w:tcPr>
          <w:p>
            <w:pPr>
              <w:spacing w:after="0"/>
              <w:rPr>
                <w:sz w:val="19"/>
                <w:szCs w:val="19"/>
                <w:color w:val="auto"/>
              </w:rPr>
            </w:pPr>
          </w:p>
        </w:tc>
        <w:tc>
          <w:tcPr>
            <w:tcW w:w="1840" w:type="dxa"/>
            <w:vAlign w:val="bottom"/>
            <w:tcBorders>
              <w:right w:val="single" w:sz="8" w:color="auto"/>
            </w:tcBorders>
          </w:tcPr>
          <w:p>
            <w:pPr>
              <w:jc w:val="center"/>
              <w:ind w:right="161"/>
              <w:spacing w:after="0"/>
              <w:rPr>
                <w:sz w:val="20"/>
                <w:szCs w:val="20"/>
                <w:color w:val="auto"/>
              </w:rPr>
            </w:pPr>
            <w:r>
              <w:rPr>
                <w:rFonts w:ascii="Times New Roman" w:cs="Times New Roman" w:eastAsia="Times New Roman" w:hAnsi="Times New Roman"/>
                <w:sz w:val="20"/>
                <w:szCs w:val="20"/>
                <w:color w:val="auto"/>
              </w:rPr>
              <w:t>Share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Shares Being</w:t>
            </w:r>
          </w:p>
        </w:tc>
        <w:tc>
          <w:tcPr>
            <w:tcW w:w="316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w w:val="99"/>
              </w:rPr>
              <w:t>Exercise Price Per Share by number</w:t>
            </w:r>
          </w:p>
        </w:tc>
      </w:tr>
      <w:tr>
        <w:trPr>
          <w:trHeight w:val="269"/>
        </w:trPr>
        <w:tc>
          <w:tcPr>
            <w:tcW w:w="2340" w:type="dxa"/>
            <w:vAlign w:val="bottom"/>
            <w:tcBorders>
              <w:left w:val="single" w:sz="8" w:color="auto"/>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NQSO)</w:t>
            </w:r>
          </w:p>
        </w:tc>
        <w:tc>
          <w:tcPr>
            <w:tcW w:w="240" w:type="dxa"/>
            <w:vAlign w:val="bottom"/>
            <w:tcBorders>
              <w:bottom w:val="single" w:sz="8" w:color="auto"/>
            </w:tcBorders>
          </w:tcPr>
          <w:p>
            <w:pPr>
              <w:spacing w:after="0"/>
              <w:rPr>
                <w:sz w:val="23"/>
                <w:szCs w:val="23"/>
                <w:color w:val="auto"/>
              </w:rPr>
            </w:pPr>
          </w:p>
        </w:tc>
        <w:tc>
          <w:tcPr>
            <w:tcW w:w="184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Purchased</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of Option Shares being purchased)</w:t>
            </w:r>
          </w:p>
        </w:tc>
      </w:tr>
      <w:tr>
        <w:trPr>
          <w:trHeight w:val="235"/>
        </w:trPr>
        <w:tc>
          <w:tcPr>
            <w:tcW w:w="2340" w:type="dxa"/>
            <w:vAlign w:val="bottom"/>
            <w:tcBorders>
              <w:left w:val="single" w:sz="8" w:color="auto"/>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jc w:val="right"/>
              <w:ind w:right="288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3160" w:type="dxa"/>
            <w:vAlign w:val="bottom"/>
            <w:tcBorders>
              <w:bottom w:val="single" w:sz="8" w:color="auto"/>
              <w:right w:val="single" w:sz="8" w:color="auto"/>
            </w:tcBorders>
          </w:tcPr>
          <w:p>
            <w:pPr>
              <w:spacing w:after="0"/>
              <w:rPr>
                <w:sz w:val="17"/>
                <w:szCs w:val="17"/>
                <w:color w:val="auto"/>
              </w:rPr>
            </w:pPr>
          </w:p>
        </w:tc>
      </w:tr>
      <w:tr>
        <w:trPr>
          <w:trHeight w:val="252"/>
        </w:trPr>
        <w:tc>
          <w:tcPr>
            <w:tcW w:w="2340" w:type="dxa"/>
            <w:vAlign w:val="bottom"/>
            <w:tcBorders>
              <w:left w:val="single" w:sz="8" w:color="auto"/>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3160" w:type="dxa"/>
            <w:vAlign w:val="bottom"/>
            <w:tcBorders>
              <w:right w:val="single" w:sz="8" w:color="auto"/>
            </w:tcBorders>
          </w:tcPr>
          <w:p>
            <w:pPr>
              <w:jc w:val="right"/>
              <w:ind w:right="288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3160" w:type="dxa"/>
            <w:vAlign w:val="bottom"/>
            <w:tcBorders>
              <w:bottom w:val="single" w:sz="8" w:color="auto"/>
              <w:right w:val="single" w:sz="8" w:color="auto"/>
            </w:tcBorders>
          </w:tcPr>
          <w:p>
            <w:pPr>
              <w:spacing w:after="0"/>
              <w:rPr>
                <w:sz w:val="17"/>
                <w:szCs w:val="17"/>
                <w:color w:val="auto"/>
              </w:rPr>
            </w:pPr>
          </w:p>
        </w:tc>
      </w:tr>
      <w:tr>
        <w:trPr>
          <w:trHeight w:val="252"/>
        </w:trPr>
        <w:tc>
          <w:tcPr>
            <w:tcW w:w="2340" w:type="dxa"/>
            <w:vAlign w:val="bottom"/>
            <w:tcBorders>
              <w:left w:val="single" w:sz="8" w:color="auto"/>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3160" w:type="dxa"/>
            <w:vAlign w:val="bottom"/>
            <w:tcBorders>
              <w:right w:val="single" w:sz="8" w:color="auto"/>
            </w:tcBorders>
          </w:tcPr>
          <w:p>
            <w:pPr>
              <w:jc w:val="right"/>
              <w:ind w:right="288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3160" w:type="dxa"/>
            <w:vAlign w:val="bottom"/>
            <w:tcBorders>
              <w:bottom w:val="single" w:sz="8" w:color="auto"/>
              <w:right w:val="single" w:sz="8" w:color="auto"/>
            </w:tcBorders>
          </w:tcPr>
          <w:p>
            <w:pPr>
              <w:spacing w:after="0"/>
              <w:rPr>
                <w:sz w:val="17"/>
                <w:szCs w:val="17"/>
                <w:color w:val="auto"/>
              </w:rPr>
            </w:pPr>
          </w:p>
        </w:tc>
      </w:tr>
      <w:tr>
        <w:trPr>
          <w:trHeight w:val="252"/>
        </w:trPr>
        <w:tc>
          <w:tcPr>
            <w:tcW w:w="2340" w:type="dxa"/>
            <w:vAlign w:val="bottom"/>
            <w:tcBorders>
              <w:left w:val="single" w:sz="8" w:color="auto"/>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3160" w:type="dxa"/>
            <w:vAlign w:val="bottom"/>
            <w:tcBorders>
              <w:right w:val="single" w:sz="8" w:color="auto"/>
            </w:tcBorders>
          </w:tcPr>
          <w:p>
            <w:pPr>
              <w:jc w:val="right"/>
              <w:ind w:right="288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3160" w:type="dxa"/>
            <w:vAlign w:val="bottom"/>
            <w:tcBorders>
              <w:bottom w:val="single" w:sz="8" w:color="auto"/>
              <w:right w:val="single" w:sz="8" w:color="auto"/>
            </w:tcBorders>
          </w:tcPr>
          <w:p>
            <w:pPr>
              <w:spacing w:after="0"/>
              <w:rPr>
                <w:sz w:val="17"/>
                <w:szCs w:val="17"/>
                <w:color w:val="auto"/>
              </w:rPr>
            </w:pPr>
          </w:p>
        </w:tc>
      </w:tr>
      <w:tr>
        <w:trPr>
          <w:trHeight w:val="252"/>
        </w:trPr>
        <w:tc>
          <w:tcPr>
            <w:tcW w:w="2340" w:type="dxa"/>
            <w:vAlign w:val="bottom"/>
            <w:tcBorders>
              <w:left w:val="single" w:sz="8" w:color="auto"/>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3160" w:type="dxa"/>
            <w:vAlign w:val="bottom"/>
            <w:tcBorders>
              <w:right w:val="single" w:sz="8" w:color="auto"/>
            </w:tcBorders>
          </w:tcPr>
          <w:p>
            <w:pPr>
              <w:jc w:val="right"/>
              <w:ind w:right="288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3160" w:type="dxa"/>
            <w:vAlign w:val="bottom"/>
            <w:tcBorders>
              <w:bottom w:val="single" w:sz="8" w:color="auto"/>
              <w:right w:val="single" w:sz="8" w:color="auto"/>
            </w:tcBorders>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Total Exercise Price for all of the options being exercised (as listed above) is: $_________________.</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color w:val="auto"/>
        </w:rPr>
        <w:t xml:space="preserve">PART 3: METHOD OF PAYMENT OF OPTION EXERCISE PRICE  </w:t>
      </w:r>
      <w:r>
        <w:rPr>
          <w:rFonts w:ascii="Times New Roman" w:cs="Times New Roman" w:eastAsia="Times New Roman" w:hAnsi="Times New Roman"/>
          <w:sz w:val="20"/>
          <w:szCs w:val="20"/>
          <w:i w:val="1"/>
          <w:iCs w:val="1"/>
          <w:color w:val="auto"/>
        </w:rPr>
        <w:t>Please select only one: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Exercise</w:t>
      </w:r>
      <w:r>
        <w:rPr>
          <w:rFonts w:ascii="Times New Roman" w:cs="Times New Roman" w:eastAsia="Times New Roman" w:hAnsi="Times New Roman"/>
          <w:sz w:val="20"/>
          <w:szCs w:val="20"/>
          <w:color w:val="auto"/>
        </w:rPr>
        <w:t>. I am enclosing a check or money order payable to “Orion Energy Systems, Inc.” for the Total Exercise Price.</w:t>
      </w:r>
    </w:p>
    <w:p>
      <w:pPr>
        <w:spacing w:after="0" w:line="242" w:lineRule="exact"/>
        <w:rPr>
          <w:sz w:val="20"/>
          <w:szCs w:val="20"/>
          <w:color w:val="auto"/>
        </w:rPr>
      </w:pPr>
    </w:p>
    <w:p>
      <w:pPr>
        <w:ind w:left="380" w:right="140"/>
        <w:spacing w:after="0" w:line="254" w:lineRule="auto"/>
        <w:rPr>
          <w:sz w:val="20"/>
          <w:szCs w:val="20"/>
          <w:color w:val="auto"/>
        </w:rPr>
      </w:pPr>
      <w:r>
        <w:rPr>
          <w:rFonts w:ascii="Times New Roman" w:cs="Times New Roman" w:eastAsia="Times New Roman" w:hAnsi="Times New Roman"/>
          <w:sz w:val="20"/>
          <w:szCs w:val="20"/>
          <w:u w:val="single" w:color="auto"/>
          <w:color w:val="auto"/>
        </w:rPr>
        <w:t>Cashless Exercise Through the Company.</w:t>
      </w:r>
      <w:r>
        <w:rPr>
          <w:rFonts w:ascii="Times New Roman" w:cs="Times New Roman" w:eastAsia="Times New Roman" w:hAnsi="Times New Roman"/>
          <w:sz w:val="20"/>
          <w:szCs w:val="20"/>
          <w:color w:val="auto"/>
        </w:rPr>
        <w:t xml:space="preserve"> Please withhold a whole number of shares otherwise deliverable to me upon exercise having a Fair Market Value equal to the Total Exercise Price and issue the net number of shares to me. Any fractional share remaining will be paid to me in cash.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Cashless Exercise Through a Broker-Dealer</w:t>
      </w:r>
      <w:r>
        <w:rPr>
          <w:rFonts w:ascii="Times New Roman" w:cs="Times New Roman" w:eastAsia="Times New Roman" w:hAnsi="Times New Roman"/>
          <w:sz w:val="20"/>
          <w:szCs w:val="20"/>
          <w:color w:val="auto"/>
        </w:rPr>
        <w:t>. I have requested through the broker specified below to (</w:t>
      </w:r>
      <w:r>
        <w:rPr>
          <w:rFonts w:ascii="Times New Roman" w:cs="Times New Roman" w:eastAsia="Times New Roman" w:hAnsi="Times New Roman"/>
          <w:sz w:val="20"/>
          <w:szCs w:val="20"/>
          <w:i w:val="1"/>
          <w:iCs w:val="1"/>
          <w:color w:val="auto"/>
        </w:rPr>
        <w:t>select only one</w:t>
      </w:r>
      <w:r>
        <w:rPr>
          <w:rFonts w:ascii="Times New Roman" w:cs="Times New Roman" w:eastAsia="Times New Roman" w:hAnsi="Times New Roman"/>
          <w:sz w:val="20"/>
          <w:szCs w:val="20"/>
          <w:color w:val="auto"/>
        </w:rPr>
        <w:t>):</w:t>
      </w:r>
    </w:p>
    <w:p>
      <w:pPr>
        <w:spacing w:after="0" w:line="242" w:lineRule="exact"/>
        <w:rPr>
          <w:sz w:val="20"/>
          <w:szCs w:val="20"/>
          <w:color w:val="auto"/>
        </w:rPr>
      </w:pPr>
    </w:p>
    <w:p>
      <w:pPr>
        <w:ind w:left="840" w:right="120"/>
        <w:spacing w:after="0" w:line="254" w:lineRule="auto"/>
        <w:rPr>
          <w:sz w:val="20"/>
          <w:szCs w:val="20"/>
          <w:color w:val="auto"/>
        </w:rPr>
      </w:pPr>
      <w:r>
        <w:rPr>
          <w:rFonts w:ascii="Times New Roman" w:cs="Times New Roman" w:eastAsia="Times New Roman" w:hAnsi="Times New Roman"/>
          <w:sz w:val="20"/>
          <w:szCs w:val="20"/>
          <w:u w:val="single" w:color="auto"/>
          <w:color w:val="auto"/>
        </w:rPr>
        <w:t>Sell to Cover</w:t>
      </w:r>
      <w:r>
        <w:rPr>
          <w:rFonts w:ascii="Times New Roman" w:cs="Times New Roman" w:eastAsia="Times New Roman" w:hAnsi="Times New Roman"/>
          <w:sz w:val="20"/>
          <w:szCs w:val="20"/>
          <w:color w:val="auto"/>
        </w:rPr>
        <w:t xml:space="preserve">. Sell or margin </w:t>
      </w:r>
      <w:r>
        <w:rPr>
          <w:rFonts w:ascii="Times New Roman" w:cs="Times New Roman" w:eastAsia="Times New Roman" w:hAnsi="Times New Roman"/>
          <w:sz w:val="20"/>
          <w:szCs w:val="20"/>
          <w:u w:val="single" w:color="auto"/>
          <w:color w:val="auto"/>
        </w:rPr>
        <w:t>only enough</w:t>
      </w:r>
      <w:r>
        <w:rPr>
          <w:rFonts w:ascii="Times New Roman" w:cs="Times New Roman" w:eastAsia="Times New Roman" w:hAnsi="Times New Roman"/>
          <w:sz w:val="20"/>
          <w:szCs w:val="20"/>
          <w:color w:val="auto"/>
        </w:rPr>
        <w:t xml:space="preserve"> of the option(s) being exercised to cover the Total Exercise Price (and tax withholding, if elected in Part 5), deliver the sale or margin loan proceeds directly to Orion Energy Systems, Inc., and deposit the remaining shares and any residual cash in my brokerage account.</w:t>
      </w:r>
    </w:p>
    <w:p>
      <w:pPr>
        <w:spacing w:after="0" w:line="201" w:lineRule="exact"/>
        <w:rPr>
          <w:sz w:val="20"/>
          <w:szCs w:val="20"/>
          <w:color w:val="auto"/>
        </w:rPr>
      </w:pPr>
    </w:p>
    <w:p>
      <w:pPr>
        <w:ind w:left="840"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Same-Day-Sale</w:t>
      </w:r>
      <w:r>
        <w:rPr>
          <w:rFonts w:ascii="Times New Roman" w:cs="Times New Roman" w:eastAsia="Times New Roman" w:hAnsi="Times New Roman"/>
          <w:sz w:val="20"/>
          <w:szCs w:val="20"/>
          <w:color w:val="auto"/>
        </w:rPr>
        <w:t xml:space="preserve">. Sell or margin </w:t>
      </w:r>
      <w:r>
        <w:rPr>
          <w:rFonts w:ascii="Times New Roman" w:cs="Times New Roman" w:eastAsia="Times New Roman" w:hAnsi="Times New Roman"/>
          <w:sz w:val="20"/>
          <w:szCs w:val="20"/>
          <w:u w:val="single" w:color="auto"/>
          <w:color w:val="auto"/>
        </w:rPr>
        <w:t>all</w:t>
      </w:r>
      <w:r>
        <w:rPr>
          <w:rFonts w:ascii="Times New Roman" w:cs="Times New Roman" w:eastAsia="Times New Roman" w:hAnsi="Times New Roman"/>
          <w:sz w:val="20"/>
          <w:szCs w:val="20"/>
          <w:color w:val="auto"/>
        </w:rPr>
        <w:t xml:space="preserve"> of the shares of common stock issuable upon exercise of the option(s), deliver a portion of the sale or margin loan proceeds directly to Orion Energy Systems, Inc. to pay the Total Exercise Price (and tax withholding, if elected in Part 5), and deposit any remaining cash proceeds in my brokerage account.</w:t>
      </w:r>
    </w:p>
    <w:p>
      <w:pPr>
        <w:spacing w:after="0" w:line="206" w:lineRule="exact"/>
        <w:rPr>
          <w:sz w:val="20"/>
          <w:szCs w:val="20"/>
          <w:color w:val="auto"/>
        </w:rPr>
      </w:pPr>
    </w:p>
    <w:p>
      <w:pPr>
        <w:ind w:left="300"/>
        <w:spacing w:after="0"/>
        <w:tabs>
          <w:tab w:leader="none" w:pos="3460" w:val="left"/>
        </w:tabs>
        <w:rPr>
          <w:sz w:val="20"/>
          <w:szCs w:val="20"/>
          <w:color w:val="auto"/>
        </w:rPr>
      </w:pPr>
      <w:r>
        <w:rPr>
          <w:rFonts w:ascii="Times New Roman" w:cs="Times New Roman" w:eastAsia="Times New Roman" w:hAnsi="Times New Roman"/>
          <w:sz w:val="20"/>
          <w:szCs w:val="20"/>
          <w:color w:val="auto"/>
        </w:rPr>
        <w:t>Sale Price*: __________________</w:t>
      </w:r>
      <w:r>
        <w:rPr>
          <w:sz w:val="20"/>
          <w:szCs w:val="20"/>
          <w:color w:val="auto"/>
        </w:rPr>
        <w:tab/>
      </w:r>
      <w:r>
        <w:rPr>
          <w:rFonts w:ascii="Times New Roman" w:cs="Times New Roman" w:eastAsia="Times New Roman" w:hAnsi="Times New Roman"/>
          <w:sz w:val="19"/>
          <w:szCs w:val="19"/>
          <w:color w:val="auto"/>
        </w:rPr>
        <w:t>Sale Date*: _______________________________</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i w:val="1"/>
          <w:iCs w:val="1"/>
          <w:color w:val="auto"/>
        </w:rPr>
        <w:t>*The sale price and sale date are required in order to execute the cashless exercise.</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Broker-Dealer Name:_________________________________________________________</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Contact Person: ______________________________________________________________</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DWAC – Depository Trust Company (DTC) #: ____________________________________</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Brokerage Account #: _________________________________________________________</w:t>
      </w:r>
    </w:p>
    <w:p>
      <w:pPr>
        <w:spacing w:after="0" w:line="229" w:lineRule="exact"/>
        <w:rPr>
          <w:sz w:val="20"/>
          <w:szCs w:val="20"/>
          <w:color w:val="auto"/>
        </w:rPr>
      </w:pPr>
    </w:p>
    <w:p>
      <w:pPr>
        <w:ind w:left="300"/>
        <w:spacing w:after="0"/>
        <w:tabs>
          <w:tab w:leader="none" w:pos="2040" w:val="left"/>
          <w:tab w:leader="none" w:pos="2720" w:val="left"/>
          <w:tab w:leader="none" w:pos="3460" w:val="left"/>
        </w:tabs>
        <w:rPr>
          <w:sz w:val="20"/>
          <w:szCs w:val="20"/>
          <w:color w:val="auto"/>
        </w:rPr>
      </w:pPr>
      <w:r>
        <w:rPr>
          <w:rFonts w:ascii="Times New Roman" w:cs="Times New Roman" w:eastAsia="Times New Roman" w:hAnsi="Times New Roman"/>
          <w:sz w:val="20"/>
          <w:szCs w:val="20"/>
          <w:color w:val="auto"/>
        </w:rPr>
        <w:t xml:space="preserve">Broker Phone #: </w:t>
      </w:r>
      <w:r>
        <w:rPr>
          <w:rFonts w:ascii="Times New Roman" w:cs="Times New Roman" w:eastAsia="Times New Roman" w:hAnsi="Times New Roman"/>
          <w:sz w:val="20"/>
          <w:szCs w:val="20"/>
          <w:u w:val="single" w:color="auto"/>
          <w:color w:val="auto"/>
        </w:rPr>
        <w:t>(</w:t>
      </w:r>
      <w:r>
        <w:rPr>
          <w:sz w:val="20"/>
          <w:szCs w:val="20"/>
          <w:color w:val="auto"/>
        </w:rPr>
        <w:tab/>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Broker Fax #:  (_____</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________</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-10795</wp:posOffset>
            </wp:positionV>
            <wp:extent cx="7327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2">
                      <a:extLst>
                        <a:ext uri="{28A0092B-C50C-407E-A947-70E740481C1C}"/>
                      </a:extLst>
                    </a:blip>
                    <a:srcRect/>
                    <a:stretch>
                      <a:fillRect/>
                    </a:stretch>
                  </pic:blipFill>
                  <pic:spPr bwMode="auto">
                    <a:xfrm>
                      <a:off x="0" y="0"/>
                      <a:ext cx="732790" cy="8890"/>
                    </a:xfrm>
                    <a:prstGeom prst="rect">
                      <a:avLst/>
                    </a:prstGeom>
                    <a:noFill/>
                  </pic:spPr>
                </pic:pic>
              </a:graphicData>
            </a:graphic>
          </wp:anchor>
        </w:drawing>
      </w:r>
    </w:p>
    <w:p>
      <w:pPr>
        <w:spacing w:after="0" w:line="205" w:lineRule="exact"/>
        <w:rPr>
          <w:sz w:val="20"/>
          <w:szCs w:val="20"/>
          <w:color w:val="auto"/>
        </w:rPr>
      </w:pPr>
    </w:p>
    <w:p>
      <w:pPr>
        <w:jc w:val="center"/>
        <w:ind w:left="600" w:right="2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It is your responsibility to contact a broker to open a brokerage account and sell your stock option shares. Orion Energy Systems, Inc. WILL NOT send this form to your broker.</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PART 4 CERTIFICATE MAILING INSTRUCTIONS </w:t>
      </w:r>
      <w:r>
        <w:rPr>
          <w:rFonts w:ascii="Times New Roman" w:cs="Times New Roman" w:eastAsia="Times New Roman" w:hAnsi="Times New Roman"/>
          <w:sz w:val="20"/>
          <w:szCs w:val="20"/>
          <w:i w:val="1"/>
          <w:iCs w:val="1"/>
          <w:color w:val="auto"/>
        </w:rPr>
        <w:t>Do not complete this portion if you elected a cashless exercise through a broker-dealer. (Shares issued pursuant to a cashless exercise through a broker-dealer will be automatically sent to your specified broker.) Also, complete this section only if the certificate for the purchased shares is to be sent to a different address than specified in Part 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certificate for the purchased shares should be sent to the following address: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Street Address: ________________________________________________________________</w:t>
      </w:r>
    </w:p>
    <w:p>
      <w:pPr>
        <w:spacing w:after="0" w:line="229" w:lineRule="exact"/>
        <w:rPr>
          <w:sz w:val="20"/>
          <w:szCs w:val="20"/>
          <w:color w:val="auto"/>
        </w:rPr>
      </w:pPr>
    </w:p>
    <w:p>
      <w:pPr>
        <w:spacing w:after="0"/>
        <w:tabs>
          <w:tab w:leader="none" w:pos="2760" w:val="left"/>
          <w:tab w:leader="none" w:pos="5140" w:val="left"/>
        </w:tabs>
        <w:rPr>
          <w:sz w:val="20"/>
          <w:szCs w:val="20"/>
          <w:color w:val="auto"/>
        </w:rPr>
      </w:pPr>
      <w:r>
        <w:rPr>
          <w:rFonts w:ascii="Times New Roman" w:cs="Times New Roman" w:eastAsia="Times New Roman" w:hAnsi="Times New Roman"/>
          <w:sz w:val="20"/>
          <w:szCs w:val="20"/>
          <w:color w:val="auto"/>
        </w:rPr>
        <w:t>City: _____________________</w:t>
        <w:tab/>
        <w:t>State:_________________</w:t>
      </w:r>
      <w:r>
        <w:rPr>
          <w:sz w:val="20"/>
          <w:szCs w:val="20"/>
          <w:color w:val="auto"/>
        </w:rPr>
        <w:tab/>
      </w:r>
      <w:r>
        <w:rPr>
          <w:rFonts w:ascii="Times New Roman" w:cs="Times New Roman" w:eastAsia="Times New Roman" w:hAnsi="Times New Roman"/>
          <w:sz w:val="19"/>
          <w:szCs w:val="19"/>
          <w:color w:val="auto"/>
        </w:rPr>
        <w:t>Zip Code:_______________</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3" w:name="page154"/>
    <w:bookmarkEnd w:id="153"/>
    <w:p>
      <w:pPr>
        <w:spacing w:after="0" w:line="273" w:lineRule="auto"/>
        <w:rPr>
          <w:sz w:val="20"/>
          <w:szCs w:val="20"/>
          <w:color w:val="auto"/>
        </w:rPr>
      </w:pPr>
      <w:r>
        <w:rPr>
          <w:rFonts w:ascii="Times New Roman" w:cs="Times New Roman" w:eastAsia="Times New Roman" w:hAnsi="Times New Roman"/>
          <w:sz w:val="20"/>
          <w:szCs w:val="20"/>
          <w:color w:val="auto"/>
        </w:rPr>
        <w:t xml:space="preserve">PART 5: METHOD OF SATISFYING TAX WITHHOLDING OBLIGATION </w:t>
      </w:r>
      <w:r>
        <w:rPr>
          <w:rFonts w:ascii="Times New Roman" w:cs="Times New Roman" w:eastAsia="Times New Roman" w:hAnsi="Times New Roman"/>
          <w:sz w:val="20"/>
          <w:szCs w:val="20"/>
          <w:i w:val="1"/>
          <w:iCs w:val="1"/>
          <w:color w:val="auto"/>
        </w:rPr>
        <w:t>Please select only one. You do not need to complete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Part if you are exercising only incentive stock options (ISOs) or if you are a non-employee director.</w:t>
      </w:r>
    </w:p>
    <w:p>
      <w:pPr>
        <w:spacing w:after="0" w:line="165" w:lineRule="exact"/>
        <w:rPr>
          <w:sz w:val="20"/>
          <w:szCs w:val="20"/>
          <w:color w:val="auto"/>
        </w:rPr>
      </w:pPr>
    </w:p>
    <w:p>
      <w:pPr>
        <w:ind w:left="380" w:right="180"/>
        <w:spacing w:after="0" w:line="269" w:lineRule="auto"/>
        <w:rPr>
          <w:sz w:val="20"/>
          <w:szCs w:val="20"/>
          <w:color w:val="auto"/>
        </w:rPr>
      </w:pPr>
      <w:r>
        <w:rPr>
          <w:rFonts w:ascii="Times New Roman" w:cs="Times New Roman" w:eastAsia="Times New Roman" w:hAnsi="Times New Roman"/>
          <w:sz w:val="20"/>
          <w:szCs w:val="20"/>
          <w:u w:val="single" w:color="auto"/>
          <w:color w:val="auto"/>
        </w:rPr>
        <w:t>Broker Exercise</w:t>
      </w:r>
      <w:r>
        <w:rPr>
          <w:rFonts w:ascii="Times New Roman" w:cs="Times New Roman" w:eastAsia="Times New Roman" w:hAnsi="Times New Roman"/>
          <w:sz w:val="20"/>
          <w:szCs w:val="20"/>
          <w:color w:val="auto"/>
        </w:rPr>
        <w:t>. I have elected to exercise my option(s) through a broker in Part 3. The broker will sell sufficient shares to pay for the tax amount and will remit that amount to Orion Energy Systems, Inc.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w:t>
      </w:r>
      <w:r>
        <w:rPr>
          <w:rFonts w:ascii="Times New Roman" w:cs="Times New Roman" w:eastAsia="Times New Roman" w:hAnsi="Times New Roman"/>
          <w:sz w:val="20"/>
          <w:szCs w:val="20"/>
          <w:color w:val="auto"/>
        </w:rPr>
        <w:t>. I am enclosing a check or money order payable to “Orion Energy Systems, Inc.” for the withholding tax amount.</w:t>
      </w:r>
    </w:p>
    <w:p>
      <w:pPr>
        <w:spacing w:after="0" w:line="242" w:lineRule="exact"/>
        <w:rPr>
          <w:sz w:val="20"/>
          <w:szCs w:val="20"/>
          <w:color w:val="auto"/>
        </w:rPr>
      </w:pPr>
    </w:p>
    <w:p>
      <w:pPr>
        <w:ind w:left="380" w:right="420"/>
        <w:spacing w:after="0" w:line="295" w:lineRule="auto"/>
        <w:rPr>
          <w:sz w:val="20"/>
          <w:szCs w:val="20"/>
          <w:color w:val="auto"/>
        </w:rPr>
      </w:pPr>
      <w:r>
        <w:rPr>
          <w:rFonts w:ascii="Times New Roman" w:cs="Times New Roman" w:eastAsia="Times New Roman" w:hAnsi="Times New Roman"/>
          <w:sz w:val="19"/>
          <w:szCs w:val="19"/>
          <w:u w:val="single" w:color="auto"/>
          <w:color w:val="auto"/>
        </w:rPr>
        <w:t>Withhold Shares</w:t>
      </w:r>
      <w:r>
        <w:rPr>
          <w:rFonts w:ascii="Times New Roman" w:cs="Times New Roman" w:eastAsia="Times New Roman" w:hAnsi="Times New Roman"/>
          <w:sz w:val="19"/>
          <w:szCs w:val="19"/>
          <w:color w:val="auto"/>
        </w:rPr>
        <w:t xml:space="preserve">. Please withhold a whole number of shares otherwise deliverable to me upon exercise having a Fair Market Value equal to the </w:t>
      </w:r>
      <w:r>
        <w:rPr>
          <w:rFonts w:ascii="Times New Roman" w:cs="Times New Roman" w:eastAsia="Times New Roman" w:hAnsi="Times New Roman"/>
          <w:sz w:val="19"/>
          <w:szCs w:val="19"/>
          <w:u w:val="single" w:color="auto"/>
          <w:color w:val="auto"/>
        </w:rPr>
        <w:t>minimum</w:t>
      </w:r>
      <w:r>
        <w:rPr>
          <w:rFonts w:ascii="Times New Roman" w:cs="Times New Roman" w:eastAsia="Times New Roman" w:hAnsi="Times New Roman"/>
          <w:sz w:val="19"/>
          <w:szCs w:val="19"/>
          <w:color w:val="auto"/>
        </w:rPr>
        <w:t xml:space="preserve"> statutory tax that is required to be withheld. Any fractional share remaining will be paid to me in cash.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6 ACKNOWLEDGEMENTS AND SIGNATURE</w:t>
      </w:r>
    </w:p>
    <w:p>
      <w:pPr>
        <w:spacing w:after="0" w:line="216" w:lineRule="exact"/>
        <w:rPr>
          <w:sz w:val="20"/>
          <w:szCs w:val="20"/>
          <w:color w:val="auto"/>
        </w:rPr>
      </w:pPr>
    </w:p>
    <w:p>
      <w:pPr>
        <w:ind w:left="760" w:hanging="752"/>
        <w:spacing w:after="0" w:line="269" w:lineRule="auto"/>
        <w:tabs>
          <w:tab w:leader="none" w:pos="7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all sales of Orion’s common stock received upon exercise of this option are subject to compliance with the company’s policy on securities trades.</w:t>
      </w:r>
    </w:p>
    <w:p>
      <w:pPr>
        <w:spacing w:after="0" w:line="159"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hereby acknowledge that I have read a copy of the prospectus describing the Orion Energy Systems, Inc. plan under which the option(s) listed above were issued, and understand the tax consequences of an exercise.</w:t>
      </w:r>
    </w:p>
    <w:p>
      <w:pPr>
        <w:spacing w:after="0" w:line="159" w:lineRule="exact"/>
        <w:rPr>
          <w:rFonts w:ascii="Times New Roman" w:cs="Times New Roman" w:eastAsia="Times New Roman" w:hAnsi="Times New Roman"/>
          <w:sz w:val="20"/>
          <w:szCs w:val="20"/>
          <w:color w:val="auto"/>
        </w:rPr>
      </w:pPr>
    </w:p>
    <w:p>
      <w:pPr>
        <w:jc w:val="both"/>
        <w:ind w:left="760" w:hanging="752"/>
        <w:spacing w:after="0" w:line="254" w:lineRule="auto"/>
        <w:tabs>
          <w:tab w:leader="none" w:pos="7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this notice cannot be revoked by me if I have selected a cashless exercise through a broker-dealer. I personally guarantee that the Total Exercise Price and applicable taxes will be paid to Orion Energy Systems, Inc. in full in the event the Company does not receive the full amount from the Broker for any reason.</w:t>
      </w:r>
    </w:p>
    <w:p>
      <w:pPr>
        <w:spacing w:after="0" w:line="200" w:lineRule="exact"/>
        <w:rPr>
          <w:sz w:val="20"/>
          <w:szCs w:val="20"/>
          <w:color w:val="auto"/>
        </w:rPr>
      </w:pPr>
    </w:p>
    <w:p>
      <w:pPr>
        <w:spacing w:after="0" w:line="204"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Date: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-10795</wp:posOffset>
            </wp:positionV>
            <wp:extent cx="117983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4">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7715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5">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i w:val="1"/>
          <w:iCs w:val="1"/>
          <w:color w:val="auto"/>
        </w:rPr>
        <w:t>To be completed by Corporate Human Resource Department:</w:t>
      </w:r>
    </w:p>
    <w:p>
      <w:pPr>
        <w:spacing w:after="0" w:line="2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Received by:</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received: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2"/>
          <w:szCs w:val="22"/>
          <w:b w:val="1"/>
          <w:bCs w:val="1"/>
          <w:color w:val="auto"/>
        </w:rPr>
        <w:t>Exhibit 10.32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AWARD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ADDRESS]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You have been granted an option (your “Option”) to purchase shares of common stock (“Shares”) of Orion Energy Systems,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with the following terms and conditions:</w:t>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Grant Date:</w:t>
            </w:r>
          </w:p>
        </w:tc>
        <w:tc>
          <w:tcPr>
            <w:tcW w:w="446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__________, 2025</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Type of Option:</w:t>
            </w:r>
          </w:p>
        </w:tc>
        <w:tc>
          <w:tcPr>
            <w:tcW w:w="446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Nonqualified Stock Option</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Number of Option Shares:</w:t>
            </w:r>
          </w:p>
        </w:tc>
        <w:tc>
          <w:tcPr>
            <w:tcW w:w="446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___________</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Exercise Price per Share:</w:t>
            </w:r>
          </w:p>
        </w:tc>
        <w:tc>
          <w:tcPr>
            <w:tcW w:w="446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U.S. $_____________</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Vesting:</w:t>
            </w:r>
          </w:p>
        </w:tc>
        <w:tc>
          <w:tcPr>
            <w:tcW w:w="7780" w:type="dxa"/>
            <w:vAlign w:val="bottom"/>
            <w:gridSpan w:val="4"/>
          </w:tcPr>
          <w:p>
            <w:pPr>
              <w:ind w:left="980"/>
              <w:spacing w:after="0"/>
              <w:rPr>
                <w:sz w:val="20"/>
                <w:szCs w:val="20"/>
                <w:color w:val="auto"/>
              </w:rPr>
            </w:pPr>
            <w:r>
              <w:rPr>
                <w:rFonts w:ascii="Times New Roman" w:cs="Times New Roman" w:eastAsia="Times New Roman" w:hAnsi="Times New Roman"/>
                <w:sz w:val="22"/>
                <w:szCs w:val="22"/>
                <w:color w:val="auto"/>
              </w:rPr>
              <w:t>Your Option will vest based on the achievement of the following stock price</w:t>
            </w: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1"/>
                <w:szCs w:val="21"/>
                <w:color w:val="auto"/>
              </w:rPr>
            </w:pPr>
          </w:p>
        </w:tc>
        <w:tc>
          <w:tcPr>
            <w:tcW w:w="7780" w:type="dxa"/>
            <w:vAlign w:val="bottom"/>
            <w:gridSpan w:val="4"/>
          </w:tcPr>
          <w:p>
            <w:pPr>
              <w:ind w:left="980"/>
              <w:spacing w:after="0" w:line="243" w:lineRule="exact"/>
              <w:rPr>
                <w:sz w:val="20"/>
                <w:szCs w:val="20"/>
                <w:color w:val="auto"/>
              </w:rPr>
            </w:pPr>
            <w:r>
              <w:rPr>
                <w:rFonts w:ascii="Times New Roman" w:cs="Times New Roman" w:eastAsia="Times New Roman" w:hAnsi="Times New Roman"/>
                <w:sz w:val="22"/>
                <w:szCs w:val="22"/>
                <w:color w:val="auto"/>
                <w:w w:val="97"/>
              </w:rPr>
              <w:t>goals, provided you remain in the Company’s employment until the applicable</w:t>
            </w:r>
          </w:p>
        </w:tc>
        <w:tc>
          <w:tcPr>
            <w:tcW w:w="0" w:type="dxa"/>
            <w:vAlign w:val="bottom"/>
          </w:tcPr>
          <w:p>
            <w:pPr>
              <w:spacing w:after="0"/>
              <w:rPr>
                <w:sz w:val="1"/>
                <w:szCs w:val="1"/>
                <w:color w:val="auto"/>
              </w:rPr>
            </w:pPr>
          </w:p>
        </w:tc>
      </w:tr>
      <w:tr>
        <w:trPr>
          <w:trHeight w:val="282"/>
        </w:trPr>
        <w:tc>
          <w:tcPr>
            <w:tcW w:w="3260" w:type="dxa"/>
            <w:vAlign w:val="bottom"/>
          </w:tcPr>
          <w:p>
            <w:pPr>
              <w:spacing w:after="0"/>
              <w:rPr>
                <w:sz w:val="24"/>
                <w:szCs w:val="24"/>
                <w:color w:val="auto"/>
              </w:rPr>
            </w:pPr>
          </w:p>
        </w:tc>
        <w:tc>
          <w:tcPr>
            <w:tcW w:w="446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vesting date:</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1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26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380"/>
              <w:spacing w:after="0" w:line="205" w:lineRule="exact"/>
              <w:rPr>
                <w:sz w:val="20"/>
                <w:szCs w:val="20"/>
                <w:color w:val="auto"/>
              </w:rPr>
            </w:pPr>
            <w:r>
              <w:rPr>
                <w:rFonts w:ascii="Times New Roman" w:cs="Times New Roman" w:eastAsia="Times New Roman" w:hAnsi="Times New Roman"/>
                <w:sz w:val="22"/>
                <w:szCs w:val="22"/>
                <w:b w:val="1"/>
                <w:bCs w:val="1"/>
                <w:color w:val="auto"/>
              </w:rPr>
              <w:t>Portion of Option Shares</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326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Stock Price Achieved</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Vesting</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$_______</w:t>
            </w:r>
          </w:p>
        </w:tc>
        <w:tc>
          <w:tcPr>
            <w:tcW w:w="31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$_______</w:t>
            </w:r>
          </w:p>
        </w:tc>
        <w:tc>
          <w:tcPr>
            <w:tcW w:w="31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$_______</w:t>
            </w:r>
          </w:p>
        </w:tc>
        <w:tc>
          <w:tcPr>
            <w:tcW w:w="31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-826770</wp:posOffset>
            </wp:positionV>
            <wp:extent cx="205105" cy="3511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7">
                      <a:extLst>
                        <a:ext uri="{28A0092B-C50C-407E-A947-70E740481C1C}"/>
                      </a:extLst>
                    </a:blip>
                    <a:srcRect/>
                    <a:stretch>
                      <a:fillRect/>
                    </a:stretch>
                  </pic:blipFill>
                  <pic:spPr bwMode="auto">
                    <a:xfrm>
                      <a:off x="0" y="0"/>
                      <a:ext cx="205105" cy="351155"/>
                    </a:xfrm>
                    <a:prstGeom prst="rect">
                      <a:avLst/>
                    </a:prstGeom>
                    <a:noFill/>
                  </pic:spPr>
                </pic:pic>
              </a:graphicData>
            </a:graphic>
          </wp:anchor>
        </w:drawing>
      </w:r>
    </w:p>
    <w:p>
      <w:pPr>
        <w:spacing w:after="0" w:line="196" w:lineRule="exact"/>
        <w:rPr>
          <w:sz w:val="20"/>
          <w:szCs w:val="20"/>
          <w:color w:val="auto"/>
        </w:rPr>
      </w:pPr>
    </w:p>
    <w:p>
      <w:pPr>
        <w:jc w:val="both"/>
        <w:ind w:left="4340" w:right="100"/>
        <w:spacing w:after="0" w:line="236" w:lineRule="auto"/>
        <w:rPr>
          <w:sz w:val="20"/>
          <w:szCs w:val="20"/>
          <w:color w:val="auto"/>
        </w:rPr>
      </w:pPr>
      <w:r>
        <w:rPr>
          <w:rFonts w:ascii="Times New Roman" w:cs="Times New Roman" w:eastAsia="Times New Roman" w:hAnsi="Times New Roman"/>
          <w:sz w:val="22"/>
          <w:szCs w:val="22"/>
          <w:color w:val="auto"/>
        </w:rPr>
        <w:t>The stock prices above will be deemed achieved, and your Option will vest with respect to the applicable portion of the Option Shares, only if and when the Company determines that the average closing sale price of the Company’s common stock over five consecutive trading days during the three (3) calendar years immediately following the Grant Date equals or exceeds the applicable stock price.</w:t>
      </w:r>
    </w:p>
    <w:p>
      <w:pPr>
        <w:spacing w:after="0" w:line="208" w:lineRule="exact"/>
        <w:rPr>
          <w:sz w:val="20"/>
          <w:szCs w:val="20"/>
          <w:color w:val="auto"/>
        </w:rPr>
      </w:pPr>
    </w:p>
    <w:p>
      <w:pPr>
        <w:jc w:val="both"/>
        <w:ind w:left="4340" w:right="100"/>
        <w:spacing w:after="0" w:line="239" w:lineRule="auto"/>
        <w:rPr>
          <w:sz w:val="20"/>
          <w:szCs w:val="20"/>
          <w:color w:val="auto"/>
        </w:rPr>
      </w:pPr>
      <w:r>
        <w:rPr>
          <w:rFonts w:ascii="Times New Roman" w:cs="Times New Roman" w:eastAsia="Times New Roman" w:hAnsi="Times New Roman"/>
          <w:sz w:val="22"/>
          <w:szCs w:val="22"/>
          <w:color w:val="auto"/>
        </w:rPr>
        <w:t>Any portion of your Option that is not vested upon the termination of your employment with the Company for any reason or for no reason will immediately terminate upon such termination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4812-3843-7902.5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1"/>
          <w:szCs w:val="21"/>
          <w:color w:val="auto"/>
        </w:rPr>
        <w:t>Termination Date: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Your Option expires at, and cannot be exercised after, the close of business at the Company’s headquarters on the earliest to occur of:</w:t>
      </w:r>
    </w:p>
    <w:p>
      <w:pPr>
        <w:spacing w:after="0" w:line="27" w:lineRule="exact"/>
        <w:rPr>
          <w:sz w:val="20"/>
          <w:szCs w:val="20"/>
          <w:color w:val="auto"/>
        </w:rPr>
      </w:pPr>
    </w:p>
    <w:p>
      <w:pPr>
        <w:sectPr>
          <w:pgSz w:w="11900" w:h="16838" w:orient="portrait"/>
          <w:cols w:equalWidth="0" w:num="2">
            <w:col w:w="3520" w:space="720"/>
            <w:col w:w="6800"/>
          </w:cols>
          <w:pgMar w:left="420" w:top="1408" w:right="439" w:bottom="1440" w:gutter="0" w:footer="0" w:header="0"/>
        </w:sectPr>
      </w:pPr>
    </w:p>
    <w:p>
      <w:pPr>
        <w:spacing w:after="0" w:line="4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The tenth (10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anniversary of the Grant Date;</w:t>
      </w:r>
    </w:p>
    <w:p>
      <w:pPr>
        <w:spacing w:after="0" w:line="144" w:lineRule="exact"/>
        <w:rPr>
          <w:sz w:val="20"/>
          <w:szCs w:val="20"/>
          <w:color w:val="auto"/>
        </w:rPr>
      </w:pPr>
    </w:p>
    <w:p>
      <w:pPr>
        <w:sectPr>
          <w:pgSz w:w="11900" w:h="16838" w:orient="portrait"/>
          <w:cols w:equalWidth="0" w:num="2">
            <w:col w:w="4300" w:space="380"/>
            <w:col w:w="6360"/>
          </w:cols>
          <w:pgMar w:left="420" w:top="1408" w:right="439" w:bottom="1440" w:gutter="0" w:footer="0" w:header="0"/>
          <w:type w:val="continuous"/>
        </w:sectPr>
      </w:pPr>
    </w:p>
    <w:p>
      <w:pPr>
        <w:spacing w:after="0" w:line="1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Times New Roman" w:cs="Times New Roman" w:eastAsia="Times New Roman" w:hAnsi="Times New Roman"/>
          <w:sz w:val="22"/>
          <w:szCs w:val="22"/>
          <w:color w:val="auto"/>
        </w:rPr>
        <w:t>One year after your termination of employment with the Company as a result of death or disability (within the meaning of Section 22(e)(3) of the Internal Revenue Code of 1986, as amended (the “Code”)); or</w:t>
      </w:r>
    </w:p>
    <w:p>
      <w:pPr>
        <w:spacing w:after="0" w:line="173" w:lineRule="exact"/>
        <w:rPr>
          <w:sz w:val="20"/>
          <w:szCs w:val="20"/>
          <w:color w:val="auto"/>
        </w:rPr>
      </w:pPr>
    </w:p>
    <w:p>
      <w:pPr>
        <w:sectPr>
          <w:pgSz w:w="11900" w:h="16838" w:orient="portrait"/>
          <w:cols w:equalWidth="0" w:num="2">
            <w:col w:w="4300" w:space="380"/>
            <w:col w:w="6360"/>
          </w:cols>
          <w:pgMar w:left="420" w:top="1408" w:right="439" w:bottom="1440" w:gutter="0" w:footer="0" w:header="0"/>
          <w:type w:val="continuous"/>
        </w:sectPr>
      </w:pP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22"/>
          <w:szCs w:val="22"/>
          <w:color w:val="auto"/>
        </w:rPr>
        <w:t>90 days after your termination of employment with the Company for any other reason.</w:t>
      </w:r>
    </w:p>
    <w:p>
      <w:pPr>
        <w:spacing w:after="0" w:line="158" w:lineRule="exact"/>
        <w:rPr>
          <w:sz w:val="20"/>
          <w:szCs w:val="20"/>
          <w:color w:val="auto"/>
        </w:rPr>
      </w:pPr>
    </w:p>
    <w:p>
      <w:pPr>
        <w:sectPr>
          <w:pgSz w:w="11900" w:h="16838" w:orient="portrait"/>
          <w:cols w:equalWidth="0" w:num="2">
            <w:col w:w="4300" w:space="380"/>
            <w:col w:w="6360"/>
          </w:cols>
          <w:pgMar w:left="420" w:top="1408" w:right="439" w:bottom="1440" w:gutter="0" w:footer="0" w:header="0"/>
          <w:type w:val="continuous"/>
        </w:sectPr>
      </w:pPr>
    </w:p>
    <w:p>
      <w:pPr>
        <w:jc w:val="both"/>
        <w:ind w:left="4240"/>
        <w:spacing w:after="0" w:line="258" w:lineRule="auto"/>
        <w:rPr>
          <w:sz w:val="20"/>
          <w:szCs w:val="20"/>
          <w:color w:val="auto"/>
        </w:rPr>
      </w:pPr>
      <w:r>
        <w:rPr>
          <w:rFonts w:ascii="Times New Roman" w:cs="Times New Roman" w:eastAsia="Times New Roman" w:hAnsi="Times New Roman"/>
          <w:sz w:val="22"/>
          <w:szCs w:val="22"/>
          <w:color w:val="auto"/>
        </w:rPr>
        <w:t>Your Option’s termination date does not affect its vesting date(s), which expire upon your termination of employment with the Company.</w:t>
      </w:r>
    </w:p>
    <w:p>
      <w:pPr>
        <w:spacing w:after="0" w:line="185" w:lineRule="exact"/>
        <w:rPr>
          <w:sz w:val="20"/>
          <w:szCs w:val="20"/>
          <w:color w:val="auto"/>
        </w:rPr>
      </w:pPr>
    </w:p>
    <w:p>
      <w:pPr>
        <w:jc w:val="both"/>
        <w:ind w:left="4240"/>
        <w:spacing w:after="0" w:line="238" w:lineRule="auto"/>
        <w:rPr>
          <w:sz w:val="20"/>
          <w:szCs w:val="20"/>
          <w:color w:val="auto"/>
        </w:rPr>
      </w:pPr>
      <w:r>
        <w:rPr>
          <w:rFonts w:ascii="Times New Roman" w:cs="Times New Roman" w:eastAsia="Times New Roman" w:hAnsi="Times New Roman"/>
          <w:sz w:val="22"/>
          <w:szCs w:val="22"/>
          <w:color w:val="auto"/>
        </w:rPr>
        <w:t>If the date this Option terminates as specified above falls on a day on which the stock market is not open for trading or on a date that you are prohibited by Company policy (such as an insider trading policy) from exercising the Option, the termination date shall be automatically extended to the first available trading day following the original termination date, but not beyond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Grant Date.</w:t>
      </w:r>
    </w:p>
    <w:p>
      <w:pPr>
        <w:spacing w:after="0" w:line="127" w:lineRule="exact"/>
        <w:rPr>
          <w:sz w:val="20"/>
          <w:szCs w:val="20"/>
          <w:color w:val="auto"/>
        </w:rPr>
      </w:pPr>
    </w:p>
    <w:p>
      <w:pPr>
        <w:jc w:val="both"/>
        <w:ind w:left="4240"/>
        <w:spacing w:after="0" w:line="232" w:lineRule="auto"/>
        <w:rPr>
          <w:sz w:val="20"/>
          <w:szCs w:val="20"/>
          <w:color w:val="auto"/>
        </w:rPr>
      </w:pPr>
      <w:r>
        <w:rPr>
          <w:rFonts w:ascii="Times New Roman" w:cs="Times New Roman" w:eastAsia="Times New Roman" w:hAnsi="Times New Roman"/>
          <w:sz w:val="22"/>
          <w:szCs w:val="22"/>
          <w:color w:val="auto"/>
        </w:rPr>
        <w:t>Notwithstanding the above, your entire Option is terminated immediately if the Company or an affiliate (an “Affiliate”) terminates your employment for Cause (as defined below), or if your employment is otherwise terminated at a time when it could be terminated for Cause. For purposes of this Option, “Cause” means a good faith finding by the Company that you have (i) failed, neglected, or refused to perform your employment duties from time to time assigned to you (other than due to death or disability); (ii) committed any willful, intentional, or grossly negligent act having the effect of injuring the interest, business, or reputation of the Company; (iii) violated or failed to comply in any material respect with the Company’s published rules, regulations, or policies, as in effect or amended from time to time; (iv) committed an act constituting a felony or misdemeanor involving moral turpitude, fraud, theft, or dishonesty; (v) misappropriated or embezzled any property of the Company (whether or not such act constitutes a felony or misdemeanor); or (vi) breached any material provision of this Option or any other</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08" w:right="439" w:bottom="1440"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253"/>
        </w:trPr>
        <w:tc>
          <w:tcPr>
            <w:tcW w:w="4220" w:type="dxa"/>
            <w:vAlign w:val="bottom"/>
          </w:tcPr>
          <w:p>
            <w:pPr>
              <w:spacing w:after="0"/>
              <w:rPr>
                <w:sz w:val="22"/>
                <w:szCs w:val="22"/>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9"/>
              </w:rPr>
              <w:t>applicable confidentiality, non-compete, non-solicit, general release, covenant</w:t>
            </w:r>
          </w:p>
        </w:tc>
      </w:tr>
      <w:tr>
        <w:trPr>
          <w:trHeight w:val="282"/>
        </w:trPr>
        <w:tc>
          <w:tcPr>
            <w:tcW w:w="4220" w:type="dxa"/>
            <w:vAlign w:val="bottom"/>
          </w:tcPr>
          <w:p>
            <w:pPr>
              <w:spacing w:after="0"/>
              <w:rPr>
                <w:sz w:val="24"/>
                <w:szCs w:val="24"/>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not-to-sue, equity award agreement, or other agreement with the Company.</w:t>
            </w:r>
          </w:p>
        </w:tc>
      </w:tr>
      <w:tr>
        <w:trPr>
          <w:trHeight w:val="447"/>
        </w:trPr>
        <w:tc>
          <w:tcPr>
            <w:tcW w:w="4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Manner of Exercise:</w:t>
            </w:r>
          </w:p>
        </w:tc>
        <w:tc>
          <w:tcPr>
            <w:tcW w:w="7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You may exercise your Option only to the extent vested and only if it has not</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terminated. To exercise your Option, you must complete the “Notice of Stock</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Option Exercise” form provided by the Company and return it to the address</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indicated on the form, or complete any online exercise notice procedure</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required by the Company. The form or online exercise notice will be effective</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when it is received by the Company, but exercise will not be completed until</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you pay the total exercise price and all applicable withholding taxes due as a</w:t>
            </w:r>
          </w:p>
        </w:tc>
      </w:tr>
      <w:tr>
        <w:trPr>
          <w:trHeight w:val="282"/>
        </w:trPr>
        <w:tc>
          <w:tcPr>
            <w:tcW w:w="4220" w:type="dxa"/>
            <w:vAlign w:val="bottom"/>
          </w:tcPr>
          <w:p>
            <w:pPr>
              <w:spacing w:after="0"/>
              <w:rPr>
                <w:sz w:val="24"/>
                <w:szCs w:val="24"/>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result of the exercise to the Company.</w:t>
            </w:r>
          </w:p>
        </w:tc>
      </w:tr>
      <w:tr>
        <w:trPr>
          <w:trHeight w:val="447"/>
        </w:trPr>
        <w:tc>
          <w:tcPr>
            <w:tcW w:w="4220" w:type="dxa"/>
            <w:vAlign w:val="bottom"/>
          </w:tcPr>
          <w:p>
            <w:pPr>
              <w:spacing w:after="0"/>
              <w:rPr>
                <w:sz w:val="24"/>
                <w:szCs w:val="24"/>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If someone else wants to exercise your Option after your death, that person</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must contact the Company and prove to the Company’s satisfaction that he or</w:t>
            </w:r>
          </w:p>
        </w:tc>
      </w:tr>
      <w:tr>
        <w:trPr>
          <w:trHeight w:val="282"/>
        </w:trPr>
        <w:tc>
          <w:tcPr>
            <w:tcW w:w="4220" w:type="dxa"/>
            <w:vAlign w:val="bottom"/>
          </w:tcPr>
          <w:p>
            <w:pPr>
              <w:spacing w:after="0"/>
              <w:rPr>
                <w:sz w:val="24"/>
                <w:szCs w:val="24"/>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she is entitled to do so.</w:t>
            </w:r>
          </w:p>
        </w:tc>
      </w:tr>
      <w:tr>
        <w:trPr>
          <w:trHeight w:val="447"/>
        </w:trPr>
        <w:tc>
          <w:tcPr>
            <w:tcW w:w="4220" w:type="dxa"/>
            <w:vAlign w:val="bottom"/>
          </w:tcPr>
          <w:p>
            <w:pPr>
              <w:spacing w:after="0"/>
              <w:rPr>
                <w:sz w:val="24"/>
                <w:szCs w:val="24"/>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Your ability to exercise your Option may be restricted by the Company if</w:t>
            </w:r>
          </w:p>
        </w:tc>
      </w:tr>
      <w:tr>
        <w:trPr>
          <w:trHeight w:val="282"/>
        </w:trPr>
        <w:tc>
          <w:tcPr>
            <w:tcW w:w="4220" w:type="dxa"/>
            <w:vAlign w:val="bottom"/>
          </w:tcPr>
          <w:p>
            <w:pPr>
              <w:spacing w:after="0"/>
              <w:rPr>
                <w:sz w:val="24"/>
                <w:szCs w:val="24"/>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required by applicable law.</w:t>
            </w:r>
          </w:p>
        </w:tc>
      </w:tr>
      <w:tr>
        <w:trPr>
          <w:trHeight w:val="447"/>
        </w:trPr>
        <w:tc>
          <w:tcPr>
            <w:tcW w:w="4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Restrictions on Resale:</w:t>
            </w:r>
          </w:p>
        </w:tc>
        <w:tc>
          <w:tcPr>
            <w:tcW w:w="7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By accepting your Option, you agree not to sell any Shares acquired under</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your Option at a time when applicable laws, Company policies or an</w:t>
            </w:r>
          </w:p>
        </w:tc>
      </w:tr>
      <w:tr>
        <w:trPr>
          <w:trHeight w:val="282"/>
        </w:trPr>
        <w:tc>
          <w:tcPr>
            <w:tcW w:w="4220" w:type="dxa"/>
            <w:vAlign w:val="bottom"/>
          </w:tcPr>
          <w:p>
            <w:pPr>
              <w:spacing w:after="0"/>
              <w:rPr>
                <w:sz w:val="24"/>
                <w:szCs w:val="24"/>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agreement between the Company and its underwriters prohibit a sale.</w:t>
            </w:r>
          </w:p>
        </w:tc>
      </w:tr>
      <w:tr>
        <w:trPr>
          <w:trHeight w:val="447"/>
        </w:trPr>
        <w:tc>
          <w:tcPr>
            <w:tcW w:w="4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Restrictions on Transfer:</w:t>
            </w:r>
          </w:p>
        </w:tc>
        <w:tc>
          <w:tcPr>
            <w:tcW w:w="7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During your lifetime, this Option is only exercisable by you.  You may not</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transfer, pledge or assign this Option, by operation of law or otherwise, except</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pursuant to your will or the laws of descent and distribution.  If you attempt</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to transfer, assign, pledge, hypothecate or otherwise dispose of this Option,</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except as provided above, or in the event this Option is subject to levy or</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attachment, execution or similar process, the Company may terminate this</w:t>
            </w:r>
          </w:p>
        </w:tc>
      </w:tr>
      <w:tr>
        <w:trPr>
          <w:trHeight w:val="282"/>
        </w:trPr>
        <w:tc>
          <w:tcPr>
            <w:tcW w:w="4220" w:type="dxa"/>
            <w:vAlign w:val="bottom"/>
          </w:tcPr>
          <w:p>
            <w:pPr>
              <w:spacing w:after="0"/>
              <w:rPr>
                <w:sz w:val="24"/>
                <w:szCs w:val="24"/>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Option by providing written notice to you.</w:t>
            </w:r>
          </w:p>
        </w:tc>
      </w:tr>
      <w:tr>
        <w:trPr>
          <w:trHeight w:val="447"/>
        </w:trPr>
        <w:tc>
          <w:tcPr>
            <w:tcW w:w="4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Compensation Recovery Policy; Rescission of</w:t>
            </w:r>
          </w:p>
        </w:tc>
        <w:tc>
          <w:tcPr>
            <w:tcW w:w="7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This Option, and any Shares issued pursuant to the exercise of this Option,</w:t>
            </w:r>
          </w:p>
        </w:tc>
      </w:tr>
      <w:tr>
        <w:trPr>
          <w:trHeight w:val="243"/>
        </w:trPr>
        <w:tc>
          <w:tcPr>
            <w:tcW w:w="42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Exercise; Disgorgement of Option Gains:</w:t>
            </w: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shall be subject to the Company’s Compensation Recovery Policy and any</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other recoupment or clawback policy that is adopted by, or any recoupment or</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similar requirement otherwise made applicable by law, regulation or listing</w:t>
            </w:r>
          </w:p>
        </w:tc>
      </w:tr>
      <w:tr>
        <w:trPr>
          <w:trHeight w:val="243"/>
        </w:trPr>
        <w:tc>
          <w:tcPr>
            <w:tcW w:w="4220" w:type="dxa"/>
            <w:vAlign w:val="bottom"/>
          </w:tcPr>
          <w:p>
            <w:pPr>
              <w:spacing w:after="0"/>
              <w:rPr>
                <w:sz w:val="21"/>
                <w:szCs w:val="21"/>
                <w:color w:val="auto"/>
              </w:rPr>
            </w:pPr>
          </w:p>
        </w:tc>
        <w:tc>
          <w:tcPr>
            <w:tcW w:w="70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standards to, the Company from time to time. If you are terminated for Cause,</w:t>
            </w:r>
          </w:p>
        </w:tc>
      </w:tr>
      <w:tr>
        <w:trPr>
          <w:trHeight w:val="282"/>
        </w:trPr>
        <w:tc>
          <w:tcPr>
            <w:tcW w:w="4220" w:type="dxa"/>
            <w:vAlign w:val="bottom"/>
          </w:tcPr>
          <w:p>
            <w:pPr>
              <w:spacing w:after="0"/>
              <w:rPr>
                <w:sz w:val="24"/>
                <w:szCs w:val="24"/>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or if you are not</w:t>
            </w:r>
          </w:p>
        </w:tc>
      </w:tr>
      <w:tr>
        <w:trPr>
          <w:trHeight w:val="648"/>
        </w:trPr>
        <w:tc>
          <w:tcPr>
            <w:tcW w:w="4220" w:type="dxa"/>
            <w:vAlign w:val="bottom"/>
          </w:tcPr>
          <w:p>
            <w:pPr>
              <w:spacing w:after="0"/>
              <w:rPr>
                <w:sz w:val="24"/>
                <w:szCs w:val="24"/>
                <w:color w:val="auto"/>
              </w:rPr>
            </w:pPr>
          </w:p>
        </w:tc>
        <w:tc>
          <w:tcPr>
            <w:tcW w:w="70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3</w:t>
            </w:r>
          </w:p>
        </w:tc>
      </w:tr>
      <w:tr>
        <w:trPr>
          <w:trHeight w:val="751"/>
        </w:trPr>
        <w:tc>
          <w:tcPr>
            <w:tcW w:w="42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874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terminated for Cause but the Human Capital Management and Compensation</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Committee (the “Committee”) of the Company’s Board of Directors (the</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w w:val="99"/>
              </w:rPr>
              <w:t>“Board”) later determines that you could have been terminated for Cause if all</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facts had been known at that time, or if the Committee determines that, after</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w w:val="99"/>
              </w:rPr>
              <w:t>your termination of employment, you have violated the provisions of any non-</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competition, non-solicitation, confidentiality or assignment of inventions</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agreement then in effect, then your Option will terminate immediately on the</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date of such termination or determination, as applicable, and the Committee</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may, in its sole and absolute discretion, (i) rescind any notice of exercise</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submitted by you for which payment or the issuance of Shares has not been</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completed, in which event any exercise price you have tendered will be</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promptly returned to you or retained by the Company as an offset as provided</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below, and/or (ii) notify you in writing within two (2) years after exercise of</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all or any portion of the Option that any exercise made within the one (1) year</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period prior to your termination or prior to your breach of any non-</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competition, non-solicitation, confidentiality or assignment of inventions</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agreement, is rescinded. Within ten (10) days after receiving such notice from</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the Company, you shall pay to the Company the amount of any cash payment</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received, or the value of any other gain realized, as a result of the rescinded</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exercise. Notwithstanding the foregoing, the Company shall have the right to</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w w:val="99"/>
              </w:rPr>
              <w:t>retain (as an offset against any amounts due hereunder), the exercise price and</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withholding amount tendered by you with respect to any rescinded exercise,</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and the Company shall have the right to offset against any other amounts due</w:t>
            </w:r>
          </w:p>
        </w:tc>
      </w:tr>
      <w:tr>
        <w:trPr>
          <w:trHeight w:val="282"/>
        </w:trPr>
        <w:tc>
          <w:tcPr>
            <w:tcW w:w="2500" w:type="dxa"/>
            <w:vAlign w:val="bottom"/>
          </w:tcPr>
          <w:p>
            <w:pPr>
              <w:spacing w:after="0"/>
              <w:rPr>
                <w:sz w:val="24"/>
                <w:szCs w:val="24"/>
                <w:color w:val="auto"/>
              </w:rPr>
            </w:pPr>
          </w:p>
        </w:tc>
        <w:tc>
          <w:tcPr>
            <w:tcW w:w="874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from the Company to you the amount owed by you hereunder.</w:t>
            </w:r>
          </w:p>
        </w:tc>
      </w:tr>
      <w:tr>
        <w:trPr>
          <w:trHeight w:val="447"/>
        </w:trPr>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Taxes:</w:t>
            </w:r>
          </w:p>
        </w:tc>
        <w:tc>
          <w:tcPr>
            <w:tcW w:w="874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You (and not the Company or any Affiliate) shall be responsible for your</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federal, state, local or foreign tax liability and any of your other tax</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consequences that may arise as a result of the transactions contemplated by</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this Option.  You shall rely solely on the determinations of your own tax</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advisors  or  your  own  determinations,  and  not  on  any  statements  or</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representations by the Company or any of its agents, with regard to all such</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tax matters. To the extent that the receipt, vesting or exercise of this Option,</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or other event, results in income to you for federal, state or local income tax</w:t>
            </w:r>
          </w:p>
        </w:tc>
      </w:tr>
      <w:tr>
        <w:trPr>
          <w:trHeight w:val="243"/>
        </w:trPr>
        <w:tc>
          <w:tcPr>
            <w:tcW w:w="2500" w:type="dxa"/>
            <w:vAlign w:val="bottom"/>
          </w:tcPr>
          <w:p>
            <w:pPr>
              <w:spacing w:after="0"/>
              <w:rPr>
                <w:sz w:val="21"/>
                <w:szCs w:val="21"/>
                <w:color w:val="auto"/>
              </w:rPr>
            </w:pPr>
          </w:p>
        </w:tc>
        <w:tc>
          <w:tcPr>
            <w:tcW w:w="8740" w:type="dxa"/>
            <w:vAlign w:val="bottom"/>
          </w:tcPr>
          <w:p>
            <w:pPr>
              <w:ind w:left="1840"/>
              <w:spacing w:after="0" w:line="243" w:lineRule="exact"/>
              <w:rPr>
                <w:sz w:val="20"/>
                <w:szCs w:val="20"/>
                <w:color w:val="auto"/>
              </w:rPr>
            </w:pPr>
            <w:r>
              <w:rPr>
                <w:rFonts w:ascii="Times New Roman" w:cs="Times New Roman" w:eastAsia="Times New Roman" w:hAnsi="Times New Roman"/>
                <w:sz w:val="22"/>
                <w:szCs w:val="22"/>
                <w:color w:val="auto"/>
              </w:rPr>
              <w:t>purposes, you shall deliver to the Company or its Affiliate at the time the</w:t>
            </w:r>
          </w:p>
        </w:tc>
      </w:tr>
      <w:tr>
        <w:trPr>
          <w:trHeight w:val="282"/>
        </w:trPr>
        <w:tc>
          <w:tcPr>
            <w:tcW w:w="2500" w:type="dxa"/>
            <w:vAlign w:val="bottom"/>
          </w:tcPr>
          <w:p>
            <w:pPr>
              <w:spacing w:after="0"/>
              <w:rPr>
                <w:sz w:val="24"/>
                <w:szCs w:val="24"/>
                <w:color w:val="auto"/>
              </w:rPr>
            </w:pPr>
          </w:p>
        </w:tc>
        <w:tc>
          <w:tcPr>
            <w:tcW w:w="874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Company or its</w:t>
            </w:r>
          </w:p>
        </w:tc>
      </w:tr>
      <w:tr>
        <w:trPr>
          <w:trHeight w:val="648"/>
        </w:trPr>
        <w:tc>
          <w:tcPr>
            <w:tcW w:w="2500" w:type="dxa"/>
            <w:vAlign w:val="bottom"/>
          </w:tcPr>
          <w:p>
            <w:pPr>
              <w:spacing w:after="0"/>
              <w:rPr>
                <w:sz w:val="24"/>
                <w:szCs w:val="24"/>
                <w:color w:val="auto"/>
              </w:rPr>
            </w:pPr>
          </w:p>
        </w:tc>
        <w:tc>
          <w:tcPr>
            <w:tcW w:w="8740" w:type="dxa"/>
            <w:vAlign w:val="bottom"/>
          </w:tcPr>
          <w:p>
            <w:pPr>
              <w:ind w:left="3080"/>
              <w:spacing w:after="0"/>
              <w:rPr>
                <w:sz w:val="20"/>
                <w:szCs w:val="20"/>
                <w:color w:val="auto"/>
              </w:rPr>
            </w:pPr>
            <w:r>
              <w:rPr>
                <w:rFonts w:ascii="Times New Roman" w:cs="Times New Roman" w:eastAsia="Times New Roman" w:hAnsi="Times New Roman"/>
                <w:sz w:val="22"/>
                <w:szCs w:val="22"/>
                <w:color w:val="auto"/>
              </w:rPr>
              <w:t>4</w:t>
            </w:r>
          </w:p>
        </w:tc>
      </w:tr>
      <w:tr>
        <w:trPr>
          <w:trHeight w:val="751"/>
        </w:trPr>
        <w:tc>
          <w:tcPr>
            <w:tcW w:w="250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58" w:name="page159"/>
    <w:bookmarkEnd w:id="158"/>
    <w:p>
      <w:pPr>
        <w:jc w:val="both"/>
        <w:ind w:left="3220"/>
        <w:spacing w:after="0" w:line="235" w:lineRule="auto"/>
        <w:rPr>
          <w:sz w:val="20"/>
          <w:szCs w:val="20"/>
          <w:color w:val="auto"/>
        </w:rPr>
      </w:pPr>
      <w:r>
        <w:rPr>
          <w:rFonts w:ascii="Times New Roman" w:cs="Times New Roman" w:eastAsia="Times New Roman" w:hAnsi="Times New Roman"/>
          <w:sz w:val="22"/>
          <w:szCs w:val="22"/>
          <w:color w:val="auto"/>
        </w:rPr>
        <w:t>Affiliate is obligated to withhold taxes in connection with such receipt, vesting, exercise or other event, as the case may be, such amount as the Company or its Affiliate requires to meet its withholding obligation under applicable tax laws or regulations, and if you fail to do so, the Company shall not be obligated to deliver any Shares to you and shall have the right and authority to deduct or withhold from other compensation payable to you an amount sufficient to satisfy its withholding obligations.</w:t>
      </w:r>
    </w:p>
    <w:p>
      <w:pPr>
        <w:spacing w:after="0" w:line="210" w:lineRule="exact"/>
        <w:rPr>
          <w:sz w:val="20"/>
          <w:szCs w:val="20"/>
          <w:color w:val="auto"/>
        </w:rPr>
      </w:pPr>
    </w:p>
    <w:p>
      <w:pPr>
        <w:jc w:val="both"/>
        <w:ind w:left="3220"/>
        <w:spacing w:after="0" w:line="242" w:lineRule="auto"/>
        <w:rPr>
          <w:sz w:val="20"/>
          <w:szCs w:val="20"/>
          <w:color w:val="auto"/>
        </w:rPr>
      </w:pPr>
      <w:r>
        <w:rPr>
          <w:rFonts w:ascii="Times New Roman" w:cs="Times New Roman" w:eastAsia="Times New Roman" w:hAnsi="Times New Roman"/>
          <w:sz w:val="21"/>
          <w:szCs w:val="21"/>
          <w:color w:val="auto"/>
        </w:rPr>
        <w:t>To the extent permitted by the Company at the time a tax withholding requirement arises, you may satisfy the withholding requirement in whole or in part, by electing to have the Company withhold for its own account that number of Shares otherwise deliverable to you upon exercise having an aggregate Fair Market Value (as defined below) on the date the tax is to be determined equal to the tax that the Company must withhold in connection with the exercise; provided that the amount so withheld shall not exceed the maximum statutory rate to the extent necessary to avoid an accounting charge. “Fair Market Value” means, unless otherwise determined by the Committee, per Share on a particular date, (i) if the Shares are listed on a national securities exchange, the last sales price on that date on the national securities exchange on which the Shares are then traded, as reported in The Wall Street Journal, or if no sales of Shares occur on such date, then on the last preceding date on which there was a sale on such exchange; or (ii) if the Shares are not listed on a national securities exchange, but are traded in an over-the-counter market, the last sales price (or, if there is no last sales price reported, the average of the closing bid and asked prices) for the Shares on that date, or on the last preceding date on which there was a sale of Shares on that market; or</w:t>
      </w:r>
    </w:p>
    <w:p>
      <w:pPr>
        <w:spacing w:after="0" w:line="15" w:lineRule="exact"/>
        <w:rPr>
          <w:sz w:val="20"/>
          <w:szCs w:val="20"/>
          <w:color w:val="auto"/>
        </w:rPr>
      </w:pPr>
    </w:p>
    <w:p>
      <w:pPr>
        <w:jc w:val="both"/>
        <w:ind w:left="3220" w:hanging="9"/>
        <w:spacing w:after="0" w:line="233" w:lineRule="auto"/>
        <w:tabs>
          <w:tab w:leader="none" w:pos="359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Shares are neither listed on a national securities exchange nor traded in an over-the-counter market, the price determined by the Committee, in its discretion. The Fair Market Value of any fractional Share not used to satisfy the withholding obligation (as determined on the date the tax is determined) will be paid to you in cash.</w:t>
      </w:r>
    </w:p>
    <w:p>
      <w:pPr>
        <w:spacing w:after="0" w:line="206" w:lineRule="exact"/>
        <w:rPr>
          <w:sz w:val="20"/>
          <w:szCs w:val="20"/>
          <w:color w:val="auto"/>
        </w:rPr>
      </w:pPr>
    </w:p>
    <w:p>
      <w:pPr>
        <w:jc w:val="both"/>
        <w:ind w:left="3220"/>
        <w:spacing w:after="0" w:line="239" w:lineRule="auto"/>
        <w:rPr>
          <w:sz w:val="20"/>
          <w:szCs w:val="20"/>
          <w:color w:val="auto"/>
        </w:rPr>
      </w:pPr>
      <w:r>
        <w:rPr>
          <w:rFonts w:ascii="Times New Roman" w:cs="Times New Roman" w:eastAsia="Times New Roman" w:hAnsi="Times New Roman"/>
          <w:sz w:val="22"/>
          <w:szCs w:val="22"/>
          <w:color w:val="auto"/>
        </w:rPr>
        <w:t>Notwithstanding any provisions of this Stock Option Award to the contrary, the Company does not guarantee to you or any other person with an interest in this Stock Option Award that this Option will be exempt from Code Section 409A or otherwise receive a specific tax treatment</w:t>
      </w:r>
    </w:p>
    <w:p>
      <w:pPr>
        <w:spacing w:after="0" w:line="36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408" w:right="4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53"/>
        </w:trPr>
        <w:tc>
          <w:tcPr>
            <w:tcW w:w="3320" w:type="dxa"/>
            <w:vAlign w:val="bottom"/>
          </w:tcPr>
          <w:p>
            <w:pPr>
              <w:spacing w:after="0"/>
              <w:rPr>
                <w:sz w:val="22"/>
                <w:szCs w:val="22"/>
                <w:color w:val="auto"/>
              </w:rPr>
            </w:pPr>
          </w:p>
        </w:tc>
        <w:tc>
          <w:tcPr>
            <w:tcW w:w="79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under any other applicable tax law, nor in any such case will the Company or</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w w:val="99"/>
              </w:rPr>
              <w:t>any Affiliate be required to indemnify, defend or hold harmless any individual</w:t>
            </w:r>
          </w:p>
        </w:tc>
      </w:tr>
      <w:tr>
        <w:trPr>
          <w:trHeight w:val="282"/>
        </w:trPr>
        <w:tc>
          <w:tcPr>
            <w:tcW w:w="3320" w:type="dxa"/>
            <w:vAlign w:val="bottom"/>
          </w:tcPr>
          <w:p>
            <w:pPr>
              <w:spacing w:after="0"/>
              <w:rPr>
                <w:sz w:val="24"/>
                <w:szCs w:val="24"/>
                <w:color w:val="auto"/>
              </w:rPr>
            </w:pPr>
          </w:p>
        </w:tc>
        <w:tc>
          <w:tcPr>
            <w:tcW w:w="79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with respect to the tax consequences of this Stock Option Award.</w:t>
            </w:r>
          </w:p>
        </w:tc>
      </w:tr>
      <w:tr>
        <w:trPr>
          <w:trHeight w:val="447"/>
        </w:trPr>
        <w:tc>
          <w:tcPr>
            <w:tcW w:w="3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Transfer:</w:t>
            </w:r>
          </w:p>
        </w:tc>
        <w:tc>
          <w:tcPr>
            <w:tcW w:w="79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The Company may, at any time during the twelve months from the date you</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acquire Shares under your Option, place a stop-transfer order on any Shares</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issued under your Option requesting the Company’s transfer agent to notify</w:t>
            </w:r>
          </w:p>
        </w:tc>
      </w:tr>
      <w:tr>
        <w:trPr>
          <w:trHeight w:val="282"/>
        </w:trPr>
        <w:tc>
          <w:tcPr>
            <w:tcW w:w="3320" w:type="dxa"/>
            <w:vAlign w:val="bottom"/>
          </w:tcPr>
          <w:p>
            <w:pPr>
              <w:spacing w:after="0"/>
              <w:rPr>
                <w:sz w:val="24"/>
                <w:szCs w:val="24"/>
                <w:color w:val="auto"/>
              </w:rPr>
            </w:pPr>
          </w:p>
        </w:tc>
        <w:tc>
          <w:tcPr>
            <w:tcW w:w="79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the Company of any transfer of the Shares.</w:t>
            </w:r>
          </w:p>
        </w:tc>
      </w:tr>
      <w:tr>
        <w:trPr>
          <w:trHeight w:val="447"/>
        </w:trPr>
        <w:tc>
          <w:tcPr>
            <w:tcW w:w="3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Adjustment   and   Change   of</w:t>
            </w:r>
          </w:p>
        </w:tc>
        <w:tc>
          <w:tcPr>
            <w:tcW w:w="79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Control  If (i) the Company shall at any time be involved in a merger or other</w:t>
            </w:r>
          </w:p>
        </w:tc>
      </w:tr>
      <w:tr>
        <w:trPr>
          <w:trHeight w:val="243"/>
        </w:trPr>
        <w:tc>
          <w:tcPr>
            <w:tcW w:w="3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Provisions:</w:t>
            </w: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transaction in which the Shares are changed or exchanged; (ii) the Company</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shall subdivide or combine the Shares or the Company shall declare a</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dividend payable in Shares, other securities (other than stock purchase rights</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issued pursuant to a shareholder rights agreement) or other property; (iii) the</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Company shall effect a cash dividend the amount of which, on a per Share</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basis, exceeds ten percent (10%) of the Fair Market Value of a Share at the</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time the dividend is declared, or the Company shall effect any other dividend</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or other distribution on the Shares in the form of cash, or a repurchase of</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Shares, that the Board determines by resolution is special or extraordinary in</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nature  or  that  is  in  connection  with  a  transaction  that  the  Company</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characterizes publicly as a recapitalization or reorganization involving the</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Shares; or (iv) any other event shall occur, which, in the case of this clause</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(iv), in the judgment of the Committee necessitates an adjustment to prevent</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dilution or enlargement of the benefits or potential benefits intended to be</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made available under this Stock Option Award, then the Committee shall, in</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such manner as it may deem equitable to prevent dilution or enlargement of</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the benefits or potential benefits intended to be made available under this</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Stock Option Award, adjust any or all of: (A) the number and type of Shares</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subject to this Stock Option Award; (B) the exercise price with respect to this</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Stock Option Award; and (C) the performance goals applicable to this Stock</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Option Award.  In any such case, the Committee may also (or in lieu of the</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w w:val="99"/>
              </w:rPr>
              <w:t>foregoing) make provision for a cash payment in exchange for the cancellation</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of all or a portion of this Stock Option Award (without your consent) in an</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amount determined by the Committee effective at such time as the Committee</w:t>
            </w:r>
          </w:p>
        </w:tc>
      </w:tr>
      <w:tr>
        <w:trPr>
          <w:trHeight w:val="243"/>
        </w:trPr>
        <w:tc>
          <w:tcPr>
            <w:tcW w:w="3320" w:type="dxa"/>
            <w:vAlign w:val="bottom"/>
          </w:tcPr>
          <w:p>
            <w:pPr>
              <w:spacing w:after="0"/>
              <w:rPr>
                <w:sz w:val="21"/>
                <w:szCs w:val="21"/>
                <w:color w:val="auto"/>
              </w:rPr>
            </w:pPr>
          </w:p>
        </w:tc>
        <w:tc>
          <w:tcPr>
            <w:tcW w:w="79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specifies (which may be the time such transaction or event is effective).</w:t>
            </w:r>
          </w:p>
        </w:tc>
      </w:tr>
      <w:tr>
        <w:trPr>
          <w:trHeight w:val="282"/>
        </w:trPr>
        <w:tc>
          <w:tcPr>
            <w:tcW w:w="3320" w:type="dxa"/>
            <w:vAlign w:val="bottom"/>
          </w:tcPr>
          <w:p>
            <w:pPr>
              <w:spacing w:after="0"/>
              <w:rPr>
                <w:sz w:val="24"/>
                <w:szCs w:val="24"/>
                <w:color w:val="auto"/>
              </w:rPr>
            </w:pPr>
          </w:p>
        </w:tc>
        <w:tc>
          <w:tcPr>
            <w:tcW w:w="79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However, the number of Shares subject to this</w:t>
            </w:r>
          </w:p>
        </w:tc>
      </w:tr>
      <w:tr>
        <w:trPr>
          <w:trHeight w:val="648"/>
        </w:trPr>
        <w:tc>
          <w:tcPr>
            <w:tcW w:w="3320" w:type="dxa"/>
            <w:vAlign w:val="bottom"/>
          </w:tcPr>
          <w:p>
            <w:pPr>
              <w:spacing w:after="0"/>
              <w:rPr>
                <w:sz w:val="24"/>
                <w:szCs w:val="24"/>
                <w:color w:val="auto"/>
              </w:rPr>
            </w:pPr>
          </w:p>
        </w:tc>
        <w:tc>
          <w:tcPr>
            <w:tcW w:w="792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6</w:t>
            </w:r>
          </w:p>
        </w:tc>
      </w:tr>
      <w:tr>
        <w:trPr>
          <w:trHeight w:val="751"/>
        </w:trPr>
        <w:tc>
          <w:tcPr>
            <w:tcW w:w="3320" w:type="dxa"/>
            <w:vAlign w:val="bottom"/>
            <w:tcBorders>
              <w:bottom w:val="single" w:sz="8" w:color="9A9A9A"/>
            </w:tcBorders>
          </w:tcPr>
          <w:p>
            <w:pPr>
              <w:spacing w:after="0"/>
              <w:rPr>
                <w:sz w:val="24"/>
                <w:szCs w:val="24"/>
                <w:color w:val="auto"/>
              </w:rPr>
            </w:pPr>
          </w:p>
        </w:tc>
        <w:tc>
          <w:tcPr>
            <w:tcW w:w="7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60" w:name="page161"/>
    <w:bookmarkEnd w:id="160"/>
    <w:p>
      <w:pPr>
        <w:jc w:val="both"/>
        <w:ind w:left="3220"/>
        <w:spacing w:after="0" w:line="238" w:lineRule="auto"/>
        <w:rPr>
          <w:sz w:val="20"/>
          <w:szCs w:val="20"/>
          <w:color w:val="auto"/>
        </w:rPr>
      </w:pPr>
      <w:r>
        <w:rPr>
          <w:rFonts w:ascii="Times New Roman" w:cs="Times New Roman" w:eastAsia="Times New Roman" w:hAnsi="Times New Roman"/>
          <w:sz w:val="22"/>
          <w:szCs w:val="22"/>
          <w:color w:val="auto"/>
        </w:rPr>
        <w:t>Stock Option Award must always be a whole number. In any event, this Stock Option Award is subject to only such adjustments as are necessary to maintain the relative proportionate interest this Stock Option Award represented immediately prior to any such event and to preserve, without exceeding, the value of this Stock Option Award.</w:t>
      </w:r>
    </w:p>
    <w:p>
      <w:pPr>
        <w:spacing w:after="0" w:line="204" w:lineRule="exact"/>
        <w:rPr>
          <w:sz w:val="20"/>
          <w:szCs w:val="20"/>
          <w:color w:val="auto"/>
        </w:rPr>
      </w:pPr>
    </w:p>
    <w:p>
      <w:pPr>
        <w:jc w:val="both"/>
        <w:ind w:left="3220"/>
        <w:spacing w:after="0" w:line="233" w:lineRule="auto"/>
        <w:rPr>
          <w:sz w:val="20"/>
          <w:szCs w:val="20"/>
          <w:color w:val="auto"/>
        </w:rPr>
      </w:pPr>
      <w:r>
        <w:rPr>
          <w:rFonts w:ascii="Times New Roman" w:cs="Times New Roman" w:eastAsia="Times New Roman" w:hAnsi="Times New Roman"/>
          <w:sz w:val="22"/>
          <w:szCs w:val="22"/>
          <w:color w:val="auto"/>
        </w:rPr>
        <w:t>Without limitation, in the event of any reorganization, merger, consolidation, combination or other similar corporate transaction or event, whether or not constituting a Change of Control (as defined below) (other than any such transaction in which the Company is the continuing corporation and in which the outstanding Shares are not being converted into or exchanged for different securities, cash or other property, or any combination thereof), the Committee may substitute, on an equitable basis as the Committee determines, for each Share then subject to this Stock Option Award, the number and kind of shares of stock, other securities, cash or other property to which holders of Shares are or will be entitled in respect of each Share pursuant to the transaction. A “Change of Control” shall have the meaning given in the Company’s 2016 Omnibus Incentive Plan.</w:t>
      </w:r>
    </w:p>
    <w:p>
      <w:pPr>
        <w:spacing w:after="0" w:line="212" w:lineRule="exact"/>
        <w:rPr>
          <w:sz w:val="20"/>
          <w:szCs w:val="20"/>
          <w:color w:val="auto"/>
        </w:rPr>
      </w:pPr>
    </w:p>
    <w:p>
      <w:pPr>
        <w:jc w:val="both"/>
        <w:ind w:left="3220"/>
        <w:spacing w:after="0" w:line="236" w:lineRule="auto"/>
        <w:rPr>
          <w:sz w:val="20"/>
          <w:szCs w:val="20"/>
          <w:color w:val="auto"/>
        </w:rPr>
      </w:pPr>
      <w:r>
        <w:rPr>
          <w:rFonts w:ascii="Times New Roman" w:cs="Times New Roman" w:eastAsia="Times New Roman" w:hAnsi="Times New Roman"/>
          <w:sz w:val="22"/>
          <w:szCs w:val="22"/>
          <w:color w:val="auto"/>
        </w:rPr>
        <w:t>Notwithstanding the foregoing, in the case of a stock dividend (other than a stock dividend declared in lieu of an ordinary cash dividend) or subdivision or combination of the Shares (including a reverse stock split), if no action is taken by the Committee, adjustments contemplated by this subsection that are proportionate shall nevertheless automatically be made as of the date of such stock dividend or subdivision or combination of the Shares.</w:t>
      </w:r>
    </w:p>
    <w:p>
      <w:pPr>
        <w:spacing w:after="0" w:line="208" w:lineRule="exact"/>
        <w:rPr>
          <w:sz w:val="20"/>
          <w:szCs w:val="20"/>
          <w:color w:val="auto"/>
        </w:rPr>
      </w:pPr>
    </w:p>
    <w:p>
      <w:pPr>
        <w:jc w:val="both"/>
        <w:ind w:left="3220"/>
        <w:spacing w:after="0" w:line="238" w:lineRule="auto"/>
        <w:rPr>
          <w:sz w:val="20"/>
          <w:szCs w:val="20"/>
          <w:color w:val="auto"/>
        </w:rPr>
      </w:pPr>
      <w:r>
        <w:rPr>
          <w:rFonts w:ascii="Times New Roman" w:cs="Times New Roman" w:eastAsia="Times New Roman" w:hAnsi="Times New Roman"/>
          <w:sz w:val="22"/>
          <w:szCs w:val="22"/>
          <w:color w:val="auto"/>
        </w:rPr>
        <w:t>Notwithstanding any other provision of this Stock Option Award, in connection with any merger, consolidation, acquisition of property or stock, or reorganization, the Committee may authorize the issuance or assumption of this Stock Option Award upon such terms and conditions as it may deem appropriate.</w:t>
      </w:r>
    </w:p>
    <w:p>
      <w:pPr>
        <w:spacing w:after="0" w:line="204" w:lineRule="exact"/>
        <w:rPr>
          <w:sz w:val="20"/>
          <w:szCs w:val="20"/>
          <w:color w:val="auto"/>
        </w:rPr>
      </w:pPr>
    </w:p>
    <w:p>
      <w:pPr>
        <w:jc w:val="both"/>
        <w:ind w:left="3220"/>
        <w:spacing w:after="0" w:line="238" w:lineRule="auto"/>
        <w:rPr>
          <w:sz w:val="20"/>
          <w:szCs w:val="20"/>
          <w:color w:val="auto"/>
        </w:rPr>
      </w:pPr>
      <w:r>
        <w:rPr>
          <w:rFonts w:ascii="Times New Roman" w:cs="Times New Roman" w:eastAsia="Times New Roman" w:hAnsi="Times New Roman"/>
          <w:sz w:val="22"/>
          <w:szCs w:val="22"/>
          <w:color w:val="auto"/>
        </w:rPr>
        <w:t>In order to preserve your rights under this Stock Option Award in the event of a Change of Control, the Committee in its discretion may take one or more of the following actions at any time: (a) provide for the acceleration of any time period, or the deemed achievement of any performance goals, relating to the exercise or realization of</w:t>
      </w:r>
    </w:p>
    <w:p>
      <w:pPr>
        <w:spacing w:after="0" w:line="36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408" w:right="4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53"/>
        </w:trPr>
        <w:tc>
          <w:tcPr>
            <w:tcW w:w="2880" w:type="dxa"/>
            <w:vAlign w:val="bottom"/>
          </w:tcPr>
          <w:p>
            <w:pPr>
              <w:spacing w:after="0"/>
              <w:rPr>
                <w:sz w:val="22"/>
                <w:szCs w:val="22"/>
                <w:color w:val="auto"/>
              </w:rPr>
            </w:pPr>
          </w:p>
        </w:tc>
        <w:tc>
          <w:tcPr>
            <w:tcW w:w="836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this Stock Option Award; (b) provide for the purchase of this Stock Option</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Award for an amount of cash or other property that could have been received</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upon the exercise or realization of this Stock Option Award had this Stock</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Option Award been currently exercisable or payable (or the cancellation of</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this Stock Option Award in exchange for no payment to the extent that no</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cash or other property would be received upon the exercise or realization of</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this Stock Option Award in such circumstances); (c) adjust the terms of this</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w w:val="99"/>
              </w:rPr>
              <w:t>Stock Option Award in the manner determined by the Committee to reflect the</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Change of Control; (d) cause this Stock Option Award to be assumed, or new</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right substituted therefor, by another entity; or (e) make such other provision</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as the Committee may consider equitable and in the best interests of the</w:t>
            </w:r>
          </w:p>
        </w:tc>
      </w:tr>
      <w:tr>
        <w:trPr>
          <w:trHeight w:val="282"/>
        </w:trPr>
        <w:tc>
          <w:tcPr>
            <w:tcW w:w="2880" w:type="dxa"/>
            <w:vAlign w:val="bottom"/>
          </w:tcPr>
          <w:p>
            <w:pPr>
              <w:spacing w:after="0"/>
              <w:rPr>
                <w:sz w:val="24"/>
                <w:szCs w:val="24"/>
                <w:color w:val="auto"/>
              </w:rPr>
            </w:pPr>
          </w:p>
        </w:tc>
        <w:tc>
          <w:tcPr>
            <w:tcW w:w="836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Company.</w:t>
            </w:r>
          </w:p>
        </w:tc>
      </w:tr>
      <w:tr>
        <w:trPr>
          <w:trHeight w:val="447"/>
        </w:trPr>
        <w:tc>
          <w:tcPr>
            <w:tcW w:w="2880" w:type="dxa"/>
            <w:vAlign w:val="bottom"/>
          </w:tcPr>
          <w:p>
            <w:pPr>
              <w:spacing w:after="0"/>
              <w:rPr>
                <w:sz w:val="24"/>
                <w:szCs w:val="24"/>
                <w:color w:val="auto"/>
              </w:rPr>
            </w:pPr>
          </w:p>
        </w:tc>
        <w:tc>
          <w:tcPr>
            <w:tcW w:w="836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9"/>
              </w:rPr>
              <w:t>Except as otherwise expressly provided in any agreement between you and the</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Company or an Affiliate, if the receipt of any payment by you under the</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circumstances described above would result in the payment by you of any</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excise tax provided for in Section 280G and Section 4999 of the Code, then</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the amount of such payment shall be reduced to the extent required to prevent</w:t>
            </w:r>
          </w:p>
        </w:tc>
      </w:tr>
      <w:tr>
        <w:trPr>
          <w:trHeight w:val="282"/>
        </w:trPr>
        <w:tc>
          <w:tcPr>
            <w:tcW w:w="2880" w:type="dxa"/>
            <w:vAlign w:val="bottom"/>
          </w:tcPr>
          <w:p>
            <w:pPr>
              <w:spacing w:after="0"/>
              <w:rPr>
                <w:sz w:val="24"/>
                <w:szCs w:val="24"/>
                <w:color w:val="auto"/>
              </w:rPr>
            </w:pPr>
          </w:p>
        </w:tc>
        <w:tc>
          <w:tcPr>
            <w:tcW w:w="836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the imposition of such excise tax.</w:t>
            </w:r>
          </w:p>
        </w:tc>
      </w:tr>
      <w:tr>
        <w:trPr>
          <w:trHeight w:val="447"/>
        </w:trPr>
        <w:tc>
          <w:tcPr>
            <w:tcW w:w="2880" w:type="dxa"/>
            <w:vAlign w:val="bottom"/>
          </w:tcPr>
          <w:p>
            <w:pPr>
              <w:spacing w:after="0"/>
              <w:rPr>
                <w:sz w:val="24"/>
                <w:szCs w:val="24"/>
                <w:color w:val="auto"/>
              </w:rPr>
            </w:pPr>
          </w:p>
        </w:tc>
        <w:tc>
          <w:tcPr>
            <w:tcW w:w="836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Notwithstanding anything contained in this section, the Board may, in its sole</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and absolute discretion, amend, modify or rescind the provisions of this</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section if it determines that the operation of this section may prevent a</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transaction in which the Company or any Affiliate is a party from receiving</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w w:val="99"/>
              </w:rPr>
              <w:t>desired tax treatment, including without limitation requiring that you receive a</w:t>
            </w:r>
          </w:p>
        </w:tc>
      </w:tr>
      <w:tr>
        <w:trPr>
          <w:trHeight w:val="243"/>
        </w:trPr>
        <w:tc>
          <w:tcPr>
            <w:tcW w:w="2880" w:type="dxa"/>
            <w:vAlign w:val="bottom"/>
          </w:tcPr>
          <w:p>
            <w:pPr>
              <w:spacing w:after="0"/>
              <w:rPr>
                <w:sz w:val="21"/>
                <w:szCs w:val="21"/>
                <w:color w:val="auto"/>
              </w:rPr>
            </w:pPr>
          </w:p>
        </w:tc>
        <w:tc>
          <w:tcPr>
            <w:tcW w:w="83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replacement or substitute Stock Option Award issued by the surviving or</w:t>
            </w:r>
          </w:p>
        </w:tc>
      </w:tr>
      <w:tr>
        <w:trPr>
          <w:trHeight w:val="282"/>
        </w:trPr>
        <w:tc>
          <w:tcPr>
            <w:tcW w:w="2880" w:type="dxa"/>
            <w:vAlign w:val="bottom"/>
          </w:tcPr>
          <w:p>
            <w:pPr>
              <w:spacing w:after="0"/>
              <w:rPr>
                <w:sz w:val="24"/>
                <w:szCs w:val="24"/>
                <w:color w:val="auto"/>
              </w:rPr>
            </w:pPr>
          </w:p>
        </w:tc>
        <w:tc>
          <w:tcPr>
            <w:tcW w:w="836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acquiring corporation.</w:t>
            </w:r>
          </w:p>
        </w:tc>
      </w:tr>
      <w:tr>
        <w:trPr>
          <w:trHeight w:val="447"/>
        </w:trPr>
        <w:tc>
          <w:tcPr>
            <w:tcW w:w="2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Miscellaneous:</w:t>
            </w:r>
          </w:p>
        </w:tc>
        <w:tc>
          <w:tcPr>
            <w:tcW w:w="836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grant of the Option shall not constitute or be evidence of any</w:t>
            </w:r>
          </w:p>
        </w:tc>
      </w:tr>
      <w:tr>
        <w:trPr>
          <w:trHeight w:val="243"/>
        </w:trPr>
        <w:tc>
          <w:tcPr>
            <w:tcW w:w="2880" w:type="dxa"/>
            <w:vAlign w:val="bottom"/>
          </w:tcPr>
          <w:p>
            <w:pPr>
              <w:spacing w:after="0"/>
              <w:rPr>
                <w:sz w:val="21"/>
                <w:szCs w:val="21"/>
                <w:color w:val="auto"/>
              </w:rPr>
            </w:pPr>
          </w:p>
        </w:tc>
        <w:tc>
          <w:tcPr>
            <w:tcW w:w="8360" w:type="dxa"/>
            <w:vAlign w:val="bottom"/>
          </w:tcPr>
          <w:p>
            <w:pPr>
              <w:ind w:left="1720"/>
              <w:spacing w:after="0" w:line="243" w:lineRule="exact"/>
              <w:rPr>
                <w:sz w:val="20"/>
                <w:szCs w:val="20"/>
                <w:color w:val="auto"/>
              </w:rPr>
            </w:pPr>
            <w:r>
              <w:rPr>
                <w:rFonts w:ascii="Times New Roman" w:cs="Times New Roman" w:eastAsia="Times New Roman" w:hAnsi="Times New Roman"/>
                <w:sz w:val="22"/>
                <w:szCs w:val="22"/>
                <w:color w:val="auto"/>
              </w:rPr>
              <w:t>agreement or understanding, express or implied, that you have a right to</w:t>
            </w:r>
          </w:p>
        </w:tc>
      </w:tr>
      <w:tr>
        <w:trPr>
          <w:trHeight w:val="243"/>
        </w:trPr>
        <w:tc>
          <w:tcPr>
            <w:tcW w:w="2880" w:type="dxa"/>
            <w:vAlign w:val="bottom"/>
          </w:tcPr>
          <w:p>
            <w:pPr>
              <w:spacing w:after="0"/>
              <w:rPr>
                <w:sz w:val="21"/>
                <w:szCs w:val="21"/>
                <w:color w:val="auto"/>
              </w:rPr>
            </w:pPr>
          </w:p>
        </w:tc>
        <w:tc>
          <w:tcPr>
            <w:tcW w:w="8360" w:type="dxa"/>
            <w:vAlign w:val="bottom"/>
          </w:tcPr>
          <w:p>
            <w:pPr>
              <w:ind w:left="1720"/>
              <w:spacing w:after="0" w:line="243" w:lineRule="exact"/>
              <w:rPr>
                <w:sz w:val="20"/>
                <w:szCs w:val="20"/>
                <w:color w:val="auto"/>
              </w:rPr>
            </w:pPr>
            <w:r>
              <w:rPr>
                <w:rFonts w:ascii="Times New Roman" w:cs="Times New Roman" w:eastAsia="Times New Roman" w:hAnsi="Times New Roman"/>
                <w:sz w:val="22"/>
                <w:szCs w:val="22"/>
                <w:color w:val="auto"/>
              </w:rPr>
              <w:t>continue as an employee of the Company or any of its Affiliates for any</w:t>
            </w:r>
          </w:p>
        </w:tc>
      </w:tr>
      <w:tr>
        <w:trPr>
          <w:trHeight w:val="243"/>
        </w:trPr>
        <w:tc>
          <w:tcPr>
            <w:tcW w:w="2880" w:type="dxa"/>
            <w:vAlign w:val="bottom"/>
          </w:tcPr>
          <w:p>
            <w:pPr>
              <w:spacing w:after="0"/>
              <w:rPr>
                <w:sz w:val="21"/>
                <w:szCs w:val="21"/>
                <w:color w:val="auto"/>
              </w:rPr>
            </w:pPr>
          </w:p>
        </w:tc>
        <w:tc>
          <w:tcPr>
            <w:tcW w:w="8360" w:type="dxa"/>
            <w:vAlign w:val="bottom"/>
          </w:tcPr>
          <w:p>
            <w:pPr>
              <w:ind w:left="1720"/>
              <w:spacing w:after="0" w:line="243" w:lineRule="exact"/>
              <w:rPr>
                <w:sz w:val="20"/>
                <w:szCs w:val="20"/>
                <w:color w:val="auto"/>
              </w:rPr>
            </w:pPr>
            <w:r>
              <w:rPr>
                <w:rFonts w:ascii="Times New Roman" w:cs="Times New Roman" w:eastAsia="Times New Roman" w:hAnsi="Times New Roman"/>
                <w:sz w:val="22"/>
                <w:szCs w:val="22"/>
                <w:color w:val="auto"/>
              </w:rPr>
              <w:t>period of time, or at any particular rate of compensation, or provide you</w:t>
            </w:r>
          </w:p>
        </w:tc>
      </w:tr>
      <w:tr>
        <w:trPr>
          <w:trHeight w:val="282"/>
        </w:trPr>
        <w:tc>
          <w:tcPr>
            <w:tcW w:w="2880" w:type="dxa"/>
            <w:vAlign w:val="bottom"/>
          </w:tcPr>
          <w:p>
            <w:pPr>
              <w:spacing w:after="0"/>
              <w:rPr>
                <w:sz w:val="24"/>
                <w:szCs w:val="24"/>
                <w:color w:val="auto"/>
              </w:rPr>
            </w:pPr>
          </w:p>
        </w:tc>
        <w:tc>
          <w:tcPr>
            <w:tcW w:w="83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with any rights as a shareholder of the Company.</w:t>
            </w:r>
          </w:p>
        </w:tc>
      </w:tr>
      <w:tr>
        <w:trPr>
          <w:trHeight w:val="312"/>
        </w:trPr>
        <w:tc>
          <w:tcPr>
            <w:tcW w:w="2880" w:type="dxa"/>
            <w:vAlign w:val="bottom"/>
          </w:tcPr>
          <w:p>
            <w:pPr>
              <w:spacing w:after="0"/>
              <w:rPr>
                <w:sz w:val="24"/>
                <w:szCs w:val="24"/>
                <w:color w:val="auto"/>
              </w:rPr>
            </w:pPr>
          </w:p>
        </w:tc>
        <w:tc>
          <w:tcPr>
            <w:tcW w:w="836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As a condition of the granting of your Option, you agree, for yourself and</w:t>
            </w:r>
          </w:p>
        </w:tc>
      </w:tr>
      <w:tr>
        <w:trPr>
          <w:trHeight w:val="243"/>
        </w:trPr>
        <w:tc>
          <w:tcPr>
            <w:tcW w:w="2880" w:type="dxa"/>
            <w:vAlign w:val="bottom"/>
          </w:tcPr>
          <w:p>
            <w:pPr>
              <w:spacing w:after="0"/>
              <w:rPr>
                <w:sz w:val="21"/>
                <w:szCs w:val="21"/>
                <w:color w:val="auto"/>
              </w:rPr>
            </w:pPr>
          </w:p>
        </w:tc>
        <w:tc>
          <w:tcPr>
            <w:tcW w:w="8360" w:type="dxa"/>
            <w:vAlign w:val="bottom"/>
          </w:tcPr>
          <w:p>
            <w:pPr>
              <w:ind w:left="1720"/>
              <w:spacing w:after="0" w:line="243" w:lineRule="exact"/>
              <w:rPr>
                <w:sz w:val="20"/>
                <w:szCs w:val="20"/>
                <w:color w:val="auto"/>
              </w:rPr>
            </w:pPr>
            <w:r>
              <w:rPr>
                <w:rFonts w:ascii="Times New Roman" w:cs="Times New Roman" w:eastAsia="Times New Roman" w:hAnsi="Times New Roman"/>
                <w:sz w:val="22"/>
                <w:szCs w:val="22"/>
                <w:color w:val="auto"/>
              </w:rPr>
              <w:t>your legal representatives or guardians, that this Stock Option Award shall</w:t>
            </w:r>
          </w:p>
        </w:tc>
      </w:tr>
      <w:tr>
        <w:trPr>
          <w:trHeight w:val="282"/>
        </w:trPr>
        <w:tc>
          <w:tcPr>
            <w:tcW w:w="2880" w:type="dxa"/>
            <w:vAlign w:val="bottom"/>
          </w:tcPr>
          <w:p>
            <w:pPr>
              <w:spacing w:after="0"/>
              <w:rPr>
                <w:sz w:val="24"/>
                <w:szCs w:val="24"/>
                <w:color w:val="auto"/>
              </w:rPr>
            </w:pPr>
          </w:p>
        </w:tc>
        <w:tc>
          <w:tcPr>
            <w:tcW w:w="83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be interpreted by the Committee and that any</w:t>
            </w:r>
          </w:p>
        </w:tc>
      </w:tr>
      <w:tr>
        <w:trPr>
          <w:trHeight w:val="648"/>
        </w:trPr>
        <w:tc>
          <w:tcPr>
            <w:tcW w:w="2880" w:type="dxa"/>
            <w:vAlign w:val="bottom"/>
          </w:tcPr>
          <w:p>
            <w:pPr>
              <w:spacing w:after="0"/>
              <w:rPr>
                <w:sz w:val="24"/>
                <w:szCs w:val="24"/>
                <w:color w:val="auto"/>
              </w:rPr>
            </w:pPr>
          </w:p>
        </w:tc>
        <w:tc>
          <w:tcPr>
            <w:tcW w:w="8360" w:type="dxa"/>
            <w:vAlign w:val="bottom"/>
          </w:tcPr>
          <w:p>
            <w:pPr>
              <w:ind w:left="2700"/>
              <w:spacing w:after="0"/>
              <w:rPr>
                <w:sz w:val="20"/>
                <w:szCs w:val="20"/>
                <w:color w:val="auto"/>
              </w:rPr>
            </w:pPr>
            <w:r>
              <w:rPr>
                <w:rFonts w:ascii="Times New Roman" w:cs="Times New Roman" w:eastAsia="Times New Roman" w:hAnsi="Times New Roman"/>
                <w:sz w:val="22"/>
                <w:szCs w:val="22"/>
                <w:color w:val="auto"/>
              </w:rPr>
              <w:t>8</w:t>
            </w:r>
          </w:p>
        </w:tc>
      </w:tr>
      <w:tr>
        <w:trPr>
          <w:trHeight w:val="751"/>
        </w:trPr>
        <w:tc>
          <w:tcPr>
            <w:tcW w:w="288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62" w:name="page163"/>
    <w:bookmarkEnd w:id="162"/>
    <w:p>
      <w:pPr>
        <w:jc w:val="both"/>
        <w:ind w:left="3480"/>
        <w:spacing w:after="0" w:line="242" w:lineRule="auto"/>
        <w:rPr>
          <w:sz w:val="20"/>
          <w:szCs w:val="20"/>
          <w:color w:val="auto"/>
        </w:rPr>
      </w:pPr>
      <w:r>
        <w:rPr>
          <w:rFonts w:ascii="Times New Roman" w:cs="Times New Roman" w:eastAsia="Times New Roman" w:hAnsi="Times New Roman"/>
          <w:sz w:val="21"/>
          <w:szCs w:val="21"/>
          <w:color w:val="auto"/>
        </w:rPr>
        <w:t>interpretation by the Committee of the terms of this Stock Option Award and any determination made by the Committee pursuant to this Stock Option Award shall be final, binding and conclusive. The Committee may modify, amend or cancel this Stock Option Award, or waive any restrictions or conditions applicable to this Stock Option Award or the exercise of your Option; provided that, except as otherwise provided herein, any modification or amendment that materially diminishes your rights, or the cancellation of this Stock Option Award, shall be effective only if agreed to by you, but the Committee need not obtain your (or other interested party’s) consent for the modification, amendment or cancellation of this Stock Option Award pursuant to the provision below relating to certain conduct or the “Adjustment and Change of Control Provisions” of this Stock Option Award or as follows: (A) to the extent the Committee deems such action necessary to comply with any applicable law or the listing requirements of any principal securities exchange or market on which the Shares are then traded; (B) to the extent the Committee deems necessary to preserve favorable accounting or tax treatment of this Stock Option Award for the Company; or (C) to the extent the Committee determines that such action does not materially and adversely affect the value of this Stock Option Award or that such action is in your best interest (or any other person(s) as may then have an interest in this Stock Option Award). Notwithstanding anything to the contrary herein, the Committee shall have full power and authority to terminate or cause you to forfeit this Stock Option Award, and require you to disgorge to the Company any gains attributable to this Stock Option Award, if you engage in any action constituting, as determined by the Committee in its discretion, Cause for termination, or a breach of this Stock Option Award or any other agreement between you and the Company or an Affiliate concerning noncompetition, nonsolicitation, confidentiality, trade secrets, intellectual property, nondisparagement or similar obligations.</w:t>
      </w:r>
    </w:p>
    <w:p>
      <w:pPr>
        <w:spacing w:after="0" w:line="253" w:lineRule="exact"/>
        <w:rPr>
          <w:sz w:val="20"/>
          <w:szCs w:val="20"/>
          <w:color w:val="auto"/>
        </w:rPr>
      </w:pPr>
    </w:p>
    <w:p>
      <w:pPr>
        <w:jc w:val="both"/>
        <w:ind w:left="3480" w:hanging="269"/>
        <w:spacing w:after="0" w:line="235" w:lineRule="auto"/>
        <w:tabs>
          <w:tab w:leader="none" w:pos="34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 a condition of the granting of your Option, you acknowledge and agree that this Stock Option Award constitutes the entire agreement of the parties with respect to the subject matter of this Stock Option</w:t>
      </w:r>
    </w:p>
    <w:p>
      <w:pPr>
        <w:spacing w:after="0" w:line="36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408" w:right="439" w:bottom="1440" w:gutter="0" w:footer="0" w:header="0"/>
        </w:sectPr>
      </w:pPr>
    </w:p>
    <w:bookmarkStart w:id="163" w:name="page164"/>
    <w:bookmarkEnd w:id="163"/>
    <w:p>
      <w:pPr>
        <w:jc w:val="both"/>
        <w:ind w:left="3480"/>
        <w:spacing w:after="0" w:line="233" w:lineRule="auto"/>
        <w:rPr>
          <w:sz w:val="20"/>
          <w:szCs w:val="20"/>
          <w:color w:val="auto"/>
        </w:rPr>
      </w:pPr>
      <w:r>
        <w:rPr>
          <w:rFonts w:ascii="Times New Roman" w:cs="Times New Roman" w:eastAsia="Times New Roman" w:hAnsi="Times New Roman"/>
          <w:sz w:val="22"/>
          <w:szCs w:val="22"/>
          <w:color w:val="auto"/>
        </w:rPr>
        <w:t>Award. This Stock Option Award supersedes any and all other agreements or representations, both verbal and written, between the parties to this Stock Option Award with respect to your Option. You represent and warrant that you have no other outstanding options to purchase common stock or any other security of the Company other than your Option or any options previously granted and described in any agreement similar to this Stock Option Award, and you hereby release the Company from any claims and liabilities relating thereto.</w:t>
      </w:r>
    </w:p>
    <w:p>
      <w:pPr>
        <w:spacing w:after="0" w:line="3" w:lineRule="exact"/>
        <w:rPr>
          <w:sz w:val="20"/>
          <w:szCs w:val="20"/>
          <w:color w:val="auto"/>
        </w:rPr>
      </w:pPr>
    </w:p>
    <w:p>
      <w:pPr>
        <w:ind w:left="3480" w:hanging="269"/>
        <w:spacing w:after="0"/>
        <w:tabs>
          <w:tab w:leader="none" w:pos="34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This Stock Option Award may be executed in counterparts.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i w:val="1"/>
          <w:iCs w:val="1"/>
          <w:color w:val="auto"/>
        </w:rPr>
        <w:t>[Signatures on next page]</w:t>
      </w:r>
    </w:p>
    <w:p>
      <w:pPr>
        <w:spacing w:after="0" w:line="39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408" w:right="439" w:bottom="1440" w:gutter="0" w:footer="0" w:header="0"/>
        </w:sectPr>
      </w:pPr>
    </w:p>
    <w:bookmarkStart w:id="164" w:name="page165"/>
    <w:bookmarkEnd w:id="164"/>
    <w:p>
      <w:pPr>
        <w:jc w:val="center"/>
        <w:ind w:right="40"/>
        <w:spacing w:after="0" w:line="258" w:lineRule="auto"/>
        <w:rPr>
          <w:sz w:val="20"/>
          <w:szCs w:val="20"/>
          <w:color w:val="auto"/>
        </w:rPr>
      </w:pPr>
      <w:r>
        <w:rPr>
          <w:rFonts w:ascii="Times New Roman" w:cs="Times New Roman" w:eastAsia="Times New Roman" w:hAnsi="Times New Roman"/>
          <w:sz w:val="22"/>
          <w:szCs w:val="22"/>
          <w:color w:val="auto"/>
        </w:rPr>
        <w:t>BY SIGNING BELOW AND ACCEPTING THIS STOCK OPTION AWARD, YOU AGREE TO ALL OF THE TERMS AND CONDITIONS DESCRIBED HEREIN.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ORION ENERGY SYSTEMS, INC.</w:t>
            </w:r>
          </w:p>
        </w:tc>
        <w:tc>
          <w:tcPr>
            <w:tcW w:w="7600" w:type="dxa"/>
            <w:vAlign w:val="bottom"/>
          </w:tcPr>
          <w:p>
            <w:pPr>
              <w:spacing w:after="0"/>
              <w:rPr>
                <w:sz w:val="24"/>
                <w:szCs w:val="24"/>
                <w:color w:val="auto"/>
              </w:rPr>
            </w:pPr>
          </w:p>
        </w:tc>
      </w:tr>
      <w:tr>
        <w:trPr>
          <w:trHeight w:val="447"/>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By: ____________________________</w:t>
            </w:r>
          </w:p>
        </w:tc>
        <w:tc>
          <w:tcPr>
            <w:tcW w:w="7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___________________________________</w:t>
            </w:r>
          </w:p>
        </w:tc>
      </w:tr>
      <w:tr>
        <w:trPr>
          <w:trHeight w:val="243"/>
        </w:trPr>
        <w:tc>
          <w:tcPr>
            <w:tcW w:w="3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Name:   J. Per Brodin</w:t>
            </w:r>
          </w:p>
        </w:tc>
        <w:tc>
          <w:tcPr>
            <w:tcW w:w="76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Grantee</w:t>
            </w:r>
          </w:p>
        </w:tc>
      </w:tr>
      <w:tr>
        <w:trPr>
          <w:trHeight w:val="282"/>
        </w:trPr>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7600" w:type="dxa"/>
            <w:vAlign w:val="bottom"/>
          </w:tcPr>
          <w:p>
            <w:pPr>
              <w:spacing w:after="0"/>
              <w:rPr>
                <w:sz w:val="24"/>
                <w:szCs w:val="24"/>
                <w:color w:val="auto"/>
              </w:rPr>
            </w:pPr>
          </w:p>
        </w:tc>
      </w:tr>
      <w:tr>
        <w:trPr>
          <w:trHeight w:val="648"/>
        </w:trPr>
        <w:tc>
          <w:tcPr>
            <w:tcW w:w="3640" w:type="dxa"/>
            <w:vAlign w:val="bottom"/>
          </w:tcPr>
          <w:p>
            <w:pPr>
              <w:spacing w:after="0"/>
              <w:rPr>
                <w:sz w:val="24"/>
                <w:szCs w:val="24"/>
                <w:color w:val="auto"/>
              </w:rPr>
            </w:pPr>
          </w:p>
        </w:tc>
        <w:tc>
          <w:tcPr>
            <w:tcW w:w="7600" w:type="dxa"/>
            <w:vAlign w:val="bottom"/>
          </w:tcPr>
          <w:p>
            <w:pPr>
              <w:jc w:val="right"/>
              <w:ind w:right="5392"/>
              <w:spacing w:after="0"/>
              <w:rPr>
                <w:sz w:val="20"/>
                <w:szCs w:val="20"/>
                <w:color w:val="auto"/>
              </w:rPr>
            </w:pPr>
            <w:r>
              <w:rPr>
                <w:rFonts w:ascii="Times New Roman" w:cs="Times New Roman" w:eastAsia="Times New Roman" w:hAnsi="Times New Roman"/>
                <w:sz w:val="22"/>
                <w:szCs w:val="22"/>
                <w:color w:val="auto"/>
              </w:rPr>
              <w:t>11</w:t>
            </w:r>
          </w:p>
        </w:tc>
      </w:tr>
      <w:tr>
        <w:trPr>
          <w:trHeight w:val="751"/>
        </w:trPr>
        <w:tc>
          <w:tcPr>
            <w:tcW w:w="364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5" w:name="page166"/>
    <w:bookmarkEnd w:id="165"/>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ORION ENERGY SYSTEMS, INC.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STOCK OPTION EXERCISE</w:t>
      </w:r>
    </w:p>
    <w:p>
      <w:pPr>
        <w:spacing w:after="0" w:line="337" w:lineRule="exact"/>
        <w:rPr>
          <w:sz w:val="20"/>
          <w:szCs w:val="20"/>
          <w:color w:val="auto"/>
        </w:rPr>
      </w:pPr>
    </w:p>
    <w:p>
      <w:pPr>
        <w:spacing w:after="0"/>
        <w:tabs>
          <w:tab w:leader="none" w:pos="8020" w:val="left"/>
        </w:tabs>
        <w:rPr>
          <w:sz w:val="20"/>
          <w:szCs w:val="20"/>
          <w:color w:val="auto"/>
        </w:rPr>
      </w:pPr>
      <w:r>
        <w:rPr>
          <w:rFonts w:ascii="Times New Roman" w:cs="Times New Roman" w:eastAsia="Times New Roman" w:hAnsi="Times New Roman"/>
          <w:sz w:val="20"/>
          <w:szCs w:val="20"/>
          <w:i w:val="1"/>
          <w:iCs w:val="1"/>
          <w:color w:val="auto"/>
        </w:rPr>
        <w:t>Your completed form should be sent by mail or email to:____________________________.</w:t>
        <w:tab/>
        <w:t>Phone: ___________________ Email: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_____________________________________. </w:t>
      </w:r>
      <w:r>
        <w:rPr>
          <w:rFonts w:ascii="Times New Roman" w:cs="Times New Roman" w:eastAsia="Times New Roman" w:hAnsi="Times New Roman"/>
          <w:sz w:val="20"/>
          <w:szCs w:val="20"/>
          <w:b w:val="1"/>
          <w:bCs w:val="1"/>
          <w:i w:val="1"/>
          <w:iCs w:val="1"/>
          <w:color w:val="auto"/>
        </w:rPr>
        <w:t>Incomplete forms may cause a delay in processing your option exercise.</w:t>
      </w:r>
    </w:p>
    <w:p>
      <w:pPr>
        <w:spacing w:after="0" w:line="20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PART 1: OPTIONEE INFORMATION </w:t>
      </w:r>
      <w:r>
        <w:rPr>
          <w:rFonts w:ascii="Times New Roman" w:cs="Times New Roman" w:eastAsia="Times New Roman" w:hAnsi="Times New Roman"/>
          <w:sz w:val="20"/>
          <w:szCs w:val="20"/>
          <w:i w:val="1"/>
          <w:iCs w:val="1"/>
          <w:color w:val="auto"/>
        </w:rPr>
        <w:t>Please complete the following. PLEASE WRITE YOUR FULL LEGAL NAME SINCE THIS NAME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WILL BE ON YOUR STOCK CERTIFICATE.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Name:________________________________________________________________________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Street Address: ________________________________________________________________</w:t>
      </w:r>
    </w:p>
    <w:p>
      <w:pPr>
        <w:spacing w:after="0" w:line="229" w:lineRule="exact"/>
        <w:rPr>
          <w:sz w:val="20"/>
          <w:szCs w:val="20"/>
          <w:color w:val="auto"/>
        </w:rPr>
      </w:pPr>
    </w:p>
    <w:p>
      <w:pPr>
        <w:spacing w:after="0"/>
        <w:tabs>
          <w:tab w:leader="none" w:pos="2760" w:val="left"/>
          <w:tab w:leader="none" w:pos="5140" w:val="left"/>
        </w:tabs>
        <w:rPr>
          <w:sz w:val="20"/>
          <w:szCs w:val="20"/>
          <w:color w:val="auto"/>
        </w:rPr>
      </w:pPr>
      <w:r>
        <w:rPr>
          <w:rFonts w:ascii="Times New Roman" w:cs="Times New Roman" w:eastAsia="Times New Roman" w:hAnsi="Times New Roman"/>
          <w:sz w:val="20"/>
          <w:szCs w:val="20"/>
          <w:color w:val="auto"/>
        </w:rPr>
        <w:t>City: _____________________</w:t>
        <w:tab/>
        <w:t>State:_________________</w:t>
      </w:r>
      <w:r>
        <w:rPr>
          <w:sz w:val="20"/>
          <w:szCs w:val="20"/>
          <w:color w:val="auto"/>
        </w:rPr>
        <w:tab/>
      </w:r>
      <w:r>
        <w:rPr>
          <w:rFonts w:ascii="Times New Roman" w:cs="Times New Roman" w:eastAsia="Times New Roman" w:hAnsi="Times New Roman"/>
          <w:sz w:val="19"/>
          <w:szCs w:val="19"/>
          <w:color w:val="auto"/>
        </w:rPr>
        <w:t>Zip Code:_______________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Work Phone #: (_____) - _______- ________ Home Phone #: (_____) - _______- 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Social Security #: ______ - _____ - _______</w:t>
      </w:r>
    </w:p>
    <w:p>
      <w:pPr>
        <w:spacing w:after="0" w:line="225" w:lineRule="exact"/>
        <w:rPr>
          <w:sz w:val="20"/>
          <w:szCs w:val="20"/>
          <w:color w:val="auto"/>
        </w:rPr>
      </w:pPr>
    </w:p>
    <w:p>
      <w:pPr>
        <w:spacing w:after="0"/>
        <w:tabs>
          <w:tab w:leader="none" w:pos="5420" w:val="left"/>
        </w:tabs>
        <w:rPr>
          <w:sz w:val="20"/>
          <w:szCs w:val="20"/>
          <w:color w:val="auto"/>
        </w:rPr>
      </w:pPr>
      <w:r>
        <w:rPr>
          <w:rFonts w:ascii="Times New Roman" w:cs="Times New Roman" w:eastAsia="Times New Roman" w:hAnsi="Times New Roman"/>
          <w:sz w:val="20"/>
          <w:szCs w:val="20"/>
          <w:color w:val="auto"/>
        </w:rPr>
        <w:t>PART 2: DESCRIPTION OF OPTION(S) BEING EXERCISED</w:t>
      </w:r>
      <w:r>
        <w:rPr>
          <w:sz w:val="20"/>
          <w:szCs w:val="20"/>
          <w:color w:val="auto"/>
        </w:rPr>
        <w:tab/>
      </w:r>
      <w:r>
        <w:rPr>
          <w:rFonts w:ascii="Times New Roman" w:cs="Times New Roman" w:eastAsia="Times New Roman" w:hAnsi="Times New Roman"/>
          <w:sz w:val="20"/>
          <w:szCs w:val="20"/>
          <w:i w:val="1"/>
          <w:iCs w:val="1"/>
          <w:color w:val="auto"/>
        </w:rPr>
        <w:t>Please complete the following for each option that you wish to exercise.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For each option listed below, </w:t>
      </w:r>
      <w:r>
        <w:rPr>
          <w:rFonts w:ascii="Times New Roman" w:cs="Times New Roman" w:eastAsia="Times New Roman" w:hAnsi="Times New Roman"/>
          <w:sz w:val="20"/>
          <w:szCs w:val="20"/>
          <w:i w:val="1"/>
          <w:iCs w:val="1"/>
          <w:u w:val="single" w:color="auto"/>
          <w:color w:val="auto"/>
        </w:rPr>
        <w:t>you must exercise at least 100 shares</w:t>
      </w:r>
      <w:r>
        <w:rPr>
          <w:rFonts w:ascii="Times New Roman" w:cs="Times New Roman" w:eastAsia="Times New Roman" w:hAnsi="Times New Roman"/>
          <w:sz w:val="20"/>
          <w:szCs w:val="20"/>
          <w:i w:val="1"/>
          <w:iCs w:val="1"/>
          <w:color w:val="auto"/>
        </w:rPr>
        <w:t>, unless you are exercising the entire remaining portion of an option.</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380" w:type="dxa"/>
            <w:vAlign w:val="bottom"/>
            <w:tcBorders>
              <w:top w:val="single" w:sz="8" w:color="auto"/>
              <w:left w:val="single" w:sz="8" w:color="auto"/>
              <w:right w:val="single" w:sz="8" w:color="auto"/>
            </w:tcBorders>
          </w:tcPr>
          <w:p>
            <w:pPr>
              <w:ind w:left="660"/>
              <w:spacing w:after="0" w:line="224" w:lineRule="exact"/>
              <w:rPr>
                <w:sz w:val="20"/>
                <w:szCs w:val="20"/>
                <w:color w:val="auto"/>
              </w:rPr>
            </w:pPr>
            <w:r>
              <w:rPr>
                <w:rFonts w:ascii="Times New Roman" w:cs="Times New Roman" w:eastAsia="Times New Roman" w:hAnsi="Times New Roman"/>
                <w:sz w:val="20"/>
                <w:szCs w:val="20"/>
                <w:color w:val="auto"/>
              </w:rPr>
              <w:t>Date of Grant</w:t>
            </w:r>
          </w:p>
        </w:tc>
        <w:tc>
          <w:tcPr>
            <w:tcW w:w="1780" w:type="dxa"/>
            <w:vAlign w:val="bottom"/>
            <w:tcBorders>
              <w:top w:val="single" w:sz="8" w:color="auto"/>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8"/>
              </w:rPr>
              <w:t>Type of Option</w:t>
            </w:r>
          </w:p>
        </w:tc>
        <w:tc>
          <w:tcPr>
            <w:tcW w:w="240" w:type="dxa"/>
            <w:vAlign w:val="bottom"/>
            <w:tcBorders>
              <w:top w:val="single" w:sz="8" w:color="auto"/>
            </w:tcBorders>
          </w:tcPr>
          <w:p>
            <w:pPr>
              <w:spacing w:after="0"/>
              <w:rPr>
                <w:sz w:val="19"/>
                <w:szCs w:val="19"/>
                <w:color w:val="auto"/>
              </w:rPr>
            </w:pPr>
          </w:p>
        </w:tc>
        <w:tc>
          <w:tcPr>
            <w:tcW w:w="1860" w:type="dxa"/>
            <w:vAlign w:val="bottom"/>
            <w:tcBorders>
              <w:top w:val="single" w:sz="8" w:color="auto"/>
              <w:right w:val="single" w:sz="8" w:color="auto"/>
            </w:tcBorders>
          </w:tcPr>
          <w:p>
            <w:pPr>
              <w:jc w:val="center"/>
              <w:ind w:right="221"/>
              <w:spacing w:after="0" w:line="224" w:lineRule="exact"/>
              <w:rPr>
                <w:sz w:val="20"/>
                <w:szCs w:val="20"/>
                <w:color w:val="auto"/>
              </w:rPr>
            </w:pPr>
            <w:r>
              <w:rPr>
                <w:rFonts w:ascii="Times New Roman" w:cs="Times New Roman" w:eastAsia="Times New Roman" w:hAnsi="Times New Roman"/>
                <w:sz w:val="20"/>
                <w:szCs w:val="20"/>
                <w:color w:val="auto"/>
                <w:w w:val="99"/>
              </w:rPr>
              <w:t>Exercise Price Per</w:t>
            </w:r>
          </w:p>
        </w:tc>
        <w:tc>
          <w:tcPr>
            <w:tcW w:w="1760" w:type="dxa"/>
            <w:vAlign w:val="bottom"/>
            <w:tcBorders>
              <w:top w:val="single" w:sz="8" w:color="auto"/>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8"/>
              </w:rPr>
              <w:t>Number of Option</w:t>
            </w:r>
          </w:p>
        </w:tc>
        <w:tc>
          <w:tcPr>
            <w:tcW w:w="3220" w:type="dxa"/>
            <w:vAlign w:val="bottom"/>
            <w:tcBorders>
              <w:top w:val="single" w:sz="8" w:color="auto"/>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Aggregate Exercise Price (multiply</w:t>
            </w:r>
          </w:p>
        </w:tc>
      </w:tr>
      <w:tr>
        <w:trPr>
          <w:trHeight w:val="229"/>
        </w:trPr>
        <w:tc>
          <w:tcPr>
            <w:tcW w:w="2380" w:type="dxa"/>
            <w:vAlign w:val="bottom"/>
            <w:tcBorders>
              <w:left w:val="single" w:sz="8" w:color="auto"/>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(specify ISO or</w:t>
            </w:r>
          </w:p>
        </w:tc>
        <w:tc>
          <w:tcPr>
            <w:tcW w:w="240" w:type="dxa"/>
            <w:vAlign w:val="bottom"/>
          </w:tcPr>
          <w:p>
            <w:pPr>
              <w:spacing w:after="0"/>
              <w:rPr>
                <w:sz w:val="19"/>
                <w:szCs w:val="19"/>
                <w:color w:val="auto"/>
              </w:rPr>
            </w:pPr>
          </w:p>
        </w:tc>
        <w:tc>
          <w:tcPr>
            <w:tcW w:w="1860" w:type="dxa"/>
            <w:vAlign w:val="bottom"/>
            <w:tcBorders>
              <w:right w:val="single" w:sz="8" w:color="auto"/>
            </w:tcBorders>
          </w:tcPr>
          <w:p>
            <w:pPr>
              <w:jc w:val="center"/>
              <w:ind w:right="161"/>
              <w:spacing w:after="0"/>
              <w:rPr>
                <w:sz w:val="20"/>
                <w:szCs w:val="20"/>
                <w:color w:val="auto"/>
              </w:rPr>
            </w:pPr>
            <w:r>
              <w:rPr>
                <w:rFonts w:ascii="Times New Roman" w:cs="Times New Roman" w:eastAsia="Times New Roman" w:hAnsi="Times New Roman"/>
                <w:sz w:val="20"/>
                <w:szCs w:val="20"/>
                <w:color w:val="auto"/>
                <w:w w:val="96"/>
              </w:rPr>
              <w:t>Share</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Shares Being</w:t>
            </w: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Exercise Price Per Share by number</w:t>
            </w:r>
          </w:p>
        </w:tc>
      </w:tr>
      <w:tr>
        <w:trPr>
          <w:trHeight w:val="269"/>
        </w:trPr>
        <w:tc>
          <w:tcPr>
            <w:tcW w:w="2380" w:type="dxa"/>
            <w:vAlign w:val="bottom"/>
            <w:tcBorders>
              <w:left w:val="single" w:sz="8" w:color="auto"/>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NQSO)</w:t>
            </w: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Purchased</w:t>
            </w: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of Option Shares being purchased)</w:t>
            </w:r>
          </w:p>
        </w:tc>
      </w:tr>
      <w:tr>
        <w:trPr>
          <w:trHeight w:val="235"/>
        </w:trPr>
        <w:tc>
          <w:tcPr>
            <w:tcW w:w="238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3220" w:type="dxa"/>
            <w:vAlign w:val="bottom"/>
            <w:tcBorders>
              <w:right w:val="single" w:sz="8" w:color="auto"/>
            </w:tcBorders>
          </w:tcPr>
          <w:p>
            <w:pPr>
              <w:jc w:val="right"/>
              <w:ind w:right="294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80" w:type="dxa"/>
            <w:vAlign w:val="bottom"/>
            <w:tcBorders>
              <w:left w:val="single" w:sz="8" w:color="auto"/>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c>
          <w:tcPr>
            <w:tcW w:w="3220" w:type="dxa"/>
            <w:vAlign w:val="bottom"/>
            <w:tcBorders>
              <w:bottom w:val="single" w:sz="8" w:color="auto"/>
              <w:right w:val="single" w:sz="8" w:color="auto"/>
            </w:tcBorders>
          </w:tcPr>
          <w:p>
            <w:pPr>
              <w:spacing w:after="0"/>
              <w:rPr>
                <w:sz w:val="17"/>
                <w:szCs w:val="17"/>
                <w:color w:val="auto"/>
              </w:rPr>
            </w:pPr>
          </w:p>
        </w:tc>
      </w:tr>
      <w:tr>
        <w:trPr>
          <w:trHeight w:val="252"/>
        </w:trPr>
        <w:tc>
          <w:tcPr>
            <w:tcW w:w="238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Borders>
              <w:right w:val="single" w:sz="8" w:color="auto"/>
            </w:tcBorders>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3220" w:type="dxa"/>
            <w:vAlign w:val="bottom"/>
            <w:tcBorders>
              <w:right w:val="single" w:sz="8" w:color="auto"/>
            </w:tcBorders>
          </w:tcPr>
          <w:p>
            <w:pPr>
              <w:jc w:val="right"/>
              <w:ind w:right="294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80" w:type="dxa"/>
            <w:vAlign w:val="bottom"/>
            <w:tcBorders>
              <w:left w:val="single" w:sz="8" w:color="auto"/>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c>
          <w:tcPr>
            <w:tcW w:w="3220" w:type="dxa"/>
            <w:vAlign w:val="bottom"/>
            <w:tcBorders>
              <w:bottom w:val="single" w:sz="8" w:color="auto"/>
              <w:right w:val="single" w:sz="8" w:color="auto"/>
            </w:tcBorders>
          </w:tcPr>
          <w:p>
            <w:pPr>
              <w:spacing w:after="0"/>
              <w:rPr>
                <w:sz w:val="17"/>
                <w:szCs w:val="17"/>
                <w:color w:val="auto"/>
              </w:rPr>
            </w:pPr>
          </w:p>
        </w:tc>
      </w:tr>
      <w:tr>
        <w:trPr>
          <w:trHeight w:val="252"/>
        </w:trPr>
        <w:tc>
          <w:tcPr>
            <w:tcW w:w="238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Borders>
              <w:right w:val="single" w:sz="8" w:color="auto"/>
            </w:tcBorders>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3220" w:type="dxa"/>
            <w:vAlign w:val="bottom"/>
            <w:tcBorders>
              <w:right w:val="single" w:sz="8" w:color="auto"/>
            </w:tcBorders>
          </w:tcPr>
          <w:p>
            <w:pPr>
              <w:jc w:val="right"/>
              <w:ind w:right="294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80" w:type="dxa"/>
            <w:vAlign w:val="bottom"/>
            <w:tcBorders>
              <w:left w:val="single" w:sz="8" w:color="auto"/>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c>
          <w:tcPr>
            <w:tcW w:w="3220" w:type="dxa"/>
            <w:vAlign w:val="bottom"/>
            <w:tcBorders>
              <w:bottom w:val="single" w:sz="8" w:color="auto"/>
              <w:right w:val="single" w:sz="8" w:color="auto"/>
            </w:tcBorders>
          </w:tcPr>
          <w:p>
            <w:pPr>
              <w:spacing w:after="0"/>
              <w:rPr>
                <w:sz w:val="17"/>
                <w:szCs w:val="17"/>
                <w:color w:val="auto"/>
              </w:rPr>
            </w:pPr>
          </w:p>
        </w:tc>
      </w:tr>
      <w:tr>
        <w:trPr>
          <w:trHeight w:val="252"/>
        </w:trPr>
        <w:tc>
          <w:tcPr>
            <w:tcW w:w="238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Borders>
              <w:right w:val="single" w:sz="8" w:color="auto"/>
            </w:tcBorders>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3220" w:type="dxa"/>
            <w:vAlign w:val="bottom"/>
            <w:tcBorders>
              <w:right w:val="single" w:sz="8" w:color="auto"/>
            </w:tcBorders>
          </w:tcPr>
          <w:p>
            <w:pPr>
              <w:jc w:val="right"/>
              <w:ind w:right="294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80" w:type="dxa"/>
            <w:vAlign w:val="bottom"/>
            <w:tcBorders>
              <w:left w:val="single" w:sz="8" w:color="auto"/>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c>
          <w:tcPr>
            <w:tcW w:w="3220" w:type="dxa"/>
            <w:vAlign w:val="bottom"/>
            <w:tcBorders>
              <w:bottom w:val="single" w:sz="8" w:color="auto"/>
              <w:right w:val="single" w:sz="8" w:color="auto"/>
            </w:tcBorders>
          </w:tcPr>
          <w:p>
            <w:pPr>
              <w:spacing w:after="0"/>
              <w:rPr>
                <w:sz w:val="17"/>
                <w:szCs w:val="17"/>
                <w:color w:val="auto"/>
              </w:rPr>
            </w:pPr>
          </w:p>
        </w:tc>
      </w:tr>
      <w:tr>
        <w:trPr>
          <w:trHeight w:val="252"/>
        </w:trPr>
        <w:tc>
          <w:tcPr>
            <w:tcW w:w="238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Borders>
              <w:right w:val="single" w:sz="8" w:color="auto"/>
            </w:tcBorders>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3220" w:type="dxa"/>
            <w:vAlign w:val="bottom"/>
            <w:tcBorders>
              <w:right w:val="single" w:sz="8" w:color="auto"/>
            </w:tcBorders>
          </w:tcPr>
          <w:p>
            <w:pPr>
              <w:jc w:val="right"/>
              <w:ind w:right="2941"/>
              <w:spacing w:after="0"/>
              <w:rPr>
                <w:sz w:val="20"/>
                <w:szCs w:val="20"/>
                <w:color w:val="auto"/>
              </w:rPr>
            </w:pPr>
            <w:r>
              <w:rPr>
                <w:rFonts w:ascii="Times New Roman" w:cs="Times New Roman" w:eastAsia="Times New Roman" w:hAnsi="Times New Roman"/>
                <w:sz w:val="20"/>
                <w:szCs w:val="20"/>
                <w:color w:val="auto"/>
              </w:rPr>
              <w:t>$</w:t>
            </w:r>
          </w:p>
        </w:tc>
      </w:tr>
      <w:tr>
        <w:trPr>
          <w:trHeight w:val="201"/>
        </w:trPr>
        <w:tc>
          <w:tcPr>
            <w:tcW w:w="2380" w:type="dxa"/>
            <w:vAlign w:val="bottom"/>
            <w:tcBorders>
              <w:left w:val="single" w:sz="8" w:color="auto"/>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c>
          <w:tcPr>
            <w:tcW w:w="3220" w:type="dxa"/>
            <w:vAlign w:val="bottom"/>
            <w:tcBorders>
              <w:bottom w:val="single" w:sz="8" w:color="auto"/>
              <w:right w:val="single" w:sz="8" w:color="auto"/>
            </w:tcBorders>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Total Exercise Price for all of the options being exercised (as listed above) is: $_________________.</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color w:val="auto"/>
        </w:rPr>
        <w:t xml:space="preserve">PART 3: METHOD OF PAYMENT OF OPTION EXERCISE PRICE  </w:t>
      </w:r>
      <w:r>
        <w:rPr>
          <w:rFonts w:ascii="Times New Roman" w:cs="Times New Roman" w:eastAsia="Times New Roman" w:hAnsi="Times New Roman"/>
          <w:sz w:val="20"/>
          <w:szCs w:val="20"/>
          <w:i w:val="1"/>
          <w:iCs w:val="1"/>
          <w:color w:val="auto"/>
        </w:rPr>
        <w:t>Please select only one: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Exercise</w:t>
      </w:r>
      <w:r>
        <w:rPr>
          <w:rFonts w:ascii="Times New Roman" w:cs="Times New Roman" w:eastAsia="Times New Roman" w:hAnsi="Times New Roman"/>
          <w:sz w:val="20"/>
          <w:szCs w:val="20"/>
          <w:color w:val="auto"/>
        </w:rPr>
        <w:t>. I am enclosing a check or money order payable to “Orion Energy Systems, Inc.” for the Total Exercise Price.</w:t>
      </w:r>
    </w:p>
    <w:p>
      <w:pPr>
        <w:spacing w:after="0" w:line="242" w:lineRule="exact"/>
        <w:rPr>
          <w:sz w:val="20"/>
          <w:szCs w:val="20"/>
          <w:color w:val="auto"/>
        </w:rPr>
      </w:pPr>
    </w:p>
    <w:p>
      <w:pPr>
        <w:ind w:left="380" w:right="140"/>
        <w:spacing w:after="0" w:line="254" w:lineRule="auto"/>
        <w:rPr>
          <w:sz w:val="20"/>
          <w:szCs w:val="20"/>
          <w:color w:val="auto"/>
        </w:rPr>
      </w:pPr>
      <w:r>
        <w:rPr>
          <w:rFonts w:ascii="Times New Roman" w:cs="Times New Roman" w:eastAsia="Times New Roman" w:hAnsi="Times New Roman"/>
          <w:sz w:val="20"/>
          <w:szCs w:val="20"/>
          <w:u w:val="single" w:color="auto"/>
          <w:color w:val="auto"/>
        </w:rPr>
        <w:t>Cashless Exercise Through the Company.</w:t>
      </w:r>
      <w:r>
        <w:rPr>
          <w:rFonts w:ascii="Times New Roman" w:cs="Times New Roman" w:eastAsia="Times New Roman" w:hAnsi="Times New Roman"/>
          <w:sz w:val="20"/>
          <w:szCs w:val="20"/>
          <w:color w:val="auto"/>
        </w:rPr>
        <w:t xml:space="preserve"> Please withhold a whole number of shares otherwise deliverable to me upon exercise having a Fair Market Value equal to the Total Exercise Price and issue the net number of shares to me. Any fractional share remaining will be paid to me in cash.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Cashless Exercise Through a Broker-Dealer</w:t>
      </w:r>
      <w:r>
        <w:rPr>
          <w:rFonts w:ascii="Times New Roman" w:cs="Times New Roman" w:eastAsia="Times New Roman" w:hAnsi="Times New Roman"/>
          <w:sz w:val="20"/>
          <w:szCs w:val="20"/>
          <w:color w:val="auto"/>
        </w:rPr>
        <w:t>. I have requested through the broker specified below to (</w:t>
      </w:r>
      <w:r>
        <w:rPr>
          <w:rFonts w:ascii="Times New Roman" w:cs="Times New Roman" w:eastAsia="Times New Roman" w:hAnsi="Times New Roman"/>
          <w:sz w:val="20"/>
          <w:szCs w:val="20"/>
          <w:i w:val="1"/>
          <w:iCs w:val="1"/>
          <w:color w:val="auto"/>
        </w:rPr>
        <w:t>select only one</w:t>
      </w:r>
      <w:r>
        <w:rPr>
          <w:rFonts w:ascii="Times New Roman" w:cs="Times New Roman" w:eastAsia="Times New Roman" w:hAnsi="Times New Roman"/>
          <w:sz w:val="20"/>
          <w:szCs w:val="20"/>
          <w:color w:val="auto"/>
        </w:rPr>
        <w:t>):</w:t>
      </w:r>
    </w:p>
    <w:p>
      <w:pPr>
        <w:spacing w:after="0" w:line="242" w:lineRule="exact"/>
        <w:rPr>
          <w:sz w:val="20"/>
          <w:szCs w:val="20"/>
          <w:color w:val="auto"/>
        </w:rPr>
      </w:pPr>
    </w:p>
    <w:p>
      <w:pPr>
        <w:ind w:left="840" w:right="120"/>
        <w:spacing w:after="0" w:line="254" w:lineRule="auto"/>
        <w:rPr>
          <w:sz w:val="20"/>
          <w:szCs w:val="20"/>
          <w:color w:val="auto"/>
        </w:rPr>
      </w:pPr>
      <w:r>
        <w:rPr>
          <w:rFonts w:ascii="Times New Roman" w:cs="Times New Roman" w:eastAsia="Times New Roman" w:hAnsi="Times New Roman"/>
          <w:sz w:val="20"/>
          <w:szCs w:val="20"/>
          <w:u w:val="single" w:color="auto"/>
          <w:color w:val="auto"/>
        </w:rPr>
        <w:t>Sell to Cover</w:t>
      </w:r>
      <w:r>
        <w:rPr>
          <w:rFonts w:ascii="Times New Roman" w:cs="Times New Roman" w:eastAsia="Times New Roman" w:hAnsi="Times New Roman"/>
          <w:sz w:val="20"/>
          <w:szCs w:val="20"/>
          <w:color w:val="auto"/>
        </w:rPr>
        <w:t xml:space="preserve">. Sell or margin </w:t>
      </w:r>
      <w:r>
        <w:rPr>
          <w:rFonts w:ascii="Times New Roman" w:cs="Times New Roman" w:eastAsia="Times New Roman" w:hAnsi="Times New Roman"/>
          <w:sz w:val="20"/>
          <w:szCs w:val="20"/>
          <w:u w:val="single" w:color="auto"/>
          <w:color w:val="auto"/>
        </w:rPr>
        <w:t>only enough</w:t>
      </w:r>
      <w:r>
        <w:rPr>
          <w:rFonts w:ascii="Times New Roman" w:cs="Times New Roman" w:eastAsia="Times New Roman" w:hAnsi="Times New Roman"/>
          <w:sz w:val="20"/>
          <w:szCs w:val="20"/>
          <w:color w:val="auto"/>
        </w:rPr>
        <w:t xml:space="preserve"> of the option(s) being exercised to cover the Total Exercise Price (and tax withholding, if elected in Part 5), deliver the sale or margin loan proceeds directly to Orion Energy Systems, Inc., and deposit the remaining shares and any residual cash in my brokerage account.</w:t>
      </w:r>
    </w:p>
    <w:p>
      <w:pPr>
        <w:spacing w:after="0" w:line="201" w:lineRule="exact"/>
        <w:rPr>
          <w:sz w:val="20"/>
          <w:szCs w:val="20"/>
          <w:color w:val="auto"/>
        </w:rPr>
      </w:pPr>
    </w:p>
    <w:p>
      <w:pPr>
        <w:ind w:left="840"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Same-Day-Sale</w:t>
      </w:r>
      <w:r>
        <w:rPr>
          <w:rFonts w:ascii="Times New Roman" w:cs="Times New Roman" w:eastAsia="Times New Roman" w:hAnsi="Times New Roman"/>
          <w:sz w:val="20"/>
          <w:szCs w:val="20"/>
          <w:color w:val="auto"/>
        </w:rPr>
        <w:t xml:space="preserve">. Sell or margin </w:t>
      </w:r>
      <w:r>
        <w:rPr>
          <w:rFonts w:ascii="Times New Roman" w:cs="Times New Roman" w:eastAsia="Times New Roman" w:hAnsi="Times New Roman"/>
          <w:sz w:val="20"/>
          <w:szCs w:val="20"/>
          <w:u w:val="single" w:color="auto"/>
          <w:color w:val="auto"/>
        </w:rPr>
        <w:t>all</w:t>
      </w:r>
      <w:r>
        <w:rPr>
          <w:rFonts w:ascii="Times New Roman" w:cs="Times New Roman" w:eastAsia="Times New Roman" w:hAnsi="Times New Roman"/>
          <w:sz w:val="20"/>
          <w:szCs w:val="20"/>
          <w:color w:val="auto"/>
        </w:rPr>
        <w:t xml:space="preserve"> of the shares of common stock issuable upon exercise of the option(s), deliver a portion of the sale or margin loan proceeds directly to Orion Energy Systems, Inc. to pay the Total Exercise Price (and tax withholding, if elected in Part 5), and deposit any remaining cash proceeds in my brokerage account.</w:t>
      </w:r>
    </w:p>
    <w:p>
      <w:pPr>
        <w:spacing w:after="0" w:line="206" w:lineRule="exact"/>
        <w:rPr>
          <w:sz w:val="20"/>
          <w:szCs w:val="20"/>
          <w:color w:val="auto"/>
        </w:rPr>
      </w:pPr>
    </w:p>
    <w:p>
      <w:pPr>
        <w:ind w:left="300"/>
        <w:spacing w:after="0"/>
        <w:tabs>
          <w:tab w:leader="none" w:pos="3460" w:val="left"/>
        </w:tabs>
        <w:rPr>
          <w:sz w:val="20"/>
          <w:szCs w:val="20"/>
          <w:color w:val="auto"/>
        </w:rPr>
      </w:pPr>
      <w:r>
        <w:rPr>
          <w:rFonts w:ascii="Times New Roman" w:cs="Times New Roman" w:eastAsia="Times New Roman" w:hAnsi="Times New Roman"/>
          <w:sz w:val="20"/>
          <w:szCs w:val="20"/>
          <w:color w:val="auto"/>
        </w:rPr>
        <w:t>Sale Price*: __________________</w:t>
      </w:r>
      <w:r>
        <w:rPr>
          <w:sz w:val="20"/>
          <w:szCs w:val="20"/>
          <w:color w:val="auto"/>
        </w:rPr>
        <w:tab/>
      </w:r>
      <w:r>
        <w:rPr>
          <w:rFonts w:ascii="Times New Roman" w:cs="Times New Roman" w:eastAsia="Times New Roman" w:hAnsi="Times New Roman"/>
          <w:sz w:val="19"/>
          <w:szCs w:val="19"/>
          <w:color w:val="auto"/>
        </w:rPr>
        <w:t>Sale Date*: _______________________________</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i w:val="1"/>
          <w:iCs w:val="1"/>
          <w:color w:val="auto"/>
        </w:rPr>
        <w:t>*The sale price and sale date are required in order to execute the cashless exercise.</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Broker-Dealer Name:_________________________________________________________</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Contact Person: ______________________________________________________________</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DWAC – Depository Trust Company (DTC) #: ____________________________________</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Brokerage Account #: _________________________________________________________</w:t>
      </w:r>
    </w:p>
    <w:p>
      <w:pPr>
        <w:spacing w:after="0" w:line="229" w:lineRule="exact"/>
        <w:rPr>
          <w:sz w:val="20"/>
          <w:szCs w:val="20"/>
          <w:color w:val="auto"/>
        </w:rPr>
      </w:pPr>
    </w:p>
    <w:p>
      <w:pPr>
        <w:ind w:left="300"/>
        <w:spacing w:after="0"/>
        <w:tabs>
          <w:tab w:leader="none" w:pos="2040" w:val="left"/>
          <w:tab w:leader="none" w:pos="2720" w:val="left"/>
          <w:tab w:leader="none" w:pos="3460" w:val="left"/>
        </w:tabs>
        <w:rPr>
          <w:sz w:val="20"/>
          <w:szCs w:val="20"/>
          <w:color w:val="auto"/>
        </w:rPr>
      </w:pPr>
      <w:r>
        <w:rPr>
          <w:rFonts w:ascii="Times New Roman" w:cs="Times New Roman" w:eastAsia="Times New Roman" w:hAnsi="Times New Roman"/>
          <w:sz w:val="20"/>
          <w:szCs w:val="20"/>
          <w:color w:val="auto"/>
        </w:rPr>
        <w:t xml:space="preserve">Broker Phone #: </w:t>
      </w:r>
      <w:r>
        <w:rPr>
          <w:rFonts w:ascii="Times New Roman" w:cs="Times New Roman" w:eastAsia="Times New Roman" w:hAnsi="Times New Roman"/>
          <w:sz w:val="20"/>
          <w:szCs w:val="20"/>
          <w:u w:val="single" w:color="auto"/>
          <w:color w:val="auto"/>
        </w:rPr>
        <w:t>(</w:t>
      </w:r>
      <w:r>
        <w:rPr>
          <w:sz w:val="20"/>
          <w:szCs w:val="20"/>
          <w:color w:val="auto"/>
        </w:rPr>
        <w:tab/>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Broker Fax #:  (_____</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________</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-10795</wp:posOffset>
            </wp:positionV>
            <wp:extent cx="7327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5">
                      <a:extLst>
                        <a:ext uri="{28A0092B-C50C-407E-A947-70E740481C1C}"/>
                      </a:extLst>
                    </a:blip>
                    <a:srcRect/>
                    <a:stretch>
                      <a:fillRect/>
                    </a:stretch>
                  </pic:blipFill>
                  <pic:spPr bwMode="auto">
                    <a:xfrm>
                      <a:off x="0" y="0"/>
                      <a:ext cx="732790" cy="8890"/>
                    </a:xfrm>
                    <a:prstGeom prst="rect">
                      <a:avLst/>
                    </a:prstGeom>
                    <a:noFill/>
                  </pic:spPr>
                </pic:pic>
              </a:graphicData>
            </a:graphic>
          </wp:anchor>
        </w:drawing>
      </w:r>
    </w:p>
    <w:p>
      <w:pPr>
        <w:spacing w:after="0" w:line="205" w:lineRule="exact"/>
        <w:rPr>
          <w:sz w:val="20"/>
          <w:szCs w:val="20"/>
          <w:color w:val="auto"/>
        </w:rPr>
      </w:pPr>
    </w:p>
    <w:p>
      <w:pPr>
        <w:jc w:val="center"/>
        <w:ind w:left="600" w:right="2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It is your responsibility to contact a broker to open a brokerage account and sell your stock option shares. Orion Energy Systems, Inc. WILL NOT send this form to your broker.</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PART 4 CERTIFICATE MAILING INSTRUCTIONS </w:t>
      </w:r>
      <w:r>
        <w:rPr>
          <w:rFonts w:ascii="Times New Roman" w:cs="Times New Roman" w:eastAsia="Times New Roman" w:hAnsi="Times New Roman"/>
          <w:sz w:val="20"/>
          <w:szCs w:val="20"/>
          <w:i w:val="1"/>
          <w:iCs w:val="1"/>
          <w:color w:val="auto"/>
        </w:rPr>
        <w:t>Do not complete this portion if you elected a cashless exercise through a broker-dealer. (Shares issued pursuant to a cashless exercise through a broker-dealer will be automatically sent to your specified broker.) Also, complete this section only if the certificate for the purchased shares is to be sent to a different address than specified in Part 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certificate for the purchased shares should be sent to the following address: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Street Address: ________________________________________________________________</w:t>
      </w:r>
    </w:p>
    <w:p>
      <w:pPr>
        <w:spacing w:after="0" w:line="229" w:lineRule="exact"/>
        <w:rPr>
          <w:sz w:val="20"/>
          <w:szCs w:val="20"/>
          <w:color w:val="auto"/>
        </w:rPr>
      </w:pPr>
    </w:p>
    <w:p>
      <w:pPr>
        <w:spacing w:after="0"/>
        <w:tabs>
          <w:tab w:leader="none" w:pos="2760" w:val="left"/>
          <w:tab w:leader="none" w:pos="5140" w:val="left"/>
        </w:tabs>
        <w:rPr>
          <w:sz w:val="20"/>
          <w:szCs w:val="20"/>
          <w:color w:val="auto"/>
        </w:rPr>
      </w:pPr>
      <w:r>
        <w:rPr>
          <w:rFonts w:ascii="Times New Roman" w:cs="Times New Roman" w:eastAsia="Times New Roman" w:hAnsi="Times New Roman"/>
          <w:sz w:val="20"/>
          <w:szCs w:val="20"/>
          <w:color w:val="auto"/>
        </w:rPr>
        <w:t>City: _____________________</w:t>
        <w:tab/>
        <w:t>State:_________________</w:t>
      </w:r>
      <w:r>
        <w:rPr>
          <w:sz w:val="20"/>
          <w:szCs w:val="20"/>
          <w:color w:val="auto"/>
        </w:rPr>
        <w:tab/>
      </w:r>
      <w:r>
        <w:rPr>
          <w:rFonts w:ascii="Times New Roman" w:cs="Times New Roman" w:eastAsia="Times New Roman" w:hAnsi="Times New Roman"/>
          <w:sz w:val="19"/>
          <w:szCs w:val="19"/>
          <w:color w:val="auto"/>
        </w:rPr>
        <w:t>Zip Code:_______________</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7" w:name="page168"/>
    <w:bookmarkEnd w:id="167"/>
    <w:p>
      <w:pPr>
        <w:spacing w:after="0" w:line="273" w:lineRule="auto"/>
        <w:rPr>
          <w:sz w:val="20"/>
          <w:szCs w:val="20"/>
          <w:color w:val="auto"/>
        </w:rPr>
      </w:pPr>
      <w:r>
        <w:rPr>
          <w:rFonts w:ascii="Times New Roman" w:cs="Times New Roman" w:eastAsia="Times New Roman" w:hAnsi="Times New Roman"/>
          <w:sz w:val="20"/>
          <w:szCs w:val="20"/>
          <w:color w:val="auto"/>
        </w:rPr>
        <w:t xml:space="preserve">PART 5: METHOD OF SATISFYING TAX WITHHOLDING OBLIGATION </w:t>
      </w:r>
      <w:r>
        <w:rPr>
          <w:rFonts w:ascii="Times New Roman" w:cs="Times New Roman" w:eastAsia="Times New Roman" w:hAnsi="Times New Roman"/>
          <w:sz w:val="20"/>
          <w:szCs w:val="20"/>
          <w:i w:val="1"/>
          <w:iCs w:val="1"/>
          <w:color w:val="auto"/>
        </w:rPr>
        <w:t>Please select only one. You do not need to complete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Part if you are exercising only incentive stock options (ISOs) or if you are a non-employee director.</w:t>
      </w:r>
    </w:p>
    <w:p>
      <w:pPr>
        <w:spacing w:after="0" w:line="165" w:lineRule="exact"/>
        <w:rPr>
          <w:sz w:val="20"/>
          <w:szCs w:val="20"/>
          <w:color w:val="auto"/>
        </w:rPr>
      </w:pPr>
    </w:p>
    <w:p>
      <w:pPr>
        <w:ind w:left="380" w:right="180"/>
        <w:spacing w:after="0" w:line="269" w:lineRule="auto"/>
        <w:rPr>
          <w:sz w:val="20"/>
          <w:szCs w:val="20"/>
          <w:color w:val="auto"/>
        </w:rPr>
      </w:pPr>
      <w:r>
        <w:rPr>
          <w:rFonts w:ascii="Times New Roman" w:cs="Times New Roman" w:eastAsia="Times New Roman" w:hAnsi="Times New Roman"/>
          <w:sz w:val="20"/>
          <w:szCs w:val="20"/>
          <w:u w:val="single" w:color="auto"/>
          <w:color w:val="auto"/>
        </w:rPr>
        <w:t>Broker Exercise</w:t>
      </w:r>
      <w:r>
        <w:rPr>
          <w:rFonts w:ascii="Times New Roman" w:cs="Times New Roman" w:eastAsia="Times New Roman" w:hAnsi="Times New Roman"/>
          <w:sz w:val="20"/>
          <w:szCs w:val="20"/>
          <w:color w:val="auto"/>
        </w:rPr>
        <w:t>. I have elected to exercise my option(s) through a broker in Part 3. The broker will sell sufficient shares to pay for the tax amount and will remit that amount to Orion Energy Systems, Inc.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w:t>
      </w:r>
      <w:r>
        <w:rPr>
          <w:rFonts w:ascii="Times New Roman" w:cs="Times New Roman" w:eastAsia="Times New Roman" w:hAnsi="Times New Roman"/>
          <w:sz w:val="20"/>
          <w:szCs w:val="20"/>
          <w:color w:val="auto"/>
        </w:rPr>
        <w:t>. I am enclosing a check or money order payable to “Orion Energy Systems, Inc.” for the withholding tax amount.</w:t>
      </w:r>
    </w:p>
    <w:p>
      <w:pPr>
        <w:spacing w:after="0" w:line="242" w:lineRule="exact"/>
        <w:rPr>
          <w:sz w:val="20"/>
          <w:szCs w:val="20"/>
          <w:color w:val="auto"/>
        </w:rPr>
      </w:pPr>
    </w:p>
    <w:p>
      <w:pPr>
        <w:ind w:left="380" w:right="420"/>
        <w:spacing w:after="0" w:line="295" w:lineRule="auto"/>
        <w:rPr>
          <w:sz w:val="20"/>
          <w:szCs w:val="20"/>
          <w:color w:val="auto"/>
        </w:rPr>
      </w:pPr>
      <w:r>
        <w:rPr>
          <w:rFonts w:ascii="Times New Roman" w:cs="Times New Roman" w:eastAsia="Times New Roman" w:hAnsi="Times New Roman"/>
          <w:sz w:val="19"/>
          <w:szCs w:val="19"/>
          <w:u w:val="single" w:color="auto"/>
          <w:color w:val="auto"/>
        </w:rPr>
        <w:t>Withhold Shares</w:t>
      </w:r>
      <w:r>
        <w:rPr>
          <w:rFonts w:ascii="Times New Roman" w:cs="Times New Roman" w:eastAsia="Times New Roman" w:hAnsi="Times New Roman"/>
          <w:sz w:val="19"/>
          <w:szCs w:val="19"/>
          <w:color w:val="auto"/>
        </w:rPr>
        <w:t xml:space="preserve">. Please withhold a whole number of shares otherwise deliverable to me upon exercise having a Fair Market Value equal to the </w:t>
      </w:r>
      <w:r>
        <w:rPr>
          <w:rFonts w:ascii="Times New Roman" w:cs="Times New Roman" w:eastAsia="Times New Roman" w:hAnsi="Times New Roman"/>
          <w:sz w:val="19"/>
          <w:szCs w:val="19"/>
          <w:u w:val="single" w:color="auto"/>
          <w:color w:val="auto"/>
        </w:rPr>
        <w:t>minimum</w:t>
      </w:r>
      <w:r>
        <w:rPr>
          <w:rFonts w:ascii="Times New Roman" w:cs="Times New Roman" w:eastAsia="Times New Roman" w:hAnsi="Times New Roman"/>
          <w:sz w:val="19"/>
          <w:szCs w:val="19"/>
          <w:color w:val="auto"/>
        </w:rPr>
        <w:t xml:space="preserve"> statutory tax that is required to be withheld. Any fractional share remaining will be paid to me in cash.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6 ACKNOWLEDGEMENTS AND SIGNATURE</w:t>
      </w:r>
    </w:p>
    <w:p>
      <w:pPr>
        <w:spacing w:after="0" w:line="216" w:lineRule="exact"/>
        <w:rPr>
          <w:sz w:val="20"/>
          <w:szCs w:val="20"/>
          <w:color w:val="auto"/>
        </w:rPr>
      </w:pPr>
    </w:p>
    <w:p>
      <w:pPr>
        <w:ind w:left="760" w:hanging="752"/>
        <w:spacing w:after="0" w:line="269" w:lineRule="auto"/>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all sales of Orion’s common stock received upon exercise of this option are subject to compliance with the company’s policy on securities trades.</w:t>
      </w:r>
    </w:p>
    <w:p>
      <w:pPr>
        <w:spacing w:after="0" w:line="159"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hereby acknowledge that I have read a copy of the prospectus describing this option, and understand the tax consequences of an exercise.</w:t>
      </w:r>
    </w:p>
    <w:p>
      <w:pPr>
        <w:spacing w:after="0" w:line="159" w:lineRule="exact"/>
        <w:rPr>
          <w:rFonts w:ascii="Times New Roman" w:cs="Times New Roman" w:eastAsia="Times New Roman" w:hAnsi="Times New Roman"/>
          <w:sz w:val="20"/>
          <w:szCs w:val="20"/>
          <w:color w:val="auto"/>
        </w:rPr>
      </w:pPr>
    </w:p>
    <w:p>
      <w:pPr>
        <w:jc w:val="both"/>
        <w:ind w:left="760" w:hanging="752"/>
        <w:spacing w:after="0" w:line="254" w:lineRule="auto"/>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this notice cannot be revoked by me if I have selected a cashless exercise through a broker-dealer. I personally guarantee that the Total Exercise Price and applicable taxes will be paid to Orion Energy Systems, Inc. in full in the event the Company does not receive the full amount from the Broker for any reason.</w:t>
      </w:r>
    </w:p>
    <w:p>
      <w:pPr>
        <w:spacing w:after="0" w:line="200" w:lineRule="exact"/>
        <w:rPr>
          <w:sz w:val="20"/>
          <w:szCs w:val="20"/>
          <w:color w:val="auto"/>
        </w:rPr>
      </w:pPr>
    </w:p>
    <w:p>
      <w:pPr>
        <w:spacing w:after="0" w:line="204"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Date: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-10795</wp:posOffset>
            </wp:positionV>
            <wp:extent cx="117983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7">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77152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8">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i w:val="1"/>
          <w:iCs w:val="1"/>
          <w:color w:val="auto"/>
        </w:rPr>
        <w:t>To be completed by Corporate Human Resource Department:</w:t>
      </w:r>
    </w:p>
    <w:p>
      <w:pPr>
        <w:spacing w:after="0" w:line="2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Received by:</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8" w:name="page169"/>
    <w:bookmarkEnd w:id="168"/>
    <w:p>
      <w:pPr>
        <w:ind w:left="10020"/>
        <w:spacing w:after="0"/>
        <w:rPr>
          <w:sz w:val="20"/>
          <w:szCs w:val="20"/>
          <w:color w:val="auto"/>
        </w:rPr>
      </w:pPr>
      <w:r>
        <w:rPr>
          <w:rFonts w:ascii="Times New Roman" w:cs="Times New Roman" w:eastAsia="Times New Roman" w:hAnsi="Times New Roman"/>
          <w:sz w:val="21"/>
          <w:szCs w:val="21"/>
          <w:b w:val="1"/>
          <w:bCs w:val="1"/>
          <w:color w:val="auto"/>
        </w:rPr>
        <w:t>Exhibit 10.33</w:t>
      </w:r>
    </w:p>
    <w:p>
      <w:pPr>
        <w:spacing w:after="0" w:line="249"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22"/>
          <w:szCs w:val="22"/>
          <w:color w:val="auto"/>
        </w:rPr>
        <w:t xml:space="preserve">Grantee: </w:t>
      </w:r>
      <w:r>
        <w:rPr>
          <w:rFonts w:ascii="Times New Roman" w:cs="Times New Roman" w:eastAsia="Times New Roman" w:hAnsi="Times New Roman"/>
          <w:sz w:val="22"/>
          <w:szCs w:val="22"/>
          <w:u w:val="single" w:color="auto"/>
          <w:color w:val="auto"/>
        </w:rPr>
        <w:t>____________</w:t>
      </w:r>
    </w:p>
    <w:p>
      <w:pPr>
        <w:spacing w:after="0" w:line="4"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22"/>
          <w:szCs w:val="22"/>
          <w:color w:val="auto"/>
        </w:rPr>
        <w:t xml:space="preserve">Grant Date: </w:t>
      </w:r>
      <w:r>
        <w:rPr>
          <w:rFonts w:ascii="Times New Roman" w:cs="Times New Roman" w:eastAsia="Times New Roman" w:hAnsi="Times New Roman"/>
          <w:sz w:val="22"/>
          <w:szCs w:val="22"/>
          <w:u w:val="single" w:color="auto"/>
          <w:color w:val="auto"/>
        </w:rPr>
        <w:t>_____ _______</w:t>
      </w:r>
    </w:p>
    <w:p>
      <w:pPr>
        <w:ind w:left="8100"/>
        <w:spacing w:after="0"/>
        <w:rPr>
          <w:sz w:val="20"/>
          <w:szCs w:val="20"/>
          <w:color w:val="auto"/>
        </w:rPr>
      </w:pPr>
      <w:r>
        <w:rPr>
          <w:rFonts w:ascii="Times New Roman" w:cs="Times New Roman" w:eastAsia="Times New Roman" w:hAnsi="Times New Roman"/>
          <w:sz w:val="21"/>
          <w:szCs w:val="21"/>
          <w:color w:val="auto"/>
        </w:rPr>
        <w:t>No. of Restricted Shares: ________</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1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AWARD AGREEMENT</w:t>
      </w:r>
    </w:p>
    <w:p>
      <w:pPr>
        <w:spacing w:after="0" w:line="23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AGREEMENT (this “Agreement”) is made and entered into as of the Grant Date specified above (the “Grant Date”) by and between Orion Energy Systems, Inc., a Wisconsin corporation (the “Company”), and the Grantee specified above (“Grantee”).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has selected Grantee to receive an award of restricted common stock of the Company (this “Restricted Stock Award”); and</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as a condition to the receipt by Grantee of this Restricted Stock Award, Grantee reaffirms and agrees to be bound by the confidentiality, inventions, non-solicitation and non-competition provisions set forth in prior agreements between the Grantee and the Company, which are incorporated by reference herein, in consideration for receipt of the Restricted Stock Award pursuant hereto, continued employment, and other good and valuable consideration.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02" w:lineRule="exact"/>
        <w:rPr>
          <w:sz w:val="20"/>
          <w:szCs w:val="20"/>
          <w:color w:val="auto"/>
        </w:rPr>
      </w:pPr>
    </w:p>
    <w:p>
      <w:pPr>
        <w:ind w:left="760" w:hanging="752"/>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Award of Restricted Stock</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1.1Effective as of the Grant Date, the Company hereby grants to Grantee an award of the number of shares of restricted common stock of the Company specified above (“Restricted Stock”), subject to, and in accordance with, the restrictions, terms and conditions set forth in this Agreement.</w:t>
      </w:r>
    </w:p>
    <w:p>
      <w:pPr>
        <w:spacing w:after="0" w:line="17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1.2This Restricted Stock Award is conditioned upon Grantee’s acceptance of the terms of this Agreement and any other agreement incorporated herein, as evidenced by Grantee’s execution of this Agreement or by Grantee’s electronic acceptance of this Agreement in a manner and during the time period allowed by the Company. If the terms of this Agreement are not timely accepted by execution or by such electronic means, this Restricted Stock Award may be cancelled by the Company.</w:t>
      </w:r>
    </w:p>
    <w:p>
      <w:pPr>
        <w:spacing w:after="0" w:line="158" w:lineRule="exact"/>
        <w:rPr>
          <w:sz w:val="20"/>
          <w:szCs w:val="20"/>
          <w:color w:val="auto"/>
        </w:rPr>
      </w:pPr>
    </w:p>
    <w:p>
      <w:pPr>
        <w:ind w:left="760" w:hanging="752"/>
        <w:spacing w:after="0"/>
        <w:tabs>
          <w:tab w:leader="none" w:pos="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2.1Subject to the terms of this Agreement, if the Grantee remains employed by the Company as of the applicable vesting date, the Restricted Stock shall vest one-third (1/3) per year on each of the first three (3) anniversaries of the Grant Date set forth herein. For purposes of this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DMS=NetDocuments Format=&lt;&lt;ID&gt;&gt;.&lt;&lt;VER&gt;&gt; 4913-8466-0551.2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69" w:name="page170"/>
    <w:bookmarkEnd w:id="169"/>
    <w:p>
      <w:pPr>
        <w:jc w:val="both"/>
        <w:spacing w:after="0" w:line="258" w:lineRule="auto"/>
        <w:rPr>
          <w:sz w:val="20"/>
          <w:szCs w:val="20"/>
          <w:color w:val="auto"/>
        </w:rPr>
      </w:pPr>
      <w:r>
        <w:rPr>
          <w:rFonts w:ascii="Times New Roman" w:cs="Times New Roman" w:eastAsia="Times New Roman" w:hAnsi="Times New Roman"/>
          <w:sz w:val="22"/>
          <w:szCs w:val="22"/>
          <w:color w:val="auto"/>
        </w:rPr>
        <w:t>Agreement, employment with a subsidiary of the Company or service as a member of the Board of Directors of the Company (the “Board”) shall be considered employment with the Company.</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2.2Subject to vesting in accordance with Section 2.1 and the terms of this Agreement, Grantee shall own the vested Restricted Stock free and clear of all restrictions imposed by this Agreement. The Company shall transfer the vested Restricted Stock (less any applicable withholding pursuant to Section 5) to an unrestricted account in the name of the Grantee as soon as practical after each applicable anniversary of the Grant Date on which the Grantee remains employed by the Company.</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2.3In the event, prior to vesting, (i) Grantee dies while actively employed by the Company, or (ii) Grantee has his or her employment terminated by reason of disability (within the meaning of Section 22(e)(3) of the Internal Revenue Code of 1986, as amended (the “Code”)) (“Disability”), any Restricted Stock shall become fully vested and nonforfeitable as of the date of Grantee’s death or Disability. The Company shall transfer the Restricted Stock, free and clear of any restrictions imposed by this Agreement to Grantee (or, in the event of death, his or her surviving spouse or, if none, to his or her estate) as soon as practical after his or her date of death or termination for Disability.</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2.4In exchange for receipt of consideration in the form of this Restricted Stock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2.5Except for death or Disability as provided in Section 2.3, or except as otherwise provided in a severance agreement with Grantee, if Grantee terminates his or her employment or if the Company terminates Grantee’s employment prior to vesting, the Restricted Stock shall cease to vest further, all of the unvested Restricted Stock shall be immediately forfeited and cancelled, and Grantee shall only be entitled to the Restricted Stock that has vested as of his or her date of termination.</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2.6In the event of a Change of Control (as defined below) prior to vesting, all otherwise unvested Restricted Stock shall become fully vested and nonforfeitable as of the date of the Change of Control. A “Change of Control” shall have the meaning given in the Company’s 2016 Omnibus Incentive Plan (the “Plan”). Notwithstanding the foregoing, if the accelerated vesting contemplated by this Section 2.6 would result in the payment by Grantee of any excise tax provided for in Section 280G and Section 4999 of the Code, then the vesting shall not be accelerated to the extent required to prevent the imposition of such excise tax. The Company shall transfer the Restricted Stock that vests pursuant to this Section 2.6 to Grantee as soon as practical after the date of the Change of Control in accordance with Section 2.2.</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2.7The Restricted Stock may not be sold, assigned, transferred, pledged, or otherwise encumbered prior to the date Grantee becomes vested in the Restricted Stock, and any such attempted sale, assignment, transfer, pledge or other encumbrance shall be null and void. In addition, Grantee shall not sell any shares acquired under this Agreement except as would have been permitted by the terms of the Plan had this Restricted Stock Award been granted under the Plan and at a time when applicable laws, Company policies and any agreement between the Company and its underwriters do not prohibit a sale.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0" w:name="page171"/>
    <w:bookmarkEnd w:id="170"/>
    <w:p>
      <w:pPr>
        <w:ind w:left="760" w:hanging="752"/>
        <w:spacing w:after="0"/>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Dividends; Voting</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3.1The Restricted Stock shall be registered in the name of Grantee as of the respective Grant Date for such shares of Restricted Stock. The Company may evidence the registration of the Restricted Stock in such manner as the Administrator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3.2During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73"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3.3If (i) the Company shall at any time be involved in a merger or other transaction in which shares of the Company’s common stock (“Shares”) are changed or exchanged; (ii) the Company shall subdivide or combine the Shares or the Company shall declare a dividend payable in Shares, other securities (other than stock purchase rights issued pursuant to a shareholder rights agreement) or other property; (iii) the Company shall effect a cash dividend the amount of which, on a per Share basis, exceeds ten percent (10%) of the fair market value of a Share at the time the dividend is declared, or the Company shall effect any other dividend or other distribution on the Shares in the form of cash, or a repurchase of Shares, that the Board determines by resolution is special or extraordinary in nature or that is in connection with a transaction that the Company characterizes publicly as a recapitalization or reorganization involving the Shares; or (iv) any other event shall occur, which, in the case of this clause (iv), in the judgment of the Human Capital Management and Compensation Committee of the Board (the “Committee”) necessitates an adjustment to prevent dilution or enlargement of the benefits or potential benefits intended to be made available under this Restricted Stock Award, then the Committee shall, in such manner as it may deem equitable to prevent dilution or enlargement of the benefits or potential benefits intended to be made available under this Restricted Stock Award, adjust the number and type of shares subject to this Restricted Stock Award. In any such case, the Committee may also (or in lieu of the foregoing) make provision for a cash payment in exchange for the cancellation of all or a portion of this Restricted Stock Award (without the Grantee’s consent) in an amount determined by the Committee effective at such time as the Committee specifies (which may be the time such transaction or event is effective). However, the number of Shares subject to this Restricted Stock Award must always be a whole number. In any event, this Restricted Stock Award is subject to only such adjustments as are necessary to maintain the relative proportionate interest this Restricted Stock Award represented immediately prior to any such event and to preserve, without exceeding, the value of this Restricted Stock Award. Without limitation, in the event of any reorganization, merger, consolidation, combination or other similar corporate transaction or event, whether or not constituting a Change of Control (other than any such transaction in which the Company is the continuing corporation and in which the outstanding Shares are not being converted into or exchanged for different securities, cash or other property, or any combination thereof), the Committee may substitute, on an equitable basis as the Committee determines, for each Share then subject to this Restricted Stock Award, the number and kind of shares of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1" w:name="page172"/>
    <w:bookmarkEnd w:id="171"/>
    <w:p>
      <w:pPr>
        <w:spacing w:after="0" w:line="258" w:lineRule="auto"/>
        <w:rPr>
          <w:sz w:val="20"/>
          <w:szCs w:val="20"/>
          <w:color w:val="auto"/>
        </w:rPr>
      </w:pPr>
      <w:r>
        <w:rPr>
          <w:rFonts w:ascii="Times New Roman" w:cs="Times New Roman" w:eastAsia="Times New Roman" w:hAnsi="Times New Roman"/>
          <w:sz w:val="22"/>
          <w:szCs w:val="22"/>
          <w:color w:val="auto"/>
        </w:rPr>
        <w:t>other securities, cash or other property to which holders of Shares are or will be entitled in respect of each Share pursuant to the transaction.</w:t>
      </w:r>
    </w:p>
    <w:p>
      <w:pPr>
        <w:spacing w:after="0" w:line="154" w:lineRule="exact"/>
        <w:rPr>
          <w:sz w:val="20"/>
          <w:szCs w:val="20"/>
          <w:color w:val="auto"/>
        </w:rPr>
      </w:pPr>
    </w:p>
    <w:p>
      <w:pPr>
        <w:ind w:left="760" w:hanging="752"/>
        <w:spacing w:after="0"/>
        <w:tabs>
          <w:tab w:leader="none" w:pos="7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Continued Employment or Additional Grants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Nothing in this Agreement shall be interpreted or construed to confer upon Grantee any right with respect to continuance of employment by the Company or a Subsidiary, nor shall this Agreement interfere in any way with the right of the Company or a Subsidiary to terminate Grantee’s employment at any time or for any reason. Grantee shall not be entitled to any additional awards.</w:t>
      </w:r>
    </w:p>
    <w:p>
      <w:pPr>
        <w:spacing w:after="0" w:line="176" w:lineRule="exact"/>
        <w:rPr>
          <w:sz w:val="20"/>
          <w:szCs w:val="20"/>
          <w:color w:val="auto"/>
        </w:rPr>
      </w:pPr>
    </w:p>
    <w:p>
      <w:pPr>
        <w:ind w:left="760" w:hanging="752"/>
        <w:spacing w:after="0"/>
        <w:tabs>
          <w:tab w:leader="none" w:pos="7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 and Withholding</w:t>
      </w:r>
    </w:p>
    <w:p>
      <w:pPr>
        <w:spacing w:after="0" w:line="210"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Restricted Stock and dividends or other distributions paid on such Restricted Stock. Grantee shall have the right to make such elections under the Code as are available in connection with this Restricted Stock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in a manner consistent with the Company’s reporting for income tax purposes. The Company shall have the right to retain and withhold from any payment or vesting of Restricted Stock or cash the amount of taxes required by any government to be withheld or otherwise deducted and paid with respect to such payment or vesting. At its discretion, the Company may require Grantee to reimburse the Company for, or make other arrangements satisfactory to the Company regarding the payment to the Company of, any such taxes required to be withheld and may withhold any distribution or vesting in whole or in part until the Company is so reimbursed or paid.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 provided that the amount to be withheld may not exceed the total maximum statutory tax rates associated with the transaction to the extent needed for the Company and its affiliates to avoid an accounting charge. If an election is provided, the election must be made on or before the date as of which the amount of tax to be withheld is determined and otherwise as the Company requires. Notwithstanding any provisions of this Agreement to the contrary, the Company does not guarantee to Grantee or any other person with an interest in the Restricted Stock Award that the Restricted Stock Award shall receive any specific tax treatment under any applicable tax law, nor in any case will the Company or any affiliate be required to indemnify, defend or hold harmless any individual with respect to the tax consequences of the Restricted Stock Award.</w:t>
      </w:r>
    </w:p>
    <w:p>
      <w:pPr>
        <w:spacing w:after="0" w:line="178" w:lineRule="exact"/>
        <w:rPr>
          <w:sz w:val="20"/>
          <w:szCs w:val="20"/>
          <w:color w:val="auto"/>
        </w:rPr>
      </w:pPr>
    </w:p>
    <w:p>
      <w:pPr>
        <w:ind w:left="760" w:hanging="752"/>
        <w:spacing w:after="0"/>
        <w:tabs>
          <w:tab w:leader="none" w:pos="7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Grantee hereby acknowledges and agrees to comply with and bound by all of the restrictive covenants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2" w:name="page173"/>
    <w:bookmarkEnd w:id="172"/>
    <w:p>
      <w:pPr>
        <w:ind w:left="760" w:hanging="752"/>
        <w:spacing w:after="0"/>
        <w:tabs>
          <w:tab w:leader="none" w:pos="7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Requirements and Limitations</w:t>
      </w:r>
    </w:p>
    <w:p>
      <w:pPr>
        <w:spacing w:after="0" w:line="21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Income recognized by Grantee pursuant to this Restricted Stock Award shall not be included in the determination of benefits under any employee pension benefit plan (as such term is defined in Section 3(2) of the Employee Retirement Income Security Act of 1974, as amended) or group insurance or other benefit plans applicable to Grantee that are maintained by the Company or any affiliate, except as may be provided under the terms of such plans or determined by resolution of the Board. The issuance of Shares in connection with this Restricted Stock Award is subject to all applicable laws, rules and regulations and to such approvals by any governmental agencies or national securities exchanges as may be required. Notwithstanding any other provision of this Restricted Stock Award, the Company has no liability to deliver any Shares or make any payment unless such delivery or payment would comply with all applicable laws and the applicable requirements of any securities exchange or similar entity, and unless and until Grantee has taken all actions required by the Company in connection therewith. The Company may impose such restrictions on any Shares issued under this Restricted Stock Award as the Company determines necessary or desirable to comply with all applicable laws, rules and regulations or the requirements of any national securities exchanges.</w:t>
      </w:r>
    </w:p>
    <w:p>
      <w:pPr>
        <w:spacing w:after="0" w:line="173" w:lineRule="exact"/>
        <w:rPr>
          <w:sz w:val="20"/>
          <w:szCs w:val="20"/>
          <w:color w:val="auto"/>
        </w:rPr>
      </w:pPr>
    </w:p>
    <w:p>
      <w:pPr>
        <w:ind w:left="760" w:hanging="752"/>
        <w:spacing w:after="0"/>
        <w:tabs>
          <w:tab w:leader="none" w:pos="7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Agreement; Certain Powers and Authority; Recoupment or Clawback Policy</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8.1The Committee may modify, amend or cancel this Restricted Stock Award, or waive any restrictions or conditions applicable to this Restricted Stock Award; provided that, except as otherwise provided in this Agreement, any modification or amendment that materially diminishes the rights of Grantee, or the cancellation of this Restricted Stock Award, shall be effective only if agreed to by Grantee or any other person(s) as may then have an interest in this Restricted Stock Award, but the Committee need not obtain Grantee (or other interested party) consent for the modification, amendment or cancellation of this Restricted Stock Award as follows: (A) to the extent the Committee deems such action necessary to comply with any applicable law or the listing requirements of any principal securities exchange or market on which the Shares are then traded; (B) to the extent the Committee deems necessary to preserve favorable accounting or tax treatment of this Restricted Stock Award for the Company; or (C) to the extent the Committee determines that such action does not materially and adversely affect the value of this Restricted Stock Award or that such action is in the best interest of the Grantee (or any other person(s) as may then have an interest in this Restricted Stock Award).</w:t>
      </w:r>
    </w:p>
    <w:p>
      <w:pPr>
        <w:spacing w:after="0" w:line="18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8.2Notwithstanding anything to the contrary in this Agreement, the Committee shall have full power and authority to terminate or cause Grantee to forfeit this Restricted Stock Award, and require Grantee to disgorge to the Company any gains attributable to this Restricted Stock Award, if Grantee engages in any action constituting, as determined by the Committee in its discretion, Cause for termination, or a breach of this Agreement or any other agreement between Grantee and the Company or an affiliate concerning noncompetition, nonsolicitation, confidentiality, trade secrets, intellectual property, nondisparagement or similar obligations.</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8.3This Restricted Stock Award, and any Shares issued pursuant to this Restricted Stock Award, shall be subject to any recoupment or clawback policy that is adopted by, or any recoupment or similar requirement otherwise made applicable by law, regulation or listing standards to,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3" w:name="page174"/>
    <w:bookmarkEnd w:id="173"/>
    <w:p>
      <w:pPr>
        <w:spacing w:after="0" w:line="19" w:lineRule="exact"/>
        <w:rPr>
          <w:sz w:val="20"/>
          <w:szCs w:val="20"/>
          <w:color w:val="auto"/>
        </w:rPr>
      </w:pPr>
    </w:p>
    <w:p>
      <w:pPr>
        <w:ind w:left="760" w:hanging="752"/>
        <w:spacing w:after="0"/>
        <w:tabs>
          <w:tab w:leader="none" w:pos="7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69" w:lineRule="exact"/>
        <w:rPr>
          <w:sz w:val="20"/>
          <w:szCs w:val="20"/>
          <w:color w:val="auto"/>
        </w:rPr>
      </w:pPr>
    </w:p>
    <w:p>
      <w:pPr>
        <w:ind w:left="760" w:hanging="752"/>
        <w:spacing w:after="0"/>
        <w:tabs>
          <w:tab w:leader="none" w:pos="7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p>
    <w:p>
      <w:pPr>
        <w:spacing w:after="0" w:line="21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21"/>
          <w:szCs w:val="21"/>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131" w:lineRule="exact"/>
        <w:rPr>
          <w:sz w:val="20"/>
          <w:szCs w:val="20"/>
          <w:color w:val="auto"/>
        </w:rPr>
      </w:pPr>
    </w:p>
    <w:p>
      <w:pPr>
        <w:ind w:left="760" w:hanging="752"/>
        <w:spacing w:after="0"/>
        <w:tabs>
          <w:tab w:leader="none" w:pos="7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in Interest</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58" w:lineRule="exact"/>
        <w:rPr>
          <w:sz w:val="20"/>
          <w:szCs w:val="20"/>
          <w:color w:val="auto"/>
        </w:rPr>
      </w:pPr>
    </w:p>
    <w:p>
      <w:pPr>
        <w:ind w:left="760" w:hanging="752"/>
        <w:spacing w:after="0"/>
        <w:tabs>
          <w:tab w:leader="none" w:pos="7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Resolution of Disputes</w:t>
      </w:r>
    </w:p>
    <w:p>
      <w:pPr>
        <w:spacing w:after="0" w:line="21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69" w:lineRule="exact"/>
        <w:rPr>
          <w:sz w:val="20"/>
          <w:szCs w:val="20"/>
          <w:color w:val="auto"/>
        </w:rPr>
      </w:pPr>
    </w:p>
    <w:p>
      <w:pPr>
        <w:ind w:left="760" w:hanging="752"/>
        <w:spacing w:after="0"/>
        <w:tabs>
          <w:tab w:leader="none" w:pos="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Pronouns; Including</w:t>
      </w:r>
    </w:p>
    <w:p>
      <w:pPr>
        <w:spacing w:after="0" w:line="21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to be effective as of the Grant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6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8460" w:type="dxa"/>
            <w:vAlign w:val="bottom"/>
          </w:tcPr>
          <w:p>
            <w:pPr>
              <w:jc w:val="right"/>
              <w:ind w:right="4318"/>
              <w:spacing w:after="0"/>
              <w:rPr>
                <w:sz w:val="20"/>
                <w:szCs w:val="20"/>
                <w:color w:val="auto"/>
              </w:rPr>
            </w:pPr>
            <w:r>
              <w:rPr>
                <w:rFonts w:ascii="Times New Roman" w:cs="Times New Roman" w:eastAsia="Times New Roman" w:hAnsi="Times New Roman"/>
                <w:sz w:val="22"/>
                <w:szCs w:val="22"/>
                <w:color w:val="auto"/>
              </w:rPr>
              <w:t>___________________________________</w:t>
            </w:r>
          </w:p>
        </w:tc>
      </w:tr>
      <w:tr>
        <w:trPr>
          <w:trHeight w:val="276"/>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By: J. Per Brodin</w:t>
            </w:r>
          </w:p>
        </w:tc>
        <w:tc>
          <w:tcPr>
            <w:tcW w:w="620" w:type="dxa"/>
            <w:vAlign w:val="bottom"/>
          </w:tcPr>
          <w:p>
            <w:pPr>
              <w:spacing w:after="0"/>
              <w:rPr>
                <w:sz w:val="23"/>
                <w:szCs w:val="23"/>
                <w:color w:val="auto"/>
              </w:rPr>
            </w:pPr>
          </w:p>
        </w:tc>
        <w:tc>
          <w:tcPr>
            <w:tcW w:w="8460" w:type="dxa"/>
            <w:vAlign w:val="bottom"/>
          </w:tcPr>
          <w:p>
            <w:pPr>
              <w:jc w:val="right"/>
              <w:ind w:right="6998"/>
              <w:spacing w:after="0"/>
              <w:rPr>
                <w:sz w:val="20"/>
                <w:szCs w:val="20"/>
                <w:color w:val="auto"/>
              </w:rPr>
            </w:pPr>
            <w:r>
              <w:rPr>
                <w:rFonts w:ascii="Times New Roman" w:cs="Times New Roman" w:eastAsia="Times New Roman" w:hAnsi="Times New Roman"/>
                <w:sz w:val="22"/>
                <w:szCs w:val="22"/>
                <w:color w:val="auto"/>
              </w:rPr>
              <w:t>Grantee</w:t>
            </w:r>
          </w:p>
        </w:tc>
      </w:tr>
      <w:tr>
        <w:trPr>
          <w:trHeight w:val="351"/>
        </w:trPr>
        <w:tc>
          <w:tcPr>
            <w:tcW w:w="2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8460" w:type="dxa"/>
            <w:vAlign w:val="bottom"/>
          </w:tcPr>
          <w:p>
            <w:pPr>
              <w:spacing w:after="0"/>
              <w:rPr>
                <w:sz w:val="24"/>
                <w:szCs w:val="24"/>
                <w:color w:val="auto"/>
              </w:rPr>
            </w:pPr>
          </w:p>
        </w:tc>
      </w:tr>
      <w:tr>
        <w:trPr>
          <w:trHeight w:val="852"/>
        </w:trPr>
        <w:tc>
          <w:tcPr>
            <w:tcW w:w="2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60" w:type="dxa"/>
            <w:vAlign w:val="bottom"/>
          </w:tcPr>
          <w:p>
            <w:pPr>
              <w:jc w:val="right"/>
              <w:ind w:right="5478"/>
              <w:spacing w:after="0"/>
              <w:rPr>
                <w:sz w:val="20"/>
                <w:szCs w:val="20"/>
                <w:color w:val="auto"/>
              </w:rPr>
            </w:pPr>
            <w:r>
              <w:rPr>
                <w:rFonts w:ascii="Times New Roman" w:cs="Times New Roman" w:eastAsia="Times New Roman" w:hAnsi="Times New Roman"/>
                <w:sz w:val="18"/>
                <w:szCs w:val="18"/>
                <w:color w:val="auto"/>
              </w:rPr>
              <w:t>7</w:t>
            </w:r>
          </w:p>
        </w:tc>
      </w:tr>
      <w:tr>
        <w:trPr>
          <w:trHeight w:val="763"/>
        </w:trPr>
        <w:tc>
          <w:tcPr>
            <w:tcW w:w="2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37" w:lineRule="exact"/>
        <w:rPr>
          <w:sz w:val="20"/>
          <w:szCs w:val="20"/>
          <w:color w:val="auto"/>
        </w:rPr>
      </w:pPr>
    </w:p>
    <w:p>
      <w:pPr>
        <w:jc w:val="both"/>
        <w:ind w:firstLine="1505"/>
        <w:spacing w:after="0" w:line="232"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 (i) was, is or becomes available to Grantee on a non-confidential basis from a source other than Company or any of its representatives;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177"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 of Employees</w:t>
      </w:r>
      <w:r>
        <w:rPr>
          <w:rFonts w:ascii="Times New Roman" w:cs="Times New Roman" w:eastAsia="Times New Roman" w:hAnsi="Times New Roman"/>
          <w:sz w:val="22"/>
          <w:szCs w:val="22"/>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 solicitation; or (iii) the solicitation (or employment as a result of the solicitation) of any Company management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6" w:name="page177"/>
    <w:bookmarkEnd w:id="176"/>
    <w:p>
      <w:pPr>
        <w:spacing w:after="0" w:line="258" w:lineRule="auto"/>
        <w:rPr>
          <w:sz w:val="20"/>
          <w:szCs w:val="20"/>
          <w:color w:val="auto"/>
        </w:rPr>
      </w:pPr>
      <w:r>
        <w:rPr>
          <w:rFonts w:ascii="Times New Roman" w:cs="Times New Roman" w:eastAsia="Times New Roman" w:hAnsi="Times New Roman"/>
          <w:sz w:val="22"/>
          <w:szCs w:val="22"/>
          <w:color w:val="auto"/>
        </w:rPr>
        <w:t>through (a) public advertisements or general solicitations that are not specifically targeted at such person(s); or (b) recruiting or search firms not targeting the Company’s management employees.</w:t>
      </w:r>
    </w:p>
    <w:p>
      <w:pPr>
        <w:spacing w:after="0" w:line="158" w:lineRule="exact"/>
        <w:rPr>
          <w:sz w:val="20"/>
          <w:szCs w:val="20"/>
          <w:color w:val="auto"/>
        </w:rPr>
      </w:pPr>
    </w:p>
    <w:p>
      <w:pPr>
        <w:jc w:val="both"/>
        <w:ind w:firstLine="1505"/>
        <w:spacing w:after="0" w:line="244" w:lineRule="auto"/>
        <w:tabs>
          <w:tab w:leader="none" w:pos="2036"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w:t>
      </w:r>
      <w:r>
        <w:rPr>
          <w:rFonts w:ascii="Times New Roman" w:cs="Times New Roman" w:eastAsia="Times New Roman" w:hAnsi="Times New Roman"/>
          <w:sz w:val="21"/>
          <w:szCs w:val="21"/>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18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All Company Documents and Property</w:t>
      </w:r>
      <w:r>
        <w:rPr>
          <w:rFonts w:ascii="Times New Roman" w:cs="Times New Roman" w:eastAsia="Times New Roman" w:hAnsi="Times New Roman"/>
          <w:sz w:val="22"/>
          <w:szCs w:val="22"/>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 Agreement</w:t>
      </w:r>
      <w:r>
        <w:rPr>
          <w:rFonts w:ascii="Times New Roman" w:cs="Times New Roman" w:eastAsia="Times New Roman" w:hAnsi="Times New Roman"/>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ORION ENERGY SYSTEMS,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 OF COMPANY POLICY</w:t>
      </w:r>
    </w:p>
    <w:p>
      <w:pPr>
        <w:jc w:val="center"/>
        <w:spacing w:after="0"/>
        <w:rPr>
          <w:sz w:val="20"/>
          <w:szCs w:val="20"/>
          <w:color w:val="auto"/>
        </w:rPr>
      </w:pPr>
      <w:r>
        <w:rPr>
          <w:rFonts w:ascii="Times New Roman" w:cs="Times New Roman" w:eastAsia="Times New Roman" w:hAnsi="Times New Roman"/>
          <w:sz w:val="20"/>
          <w:szCs w:val="20"/>
          <w:b w:val="1"/>
          <w:bCs w:val="1"/>
          <w:color w:val="auto"/>
        </w:rPr>
        <w:t>PROHIBITING INSIDER TRADING</w:t>
      </w:r>
    </w:p>
    <w:p>
      <w:pPr>
        <w:spacing w:after="0" w:line="194"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Because the common stock of Orion Energy Systems, Inc. (the “Company”) is publicly traded on the NASDAQ, there are certain important restrictions and limitations imposed on you under the federal securities laws. Any violation of these restrictions may subject the Company and you to serious criminal and civil liabilities and sanctions. Such a violation would also severely damage the Company’s reputation and business relationships. </w:t>
      </w:r>
      <w:r>
        <w:rPr>
          <w:rFonts w:ascii="Times New Roman" w:cs="Times New Roman" w:eastAsia="Times New Roman" w:hAnsi="Times New Roman"/>
          <w:sz w:val="20"/>
          <w:szCs w:val="20"/>
          <w:b w:val="1"/>
          <w:bCs w:val="1"/>
          <w:color w:val="auto"/>
        </w:rPr>
        <w:t>This policy applies to all personnel at every level of the Company and any of 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subsidiaries, as well as to employees who leave employment with the Company or its subsidiaries until the Company determines that the policy is no longer applicable.</w:t>
      </w:r>
    </w:p>
    <w:p>
      <w:pPr>
        <w:spacing w:after="0" w:line="184" w:lineRule="exact"/>
        <w:rPr>
          <w:sz w:val="20"/>
          <w:szCs w:val="20"/>
          <w:color w:val="auto"/>
        </w:rPr>
      </w:pPr>
    </w:p>
    <w:p>
      <w:pPr>
        <w:jc w:val="both"/>
        <w:ind w:firstLine="1505"/>
        <w:spacing w:after="0" w:line="241" w:lineRule="auto"/>
        <w:tabs>
          <w:tab w:leader="none" w:pos="203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Prohibition against Trading on or Disclosing Material Nonpublic Information</w:t>
      </w:r>
      <w:r>
        <w:rPr>
          <w:rFonts w:ascii="Times New Roman" w:cs="Times New Roman" w:eastAsia="Times New Roman" w:hAnsi="Times New Roman"/>
          <w:sz w:val="20"/>
          <w:szCs w:val="20"/>
          <w:color w:val="auto"/>
        </w:rPr>
        <w:t xml:space="preserve">. It is the policy of the Company that all employees, officers and directors who become aware of any material information relating to the Company that has not been made available to the general public by press release or otherwise, as well as their immediate family members and other individuals in their household, are prohibited from purchasing or selling Company stock. Such information includes, without limitation, a potential acquisition of another business or property, the opening of a new facility, a potential change in management, internal financial information (especially quarterly and year-end revenue and earnings), a potential significant new customer contract (or loss of an existing significant customer contract), the occurrence of a cybersecurity breach or similar event, significant actions by regulatory authorities, actual or threatened major litigation, or an important financing transaction. This list is merely illustrative. Employees, officers and directors should assume that any information, positive or negative, which might affect the Company’s stock price or otherwise might be of significance to an investor in determining whether to purchase, sell or hold the Company’s stock would be “material.” </w:t>
      </w:r>
      <w:r>
        <w:rPr>
          <w:rFonts w:ascii="Times New Roman" w:cs="Times New Roman" w:eastAsia="Times New Roman" w:hAnsi="Times New Roman"/>
          <w:sz w:val="20"/>
          <w:szCs w:val="20"/>
          <w:b w:val="1"/>
          <w:bCs w:val="1"/>
          <w:color w:val="auto"/>
        </w:rPr>
        <w:t>These prohibitions on purchasing or selling</w:t>
      </w:r>
    </w:p>
    <w:p>
      <w:pPr>
        <w:spacing w:after="0" w:line="7" w:lineRule="exact"/>
        <w:rPr>
          <w:rFonts w:ascii="Times New Roman" w:cs="Times New Roman" w:eastAsia="Times New Roman" w:hAnsi="Times New Roman"/>
          <w:sz w:val="20"/>
          <w:szCs w:val="20"/>
          <w:color w:val="auto"/>
        </w:rPr>
      </w:pPr>
    </w:p>
    <w:p>
      <w:pPr>
        <w:jc w:val="both"/>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 stock will be in effect until the third business day following the day the Company makes such information available to the general public</w:t>
      </w:r>
      <w:r>
        <w:rPr>
          <w:rFonts w:ascii="Times New Roman" w:cs="Times New Roman" w:eastAsia="Times New Roman" w:hAnsi="Times New Roman"/>
          <w:sz w:val="20"/>
          <w:szCs w:val="20"/>
          <w:color w:val="auto"/>
        </w:rPr>
        <w:t>. For example, if you are aware of information that could be considered “material” and the Company makes a 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disclosure through a filing with the Securities and Exchange Commission on a Tuesday, you are prohibited from purchasing or selling Company stock until Friday. You cannot purchase or sell Company stock on Tuesday, Wednesday or Thursday, even if it is after the Company’s public filing of the information.</w:t>
      </w:r>
    </w:p>
    <w:p>
      <w:pPr>
        <w:spacing w:after="0" w:line="187"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It is also the policy of the Company that employees, officers and directors who become aware of any material nonpublic information in the course of their employment or service with the Company relating to any other company, including the Company’s customers, may not trade in that company’s securities until the information becomes public.</w:t>
      </w:r>
    </w:p>
    <w:p>
      <w:pPr>
        <w:spacing w:after="0" w:line="174" w:lineRule="exact"/>
        <w:rPr>
          <w:sz w:val="20"/>
          <w:szCs w:val="20"/>
          <w:color w:val="auto"/>
        </w:rPr>
      </w:pPr>
    </w:p>
    <w:p>
      <w:pPr>
        <w:jc w:val="both"/>
        <w:ind w:firstLine="1505"/>
        <w:spacing w:after="0" w:line="243" w:lineRule="auto"/>
        <w:tabs>
          <w:tab w:leader="none" w:pos="203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It is the policy of the Company that all employees, officers and directors must keep strictly confidential all material nonpublic information that such persons learn regarding the Company (and all material nonpublic information that such persons learn in the course of their employment or service with the Company relating to any other company). No person may tip or disclose any material nonpublic information concerning the Company to any person unless required as part of your regular duties and performance for the Company or any is authorized by the Company’s Chief Financial Officer. Unless expressly authorized to answer financial questions, you must refuse to comment, and instead refer the inquirer to the Company’s Chief Financial Officer. Similarly, you should not discuss Company affairs in public or quasi-public areas where your conversation may be overheard (i.e., restaurants, restrooms, elevators, etc.). No person may post any material nonpublic information about the Company on any internet message board or through social media at any time.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Effective: December 4, 2007</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Revised: January 17, 2012; October 29, 2012; June 23, 2015; December 2015, May 2016; May 2017; June 2017; January 2018; February 2020; November 2022; May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8" w:name="page179"/>
    <w:bookmarkEnd w:id="178"/>
    <w:p>
      <w:pPr>
        <w:spacing w:after="0" w:line="230" w:lineRule="exact"/>
        <w:rPr>
          <w:sz w:val="20"/>
          <w:szCs w:val="20"/>
          <w:color w:val="auto"/>
        </w:rPr>
      </w:pPr>
    </w:p>
    <w:p>
      <w:pPr>
        <w:jc w:val="both"/>
        <w:ind w:firstLine="1505"/>
        <w:spacing w:after="0" w:line="242" w:lineRule="auto"/>
        <w:tabs>
          <w:tab w:leader="none" w:pos="203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Prohibition on Derivatives and Hedging Transactions</w:t>
      </w:r>
      <w:r>
        <w:rPr>
          <w:rFonts w:ascii="Times New Roman" w:cs="Times New Roman" w:eastAsia="Times New Roman" w:hAnsi="Times New Roman"/>
          <w:sz w:val="20"/>
          <w:szCs w:val="20"/>
          <w:color w:val="auto"/>
        </w:rPr>
        <w:t>. Investing in Company stock provides an opportunity to share in the future growth of the Company. Investment in the Company and sharing in the growth of the Company, however, does not mean short-range speculation based on fluctuations in the market as such trading may be distracting to the person and may unduly focus the person on the Company’s short-term stock market performance and subject to certain insiders to possible violations of the “short-swing profit” rules promulgated by the Securities and Exchange Commission. These activities may put the personal gain of an individual in conflict with the best interests of the Company and its shareholders. Consequently, trading on an exchange in puts, calls and other derivative securities on stock of the Company is prohibited at all times. In addition, the purchase of financial instruments (including prepaid variable forward contracts, equity swaps, collars and exchange funds) or otherwise engaging in transactions that are designed to or have the effect of hedging or offsetting any decrease in the market value of the Company’s stock are also prohibited at all times. Anyone may, of course, exercise options and other equity based awards granted to them by the Company and, subject to the restrictions discussed in this policy and other applicable Company policies and any governing plans, arrangements or agreements which apply to such options or other equity based awards, sell shares acquired through the exercise of options or other equity based awards.</w:t>
      </w:r>
    </w:p>
    <w:p>
      <w:pPr>
        <w:spacing w:after="0" w:line="18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If you have any doubts as to your responsibilities under this policy statement, seek clarification and guidance from the Company’s Chief Financial Officer, </w:t>
      </w:r>
      <w:r>
        <w:rPr>
          <w:rFonts w:ascii="Times New Roman" w:cs="Times New Roman" w:eastAsia="Times New Roman" w:hAnsi="Times New Roman"/>
          <w:sz w:val="20"/>
          <w:szCs w:val="20"/>
          <w:b w:val="1"/>
          <w:bCs w:val="1"/>
          <w:u w:val="single" w:color="auto"/>
          <w:color w:val="auto"/>
        </w:rPr>
        <w:t>before you act</w:t>
      </w:r>
      <w:r>
        <w:rPr>
          <w:rFonts w:ascii="Times New Roman" w:cs="Times New Roman" w:eastAsia="Times New Roman" w:hAnsi="Times New Roman"/>
          <w:sz w:val="20"/>
          <w:szCs w:val="20"/>
          <w:color w:val="auto"/>
        </w:rPr>
        <w:t xml:space="preserve">. Do not try to resolve uncertainties on your own. </w:t>
      </w:r>
      <w:r>
        <w:rPr>
          <w:rFonts w:ascii="Times New Roman" w:cs="Times New Roman" w:eastAsia="Times New Roman" w:hAnsi="Times New Roman"/>
          <w:sz w:val="20"/>
          <w:szCs w:val="20"/>
          <w:b w:val="1"/>
          <w:bCs w:val="1"/>
          <w:color w:val="auto"/>
        </w:rPr>
        <w:t>Orion Energy Systems, Inc. expects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the strictest compliance with these procedures by all personnel at every level</w:t>
      </w:r>
      <w:r>
        <w:rPr>
          <w:rFonts w:ascii="Times New Roman" w:cs="Times New Roman" w:eastAsia="Times New Roman" w:hAnsi="Times New Roman"/>
          <w:sz w:val="20"/>
          <w:szCs w:val="20"/>
          <w:color w:val="auto"/>
        </w:rPr>
        <w:t>. Although this policy statement is expressly not intended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 in the imposition of additional legal liabilities that would not otherwise exist, failure to observe these procedures will be considered a matter of extreme seriousness, including grounds for dismissal with cause.</w:t>
      </w:r>
    </w:p>
    <w:p>
      <w:pPr>
        <w:spacing w:after="0" w:line="1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Sally Washlow</w:t>
      </w:r>
    </w:p>
    <w:p>
      <w:pPr>
        <w:spacing w:after="0" w:line="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Effective: December 4, 2007</w:t>
      </w:r>
    </w:p>
    <w:p>
      <w:pPr>
        <w:spacing w:after="0" w:line="15" w:lineRule="exact"/>
        <w:rPr>
          <w:sz w:val="20"/>
          <w:szCs w:val="20"/>
          <w:color w:val="auto"/>
        </w:rPr>
      </w:pPr>
    </w:p>
    <w:p>
      <w:pPr>
        <w:ind w:left="80" w:right="40" w:hanging="79"/>
        <w:spacing w:after="0" w:line="264" w:lineRule="auto"/>
        <w:rPr>
          <w:sz w:val="20"/>
          <w:szCs w:val="20"/>
          <w:color w:val="auto"/>
        </w:rPr>
      </w:pPr>
      <w:r>
        <w:rPr>
          <w:rFonts w:ascii="Arial" w:cs="Arial" w:eastAsia="Arial" w:hAnsi="Arial"/>
          <w:sz w:val="14"/>
          <w:szCs w:val="14"/>
          <w:color w:val="auto"/>
        </w:rPr>
        <w:t>Revised: January 17, 2012; October 29, 2012; June 23, 2015; December 2015, May 2016; May 2017; June 2017; January 2018; February 2020; November 2022; May 24, 2023 IF = AND ( COMPARE 2 = 10, COMPARE SECTION 1 = "1" 1) 0 = 1 DOCPROPERTY "CUS_DocIDChunk0" 4861-6377-4820.2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ind w:left="4160"/>
        <w:spacing w:after="0"/>
        <w:rPr>
          <w:sz w:val="20"/>
          <w:szCs w:val="20"/>
          <w:color w:val="auto"/>
        </w:rPr>
      </w:pPr>
      <w:r>
        <w:rPr>
          <w:rFonts w:ascii="Times New Roman" w:cs="Times New Roman" w:eastAsia="Times New Roman" w:hAnsi="Times New Roman"/>
          <w:sz w:val="19"/>
          <w:szCs w:val="19"/>
          <w:b w:val="1"/>
          <w:bCs w:val="1"/>
          <w:color w:val="auto"/>
        </w:rPr>
        <w:t>ORION ENERGY SYSTEMS, INC.</w:t>
      </w:r>
    </w:p>
    <w:p>
      <w:pPr>
        <w:spacing w:after="0" w:line="1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b w:val="1"/>
          <w:bCs w:val="1"/>
          <w:color w:val="auto"/>
        </w:rPr>
        <w:t>INSIDER TRADING POLICY</w:t>
      </w:r>
    </w:p>
    <w:p>
      <w:pPr>
        <w:spacing w:after="0" w:line="1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b w:val="1"/>
          <w:bCs w:val="1"/>
          <w:color w:val="auto"/>
        </w:rPr>
        <w:t>ADDENDUM AND CERTIFICATE FOR</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SECTION 16 OFFICERS AND DIRECTORS AND OTHER “INSIDERS”</w:t>
      </w:r>
    </w:p>
    <w:p>
      <w:pPr>
        <w:spacing w:after="0" w:line="194"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auto"/>
        </w:rPr>
        <w:t>The undersigned hereby certifies and states that he or she has carefully read the Orion Energy Systems, Inc. Statement of Company Policy Prohibiting Insider Trading (the “Policy”), and the undersigned agrees to strictly comply with all of the restrictions and limitations contained in the Policy as supplemented by this addendum.</w:t>
      </w:r>
    </w:p>
    <w:p>
      <w:pPr>
        <w:spacing w:after="0" w:line="17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In addition to the information set forth in the Policy, the undersigned understands that he or she may only trade in Orion Energy Systems, Inc. (“Company”) stock during four “window periods” occurring throughout the year (unless the undersigned is then in possession of material nonpublic information concerning the Company, in which case the undersigned cannot purchase or sell shares). These window periods begin on the third business day after the Company makes a press release announcing its quarterly or annual financial results. Each window period will last until the first day of the month ending the calendar quarter. The window periods do not apply to purchases or sales of Company stock that are made pursuant to Rule 10b5-1 Trading Plans that have been adopted in accordance with the Company’s Rule 10b5-1 Trading Plan Guidelines.</w:t>
      </w:r>
    </w:p>
    <w:p>
      <w:pPr>
        <w:spacing w:after="0" w:line="190"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auto"/>
        </w:rPr>
        <w:t>The undersigned further understands that window periods may not be opened, or may be closed after initially being opened, from time to time, and agrees that he or she will not trade in Company stock during any window period if he or she has received advance notice from the Company that the window period is closed.</w:t>
      </w:r>
    </w:p>
    <w:p>
      <w:pPr>
        <w:spacing w:after="0" w:line="17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The undersigned further understands that, as an “insider” of the Company, it is the policy of the Company that the undersigned is required to pre-clear all of his or her contemplated transactions (including, without limitation, stock option exercises and non-sale transactions, such as gifts and transfers to or from a trust) in the Company’s stock with the Company’s Chief Financial Officer. The pre-clearance policy also applies to transactions in Company stock by the undersigned’s spouse, minor children and other individuals who share the undersigned’s home. The pre-clearance policy does not apply to purchases or sales of Company stock that are made pursuant to Rule 10b5-1 Trading Plans that have been adopted in accordance with the Company’s Rule 10b5-1 Trading Plan Guidelines.</w:t>
      </w:r>
    </w:p>
    <w:p>
      <w:pPr>
        <w:spacing w:after="0" w:line="190" w:lineRule="exact"/>
        <w:rPr>
          <w:sz w:val="20"/>
          <w:szCs w:val="20"/>
          <w:color w:val="auto"/>
        </w:rPr>
      </w:pPr>
    </w:p>
    <w:p>
      <w:pPr>
        <w:jc w:val="both"/>
        <w:ind w:firstLine="1497"/>
        <w:spacing w:after="0" w:line="265" w:lineRule="auto"/>
        <w:rPr>
          <w:sz w:val="20"/>
          <w:szCs w:val="20"/>
          <w:color w:val="auto"/>
        </w:rPr>
      </w:pPr>
      <w:r>
        <w:rPr>
          <w:rFonts w:ascii="Times New Roman" w:cs="Times New Roman" w:eastAsia="Times New Roman" w:hAnsi="Times New Roman"/>
          <w:sz w:val="19"/>
          <w:szCs w:val="19"/>
          <w:color w:val="auto"/>
        </w:rPr>
        <w:t>The undersigned further understands that the Policy will continue to apply to him or her after employment with the Company has ended until the Company determines that it is no longer applicable.</w:t>
      </w:r>
    </w:p>
    <w:p>
      <w:pPr>
        <w:spacing w:after="0" w:line="166"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auto"/>
        </w:rPr>
        <w:t>The undersigned understands that neither the window period policy nor the pre-clearance policy constitutes protection from liability for the undersigned in the event the undersigned effects a transaction in Company stock while in possession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207010</wp:posOffset>
            </wp:positionV>
            <wp:extent cx="168021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2">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3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126365</wp:posOffset>
            </wp:positionV>
            <wp:extent cx="168021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3">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126365</wp:posOffset>
            </wp:positionV>
            <wp:extent cx="168021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4">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Title</w:t>
      </w:r>
    </w:p>
    <w:p>
      <w:pPr>
        <w:spacing w:after="0" w:line="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__________________________________________</w:t>
      </w:r>
    </w:p>
    <w:p>
      <w:pPr>
        <w:ind w:left="4880"/>
        <w:spacing w:after="0"/>
        <w:rPr>
          <w:sz w:val="20"/>
          <w:szCs w:val="20"/>
          <w:color w:val="auto"/>
        </w:rPr>
      </w:pPr>
      <w:r>
        <w:rPr>
          <w:rFonts w:ascii="Times New Roman" w:cs="Times New Roman" w:eastAsia="Times New Roman" w:hAnsi="Times New Roman"/>
          <w:sz w:val="19"/>
          <w:szCs w:val="19"/>
          <w:color w:val="auto"/>
        </w:rPr>
        <w:t>Date</w:t>
      </w:r>
    </w:p>
    <w:p>
      <w:pPr>
        <w:spacing w:after="0" w:line="19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 xml:space="preserve">PLEASE RETURN THIS SIGNED CERTIFICATE TO SUSAN MARLAND </w:t>
      </w:r>
      <w:r>
        <w:rPr>
          <w:rFonts w:ascii="Times New Roman" w:cs="Times New Roman" w:eastAsia="Times New Roman" w:hAnsi="Times New Roman"/>
          <w:sz w:val="19"/>
          <w:szCs w:val="19"/>
          <w:u w:val="single" w:color="auto"/>
          <w:color w:val="auto"/>
        </w:rPr>
        <w:t>AS SOON AS POSSIBLE</w:t>
      </w:r>
      <w:r>
        <w:rPr>
          <w:rFonts w:ascii="Times New Roman" w:cs="Times New Roman" w:eastAsia="Times New Roman" w:hAnsi="Times New Roman"/>
          <w:sz w:val="19"/>
          <w:szCs w:val="19"/>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Effective: December 4, 2007</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Revised: January 17, 2012; October 29, 2012; June 23, 2015; December 2015, May 2016; May 2017; June 2017; January 2018; February 2020; November 2022; May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720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459"/>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191"/>
        </w:trPr>
        <w:tc>
          <w:tcPr>
            <w:tcW w:w="4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Great Lakes Energy Technologies, LLC</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Wisconsin</w:t>
            </w: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Clean Energy Solutions, LLC</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w:t>
            </w: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Orion Asset Management, LLC</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w:t>
            </w: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Orion LED Canada, Inc.</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Voltrek, LLC</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1627"/>
        </w:trPr>
        <w:tc>
          <w:tcPr>
            <w:tcW w:w="40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8"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Orion Energy Systems, Inc.</w:t>
      </w:r>
    </w:p>
    <w:p>
      <w:pPr>
        <w:spacing w:after="0" w:line="223"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Manitowoc, Wisconsin</w:t>
      </w:r>
    </w:p>
    <w:p>
      <w:pPr>
        <w:spacing w:after="0" w:line="223" w:lineRule="exact"/>
        <w:rPr>
          <w:sz w:val="20"/>
          <w:szCs w:val="20"/>
          <w:color w:val="auto"/>
        </w:rPr>
      </w:pPr>
    </w:p>
    <w:p>
      <w:pPr>
        <w:jc w:val="both"/>
        <w:spacing w:after="0" w:line="251" w:lineRule="auto"/>
        <w:rPr>
          <w:sz w:val="20"/>
          <w:szCs w:val="20"/>
          <w:color w:val="auto"/>
        </w:rPr>
      </w:pPr>
      <w:r>
        <w:rPr>
          <w:rFonts w:ascii="Trebuchet MS" w:cs="Trebuchet MS" w:eastAsia="Trebuchet MS" w:hAnsi="Trebuchet MS"/>
          <w:sz w:val="18"/>
          <w:szCs w:val="18"/>
          <w:color w:val="auto"/>
        </w:rPr>
        <w:t>We hereby consent to the incorporation by reference in the Registration Statements on Form S-3 (No. 333-270197) and Form S-8 (No. 333-169611, 333-176176, 333-213042 and 333-233180) of Orion Energy Systems, Inc. of our report dated June 26, 2025, relating to the consolidated financial statements which appears in this Form 10-K.</w:t>
      </w:r>
    </w:p>
    <w:p>
      <w:pPr>
        <w:spacing w:after="0" w:line="208"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/s/ BDO USA, P.C.</w:t>
      </w:r>
    </w:p>
    <w:p>
      <w:pPr>
        <w:spacing w:after="0" w:line="223"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Milwaukee, Wisconsin</w:t>
      </w:r>
    </w:p>
    <w:p>
      <w:pPr>
        <w:spacing w:after="0" w:line="223"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June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1316355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15d-14(a) under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Sally A. Washlow, certify that:</w:t>
      </w:r>
    </w:p>
    <w:p>
      <w:pPr>
        <w:spacing w:after="0" w:line="225" w:lineRule="exact"/>
        <w:rPr>
          <w:sz w:val="20"/>
          <w:szCs w:val="20"/>
          <w:color w:val="auto"/>
        </w:rPr>
      </w:pPr>
    </w:p>
    <w:p>
      <w:pPr>
        <w:ind w:left="380" w:hanging="372"/>
        <w:spacing w:after="0"/>
        <w:tabs>
          <w:tab w:leader="none" w:pos="3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Orion Energy Systems,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2025</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Sally A. Washlow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Sally A. Washlow</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15d-14(a) under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Per Brodin, certify that:</w:t>
      </w:r>
    </w:p>
    <w:p>
      <w:pPr>
        <w:spacing w:after="0" w:line="225" w:lineRule="exact"/>
        <w:rPr>
          <w:sz w:val="20"/>
          <w:szCs w:val="20"/>
          <w:color w:val="auto"/>
        </w:rPr>
      </w:pPr>
    </w:p>
    <w:p>
      <w:pPr>
        <w:ind w:left="380" w:hanging="372"/>
        <w:spacing w:after="0"/>
        <w:tabs>
          <w:tab w:leader="none" w:pos="3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Orion Energy Systems,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2025</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 Per Brodin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2025,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Sally A. Washlow</w:t>
      </w:r>
    </w:p>
    <w:p>
      <w:pPr>
        <w:spacing w:after="0" w:line="26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Sally A. Washlow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 Per Brodin</w:t>
      </w:r>
    </w:p>
    <w:p>
      <w:pPr>
        <w:spacing w:after="0" w:line="26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Orion Energy Systems, Inc. Compensation Recovery Policy</w:t>
      </w:r>
      <w:r>
        <w:rPr>
          <w:rFonts w:ascii="Times New Roman" w:cs="Times New Roman" w:eastAsia="Times New Roman" w:hAnsi="Times New Roman"/>
          <w:sz w:val="28"/>
          <w:szCs w:val="28"/>
          <w:b w:val="1"/>
          <w:bCs w:val="1"/>
          <w:color w:val="auto"/>
          <w:vertAlign w:val="superscript"/>
        </w:rPr>
        <w:t>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May 24, 2023</w:t>
      </w:r>
    </w:p>
    <w:p>
      <w:pPr>
        <w:spacing w:after="0" w:line="210" w:lineRule="exact"/>
        <w:rPr>
          <w:sz w:val="20"/>
          <w:szCs w:val="20"/>
          <w:color w:val="auto"/>
        </w:rPr>
      </w:pPr>
    </w:p>
    <w:p>
      <w:pPr>
        <w:ind w:left="760" w:hanging="752"/>
        <w:spacing w:after="0" w:line="238" w:lineRule="auto"/>
        <w:tabs>
          <w:tab w:leader="none" w:pos="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this Compensation Recovery Policy (this “Policy”) is to describe the circumstances under which Orion Energy Systems, Inc. (the “Company”) is required to or shall have the right to recover certain compensation paid to certain employees and independent contractors. Any references in compensation plans, agreements, equity awards or other policies to the Company’s “recoupment”, “clawback” or similarly-named policy shall be deemed to refer to this Policy.</w:t>
      </w:r>
    </w:p>
    <w:p>
      <w:pPr>
        <w:spacing w:after="0" w:line="203" w:lineRule="exact"/>
        <w:rPr>
          <w:rFonts w:ascii="Times New Roman" w:cs="Times New Roman" w:eastAsia="Times New Roman" w:hAnsi="Times New Roman"/>
          <w:sz w:val="22"/>
          <w:szCs w:val="22"/>
          <w:color w:val="auto"/>
        </w:rPr>
      </w:pPr>
    </w:p>
    <w:p>
      <w:pPr>
        <w:ind w:left="760" w:right="580" w:hanging="752"/>
        <w:spacing w:after="0" w:line="282" w:lineRule="auto"/>
        <w:tabs>
          <w:tab w:leader="none" w:pos="76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 Recovery of Compensation</w:t>
      </w:r>
      <w:r>
        <w:rPr>
          <w:rFonts w:ascii="Times New Roman" w:cs="Times New Roman" w:eastAsia="Times New Roman" w:hAnsi="Times New Roman"/>
          <w:sz w:val="21"/>
          <w:szCs w:val="21"/>
          <w:color w:val="auto"/>
        </w:rPr>
        <w:t>. In the event that the Company is required to prepare an Accounting Restatement, the Company shall recover reasonably promptly the amount of Erroneously Awarded Compensation.</w:t>
      </w:r>
    </w:p>
    <w:p>
      <w:pPr>
        <w:spacing w:after="0" w:line="161" w:lineRule="exact"/>
        <w:rPr>
          <w:rFonts w:ascii="Times New Roman" w:cs="Times New Roman" w:eastAsia="Times New Roman" w:hAnsi="Times New Roman"/>
          <w:sz w:val="21"/>
          <w:szCs w:val="21"/>
          <w:color w:val="auto"/>
        </w:rPr>
      </w:pPr>
    </w:p>
    <w:p>
      <w:pPr>
        <w:ind w:left="760" w:hanging="752"/>
        <w:spacing w:after="0"/>
        <w:tabs>
          <w:tab w:leader="none" w:pos="76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of this Policy, the following terms, when capitalized, shall have the meanings set forth below:</w:t>
      </w:r>
    </w:p>
    <w:p>
      <w:pPr>
        <w:spacing w:after="0" w:line="240" w:lineRule="exact"/>
        <w:rPr>
          <w:rFonts w:ascii="Times New Roman" w:cs="Times New Roman" w:eastAsia="Times New Roman" w:hAnsi="Times New Roman"/>
          <w:sz w:val="21"/>
          <w:szCs w:val="21"/>
          <w:color w:val="auto"/>
        </w:rPr>
      </w:pPr>
    </w:p>
    <w:p>
      <w:pPr>
        <w:ind w:left="1500" w:right="80" w:hanging="743"/>
        <w:spacing w:after="0" w:line="237" w:lineRule="auto"/>
        <w:tabs>
          <w:tab w:leader="none" w:pos="15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Accounting Restatement</w:t>
      </w:r>
      <w:r>
        <w:rPr>
          <w:rFonts w:ascii="Times New Roman" w:cs="Times New Roman" w:eastAsia="Times New Roman" w:hAnsi="Times New Roman"/>
          <w:sz w:val="22"/>
          <w:szCs w:val="22"/>
          <w:color w:val="auto"/>
        </w:rPr>
        <w:t>” shall mean any accounting restatement of the Company’s previously publicly issued financial statements required, as determined by the Audit Committee of the Company’s Board of Directors, due to material noncompliance of the Company with any financial reporting requirement under the securities laws, including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2"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Covered Officer</w:t>
      </w:r>
      <w:r>
        <w:rPr>
          <w:rFonts w:ascii="Times New Roman" w:cs="Times New Roman" w:eastAsia="Times New Roman" w:hAnsi="Times New Roman"/>
          <w:sz w:val="22"/>
          <w:szCs w:val="22"/>
          <w:color w:val="auto"/>
        </w:rPr>
        <w:t>” shall mean:</w:t>
      </w:r>
    </w:p>
    <w:p>
      <w:pPr>
        <w:spacing w:after="0" w:line="237" w:lineRule="exact"/>
        <w:rPr>
          <w:rFonts w:ascii="Times New Roman" w:cs="Times New Roman" w:eastAsia="Times New Roman" w:hAnsi="Times New Roman"/>
          <w:sz w:val="22"/>
          <w:szCs w:val="22"/>
          <w:color w:val="auto"/>
        </w:rPr>
      </w:pPr>
    </w:p>
    <w:p>
      <w:pPr>
        <w:ind w:left="2260" w:hanging="755"/>
        <w:spacing w:after="0" w:line="236" w:lineRule="auto"/>
        <w:tabs>
          <w:tab w:leader="none" w:pos="2260"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Incentive-Based Compensation, the Company’s president; chief executive officer; chief operating officer;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who performs similar significant policy-making functions for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1688465" cy="508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6">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right="40" w:firstLine="8"/>
        <w:spacing w:after="0" w:line="236" w:lineRule="auto"/>
        <w:tabs>
          <w:tab w:leader="none" w:pos="105" w:val="left"/>
        </w:tabs>
        <w:numPr>
          <w:ilvl w:val="0"/>
          <w:numId w:val="1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All incentive and time-based awards of compensation should explicitly reference this policy and state that by accepting such award, the individual is deemed to have consented to the terms of the policy, as amended from time to time. Separation agreements should also require the executive reaffirm his or her obligations under this policy, and if there is a mutual release of claims (where the company is releasing the executive from all claims), the provisions of this policy should be excepted from the company’s release.</w:t>
      </w:r>
    </w:p>
    <w:p>
      <w:pPr>
        <w:spacing w:after="0" w:line="200" w:lineRule="exact"/>
        <w:rPr>
          <w:sz w:val="20"/>
          <w:szCs w:val="20"/>
          <w:color w:val="auto"/>
        </w:rPr>
      </w:pPr>
    </w:p>
    <w:p>
      <w:pPr>
        <w:spacing w:after="0" w:line="27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4855-2270-1668.3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6" w:name="page187"/>
    <w:bookmarkEnd w:id="186"/>
    <w:p>
      <w:pPr>
        <w:ind w:left="2180" w:right="280" w:hanging="755"/>
        <w:spacing w:after="0" w:line="258" w:lineRule="auto"/>
        <w:tabs>
          <w:tab w:leader="none" w:pos="218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Time-Based Compensation, one of the Company’s “named executive officers” as defined in Item 402 of Regulation S-K.</w:t>
      </w:r>
    </w:p>
    <w:p>
      <w:pPr>
        <w:spacing w:after="0" w:line="181" w:lineRule="exact"/>
        <w:rPr>
          <w:rFonts w:ascii="Times New Roman" w:cs="Times New Roman" w:eastAsia="Times New Roman" w:hAnsi="Times New Roman"/>
          <w:sz w:val="22"/>
          <w:szCs w:val="22"/>
          <w:color w:val="auto"/>
        </w:rPr>
      </w:pPr>
    </w:p>
    <w:p>
      <w:pPr>
        <w:ind w:left="1420" w:hanging="743"/>
        <w:spacing w:after="0"/>
        <w:tabs>
          <w:tab w:leader="none" w:pos="14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shall mean the date of adoption of NASDAQ Listing Rule 5608(a).</w:t>
      </w:r>
    </w:p>
    <w:p>
      <w:pPr>
        <w:spacing w:after="0" w:line="233" w:lineRule="exact"/>
        <w:rPr>
          <w:rFonts w:ascii="Times New Roman" w:cs="Times New Roman" w:eastAsia="Times New Roman" w:hAnsi="Times New Roman"/>
          <w:sz w:val="22"/>
          <w:szCs w:val="22"/>
          <w:color w:val="auto"/>
        </w:rPr>
      </w:pPr>
    </w:p>
    <w:p>
      <w:pPr>
        <w:ind w:left="1420" w:right="60" w:hanging="743"/>
        <w:spacing w:after="0" w:line="237" w:lineRule="auto"/>
        <w:tabs>
          <w:tab w:leader="none" w:pos="14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Erroneously Awarded Compensation</w:t>
      </w:r>
      <w:r>
        <w:rPr>
          <w:rFonts w:ascii="Times New Roman" w:cs="Times New Roman" w:eastAsia="Times New Roman" w:hAnsi="Times New Roman"/>
          <w:sz w:val="22"/>
          <w:szCs w:val="22"/>
          <w:color w:val="auto"/>
        </w:rPr>
        <w:t>” shall mean the excess of (i) the amount of Incentive-Based Compensation or Time-Based Compensation Received by a person (A) after beginning service as a Covered Officer, (B) in the case of Incentive-Based Compensation, who served as a Covered Officer at any time during the performance period for that Incentive-Based Compensation, (C) while the Company has a class of securities listed on a national securities exchange or a national securities association and (D) during the Recovery Period; over (ii) the Recalculated Compensation.</w:t>
      </w:r>
    </w:p>
    <w:p>
      <w:pPr>
        <w:spacing w:after="0" w:line="202" w:lineRule="exact"/>
        <w:rPr>
          <w:rFonts w:ascii="Times New Roman" w:cs="Times New Roman" w:eastAsia="Times New Roman" w:hAnsi="Times New Roman"/>
          <w:sz w:val="22"/>
          <w:szCs w:val="22"/>
          <w:color w:val="auto"/>
        </w:rPr>
      </w:pPr>
    </w:p>
    <w:p>
      <w:pPr>
        <w:ind w:left="1420" w:hanging="743"/>
        <w:spacing w:after="0" w:line="246" w:lineRule="auto"/>
        <w:tabs>
          <w:tab w:leader="none" w:pos="142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Incentive-Based Compensation</w:t>
      </w:r>
      <w:r>
        <w:rPr>
          <w:rFonts w:ascii="Times New Roman" w:cs="Times New Roman" w:eastAsia="Times New Roman" w:hAnsi="Times New Roman"/>
          <w:sz w:val="21"/>
          <w:szCs w:val="21"/>
          <w:color w:val="auto"/>
        </w:rPr>
        <w:t>” shall mean any compensation that is granted, earned, or vested based wholly or in part upon the attainment of a financial reporting measure. A financial reporting measure is a measure that is determined and presented in accordance with the accounting principles used in preparing the Company’s financial statements, and any measures that are derived wholly or in part from such measures, regardless of whether such measure is presented within the financial statements or included in a filing with the Securities and Exchange Commission. Each of stock price and total shareholder return is a financial reporting measure. For the avoidance of doubt, Incentive-Based Compensation subject to this Policy does not include stock options, restricted stock, restricted stock units or similar equity-based awards for which the grant is not contingent upon achieving any financial reporting measure performance goal and vesting is contingent solely upon completion of a specified employment period and/or attaining one or more non-financial reporting measures.</w:t>
      </w:r>
    </w:p>
    <w:p>
      <w:pPr>
        <w:spacing w:after="0" w:line="197" w:lineRule="exact"/>
        <w:rPr>
          <w:rFonts w:ascii="Times New Roman" w:cs="Times New Roman" w:eastAsia="Times New Roman" w:hAnsi="Times New Roman"/>
          <w:sz w:val="21"/>
          <w:szCs w:val="21"/>
          <w:color w:val="auto"/>
        </w:rPr>
      </w:pPr>
    </w:p>
    <w:p>
      <w:pPr>
        <w:ind w:left="1420" w:right="40" w:hanging="743"/>
        <w:spacing w:after="0" w:line="234" w:lineRule="auto"/>
        <w:tabs>
          <w:tab w:leader="none" w:pos="14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Recalculated Compensation</w:t>
      </w:r>
      <w:r>
        <w:rPr>
          <w:rFonts w:ascii="Times New Roman" w:cs="Times New Roman" w:eastAsia="Times New Roman" w:hAnsi="Times New Roman"/>
          <w:sz w:val="22"/>
          <w:szCs w:val="22"/>
          <w:color w:val="auto"/>
        </w:rPr>
        <w:t>” shall mean the amount of Incentive-Based Compensation or Time-Based Compensation that otherwise would have been Received had it been determined based on the restated amounts in the Accounting Restatement, computed without regard to any taxes paid. For Time-Based Compensation, and for Incentive-Based Compensation based on stock price or total shareholder return, where the amount of the Erroneously Awarded Compensation is not subject to mathematical recalculation directly from the information in an Accounting Restatement, the amount of the Recalculated Compensation must be based on a reasonable estimate of the effect of the Accounting Restatement on the stock price or total shareholder return, as the case may be, on the Incentive Compensation Received. The Company must maintain documentation of the determination of that reasonable estimate and provide such documentation to the national securities exchange or association on which its securities are listed.</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4855-2270-1668.3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601980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08" w:right="339" w:bottom="1440" w:gutter="0" w:footer="0" w:header="0"/>
        </w:sectPr>
      </w:pPr>
    </w:p>
    <w:bookmarkStart w:id="187" w:name="page188"/>
    <w:bookmarkEnd w:id="187"/>
    <w:p>
      <w:pPr>
        <w:jc w:val="both"/>
        <w:ind w:left="1500" w:right="20" w:hanging="743"/>
        <w:spacing w:after="0" w:line="241" w:lineRule="auto"/>
        <w:tabs>
          <w:tab w:leader="none" w:pos="150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is deemed “</w:t>
      </w:r>
      <w:r>
        <w:rPr>
          <w:rFonts w:ascii="Times New Roman" w:cs="Times New Roman" w:eastAsia="Times New Roman" w:hAnsi="Times New Roman"/>
          <w:sz w:val="22"/>
          <w:szCs w:val="22"/>
          <w:i w:val="1"/>
          <w:iCs w:val="1"/>
          <w:color w:val="auto"/>
        </w:rPr>
        <w:t>Received</w:t>
      </w:r>
      <w:r>
        <w:rPr>
          <w:rFonts w:ascii="Times New Roman" w:cs="Times New Roman" w:eastAsia="Times New Roman" w:hAnsi="Times New Roman"/>
          <w:sz w:val="22"/>
          <w:szCs w:val="22"/>
          <w:color w:val="auto"/>
        </w:rPr>
        <w:t>” in the Company’s fiscal period during which the financial reporting measure specified in the award of such Incentive-Based Compensation is attained, even if the payment or grant of the Incentive-Based Compensation occurs after the end of that period. Time-Based Compensation is “</w:t>
      </w:r>
      <w:r>
        <w:rPr>
          <w:rFonts w:ascii="Times New Roman" w:cs="Times New Roman" w:eastAsia="Times New Roman" w:hAnsi="Times New Roman"/>
          <w:sz w:val="22"/>
          <w:szCs w:val="22"/>
          <w:i w:val="1"/>
          <w:iCs w:val="1"/>
          <w:color w:val="auto"/>
        </w:rPr>
        <w:t>Received</w:t>
      </w:r>
      <w:r>
        <w:rPr>
          <w:rFonts w:ascii="Times New Roman" w:cs="Times New Roman" w:eastAsia="Times New Roman" w:hAnsi="Times New Roman"/>
          <w:sz w:val="22"/>
          <w:szCs w:val="22"/>
          <w:color w:val="auto"/>
        </w:rPr>
        <w:t>” in the year of payment or settlement.</w:t>
      </w:r>
    </w:p>
    <w:p>
      <w:pPr>
        <w:spacing w:after="0" w:line="198" w:lineRule="exact"/>
        <w:rPr>
          <w:rFonts w:ascii="Times New Roman" w:cs="Times New Roman" w:eastAsia="Times New Roman" w:hAnsi="Times New Roman"/>
          <w:sz w:val="22"/>
          <w:szCs w:val="22"/>
          <w:color w:val="auto"/>
        </w:rPr>
      </w:pPr>
    </w:p>
    <w:p>
      <w:pPr>
        <w:ind w:left="1500" w:right="100" w:hanging="743"/>
        <w:spacing w:after="0" w:line="233" w:lineRule="auto"/>
        <w:tabs>
          <w:tab w:leader="none" w:pos="150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Recovery Period</w:t>
      </w:r>
      <w:r>
        <w:rPr>
          <w:rFonts w:ascii="Times New Roman" w:cs="Times New Roman" w:eastAsia="Times New Roman" w:hAnsi="Times New Roman"/>
          <w:sz w:val="22"/>
          <w:szCs w:val="22"/>
          <w:color w:val="auto"/>
        </w:rPr>
        <w:t>” shall mean the three completed fiscal years of the Company immediately preceding the date the Company is required to prepare an Accounting Restatement; provided that the Recovery Period shall not begin before the Effective Date. For purposes of determining the Recovery Period, the Company is considered to be “required to prepare an Accounting Restatement” on the earlier to occur of: (i) the date the Company’s Board of Directors, a committee thereof, or the Company’s authorized officers conclude, or reasonably should have concluded, that the Company is required to prepare an Accounting Restatement, or (ii) the date a court, regulator, or other legally authorized body directs the Company to prepare an Accounting Restatement. If the Company changes its fiscal year, then the transition period within or immediately following such three completed fiscal years also shall be included in the Recovery Period, provided that if the transition period between the last day of the Company’s prior fiscal year end and the first day of its new fiscal year comprises a period of nine to 12 months, then such transition period shall instead be deemed one of the three completed fiscal years and shall not extend the length of the Recovery Period.</w:t>
      </w:r>
    </w:p>
    <w:p>
      <w:pPr>
        <w:spacing w:after="0" w:line="211" w:lineRule="exact"/>
        <w:rPr>
          <w:rFonts w:ascii="Times New Roman" w:cs="Times New Roman" w:eastAsia="Times New Roman" w:hAnsi="Times New Roman"/>
          <w:sz w:val="22"/>
          <w:szCs w:val="22"/>
          <w:color w:val="auto"/>
        </w:rPr>
      </w:pPr>
    </w:p>
    <w:p>
      <w:pPr>
        <w:ind w:left="1500" w:right="40" w:hanging="743"/>
        <w:spacing w:after="0" w:line="241" w:lineRule="auto"/>
        <w:tabs>
          <w:tab w:leader="none" w:pos="150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Time-Based Compensation</w:t>
      </w:r>
      <w:r>
        <w:rPr>
          <w:rFonts w:ascii="Times New Roman" w:cs="Times New Roman" w:eastAsia="Times New Roman" w:hAnsi="Times New Roman"/>
          <w:sz w:val="22"/>
          <w:szCs w:val="22"/>
          <w:color w:val="auto"/>
        </w:rPr>
        <w:t>” shall mean any compensation that is paid pursuant to an equity-based award the amount of which is determined wholly or partially in relation to the fair market value of a share of the Company’s common stock, that is granted, earned or vests based solely on the passage of time or on the basis of non-financial reporting measures, and that is not Incentive-Based Compensation.</w:t>
      </w:r>
    </w:p>
    <w:p>
      <w:pPr>
        <w:spacing w:after="0" w:line="202" w:lineRule="exact"/>
        <w:rPr>
          <w:rFonts w:ascii="Times New Roman" w:cs="Times New Roman" w:eastAsia="Times New Roman" w:hAnsi="Times New Roman"/>
          <w:sz w:val="22"/>
          <w:szCs w:val="22"/>
          <w:color w:val="auto"/>
        </w:rPr>
      </w:pPr>
    </w:p>
    <w:p>
      <w:pPr>
        <w:ind w:left="760" w:right="120" w:hanging="752"/>
        <w:spacing w:after="0" w:line="238" w:lineRule="auto"/>
        <w:tabs>
          <w:tab w:leader="none" w:pos="7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Notwithstanding anything to the contrary in this Policy, recovery of Erroneously Awarded Compensation will not be required to the extent a committee of the Company’s independent directors responsible for executive compensation decisions (or a majority of the independent directors on the Company’s Board of Directors in the absence of such a committee) has made a determination that such recovery would be impracticable and one of the following conditions have been satisfied:</w:t>
      </w:r>
    </w:p>
    <w:p>
      <w:pPr>
        <w:spacing w:after="0" w:line="203" w:lineRule="exact"/>
        <w:rPr>
          <w:rFonts w:ascii="Times New Roman" w:cs="Times New Roman" w:eastAsia="Times New Roman" w:hAnsi="Times New Roman"/>
          <w:sz w:val="22"/>
          <w:szCs w:val="22"/>
          <w:color w:val="auto"/>
        </w:rPr>
      </w:pPr>
    </w:p>
    <w:p>
      <w:pPr>
        <w:ind w:left="1500" w:right="100" w:hanging="743"/>
        <w:spacing w:after="0" w:line="236" w:lineRule="auto"/>
        <w:tabs>
          <w:tab w:leader="none" w:pos="15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to be recovered; provided that, before concluding that it would be impracticable to recover any amount of Erroneously Awarded Compensation that was Incentive-Based Compensation based on the expense of enforcement, the Company must make a reasonable attempt to recover such Erroneously Awarded Compensation, document such reasonable attempt(s) to recover, and provide that documentation to the national securities exchange or association on which its securities are listed.</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4855-2270-1668.3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8" w:name="page189"/>
    <w:bookmarkEnd w:id="188"/>
    <w:p>
      <w:pPr>
        <w:ind w:left="1500" w:right="60" w:hanging="743"/>
        <w:spacing w:after="0" w:line="236" w:lineRule="auto"/>
        <w:tabs>
          <w:tab w:leader="none" w:pos="15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with respect to Incentive-Based Compensation, that law was adopted prior to November 28, 2022; provided that, before concluding that it would be impracticable to recover any amount of Erroneously Awarded Compensation that was Incentive-Based Compensation based on violation of home country law, the Company must obtain an opinion of home country counsel, acceptable to the national securities exchange or association on which its securities are listed, that recovery would result in such a violation, and must provide such opinion to the exchange or association.</w:t>
      </w:r>
    </w:p>
    <w:p>
      <w:pPr>
        <w:spacing w:after="0" w:line="208" w:lineRule="exact"/>
        <w:rPr>
          <w:rFonts w:ascii="Times New Roman" w:cs="Times New Roman" w:eastAsia="Times New Roman" w:hAnsi="Times New Roman"/>
          <w:sz w:val="22"/>
          <w:szCs w:val="22"/>
          <w:color w:val="auto"/>
        </w:rPr>
      </w:pPr>
    </w:p>
    <w:p>
      <w:pPr>
        <w:ind w:left="1500" w:right="240" w:hanging="743"/>
        <w:spacing w:after="0" w:line="244" w:lineRule="auto"/>
        <w:tabs>
          <w:tab w:leader="none" w:pos="15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200" w:lineRule="exact"/>
        <w:rPr>
          <w:rFonts w:ascii="Times New Roman" w:cs="Times New Roman" w:eastAsia="Times New Roman" w:hAnsi="Times New Roman"/>
          <w:sz w:val="22"/>
          <w:szCs w:val="22"/>
          <w:color w:val="auto"/>
        </w:rPr>
      </w:pPr>
    </w:p>
    <w:p>
      <w:pPr>
        <w:ind w:left="760" w:hanging="752"/>
        <w:spacing w:after="0" w:line="246" w:lineRule="auto"/>
        <w:tabs>
          <w:tab w:leader="none" w:pos="76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Manner of Recovery</w:t>
      </w:r>
      <w:r>
        <w:rPr>
          <w:rFonts w:ascii="Times New Roman" w:cs="Times New Roman" w:eastAsia="Times New Roman" w:hAnsi="Times New Roman"/>
          <w:sz w:val="21"/>
          <w:szCs w:val="21"/>
          <w:color w:val="auto"/>
        </w:rPr>
        <w:t>. In addition to any other actions permitted by law or contract, the Company may take any or all of the following actions to recover any Erroneously Awarded Compensation: (a) require the Covered Officer to repay such amount; (b) offset such amount from any other compensation owed by the Company or any of its affiliates to the Covered Officer, regardless of whether the contract or other documentation governing such other compensation specifically permits or specifically prohibits such offsets; and (c) subject to Section 4(c), to the extent the Erroneously Awarded Compensation was deferred into a plan of deferred compensation, whether or not qualified, forfeit such amount (as well as the earnings on such amounts) from the Covered Officer’s balance in such plan, regardless of whether the plan specifically permits or specifically prohibits such forfeiture. If the Erroneously Awarded Compensation consists of shares of the Company’s common stock, and the Covered Officer still owns such shares, then the Company may satisfy its recovery obligations by requiring the Covered Officer to transfer such shares back to the Company.</w:t>
      </w:r>
    </w:p>
    <w:p>
      <w:pPr>
        <w:spacing w:after="0" w:line="197" w:lineRule="exact"/>
        <w:rPr>
          <w:rFonts w:ascii="Times New Roman" w:cs="Times New Roman" w:eastAsia="Times New Roman" w:hAnsi="Times New Roman"/>
          <w:sz w:val="21"/>
          <w:szCs w:val="21"/>
          <w:color w:val="auto"/>
        </w:rPr>
      </w:pPr>
    </w:p>
    <w:p>
      <w:pPr>
        <w:ind w:left="760" w:hanging="752"/>
        <w:spacing w:after="0"/>
        <w:tabs>
          <w:tab w:leader="none" w:pos="7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500" w:right="120" w:hanging="743"/>
        <w:spacing w:after="0" w:line="238" w:lineRule="auto"/>
        <w:tabs>
          <w:tab w:leader="none" w:pos="150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shall be administered and interpreted, and may be amended from time to time, by the Company’s Board of Directors or any committee to which the Board may delegate its authority in its sole discretion in compliance with the applicable listing standards of the national securities exchange or association on which the Company’s securities are listed, and the determinations of the board or such committee shall be binding on all Covered Officers.</w:t>
      </w:r>
    </w:p>
    <w:p>
      <w:pPr>
        <w:spacing w:after="0" w:line="20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indemnify any Covered Officer against the loss of Erroneously Awarded Compensation.</w:t>
      </w:r>
    </w:p>
    <w:p>
      <w:pPr>
        <w:spacing w:after="0" w:line="244" w:lineRule="exact"/>
        <w:rPr>
          <w:rFonts w:ascii="Times New Roman" w:cs="Times New Roman" w:eastAsia="Times New Roman" w:hAnsi="Times New Roman"/>
          <w:sz w:val="21"/>
          <w:szCs w:val="21"/>
          <w:color w:val="auto"/>
        </w:rPr>
      </w:pPr>
    </w:p>
    <w:p>
      <w:pPr>
        <w:ind w:left="1500" w:right="380" w:hanging="743"/>
        <w:spacing w:after="0" w:line="282" w:lineRule="auto"/>
        <w:tabs>
          <w:tab w:leader="none" w:pos="1500"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file all disclosures with respect to this Policy in accordance with the requirements of the Federal securities laws, including disclosure required by the Securities and Exchange Commission filings.</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4855-2270-1668.3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9" w:name="page190"/>
    <w:bookmarkEnd w:id="189"/>
    <w:p>
      <w:pPr>
        <w:ind w:left="1420" w:right="340" w:hanging="743"/>
        <w:spacing w:after="0" w:line="258" w:lineRule="auto"/>
        <w:tabs>
          <w:tab w:leader="none" w:pos="142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recovery under this Policy shall be in addition to, and not in lieu of, any other rights of recovery that may be available to the Company.</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4855-2270-1668.3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601980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08" w:right="339" w:bottom="1440" w:gutter="0" w:footer="0" w:header="0"/>
        </w:sectPr>
      </w:pPr>
    </w:p>
    <w:bookmarkStart w:id="190" w:name="page191"/>
    <w:bookmarkEnd w:id="1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1)"/>
      <w:numFmt w:val="decimal"/>
      <w:start w:val="1"/>
    </w:lvl>
  </w:abstractNum>
  <w:abstractNum w:abstractNumId="14">
    <w:nsid w:val="1381823A"/>
    <w:multiLevelType w:val="hybridMultilevel"/>
    <w:lvl w:ilvl="0">
      <w:lvlJc w:val="left"/>
      <w:lvlText w:val="(%1)"/>
      <w:numFmt w:val="decimal"/>
      <w:start w:val="2"/>
    </w:lvl>
  </w:abstractNum>
  <w:abstractNum w:abstractNumId="15">
    <w:nsid w:val="5DB70AE5"/>
    <w:multiLevelType w:val="hybridMultilevel"/>
    <w:lvl w:ilvl="0">
      <w:lvlJc w:val="left"/>
      <w:lvlText w:val="(%1)"/>
      <w:numFmt w:val="decimal"/>
      <w:start w:val="8"/>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1)"/>
      <w:numFmt w:val="lowerLetter"/>
      <w:start w:val="3"/>
    </w:lvl>
    <w:lvl w:ilvl="1">
      <w:lvlJc w:val="left"/>
      <w:lvlText w:val="•"/>
      <w:numFmt w:val="bullet"/>
      <w:start w:val="1"/>
    </w:lvl>
  </w:abstractNum>
  <w:abstractNum w:abstractNumId="18">
    <w:nsid w:val="15014ACB"/>
    <w:multiLevelType w:val="hybridMultilevel"/>
    <w:lvl w:ilvl="0">
      <w:lvlJc w:val="left"/>
      <w:lvlText w:val="(%1)"/>
      <w:numFmt w:val="decimal"/>
      <w:start w:val="1"/>
    </w:lvl>
  </w:abstractNum>
  <w:abstractNum w:abstractNumId="19">
    <w:nsid w:val="5F5E7FD0"/>
    <w:multiLevelType w:val="hybridMultilevel"/>
    <w:lvl w:ilvl="0">
      <w:lvlJc w:val="left"/>
      <w:lvlText w:val="(%1)"/>
      <w:numFmt w:val="decimal"/>
      <w:start w:val="1"/>
    </w:lvl>
  </w:abstractNum>
  <w:abstractNum w:abstractNumId="20">
    <w:nsid w:val="98A3148"/>
    <w:multiLevelType w:val="hybridMultilevel"/>
    <w:lvl w:ilvl="0">
      <w:lvlJc w:val="left"/>
      <w:lvlText w:val="%1."/>
      <w:numFmt w:val="lowerRoman"/>
      <w:start w:val="1"/>
    </w:lvl>
  </w:abstractNum>
  <w:abstractNum w:abstractNumId="21">
    <w:nsid w:val="799D0247"/>
    <w:multiLevelType w:val="hybridMultilevel"/>
    <w:lvl w:ilvl="0">
      <w:lvlJc w:val="left"/>
      <w:lvlText w:val="%1"/>
      <w:numFmt w:val="decimal"/>
      <w:start w:val="97"/>
    </w:lvl>
  </w:abstractNum>
  <w:abstractNum w:abstractNumId="22">
    <w:nsid w:val="6B94764"/>
    <w:multiLevelType w:val="hybridMultilevel"/>
    <w:lvl w:ilvl="0">
      <w:lvlJc w:val="left"/>
      <w:lvlText w:val="%1"/>
      <w:numFmt w:val="decimal"/>
      <w:start w:val="101"/>
    </w:lvl>
  </w:abstractNum>
  <w:abstractNum w:abstractNumId="23">
    <w:nsid w:val="42C296BD"/>
    <w:multiLevelType w:val="hybridMultilevel"/>
    <w:lvl w:ilvl="0">
      <w:lvlJc w:val="left"/>
      <w:lvlText w:val="%1"/>
      <w:numFmt w:val="decimal"/>
      <w:start w:val="104"/>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1."/>
      <w:numFmt w:val="lowerLetter"/>
      <w:start w:val="1"/>
    </w:lvl>
  </w:abstractNum>
  <w:abstractNum w:abstractNumId="30">
    <w:nsid w:val="51D9C564"/>
    <w:multiLevelType w:val="hybridMultilevel"/>
    <w:lvl w:ilvl="0">
      <w:lvlJc w:val="left"/>
      <w:lvlText w:val="%1."/>
      <w:numFmt w:val="decimal"/>
      <w:start w:val="1"/>
    </w:lvl>
  </w:abstractNum>
  <w:abstractNum w:abstractNumId="31">
    <w:nsid w:val="613EFDC5"/>
    <w:multiLevelType w:val="hybridMultilevel"/>
    <w:lvl w:ilvl="0">
      <w:lvlJc w:val="left"/>
      <w:lvlText w:val="%1."/>
      <w:numFmt w:val="decimal"/>
      <w:start w:val="2"/>
    </w:lvl>
  </w:abstractNum>
  <w:abstractNum w:abstractNumId="32">
    <w:nsid w:val="BF72B14"/>
    <w:multiLevelType w:val="hybridMultilevel"/>
    <w:lvl w:ilvl="0">
      <w:lvlJc w:val="left"/>
      <w:lvlText w:val="%1."/>
      <w:numFmt w:val="decimal"/>
      <w:start w:val="3"/>
    </w:lvl>
  </w:abstractNum>
  <w:abstractNum w:abstractNumId="33">
    <w:nsid w:val="11447B73"/>
    <w:multiLevelType w:val="hybridMultilevel"/>
    <w:lvl w:ilvl="0">
      <w:lvlJc w:val="left"/>
      <w:lvlText w:val="%1."/>
      <w:numFmt w:val="decimal"/>
      <w:start w:val="4"/>
    </w:lvl>
  </w:abstractNum>
  <w:abstractNum w:abstractNumId="34">
    <w:nsid w:val="42963E5A"/>
    <w:multiLevelType w:val="hybridMultilevel"/>
    <w:lvl w:ilvl="0">
      <w:lvlJc w:val="left"/>
      <w:lvlText w:val="%1."/>
      <w:numFmt w:val="decimal"/>
      <w:start w:val="5"/>
    </w:lvl>
  </w:abstractNum>
  <w:abstractNum w:abstractNumId="35">
    <w:nsid w:val="A0382C5"/>
    <w:multiLevelType w:val="hybridMultilevel"/>
    <w:lvl w:ilvl="0">
      <w:lvlJc w:val="left"/>
      <w:lvlText w:val="%1."/>
      <w:numFmt w:val="decimal"/>
      <w:start w:val="6"/>
    </w:lvl>
  </w:abstractNum>
  <w:abstractNum w:abstractNumId="36">
    <w:nsid w:val="8F2B15E"/>
    <w:multiLevelType w:val="hybridMultilevel"/>
    <w:lvl w:ilvl="0">
      <w:lvlJc w:val="left"/>
      <w:lvlText w:val="%1."/>
      <w:numFmt w:val="decimal"/>
      <w:start w:val="7"/>
    </w:lvl>
  </w:abstractNum>
  <w:abstractNum w:abstractNumId="37">
    <w:nsid w:val="1A32234B"/>
    <w:multiLevelType w:val="hybridMultilevel"/>
    <w:lvl w:ilvl="0">
      <w:lvlJc w:val="left"/>
      <w:lvlText w:val="%1."/>
      <w:numFmt w:val="decimal"/>
      <w:start w:val="8"/>
    </w:lvl>
  </w:abstractNum>
  <w:abstractNum w:abstractNumId="38">
    <w:nsid w:val="3B0FD379"/>
    <w:multiLevelType w:val="hybridMultilevel"/>
    <w:lvl w:ilvl="0">
      <w:lvlJc w:val="left"/>
      <w:lvlText w:val="%1."/>
      <w:numFmt w:val="decimal"/>
      <w:start w:val="9"/>
    </w:lvl>
  </w:abstractNum>
  <w:abstractNum w:abstractNumId="39">
    <w:nsid w:val="68EB2F63"/>
    <w:multiLevelType w:val="hybridMultilevel"/>
    <w:lvl w:ilvl="0">
      <w:lvlJc w:val="left"/>
      <w:lvlText w:val="%1."/>
      <w:numFmt w:val="decimal"/>
      <w:start w:val="10"/>
    </w:lvl>
  </w:abstractNum>
  <w:abstractNum w:abstractNumId="40">
    <w:nsid w:val="4962813B"/>
    <w:multiLevelType w:val="hybridMultilevel"/>
    <w:lvl w:ilvl="0">
      <w:lvlJc w:val="left"/>
      <w:lvlText w:val="%1."/>
      <w:numFmt w:val="decimal"/>
      <w:start w:val="11"/>
    </w:lvl>
  </w:abstractNum>
  <w:abstractNum w:abstractNumId="41">
    <w:nsid w:val="60B6DF70"/>
    <w:multiLevelType w:val="hybridMultilevel"/>
    <w:lvl w:ilvl="0">
      <w:lvlJc w:val="left"/>
      <w:lvlText w:val="%1."/>
      <w:numFmt w:val="decimal"/>
      <w:start w:val="12"/>
    </w:lvl>
  </w:abstractNum>
  <w:abstractNum w:abstractNumId="42">
    <w:nsid w:val="6A5EE64"/>
    <w:multiLevelType w:val="hybridMultilevel"/>
    <w:lvl w:ilvl="0">
      <w:lvlJc w:val="left"/>
      <w:lvlText w:val="%1."/>
      <w:numFmt w:val="decimal"/>
      <w:start w:val="13"/>
    </w:lvl>
  </w:abstractNum>
  <w:abstractNum w:abstractNumId="43">
    <w:nsid w:val="14330624"/>
    <w:multiLevelType w:val="hybridMultilevel"/>
    <w:lvl w:ilvl="0">
      <w:lvlJc w:val="left"/>
      <w:lvlText w:val="%1."/>
      <w:numFmt w:val="upperLetter"/>
      <w:start w:val="1"/>
    </w:lvl>
  </w:abstractNum>
  <w:abstractNum w:abstractNumId="44">
    <w:nsid w:val="7FFFCA11"/>
    <w:multiLevelType w:val="hybridMultilevel"/>
    <w:lvl w:ilvl="0">
      <w:lvlJc w:val="left"/>
      <w:lvlText w:val="%1."/>
      <w:numFmt w:val="upperLetter"/>
      <w:start w:val="3"/>
    </w:lvl>
  </w:abstractNum>
  <w:abstractNum w:abstractNumId="45">
    <w:nsid w:val="1A27709E"/>
    <w:multiLevelType w:val="hybridMultilevel"/>
    <w:lvl w:ilvl="0">
      <w:lvlJc w:val="left"/>
      <w:lvlText w:val="%1."/>
      <w:numFmt w:val="decimal"/>
      <w:start w:val="1"/>
    </w:lvl>
  </w:abstractNum>
  <w:abstractNum w:abstractNumId="46">
    <w:nsid w:val="71EA1109"/>
    <w:multiLevelType w:val="hybridMultilevel"/>
    <w:lvl w:ilvl="0">
      <w:lvlJc w:val="left"/>
      <w:lvlText w:val="%1."/>
      <w:numFmt w:val="decimal"/>
      <w:start w:val="2"/>
    </w:lvl>
  </w:abstractNum>
  <w:abstractNum w:abstractNumId="47">
    <w:nsid w:val="100F59DC"/>
    <w:multiLevelType w:val="hybridMultilevel"/>
    <w:lvl w:ilvl="0">
      <w:lvlJc w:val="left"/>
      <w:lvlText w:val="%1."/>
      <w:numFmt w:val="decimal"/>
      <w:start w:val="3"/>
    </w:lvl>
  </w:abstractNum>
  <w:abstractNum w:abstractNumId="48">
    <w:nsid w:val="7FB7E0AA"/>
    <w:multiLevelType w:val="hybridMultilevel"/>
    <w:lvl w:ilvl="0">
      <w:lvlJc w:val="left"/>
      <w:lvlText w:val="%1."/>
      <w:numFmt w:val="decimal"/>
      <w:start w:val="4"/>
    </w:lvl>
  </w:abstractNum>
  <w:abstractNum w:abstractNumId="49">
    <w:nsid w:val="6EB5BD4"/>
    <w:multiLevelType w:val="hybridMultilevel"/>
    <w:lvl w:ilvl="0">
      <w:lvlJc w:val="left"/>
      <w:lvlText w:val="%1."/>
      <w:numFmt w:val="decimal"/>
      <w:start w:val="5"/>
    </w:lvl>
  </w:abstractNum>
  <w:abstractNum w:abstractNumId="50">
    <w:nsid w:val="6F6DD9AC"/>
    <w:multiLevelType w:val="hybridMultilevel"/>
    <w:lvl w:ilvl="0">
      <w:lvlJc w:val="left"/>
      <w:lvlText w:val="%1."/>
      <w:numFmt w:val="decimal"/>
      <w:start w:val="6"/>
    </w:lvl>
  </w:abstractNum>
  <w:abstractNum w:abstractNumId="51">
    <w:nsid w:val="94211F2"/>
    <w:multiLevelType w:val="hybridMultilevel"/>
    <w:lvl w:ilvl="0">
      <w:lvlJc w:val="left"/>
      <w:lvlText w:val="%1."/>
      <w:numFmt w:val="decimal"/>
      <w:start w:val="7"/>
    </w:lvl>
  </w:abstractNum>
  <w:abstractNum w:abstractNumId="52">
    <w:nsid w:val="885E1B"/>
    <w:multiLevelType w:val="hybridMultilevel"/>
    <w:lvl w:ilvl="0">
      <w:lvlJc w:val="left"/>
      <w:lvlText w:val="%1."/>
      <w:numFmt w:val="decimal"/>
      <w:start w:val="8"/>
    </w:lvl>
  </w:abstractNum>
  <w:abstractNum w:abstractNumId="53">
    <w:nsid w:val="76272110"/>
    <w:multiLevelType w:val="hybridMultilevel"/>
    <w:lvl w:ilvl="0">
      <w:lvlJc w:val="left"/>
      <w:lvlText w:val="%1."/>
      <w:numFmt w:val="decimal"/>
      <w:start w:val="9"/>
    </w:lvl>
  </w:abstractNum>
  <w:abstractNum w:abstractNumId="54">
    <w:nsid w:val="4C04A8AF"/>
    <w:multiLevelType w:val="hybridMultilevel"/>
    <w:lvl w:ilvl="0">
      <w:lvlJc w:val="left"/>
      <w:lvlText w:val="%1."/>
      <w:numFmt w:val="decimal"/>
      <w:start w:val="10"/>
    </w:lvl>
  </w:abstractNum>
  <w:abstractNum w:abstractNumId="55">
    <w:nsid w:val="1716703B"/>
    <w:multiLevelType w:val="hybridMultilevel"/>
    <w:lvl w:ilvl="0">
      <w:lvlJc w:val="left"/>
      <w:lvlText w:val="%1."/>
      <w:numFmt w:val="decimal"/>
      <w:start w:val="11"/>
    </w:lvl>
  </w:abstractNum>
  <w:abstractNum w:abstractNumId="56">
    <w:nsid w:val="14E17E33"/>
    <w:multiLevelType w:val="hybridMultilevel"/>
    <w:lvl w:ilvl="0">
      <w:lvlJc w:val="left"/>
      <w:lvlText w:val="%1."/>
      <w:numFmt w:val="decimal"/>
      <w:start w:val="12"/>
    </w:lvl>
  </w:abstractNum>
  <w:abstractNum w:abstractNumId="57">
    <w:nsid w:val="3222E7CD"/>
    <w:multiLevelType w:val="hybridMultilevel"/>
    <w:lvl w:ilvl="0">
      <w:lvlJc w:val="left"/>
      <w:lvlText w:val="%1."/>
      <w:numFmt w:val="decimal"/>
      <w:start w:val="13"/>
    </w:lvl>
  </w:abstractNum>
  <w:abstractNum w:abstractNumId="58">
    <w:nsid w:val="74DE0EE3"/>
    <w:multiLevelType w:val="hybridMultilevel"/>
    <w:lvl w:ilvl="0">
      <w:lvlJc w:val="left"/>
      <w:lvlText w:val="%1."/>
      <w:numFmt w:val="upperLetter"/>
      <w:start w:val="1"/>
    </w:lvl>
  </w:abstractNum>
  <w:abstractNum w:abstractNumId="59">
    <w:nsid w:val="68EBC550"/>
    <w:multiLevelType w:val="hybridMultilevel"/>
    <w:lvl w:ilvl="0">
      <w:lvlJc w:val="left"/>
      <w:lvlText w:val="%1."/>
      <w:numFmt w:val="upperLetter"/>
      <w:start w:val="3"/>
    </w:lvl>
  </w:abstractNum>
  <w:abstractNum w:abstractNumId="60">
    <w:nsid w:val="2DF6D648"/>
    <w:multiLevelType w:val="hybridMultilevel"/>
    <w:lvl w:ilvl="0">
      <w:lvlJc w:val="left"/>
      <w:lvlText w:val="%1."/>
      <w:numFmt w:val="decimal"/>
      <w:start w:val="1"/>
    </w:lvl>
  </w:abstractNum>
  <w:abstractNum w:abstractNumId="61">
    <w:nsid w:val="46B7D447"/>
    <w:multiLevelType w:val="hybridMultilevel"/>
    <w:lvl w:ilvl="0">
      <w:lvlJc w:val="left"/>
      <w:lvlText w:val="%1."/>
      <w:numFmt w:val="decimal"/>
      <w:start w:val="2"/>
    </w:lvl>
  </w:abstractNum>
  <w:abstractNum w:abstractNumId="62">
    <w:nsid w:val="4A2AC315"/>
    <w:multiLevelType w:val="hybridMultilevel"/>
    <w:lvl w:ilvl="0">
      <w:lvlJc w:val="left"/>
      <w:lvlText w:val="%1."/>
      <w:numFmt w:val="decimal"/>
      <w:start w:val="3"/>
    </w:lvl>
  </w:abstractNum>
  <w:abstractNum w:abstractNumId="63">
    <w:nsid w:val="39EE015C"/>
    <w:multiLevelType w:val="hybridMultilevel"/>
    <w:lvl w:ilvl="0">
      <w:lvlJc w:val="left"/>
      <w:lvlText w:val="%1."/>
      <w:numFmt w:val="decimal"/>
      <w:start w:val="4"/>
    </w:lvl>
  </w:abstractNum>
  <w:abstractNum w:abstractNumId="64">
    <w:nsid w:val="57FC4FBB"/>
    <w:multiLevelType w:val="hybridMultilevel"/>
    <w:lvl w:ilvl="0">
      <w:lvlJc w:val="left"/>
      <w:lvlText w:val="%1."/>
      <w:numFmt w:val="decimal"/>
      <w:start w:val="5"/>
    </w:lvl>
  </w:abstractNum>
  <w:abstractNum w:abstractNumId="65">
    <w:nsid w:val="CC1016F"/>
    <w:multiLevelType w:val="hybridMultilevel"/>
    <w:lvl w:ilvl="0">
      <w:lvlJc w:val="left"/>
      <w:lvlText w:val="%1."/>
      <w:numFmt w:val="decimal"/>
      <w:start w:val="6"/>
    </w:lvl>
  </w:abstractNum>
  <w:abstractNum w:abstractNumId="66">
    <w:nsid w:val="43F18422"/>
    <w:multiLevelType w:val="hybridMultilevel"/>
    <w:lvl w:ilvl="0">
      <w:lvlJc w:val="left"/>
      <w:lvlText w:val="%1."/>
      <w:numFmt w:val="decimal"/>
      <w:start w:val="7"/>
    </w:lvl>
  </w:abstractNum>
  <w:abstractNum w:abstractNumId="67">
    <w:nsid w:val="60EF0119"/>
    <w:multiLevelType w:val="hybridMultilevel"/>
    <w:lvl w:ilvl="0">
      <w:lvlJc w:val="left"/>
      <w:lvlText w:val="%1."/>
      <w:numFmt w:val="decimal"/>
      <w:start w:val="8"/>
    </w:lvl>
  </w:abstractNum>
  <w:abstractNum w:abstractNumId="68">
    <w:nsid w:val="26F324BA"/>
    <w:multiLevelType w:val="hybridMultilevel"/>
    <w:lvl w:ilvl="0">
      <w:lvlJc w:val="left"/>
      <w:lvlText w:val="%1."/>
      <w:numFmt w:val="decimal"/>
      <w:start w:val="9"/>
    </w:lvl>
  </w:abstractNum>
  <w:abstractNum w:abstractNumId="69">
    <w:nsid w:val="7F01579B"/>
    <w:multiLevelType w:val="hybridMultilevel"/>
    <w:lvl w:ilvl="0">
      <w:lvlJc w:val="left"/>
      <w:lvlText w:val="%1."/>
      <w:numFmt w:val="decimal"/>
      <w:start w:val="10"/>
    </w:lvl>
  </w:abstractNum>
  <w:abstractNum w:abstractNumId="70">
    <w:nsid w:val="49DA307D"/>
    <w:multiLevelType w:val="hybridMultilevel"/>
    <w:lvl w:ilvl="0">
      <w:lvlJc w:val="left"/>
      <w:lvlText w:val="%1."/>
      <w:numFmt w:val="decimal"/>
      <w:start w:val="11"/>
    </w:lvl>
  </w:abstractNum>
  <w:abstractNum w:abstractNumId="71">
    <w:nsid w:val="7055A5F5"/>
    <w:multiLevelType w:val="hybridMultilevel"/>
    <w:lvl w:ilvl="0">
      <w:lvlJc w:val="left"/>
      <w:lvlText w:val="%1."/>
      <w:numFmt w:val="decimal"/>
      <w:start w:val="12"/>
    </w:lvl>
  </w:abstractNum>
  <w:abstractNum w:abstractNumId="72">
    <w:nsid w:val="5FB8370B"/>
    <w:multiLevelType w:val="hybridMultilevel"/>
    <w:lvl w:ilvl="0">
      <w:lvlJc w:val="left"/>
      <w:lvlText w:val="%1."/>
      <w:numFmt w:val="decimal"/>
      <w:start w:val="13"/>
    </w:lvl>
  </w:abstractNum>
  <w:abstractNum w:abstractNumId="73">
    <w:nsid w:val="50801EE1"/>
    <w:multiLevelType w:val="hybridMultilevel"/>
    <w:lvl w:ilvl="0">
      <w:lvlJc w:val="left"/>
      <w:lvlText w:val="%1."/>
      <w:numFmt w:val="upperLetter"/>
      <w:start w:val="1"/>
    </w:lvl>
  </w:abstractNum>
  <w:abstractNum w:abstractNumId="74">
    <w:nsid w:val="488AC1A"/>
    <w:multiLevelType w:val="hybridMultilevel"/>
    <w:lvl w:ilvl="0">
      <w:lvlJc w:val="left"/>
      <w:lvlText w:val="%1."/>
      <w:numFmt w:val="upperLetter"/>
      <w:start w:val="3"/>
    </w:lvl>
  </w:abstractNum>
  <w:abstractNum w:abstractNumId="75">
    <w:nsid w:val="5FB8011C"/>
    <w:multiLevelType w:val="hybridMultilevel"/>
    <w:lvl w:ilvl="0">
      <w:lvlJc w:val="left"/>
      <w:lvlText w:val="1"/>
      <w:numFmt w:val="bullet"/>
      <w:start w:val="1"/>
    </w:lvl>
  </w:abstractNum>
  <w:abstractNum w:abstractNumId="76">
    <w:nsid w:val="6AA78F7F"/>
    <w:multiLevelType w:val="hybridMultilevel"/>
    <w:lvl w:ilvl="0">
      <w:lvlJc w:val="left"/>
      <w:lvlText w:val="(%1)"/>
      <w:numFmt w:val="lowerRoman"/>
      <w:start w:val="3"/>
    </w:lvl>
  </w:abstractNum>
  <w:abstractNum w:abstractNumId="77">
    <w:nsid w:val="7672BD23"/>
    <w:multiLevelType w:val="hybridMultilevel"/>
    <w:lvl w:ilvl="0">
      <w:lvlJc w:val="left"/>
      <w:lvlText w:val="(%1)"/>
      <w:numFmt w:val="lowerLetter"/>
      <w:start w:val="5"/>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 "/>
      <w:numFmt w:val="bullet"/>
      <w:start w:val="1"/>
    </w:lvl>
    <w:lvl w:ilvl="1">
      <w:lvlJc w:val="left"/>
      <w:lvlText w:val=" "/>
      <w:numFmt w:val="bullet"/>
      <w:start w:val="1"/>
    </w:lvl>
  </w:abstractNum>
  <w:abstractNum w:abstractNumId="80">
    <w:nsid w:val="7D5E18F8"/>
    <w:multiLevelType w:val="hybridMultilevel"/>
    <w:lvl w:ilvl="0">
      <w:lvlJc w:val="left"/>
      <w:lvlText w:val=" "/>
      <w:numFmt w:val="bullet"/>
      <w:start w:val="1"/>
    </w:lvl>
  </w:abstractNum>
  <w:abstractNum w:abstractNumId="81">
    <w:nsid w:val="5F3534A4"/>
    <w:multiLevelType w:val="hybridMultilevel"/>
    <w:lvl w:ilvl="0">
      <w:lvlJc w:val="left"/>
      <w:lvlText w:val="%1."/>
      <w:numFmt w:val="decimal"/>
      <w:start w:val="1"/>
    </w:lvl>
  </w:abstractNum>
  <w:abstractNum w:abstractNumId="82">
    <w:nsid w:val="73A1821B"/>
    <w:multiLevelType w:val="hybridMultilevel"/>
    <w:lvl w:ilvl="0">
      <w:lvlJc w:val="left"/>
      <w:lvlText w:val=" "/>
      <w:numFmt w:val="bullet"/>
      <w:start w:val="1"/>
    </w:lvl>
    <w:lvl w:ilvl="1">
      <w:lvlJc w:val="left"/>
      <w:lvlText w:val=" "/>
      <w:numFmt w:val="bullet"/>
      <w:start w:val="1"/>
    </w:lvl>
  </w:abstractNum>
  <w:abstractNum w:abstractNumId="83">
    <w:nsid w:val="7DE67713"/>
    <w:multiLevelType w:val="hybridMultilevel"/>
    <w:lvl w:ilvl="0">
      <w:lvlJc w:val="left"/>
      <w:lvlText w:val=" "/>
      <w:numFmt w:val="bullet"/>
      <w:start w:val="1"/>
    </w:lvl>
  </w:abstractNum>
  <w:abstractNum w:abstractNumId="84">
    <w:nsid w:val="555C55B5"/>
    <w:multiLevelType w:val="hybridMultilevel"/>
    <w:lvl w:ilvl="0">
      <w:lvlJc w:val="left"/>
      <w:lvlText w:val="%1."/>
      <w:numFmt w:val="decimal"/>
      <w:start w:val="1"/>
    </w:lvl>
  </w:abstractNum>
  <w:abstractNum w:abstractNumId="85">
    <w:nsid w:val="3FA62ACA"/>
    <w:multiLevelType w:val="hybridMultilevel"/>
    <w:lvl w:ilvl="0">
      <w:lvlJc w:val="left"/>
      <w:lvlText w:val="(%1)"/>
      <w:numFmt w:val="lowerRoman"/>
      <w:start w:val="3"/>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 "/>
      <w:numFmt w:val="bullet"/>
      <w:start w:val="1"/>
    </w:lvl>
    <w:lvl w:ilvl="1">
      <w:lvlJc w:val="left"/>
      <w:lvlText w:val=" "/>
      <w:numFmt w:val="bullet"/>
      <w:start w:val="1"/>
    </w:lvl>
  </w:abstractNum>
  <w:abstractNum w:abstractNumId="89">
    <w:nsid w:val="9DAF632"/>
    <w:multiLevelType w:val="hybridMultilevel"/>
    <w:lvl w:ilvl="0">
      <w:lvlJc w:val="left"/>
      <w:lvlText w:val=" "/>
      <w:numFmt w:val="bullet"/>
      <w:start w:val="1"/>
    </w:lvl>
  </w:abstractNum>
  <w:abstractNum w:abstractNumId="90">
    <w:nsid w:val="53299938"/>
    <w:multiLevelType w:val="hybridMultilevel"/>
    <w:lvl w:ilvl="0">
      <w:lvlJc w:val="left"/>
      <w:lvlText w:val="%1."/>
      <w:numFmt w:val="decimal"/>
      <w:start w:val="1"/>
    </w:lvl>
  </w:abstractNum>
  <w:abstractNum w:abstractNumId="91">
    <w:nsid w:val="1FBFE8E0"/>
    <w:multiLevelType w:val="hybridMultilevel"/>
    <w:lvl w:ilvl="0">
      <w:lvlJc w:val="left"/>
      <w:lvlText w:val="%1."/>
      <w:numFmt w:val="decimal"/>
      <w:start w:val="1"/>
    </w:lvl>
  </w:abstractNum>
  <w:abstractNum w:abstractNumId="92">
    <w:nsid w:val="5092CA79"/>
    <w:multiLevelType w:val="hybridMultilevel"/>
    <w:lvl w:ilvl="0">
      <w:lvlJc w:val="left"/>
      <w:lvlText w:val="%1."/>
      <w:numFmt w:val="decimal"/>
      <w:start w:val="2"/>
    </w:lvl>
  </w:abstractNum>
  <w:abstractNum w:abstractNumId="93">
    <w:nsid w:val="1D545C4D"/>
    <w:multiLevelType w:val="hybridMultilevel"/>
    <w:lvl w:ilvl="0">
      <w:lvlJc w:val="left"/>
      <w:lvlText w:val="%1."/>
      <w:numFmt w:val="decimal"/>
      <w:start w:val="3"/>
    </w:lvl>
  </w:abstractNum>
  <w:abstractNum w:abstractNumId="94">
    <w:nsid w:val="59ADEA3D"/>
    <w:multiLevelType w:val="hybridMultilevel"/>
    <w:lvl w:ilvl="0">
      <w:lvlJc w:val="left"/>
      <w:lvlText w:val="%1."/>
      <w:numFmt w:val="decimal"/>
      <w:start w:val="4"/>
    </w:lvl>
  </w:abstractNum>
  <w:abstractNum w:abstractNumId="95">
    <w:nsid w:val="288F1A34"/>
    <w:multiLevelType w:val="hybridMultilevel"/>
    <w:lvl w:ilvl="0">
      <w:lvlJc w:val="left"/>
      <w:lvlText w:val="%1."/>
      <w:numFmt w:val="decimal"/>
      <w:start w:val="5"/>
    </w:lvl>
  </w:abstractNum>
  <w:abstractNum w:abstractNumId="96">
    <w:nsid w:val="2A155DBC"/>
    <w:multiLevelType w:val="hybridMultilevel"/>
    <w:lvl w:ilvl="0">
      <w:lvlJc w:val="left"/>
      <w:lvlText w:val="%1."/>
      <w:numFmt w:val="decimal"/>
      <w:start w:val="6"/>
    </w:lvl>
  </w:abstractNum>
  <w:abstractNum w:abstractNumId="97">
    <w:nsid w:val="1D9F6E5F"/>
    <w:multiLevelType w:val="hybridMultilevel"/>
    <w:lvl w:ilvl="0">
      <w:lvlJc w:val="left"/>
      <w:lvlText w:val="%1."/>
      <w:numFmt w:val="decimal"/>
      <w:start w:val="7"/>
    </w:lvl>
  </w:abstractNum>
  <w:abstractNum w:abstractNumId="98">
    <w:nsid w:val="97E1B4E"/>
    <w:multiLevelType w:val="hybridMultilevel"/>
    <w:lvl w:ilvl="0">
      <w:lvlJc w:val="left"/>
      <w:lvlText w:val="%1."/>
      <w:numFmt w:val="decimal"/>
      <w:start w:val="8"/>
    </w:lvl>
  </w:abstractNum>
  <w:abstractNum w:abstractNumId="99">
    <w:nsid w:val="51088277"/>
    <w:multiLevelType w:val="hybridMultilevel"/>
    <w:lvl w:ilvl="0">
      <w:lvlJc w:val="left"/>
      <w:lvlText w:val="%1."/>
      <w:numFmt w:val="decimal"/>
      <w:start w:val="9"/>
    </w:lvl>
  </w:abstractNum>
  <w:abstractNum w:abstractNumId="100">
    <w:nsid w:val="1CA0C5FA"/>
    <w:multiLevelType w:val="hybridMultilevel"/>
    <w:lvl w:ilvl="0">
      <w:lvlJc w:val="left"/>
      <w:lvlText w:val="%1."/>
      <w:numFmt w:val="decimal"/>
      <w:start w:val="10"/>
    </w:lvl>
  </w:abstractNum>
  <w:abstractNum w:abstractNumId="101">
    <w:nsid w:val="53584BCB"/>
    <w:multiLevelType w:val="hybridMultilevel"/>
    <w:lvl w:ilvl="0">
      <w:lvlJc w:val="left"/>
      <w:lvlText w:val="%1."/>
      <w:numFmt w:val="decimal"/>
      <w:start w:val="11"/>
    </w:lvl>
  </w:abstractNum>
  <w:abstractNum w:abstractNumId="102">
    <w:nsid w:val="415E286C"/>
    <w:multiLevelType w:val="hybridMultilevel"/>
    <w:lvl w:ilvl="0">
      <w:lvlJc w:val="left"/>
      <w:lvlText w:val="%1."/>
      <w:numFmt w:val="decimal"/>
      <w:start w:val="12"/>
    </w:lvl>
  </w:abstractNum>
  <w:abstractNum w:abstractNumId="103">
    <w:nsid w:val="7C58FD05"/>
    <w:multiLevelType w:val="hybridMultilevel"/>
    <w:lvl w:ilvl="0">
      <w:lvlJc w:val="left"/>
      <w:lvlText w:val="%1."/>
      <w:numFmt w:val="decimal"/>
      <w:start w:val="13"/>
    </w:lvl>
  </w:abstractNum>
  <w:abstractNum w:abstractNumId="104">
    <w:nsid w:val="23D86AAC"/>
    <w:multiLevelType w:val="hybridMultilevel"/>
    <w:lvl w:ilvl="0">
      <w:lvlJc w:val="left"/>
      <w:lvlText w:val="%1."/>
      <w:numFmt w:val="upperLetter"/>
      <w:start w:val="1"/>
    </w:lvl>
  </w:abstractNum>
  <w:abstractNum w:abstractNumId="105">
    <w:nsid w:val="45E6D486"/>
    <w:multiLevelType w:val="hybridMultilevel"/>
    <w:lvl w:ilvl="0">
      <w:lvlJc w:val="left"/>
      <w:lvlText w:val="%1."/>
      <w:numFmt w:val="upperLetter"/>
      <w:start w:val="3"/>
    </w:lvl>
  </w:abstractNum>
  <w:abstractNum w:abstractNumId="106">
    <w:nsid w:val="5C10FE21"/>
    <w:multiLevelType w:val="hybridMultilevel"/>
    <w:lvl w:ilvl="0">
      <w:lvlJc w:val="left"/>
      <w:lvlText w:val="%1."/>
      <w:numFmt w:val="decimal"/>
      <w:start w:val="1"/>
    </w:lvl>
  </w:abstractNum>
  <w:abstractNum w:abstractNumId="107">
    <w:nsid w:val="E7FFA2B"/>
    <w:multiLevelType w:val="hybridMultilevel"/>
    <w:lvl w:ilvl="0">
      <w:lvlJc w:val="left"/>
      <w:lvlText w:val="%1."/>
      <w:numFmt w:val="decimal"/>
      <w:start w:val="2"/>
    </w:lvl>
  </w:abstractNum>
  <w:abstractNum w:abstractNumId="108">
    <w:nsid w:val="3C5991AA"/>
    <w:multiLevelType w:val="hybridMultilevel"/>
    <w:lvl w:ilvl="0">
      <w:lvlJc w:val="left"/>
      <w:lvlText w:val="%1."/>
      <w:numFmt w:val="decimal"/>
      <w:start w:val="3"/>
    </w:lvl>
  </w:abstractNum>
  <w:abstractNum w:abstractNumId="109">
    <w:nsid w:val="4BD8591A"/>
    <w:multiLevelType w:val="hybridMultilevel"/>
    <w:lvl w:ilvl="0">
      <w:lvlJc w:val="left"/>
      <w:lvlText w:val="%1."/>
      <w:numFmt w:val="decimal"/>
      <w:start w:val="1"/>
    </w:lvl>
    <w:lvl w:ilvl="1">
      <w:lvlJc w:val="left"/>
      <w:lvlText w:val="%2."/>
      <w:numFmt w:val="lowerLetter"/>
      <w:start w:val="1"/>
    </w:lvl>
  </w:abstractNum>
  <w:abstractNum w:abstractNumId="110">
    <w:nsid w:val="78DF6A55"/>
    <w:multiLevelType w:val="hybridMultilevel"/>
    <w:lvl w:ilvl="0">
      <w:lvlJc w:val="left"/>
      <w:lvlText w:val="%1."/>
      <w:numFmt w:val="decimal"/>
      <w:start w:val="1"/>
    </w:lvl>
    <w:lvl w:ilvl="1">
      <w:lvlJc w:val="left"/>
      <w:lvlText w:val="%2."/>
      <w:numFmt w:val="lowerLetter"/>
      <w:start w:val="1"/>
    </w:lvl>
  </w:abstractNum>
  <w:abstractNum w:abstractNumId="111">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2">
    <w:nsid w:val="2B0D8DBE"/>
    <w:multiLevelType w:val="hybridMultilevel"/>
    <w:lvl w:ilvl="0">
      <w:lvlJc w:val="left"/>
      <w:lvlText w:val="1"/>
      <w:numFmt w:val="bullet"/>
      <w:start w:val="1"/>
    </w:lvl>
  </w:abstractNum>
  <w:abstractNum w:abstractNumId="113">
    <w:nsid w:val="6C80EC70"/>
    <w:multiLevelType w:val="hybridMultilevel"/>
    <w:lvl w:ilvl="0">
      <w:lvlJc w:val="left"/>
      <w:lvlText w:val="%1"/>
      <w:numFmt w:val="lowerLetter"/>
      <w:start w:val="1"/>
    </w:lvl>
    <w:lvl w:ilvl="1">
      <w:lvlJc w:val="left"/>
      <w:lvlText w:val="(%2)"/>
      <w:numFmt w:val="lowerLetter"/>
      <w:start w:val="35"/>
    </w:lvl>
  </w:abstractNum>
  <w:abstractNum w:abstractNumId="114">
    <w:nsid w:val="379E21B5"/>
    <w:multiLevelType w:val="hybridMultilevel"/>
    <w:lvl w:ilvl="0">
      <w:lvlJc w:val="left"/>
      <w:lvlText w:val="(%1)"/>
      <w:numFmt w:val="lowerLetter"/>
      <w:start w:val="3"/>
    </w:lvl>
    <w:lvl w:ilvl="1">
      <w:lvlJc w:val="left"/>
      <w:lvlText w:val="%2"/>
      <w:numFmt w:val="lowerLetter"/>
      <w:start w:val="1"/>
    </w:lvl>
  </w:abstractNum>
  <w:abstractNum w:abstractNumId="115">
    <w:nsid w:val="69E373"/>
    <w:multiLevelType w:val="hybridMultilevel"/>
    <w:lvl w:ilvl="0">
      <w:lvlJc w:val="left"/>
      <w:lvlText w:val="%1"/>
      <w:numFmt w:val="decimal"/>
      <w:start w:val="1"/>
    </w:lvl>
    <w:lvl w:ilvl="1">
      <w:lvlJc w:val="left"/>
      <w:lvlText w:val="(%2)"/>
      <w:numFmt w:val="lowerLetter"/>
      <w:start w:val="7"/>
    </w:lvl>
  </w:abstractNum>
  <w:abstractNum w:abstractNumId="116">
    <w:nsid w:val="2C27173B"/>
    <w:multiLevelType w:val="hybridMultilevel"/>
    <w:lvl w:ilvl="0">
      <w:lvlJc w:val="left"/>
      <w:lvlText w:val="%1."/>
      <w:numFmt w:val="decimal"/>
      <w:start w:val="4"/>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2"/>
    </w:lvl>
  </w:abstractNum>
  <w:abstractNum w:abstractNumId="118">
    <w:nsid w:val="6AA7B75C"/>
    <w:multiLevelType w:val="hybridMultilevel"/>
    <w:lvl w:ilvl="0">
      <w:lvlJc w:val="left"/>
      <w:lvlText w:val="%1."/>
      <w:numFmt w:val="decimal"/>
      <w:start w:val="5"/>
    </w:lvl>
    <w:lvl w:ilvl="1">
      <w:lvlJc w:val="left"/>
      <w:lvlText w:val="(%2)"/>
      <w:numFmt w:val="lowerLetter"/>
      <w:start w:val="1"/>
    </w:lvl>
  </w:abstractNum>
  <w:abstractNum w:abstractNumId="119">
    <w:nsid w:val="1DF029D3"/>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2" Type="http://schemas.openxmlformats.org/officeDocument/2006/relationships/image" Target="media/image336.png"/><Relationship Id="rId353"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8" Type="http://schemas.openxmlformats.org/officeDocument/2006/relationships/image" Target="media/image340.png"/><Relationship Id="rId359"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7" Type="http://schemas.openxmlformats.org/officeDocument/2006/relationships/image" Target="media/image346.png"/><Relationship Id="rId368"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3" Type="http://schemas.openxmlformats.org/officeDocument/2006/relationships/image" Target="media/image350.png"/><Relationship Id="rId374"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80" Type="http://schemas.openxmlformats.org/officeDocument/2006/relationships/image" Target="media/image355.png"/><Relationship Id="rId381"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6" Type="http://schemas.openxmlformats.org/officeDocument/2006/relationships/image" Target="media/image359.png"/><Relationship Id="rId387" Type="http://schemas.openxmlformats.org/officeDocument/2006/relationships/image" Target="media/image360.png"/><Relationship Id="rId388" Type="http://schemas.openxmlformats.org/officeDocument/2006/relationships/image" Target="media/image361.png"/><Relationship Id="rId390" Type="http://schemas.openxmlformats.org/officeDocument/2006/relationships/image" Target="media/image362.png"/><Relationship Id="rId391" Type="http://schemas.openxmlformats.org/officeDocument/2006/relationships/image" Target="media/image363.png"/><Relationship Id="rId393" Type="http://schemas.openxmlformats.org/officeDocument/2006/relationships/image" Target="media/image364.png"/><Relationship Id="rId394" Type="http://schemas.openxmlformats.org/officeDocument/2006/relationships/image" Target="media/image365.png"/><Relationship Id="rId395" Type="http://schemas.openxmlformats.org/officeDocument/2006/relationships/image" Target="media/image366.png"/><Relationship Id="rId397" Type="http://schemas.openxmlformats.org/officeDocument/2006/relationships/image" Target="media/image367.png"/><Relationship Id="rId398" Type="http://schemas.openxmlformats.org/officeDocument/2006/relationships/image" Target="media/image368.png"/><Relationship Id="rId400" Type="http://schemas.openxmlformats.org/officeDocument/2006/relationships/image" Target="media/image369.png"/><Relationship Id="rId401"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png"/><Relationship Id="rId413" Type="http://schemas.openxmlformats.org/officeDocument/2006/relationships/image" Target="media/image378.png"/><Relationship Id="rId414" Type="http://schemas.openxmlformats.org/officeDocument/2006/relationships/image" Target="media/image379.png"/><Relationship Id="rId415" Type="http://schemas.openxmlformats.org/officeDocument/2006/relationships/image" Target="media/image380.png"/><Relationship Id="rId417" Type="http://schemas.openxmlformats.org/officeDocument/2006/relationships/image" Target="media/image381.png"/><Relationship Id="rId418" Type="http://schemas.openxmlformats.org/officeDocument/2006/relationships/image" Target="media/image382.png"/><Relationship Id="rId419" Type="http://schemas.openxmlformats.org/officeDocument/2006/relationships/image" Target="media/image383.png"/><Relationship Id="rId421" Type="http://schemas.openxmlformats.org/officeDocument/2006/relationships/image" Target="media/image384.png"/><Relationship Id="rId422" Type="http://schemas.openxmlformats.org/officeDocument/2006/relationships/image" Target="media/image385.png"/><Relationship Id="rId423" Type="http://schemas.openxmlformats.org/officeDocument/2006/relationships/image" Target="media/image386.png"/><Relationship Id="rId424" Type="http://schemas.openxmlformats.org/officeDocument/2006/relationships/image" Target="media/image387.png"/><Relationship Id="rId425" Type="http://schemas.openxmlformats.org/officeDocument/2006/relationships/image" Target="media/image388.png"/><Relationship Id="rId426" Type="http://schemas.openxmlformats.org/officeDocument/2006/relationships/image" Target="media/image389.png"/><Relationship Id="rId427" Type="http://schemas.openxmlformats.org/officeDocument/2006/relationships/image" Target="media/image390.png"/><Relationship Id="rId428" Type="http://schemas.openxmlformats.org/officeDocument/2006/relationships/image" Target="media/image391.png"/><Relationship Id="rId429" Type="http://schemas.openxmlformats.org/officeDocument/2006/relationships/image" Target="media/image392.png"/><Relationship Id="rId430" Type="http://schemas.openxmlformats.org/officeDocument/2006/relationships/image" Target="media/image393.png"/><Relationship Id="rId431" Type="http://schemas.openxmlformats.org/officeDocument/2006/relationships/image" Target="media/image394.png"/><Relationship Id="rId432" Type="http://schemas.openxmlformats.org/officeDocument/2006/relationships/image" Target="media/image395.png"/><Relationship Id="rId433" Type="http://schemas.openxmlformats.org/officeDocument/2006/relationships/image" Target="media/image396.png"/><Relationship Id="rId434" Type="http://schemas.openxmlformats.org/officeDocument/2006/relationships/image" Target="media/image397.png"/><Relationship Id="rId435" Type="http://schemas.openxmlformats.org/officeDocument/2006/relationships/image" Target="media/image398.png"/><Relationship Id="rId436" Type="http://schemas.openxmlformats.org/officeDocument/2006/relationships/image" Target="media/image399.png"/><Relationship Id="rId437" Type="http://schemas.openxmlformats.org/officeDocument/2006/relationships/image" Target="media/image400.png"/><Relationship Id="rId438" Type="http://schemas.openxmlformats.org/officeDocument/2006/relationships/image" Target="media/image401.png"/><Relationship Id="rId439" Type="http://schemas.openxmlformats.org/officeDocument/2006/relationships/image" Target="media/image402.png"/><Relationship Id="rId440" Type="http://schemas.openxmlformats.org/officeDocument/2006/relationships/image" Target="media/image403.png"/><Relationship Id="rId441" Type="http://schemas.openxmlformats.org/officeDocument/2006/relationships/image" Target="media/image404.png"/><Relationship Id="rId442" Type="http://schemas.openxmlformats.org/officeDocument/2006/relationships/image" Target="media/image405.png"/><Relationship Id="rId443" Type="http://schemas.openxmlformats.org/officeDocument/2006/relationships/image" Target="media/image406.png"/><Relationship Id="rId444" Type="http://schemas.openxmlformats.org/officeDocument/2006/relationships/image" Target="media/image407.png"/><Relationship Id="rId445" Type="http://schemas.openxmlformats.org/officeDocument/2006/relationships/image" Target="media/image408.png"/><Relationship Id="rId446" Type="http://schemas.openxmlformats.org/officeDocument/2006/relationships/image" Target="media/image409.png"/><Relationship Id="rId447" Type="http://schemas.openxmlformats.org/officeDocument/2006/relationships/image" Target="media/image410.png"/><Relationship Id="rId448" Type="http://schemas.openxmlformats.org/officeDocument/2006/relationships/image" Target="media/image411.png"/><Relationship Id="rId449" Type="http://schemas.openxmlformats.org/officeDocument/2006/relationships/image" Target="media/image412.png"/><Relationship Id="rId450" Type="http://schemas.openxmlformats.org/officeDocument/2006/relationships/image" Target="media/image413.png"/><Relationship Id="rId451" Type="http://schemas.openxmlformats.org/officeDocument/2006/relationships/image" Target="media/image414.png"/><Relationship Id="rId452" Type="http://schemas.openxmlformats.org/officeDocument/2006/relationships/image" Target="media/image415.png"/><Relationship Id="rId453" Type="http://schemas.openxmlformats.org/officeDocument/2006/relationships/image" Target="media/image416.png"/><Relationship Id="rId454" Type="http://schemas.openxmlformats.org/officeDocument/2006/relationships/image" Target="media/image417.png"/><Relationship Id="rId455" Type="http://schemas.openxmlformats.org/officeDocument/2006/relationships/image" Target="media/image418.png"/><Relationship Id="rId456" Type="http://schemas.openxmlformats.org/officeDocument/2006/relationships/image" Target="media/image419.png"/><Relationship Id="rId457" Type="http://schemas.openxmlformats.org/officeDocument/2006/relationships/image" Target="media/image420.png"/><Relationship Id="rId458" Type="http://schemas.openxmlformats.org/officeDocument/2006/relationships/image" Target="media/image421.png"/><Relationship Id="rId459" Type="http://schemas.openxmlformats.org/officeDocument/2006/relationships/image" Target="media/image422.png"/><Relationship Id="rId460" Type="http://schemas.openxmlformats.org/officeDocument/2006/relationships/image" Target="media/image423.png"/><Relationship Id="rId461" Type="http://schemas.openxmlformats.org/officeDocument/2006/relationships/image" Target="media/image424.png"/><Relationship Id="rId462" Type="http://schemas.openxmlformats.org/officeDocument/2006/relationships/image" Target="media/image425.png"/><Relationship Id="rId463" Type="http://schemas.openxmlformats.org/officeDocument/2006/relationships/image" Target="media/image426.png"/><Relationship Id="rId464" Type="http://schemas.openxmlformats.org/officeDocument/2006/relationships/image" Target="media/image427.png"/><Relationship Id="rId465" Type="http://schemas.openxmlformats.org/officeDocument/2006/relationships/image" Target="media/image428.png"/><Relationship Id="rId466" Type="http://schemas.openxmlformats.org/officeDocument/2006/relationships/image" Target="media/image429.png"/><Relationship Id="rId467" Type="http://schemas.openxmlformats.org/officeDocument/2006/relationships/image" Target="media/image430.png"/><Relationship Id="rId468" Type="http://schemas.openxmlformats.org/officeDocument/2006/relationships/image" Target="media/image431.png"/><Relationship Id="rId469" Type="http://schemas.openxmlformats.org/officeDocument/2006/relationships/image" Target="media/image432.png"/><Relationship Id="rId470" Type="http://schemas.openxmlformats.org/officeDocument/2006/relationships/image" Target="media/image433.png"/><Relationship Id="rId471" Type="http://schemas.openxmlformats.org/officeDocument/2006/relationships/image" Target="media/image434.png"/><Relationship Id="rId472" Type="http://schemas.openxmlformats.org/officeDocument/2006/relationships/image" Target="media/image435.png"/><Relationship Id="rId473" Type="http://schemas.openxmlformats.org/officeDocument/2006/relationships/image" Target="media/image436.png"/><Relationship Id="rId474" Type="http://schemas.openxmlformats.org/officeDocument/2006/relationships/image" Target="media/image437.png"/><Relationship Id="rId475" Type="http://schemas.openxmlformats.org/officeDocument/2006/relationships/image" Target="media/image438.png"/><Relationship Id="rId476" Type="http://schemas.openxmlformats.org/officeDocument/2006/relationships/image" Target="media/image439.png"/><Relationship Id="rId477" Type="http://schemas.openxmlformats.org/officeDocument/2006/relationships/image" Target="media/image440.png"/><Relationship Id="rId478" Type="http://schemas.openxmlformats.org/officeDocument/2006/relationships/image" Target="media/image441.png"/><Relationship Id="rId479" Type="http://schemas.openxmlformats.org/officeDocument/2006/relationships/image" Target="media/image442.png"/><Relationship Id="rId480" Type="http://schemas.openxmlformats.org/officeDocument/2006/relationships/image" Target="media/image443.png"/><Relationship Id="rId481" Type="http://schemas.openxmlformats.org/officeDocument/2006/relationships/image" Target="media/image444.png"/><Relationship Id="rId482" Type="http://schemas.openxmlformats.org/officeDocument/2006/relationships/image" Target="media/image445.png"/><Relationship Id="rId483" Type="http://schemas.openxmlformats.org/officeDocument/2006/relationships/image" Target="media/image446.png"/><Relationship Id="rId484" Type="http://schemas.openxmlformats.org/officeDocument/2006/relationships/image" Target="media/image447.png"/><Relationship Id="rId485" Type="http://schemas.openxmlformats.org/officeDocument/2006/relationships/image" Target="media/image448.png"/><Relationship Id="rId486" Type="http://schemas.openxmlformats.org/officeDocument/2006/relationships/image" Target="media/image449.png"/><Relationship Id="rId487" Type="http://schemas.openxmlformats.org/officeDocument/2006/relationships/image" Target="media/image450.png"/><Relationship Id="rId488" Type="http://schemas.openxmlformats.org/officeDocument/2006/relationships/image" Target="media/image451.png"/><Relationship Id="rId489" Type="http://schemas.openxmlformats.org/officeDocument/2006/relationships/image" Target="media/image452.png"/><Relationship Id="rId490" Type="http://schemas.openxmlformats.org/officeDocument/2006/relationships/image" Target="media/image453.png"/><Relationship Id="rId491" Type="http://schemas.openxmlformats.org/officeDocument/2006/relationships/image" Target="media/image454.png"/><Relationship Id="rId492" Type="http://schemas.openxmlformats.org/officeDocument/2006/relationships/image" Target="media/image455.png"/><Relationship Id="rId493" Type="http://schemas.openxmlformats.org/officeDocument/2006/relationships/image" Target="media/image456.png"/><Relationship Id="rId494" Type="http://schemas.openxmlformats.org/officeDocument/2006/relationships/image" Target="media/image457.png"/><Relationship Id="rId495" Type="http://schemas.openxmlformats.org/officeDocument/2006/relationships/image" Target="media/image458.png"/><Relationship Id="rId496" Type="http://schemas.openxmlformats.org/officeDocument/2006/relationships/image" Target="media/image459.png"/><Relationship Id="rId497" Type="http://schemas.openxmlformats.org/officeDocument/2006/relationships/image" Target="media/image460.png"/><Relationship Id="rId498" Type="http://schemas.openxmlformats.org/officeDocument/2006/relationships/image" Target="media/image461.png"/><Relationship Id="rId499" Type="http://schemas.openxmlformats.org/officeDocument/2006/relationships/image" Target="media/image462.png"/><Relationship Id="rId500" Type="http://schemas.openxmlformats.org/officeDocument/2006/relationships/image" Target="media/image463.png"/><Relationship Id="rId501" Type="http://schemas.openxmlformats.org/officeDocument/2006/relationships/image" Target="media/image464.png"/><Relationship Id="rId502" Type="http://schemas.openxmlformats.org/officeDocument/2006/relationships/image" Target="media/image465.png"/><Relationship Id="rId503" Type="http://schemas.openxmlformats.org/officeDocument/2006/relationships/image" Target="media/image466.png"/><Relationship Id="rId504" Type="http://schemas.openxmlformats.org/officeDocument/2006/relationships/image" Target="media/image467.png"/><Relationship Id="rId505" Type="http://schemas.openxmlformats.org/officeDocument/2006/relationships/image" Target="media/image468.png"/><Relationship Id="rId506" Type="http://schemas.openxmlformats.org/officeDocument/2006/relationships/image" Target="media/image469.png"/><Relationship Id="rId507" Type="http://schemas.openxmlformats.org/officeDocument/2006/relationships/image" Target="media/image470.png"/><Relationship Id="rId508" Type="http://schemas.openxmlformats.org/officeDocument/2006/relationships/image" Target="media/image471.png"/><Relationship Id="rId509" Type="http://schemas.openxmlformats.org/officeDocument/2006/relationships/image" Target="media/image472.png"/><Relationship Id="rId510" Type="http://schemas.openxmlformats.org/officeDocument/2006/relationships/image" Target="media/image473.png"/><Relationship Id="rId511" Type="http://schemas.openxmlformats.org/officeDocument/2006/relationships/image" Target="media/image474.png"/><Relationship Id="rId512" Type="http://schemas.openxmlformats.org/officeDocument/2006/relationships/image" Target="media/image475.png"/><Relationship Id="rId513" Type="http://schemas.openxmlformats.org/officeDocument/2006/relationships/image" Target="media/image476.png"/><Relationship Id="rId514" Type="http://schemas.openxmlformats.org/officeDocument/2006/relationships/image" Target="media/image477.png"/><Relationship Id="rId515" Type="http://schemas.openxmlformats.org/officeDocument/2006/relationships/image" Target="media/image478.png"/><Relationship Id="rId516" Type="http://schemas.openxmlformats.org/officeDocument/2006/relationships/image" Target="media/image479.png"/><Relationship Id="rId517" Type="http://schemas.openxmlformats.org/officeDocument/2006/relationships/image" Target="media/image480.png"/><Relationship Id="rId518" Type="http://schemas.openxmlformats.org/officeDocument/2006/relationships/image" Target="media/image481.png"/><Relationship Id="rId519" Type="http://schemas.openxmlformats.org/officeDocument/2006/relationships/image" Target="media/image482.png"/><Relationship Id="rId520" Type="http://schemas.openxmlformats.org/officeDocument/2006/relationships/image" Target="media/image483.png"/><Relationship Id="rId521" Type="http://schemas.openxmlformats.org/officeDocument/2006/relationships/image" Target="media/image484.png"/><Relationship Id="rId522" Type="http://schemas.openxmlformats.org/officeDocument/2006/relationships/image" Target="media/image485.png"/><Relationship Id="rId523" Type="http://schemas.openxmlformats.org/officeDocument/2006/relationships/image" Target="media/image486.png"/><Relationship Id="rId524" Type="http://schemas.openxmlformats.org/officeDocument/2006/relationships/image" Target="media/image487.png"/><Relationship Id="rId525" Type="http://schemas.openxmlformats.org/officeDocument/2006/relationships/image" Target="media/image488.png"/><Relationship Id="rId526" Type="http://schemas.openxmlformats.org/officeDocument/2006/relationships/image" Target="media/image489.png"/><Relationship Id="rId527" Type="http://schemas.openxmlformats.org/officeDocument/2006/relationships/image" Target="media/image490.png"/><Relationship Id="rId528" Type="http://schemas.openxmlformats.org/officeDocument/2006/relationships/image" Target="media/image491.png"/><Relationship Id="rId529" Type="http://schemas.openxmlformats.org/officeDocument/2006/relationships/image" Target="media/image492.png"/><Relationship Id="rId530" Type="http://schemas.openxmlformats.org/officeDocument/2006/relationships/image" Target="media/image493.png"/><Relationship Id="rId531" Type="http://schemas.openxmlformats.org/officeDocument/2006/relationships/image" Target="media/image494.png"/><Relationship Id="rId532" Type="http://schemas.openxmlformats.org/officeDocument/2006/relationships/image" Target="media/image495.png"/><Relationship Id="rId533" Type="http://schemas.openxmlformats.org/officeDocument/2006/relationships/image" Target="media/image496.png"/><Relationship Id="rId534" Type="http://schemas.openxmlformats.org/officeDocument/2006/relationships/image" Target="media/image497.png"/><Relationship Id="rId535" Type="http://schemas.openxmlformats.org/officeDocument/2006/relationships/image" Target="media/image498.png"/><Relationship Id="rId536" Type="http://schemas.openxmlformats.org/officeDocument/2006/relationships/image" Target="media/image499.png"/><Relationship Id="rId537" Type="http://schemas.openxmlformats.org/officeDocument/2006/relationships/image" Target="media/image500.png"/><Relationship Id="rId538" Type="http://schemas.openxmlformats.org/officeDocument/2006/relationships/image" Target="media/image501.png"/><Relationship Id="rId539" Type="http://schemas.openxmlformats.org/officeDocument/2006/relationships/image" Target="media/image502.png"/><Relationship Id="rId540" Type="http://schemas.openxmlformats.org/officeDocument/2006/relationships/image" Target="media/image503.png"/><Relationship Id="rId541" Type="http://schemas.openxmlformats.org/officeDocument/2006/relationships/image" Target="media/image504.png"/><Relationship Id="rId542" Type="http://schemas.openxmlformats.org/officeDocument/2006/relationships/image" Target="media/image505.png"/><Relationship Id="rId543" Type="http://schemas.openxmlformats.org/officeDocument/2006/relationships/image" Target="media/image506.png"/><Relationship Id="rId544" Type="http://schemas.openxmlformats.org/officeDocument/2006/relationships/image" Target="media/image507.png"/><Relationship Id="rId545" Type="http://schemas.openxmlformats.org/officeDocument/2006/relationships/image" Target="media/image508.png"/><Relationship Id="rId546" Type="http://schemas.openxmlformats.org/officeDocument/2006/relationships/image" Target="media/image509.png"/><Relationship Id="rId547" Type="http://schemas.openxmlformats.org/officeDocument/2006/relationships/image" Target="media/image510.png"/><Relationship Id="rId548" Type="http://schemas.openxmlformats.org/officeDocument/2006/relationships/image" Target="media/image511.png"/><Relationship Id="rId549" Type="http://schemas.openxmlformats.org/officeDocument/2006/relationships/image" Target="media/image512.png"/><Relationship Id="rId550" Type="http://schemas.openxmlformats.org/officeDocument/2006/relationships/image" Target="media/image513.png"/><Relationship Id="rId551" Type="http://schemas.openxmlformats.org/officeDocument/2006/relationships/image" Target="media/image514.png"/><Relationship Id="rId552" Type="http://schemas.openxmlformats.org/officeDocument/2006/relationships/image" Target="media/image515.png"/><Relationship Id="rId553" Type="http://schemas.openxmlformats.org/officeDocument/2006/relationships/image" Target="media/image516.png"/><Relationship Id="rId554" Type="http://schemas.openxmlformats.org/officeDocument/2006/relationships/image" Target="media/image517.png"/><Relationship Id="rId555" Type="http://schemas.openxmlformats.org/officeDocument/2006/relationships/image" Target="media/image518.png"/><Relationship Id="rId556" Type="http://schemas.openxmlformats.org/officeDocument/2006/relationships/image" Target="media/image519.png"/><Relationship Id="rId557" Type="http://schemas.openxmlformats.org/officeDocument/2006/relationships/image" Target="media/image520.png"/><Relationship Id="rId558" Type="http://schemas.openxmlformats.org/officeDocument/2006/relationships/image" Target="media/image521.png"/><Relationship Id="rId559" Type="http://schemas.openxmlformats.org/officeDocument/2006/relationships/image" Target="media/image522.png"/><Relationship Id="rId560" Type="http://schemas.openxmlformats.org/officeDocument/2006/relationships/image" Target="media/image523.png"/><Relationship Id="rId561" Type="http://schemas.openxmlformats.org/officeDocument/2006/relationships/image" Target="media/image524.png"/><Relationship Id="rId562" Type="http://schemas.openxmlformats.org/officeDocument/2006/relationships/image" Target="media/image525.png"/><Relationship Id="rId563" Type="http://schemas.openxmlformats.org/officeDocument/2006/relationships/image" Target="media/image526.png"/><Relationship Id="rId564" Type="http://schemas.openxmlformats.org/officeDocument/2006/relationships/image" Target="media/image527.png"/><Relationship Id="rId565" Type="http://schemas.openxmlformats.org/officeDocument/2006/relationships/image" Target="media/image528.png"/><Relationship Id="rId566" Type="http://schemas.openxmlformats.org/officeDocument/2006/relationships/image" Target="media/image529.png"/><Relationship Id="rId567" Type="http://schemas.openxmlformats.org/officeDocument/2006/relationships/image" Target="media/image530.png"/><Relationship Id="rId568" Type="http://schemas.openxmlformats.org/officeDocument/2006/relationships/image" Target="media/image531.png"/><Relationship Id="rId569" Type="http://schemas.openxmlformats.org/officeDocument/2006/relationships/image" Target="media/image532.png"/><Relationship Id="rId570" Type="http://schemas.openxmlformats.org/officeDocument/2006/relationships/image" Target="media/image533.png"/><Relationship Id="rId571" Type="http://schemas.openxmlformats.org/officeDocument/2006/relationships/image" Target="media/image534.png"/><Relationship Id="rId572" Type="http://schemas.openxmlformats.org/officeDocument/2006/relationships/image" Target="media/image535.png"/><Relationship Id="rId573" Type="http://schemas.openxmlformats.org/officeDocument/2006/relationships/image" Target="media/image536.png"/><Relationship Id="rId574" Type="http://schemas.openxmlformats.org/officeDocument/2006/relationships/image" Target="media/image537.png"/><Relationship Id="rId575" Type="http://schemas.openxmlformats.org/officeDocument/2006/relationships/image" Target="media/image538.png"/><Relationship Id="rId576" Type="http://schemas.openxmlformats.org/officeDocument/2006/relationships/image" Target="media/image539.png"/><Relationship Id="rId577" Type="http://schemas.openxmlformats.org/officeDocument/2006/relationships/image" Target="media/image540.png"/><Relationship Id="rId578" Type="http://schemas.openxmlformats.org/officeDocument/2006/relationships/image" Target="media/image541.png"/><Relationship Id="rId579" Type="http://schemas.openxmlformats.org/officeDocument/2006/relationships/image" Target="media/image542.png"/><Relationship Id="rId580" Type="http://schemas.openxmlformats.org/officeDocument/2006/relationships/image" Target="media/image543.png"/><Relationship Id="rId581" Type="http://schemas.openxmlformats.org/officeDocument/2006/relationships/image" Target="media/image544.png"/><Relationship Id="rId322" Type="http://schemas.openxmlformats.org/officeDocument/2006/relationships/hyperlink" Target="https://www.sec.gov/Archives/edgar/data/1409375/000095013407018504/c17612exv3w3.htm" TargetMode="External"/><Relationship Id="rId325" Type="http://schemas.openxmlformats.org/officeDocument/2006/relationships/hyperlink" Target="https://www.sec.gov/ix?doc=/Archives/edgar/data/0001409375/000119312522284552/d391651d8k.htm" TargetMode="External"/><Relationship Id="rId329" Type="http://schemas.openxmlformats.org/officeDocument/2006/relationships/hyperlink" Target="https://www.sec.gov/Archives/edgar/data/0001409375/000119312521001520/d104429dex101.htm" TargetMode="External"/><Relationship Id="rId333" Type="http://schemas.openxmlformats.org/officeDocument/2006/relationships/hyperlink" Target="https://www.sec.gov/Archives/edgar/data/1409375/000095017022023245/oesx-ex10_4.htm" TargetMode="External"/><Relationship Id="rId337" Type="http://schemas.openxmlformats.org/officeDocument/2006/relationships/hyperlink" Target="https://www.sec.gov/Archives/edgar/data/1409375/000095017024047260/oesx-ex10_1.htm" TargetMode="External"/><Relationship Id="rId341" Type="http://schemas.openxmlformats.org/officeDocument/2006/relationships/hyperlink" Target="https://www.sec.gov/ix?doc=/Archives/edgar/data/0001409375/000095017024119241/oesx-20241030.htm" TargetMode="External"/><Relationship Id="rId345" Type="http://schemas.openxmlformats.org/officeDocument/2006/relationships/hyperlink" Target="https://www.sec.gov/Archives/edgar/data/1409375/000095013407018504/c17612exv10w9.htm" TargetMode="External"/><Relationship Id="rId348" Type="http://schemas.openxmlformats.org/officeDocument/2006/relationships/hyperlink" Target="https://www.sec.gov/Archives/edgar/data/1409375/000095012311083696/c66008ddef14a.htm" TargetMode="External"/><Relationship Id="rId351" Type="http://schemas.openxmlformats.org/officeDocument/2006/relationships/hyperlink" Target="https://www.sec.gov/Archives/edgar/data/1409375/000095013407018504/c17612exv10w10.htm" TargetMode="External"/><Relationship Id="rId354" Type="http://schemas.openxmlformats.org/officeDocument/2006/relationships/hyperlink" Target="https://www.sec.gov/Archives/edgar/data/1409375/000140937514000014/oesx-20140331xex107.htm" TargetMode="External"/><Relationship Id="rId357" Type="http://schemas.openxmlformats.org/officeDocument/2006/relationships/hyperlink" Target="https://www.sec.gov/Archives/edgar/data/1409375/000119312523180384/d506406ddef14a.htm" TargetMode="External"/><Relationship Id="rId360" Type="http://schemas.openxmlformats.org/officeDocument/2006/relationships/hyperlink" Target="https://www.sec.gov/Archives/edgar/data/1409375/000119312516677067/d208453dex45.htm" TargetMode="External"/><Relationship Id="rId363" Type="http://schemas.openxmlformats.org/officeDocument/2006/relationships/hyperlink" Target="https://www.sec.gov/Archives/edgar/data/1409375/000119312516677067/d208453dex46.htm" TargetMode="External"/><Relationship Id="rId366" Type="http://schemas.openxmlformats.org/officeDocument/2006/relationships/hyperlink" Target="https://www.sec.gov/Archives/edgar/data/1409375/000119312516677067/d208453dex47.htm" TargetMode="External"/><Relationship Id="rId369" Type="http://schemas.openxmlformats.org/officeDocument/2006/relationships/hyperlink" Target="https://www.sec.gov/Archives/edgar/data/1409375/000119312516677067/d208453dex48.htm" TargetMode="External"/><Relationship Id="rId372" Type="http://schemas.openxmlformats.org/officeDocument/2006/relationships/hyperlink" Target="https://www.sec.gov/ix?doc=/Archives/edgar/data/0001409375/000095017023027474/oesx-20230331.htm" TargetMode="External"/><Relationship Id="rId375" Type="http://schemas.openxmlformats.org/officeDocument/2006/relationships/hyperlink" Target="https://www.sec.gov/Archives/edgar/data/0001409375/000119312520270310/d43679dex101.htm" TargetMode="External"/><Relationship Id="rId379" Type="http://schemas.openxmlformats.org/officeDocument/2006/relationships/hyperlink" Target="https://www.sec.gov/Archives/edgar/data/1409375/000156459020028509/oesx-ex1017_207.htm" TargetMode="External"/><Relationship Id="rId382" Type="http://schemas.openxmlformats.org/officeDocument/2006/relationships/hyperlink" Target="https://www.sec.gov/Archives/edgar/data/0001409375/000119312521096717/d156952dex101.htm" TargetMode="External"/><Relationship Id="rId385" Type="http://schemas.openxmlformats.org/officeDocument/2006/relationships/hyperlink" Target="https://www.sec.gov/ix?doc=/Archives/edgar/data/0001409375/000119312522210605/d353290d8k.htm" TargetMode="External"/><Relationship Id="rId389" Type="http://schemas.openxmlformats.org/officeDocument/2006/relationships/hyperlink" Target="https://www.sec.gov/Archives/edgar/data/1409375/000119312525079760/d857627dex101.htm" TargetMode="External"/><Relationship Id="rId392" Type="http://schemas.openxmlformats.org/officeDocument/2006/relationships/hyperlink" Target="https://www.sec.gov/Archives/edgar/data/1409375/000119312525112876/d939750dex101.htm" TargetMode="External"/><Relationship Id="rId396" Type="http://schemas.openxmlformats.org/officeDocument/2006/relationships/hyperlink" Target="https://www.sec.gov/Archives/edgar/data/1409375/000156459022022983/oesx-ex1019_285.htm" TargetMode="External"/><Relationship Id="rId399" Type="http://schemas.openxmlformats.org/officeDocument/2006/relationships/hyperlink" Target="https://www.sec.gov/Archives/edgar/data/1409375/000156459022022983/oesx-ex1020_283.htm" TargetMode="External"/><Relationship Id="rId402" Type="http://schemas.openxmlformats.org/officeDocument/2006/relationships/hyperlink" Target="https://www.sec.gov/Archives/edgar/data/1409375/000156459022022983/oesx-ex1021_284.htm" TargetMode="External"/><Relationship Id="rId405" Type="http://schemas.openxmlformats.org/officeDocument/2006/relationships/hyperlink" Target="https://www.sec.gov/Archives/edgar/data/1409375/000156459022022983/oesx-ex1022_282.htm" TargetMode="External"/><Relationship Id="rId409" Type="http://schemas.openxmlformats.org/officeDocument/2006/relationships/hyperlink" Target="https://www.sec.gov/Archives/edgar/data/1409375/000156459022022983/oesx-ex1023_281.htm" TargetMode="External"/><Relationship Id="rId412" Type="http://schemas.openxmlformats.org/officeDocument/2006/relationships/hyperlink" Target="https://www.sec.gov/Archives/edgar/data/1409375/000095017023027474/oesx-ex10_24.htm" TargetMode="External"/><Relationship Id="rId416" Type="http://schemas.openxmlformats.org/officeDocument/2006/relationships/hyperlink" Target="https://www.sec.gov/Archives/edgar/data/1409375/000095017023027474/oesx-ex10_25.htm" TargetMode="External"/><Relationship Id="rId420" Type="http://schemas.openxmlformats.org/officeDocument/2006/relationships/hyperlink" Target="https://www.sec.gov/Archives/edgar/data/1409375/000095017023027474/oesx-ex10_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2025-06-26T15:43:05Z</dcterms:created>
  <dcterms:modified xsi:type="dcterms:W3CDTF">2025-06-26T15:43:05Z</dcterms:modified>
</cp:coreProperties>
</file>