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2645410</wp:posOffset>
            </wp:positionH>
            <wp:positionV relativeFrom="paragraph">
              <wp:posOffset>98425</wp:posOffset>
            </wp:positionV>
            <wp:extent cx="18516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2645410</wp:posOffset>
            </wp:positionH>
            <wp:positionV relativeFrom="paragraph">
              <wp:posOffset>121920</wp:posOffset>
            </wp:positionV>
            <wp:extent cx="18516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276" w:lineRule="exact"/>
        <w:rPr>
          <w:sz w:val="24"/>
          <w:szCs w:val="24"/>
          <w:color w:val="auto"/>
        </w:rPr>
      </w:pPr>
    </w:p>
    <w:p>
      <w:pPr>
        <w:ind w:left="520" w:right="20" w:hanging="512"/>
        <w:spacing w:after="0" w:line="262" w:lineRule="auto"/>
        <w:tabs>
          <w:tab w:leader="none" w:pos="456"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December 31, 2024</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21" w:lineRule="exact"/>
        <w:rPr>
          <w:sz w:val="24"/>
          <w:szCs w:val="24"/>
          <w:color w:val="auto"/>
        </w:rPr>
      </w:pPr>
    </w:p>
    <w:p>
      <w:pPr>
        <w:ind w:left="520" w:right="20" w:hanging="512"/>
        <w:spacing w:after="0" w:line="262" w:lineRule="auto"/>
        <w:tabs>
          <w:tab w:leader="none" w:pos="443"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001-33887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2645410</wp:posOffset>
            </wp:positionH>
            <wp:positionV relativeFrom="paragraph">
              <wp:posOffset>114300</wp:posOffset>
            </wp:positionV>
            <wp:extent cx="18516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Orion Energy Systems,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2645410</wp:posOffset>
            </wp:positionH>
            <wp:positionV relativeFrom="paragraph">
              <wp:posOffset>107315</wp:posOffset>
            </wp:positionV>
            <wp:extent cx="18516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262" w:lineRule="exact"/>
        <w:rPr>
          <w:sz w:val="24"/>
          <w:szCs w:val="24"/>
          <w:color w:val="auto"/>
        </w:rPr>
      </w:pPr>
    </w:p>
    <w:tbl>
      <w:tblPr>
        <w:tblLayout w:type="fixed"/>
        <w:tblInd w:w="0" w:type="dxa"/>
        <w:tblCellMar>
          <w:top w:w="0" w:type="dxa"/>
          <w:left w:w="0" w:type="dxa"/>
          <w:bottom w:w="0" w:type="dxa"/>
          <w:right w:w="0" w:type="dxa"/>
        </w:tblCellMar>
      </w:tblPr>
      <w:tr>
        <w:trPr>
          <w:trHeight w:val="214"/>
        </w:trPr>
        <w:tc>
          <w:tcPr>
            <w:tcW w:w="4780" w:type="dxa"/>
            <w:vAlign w:val="bottom"/>
            <w:gridSpan w:val="3"/>
          </w:tcPr>
          <w:p>
            <w:pPr>
              <w:jc w:val="center"/>
              <w:ind w:left="660"/>
              <w:spacing w:after="0"/>
              <w:rPr>
                <w:sz w:val="20"/>
                <w:szCs w:val="20"/>
                <w:color w:val="auto"/>
              </w:rPr>
            </w:pPr>
            <w:r>
              <w:rPr>
                <w:rFonts w:ascii="Times New Roman" w:cs="Times New Roman" w:eastAsia="Times New Roman" w:hAnsi="Times New Roman"/>
                <w:sz w:val="18"/>
                <w:szCs w:val="18"/>
                <w:b w:val="1"/>
                <w:bCs w:val="1"/>
                <w:color w:val="auto"/>
              </w:rPr>
              <w:t>Wisconsin</w:t>
            </w:r>
          </w:p>
        </w:tc>
        <w:tc>
          <w:tcPr>
            <w:tcW w:w="2760" w:type="dxa"/>
            <w:vAlign w:val="bottom"/>
          </w:tcPr>
          <w:p>
            <w:pPr>
              <w:spacing w:after="0"/>
              <w:rPr>
                <w:sz w:val="18"/>
                <w:szCs w:val="18"/>
                <w:color w:val="auto"/>
              </w:rPr>
            </w:pPr>
          </w:p>
        </w:tc>
        <w:tc>
          <w:tcPr>
            <w:tcW w:w="3700" w:type="dxa"/>
            <w:vAlign w:val="bottom"/>
            <w:gridSpan w:val="2"/>
          </w:tcPr>
          <w:p>
            <w:pPr>
              <w:jc w:val="right"/>
              <w:ind w:right="2249"/>
              <w:spacing w:after="0"/>
              <w:rPr>
                <w:sz w:val="20"/>
                <w:szCs w:val="20"/>
                <w:color w:val="auto"/>
              </w:rPr>
            </w:pPr>
            <w:r>
              <w:rPr>
                <w:rFonts w:ascii="Times New Roman" w:cs="Times New Roman" w:eastAsia="Times New Roman" w:hAnsi="Times New Roman"/>
                <w:sz w:val="18"/>
                <w:szCs w:val="18"/>
                <w:b w:val="1"/>
                <w:bCs w:val="1"/>
                <w:color w:val="auto"/>
              </w:rPr>
              <w:t>39-1847269</w:t>
            </w:r>
          </w:p>
        </w:tc>
        <w:tc>
          <w:tcPr>
            <w:tcW w:w="0" w:type="dxa"/>
            <w:vAlign w:val="bottom"/>
          </w:tcPr>
          <w:p>
            <w:pPr>
              <w:spacing w:after="0"/>
              <w:rPr>
                <w:sz w:val="1"/>
                <w:szCs w:val="1"/>
                <w:color w:val="auto"/>
              </w:rPr>
            </w:pPr>
          </w:p>
        </w:tc>
      </w:tr>
      <w:tr>
        <w:trPr>
          <w:trHeight w:val="148"/>
        </w:trPr>
        <w:tc>
          <w:tcPr>
            <w:tcW w:w="4780" w:type="dxa"/>
            <w:vAlign w:val="bottom"/>
            <w:gridSpan w:val="3"/>
          </w:tcPr>
          <w:p>
            <w:pPr>
              <w:jc w:val="center"/>
              <w:ind w:left="660"/>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0" w:type="dxa"/>
            <w:vAlign w:val="bottom"/>
          </w:tcPr>
          <w:p>
            <w:pPr>
              <w:jc w:val="center"/>
              <w:ind w:right="1809"/>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4780" w:type="dxa"/>
            <w:vAlign w:val="bottom"/>
            <w:gridSpan w:val="3"/>
          </w:tcPr>
          <w:p>
            <w:pPr>
              <w:jc w:val="center"/>
              <w:ind w:left="66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0" w:type="dxa"/>
            <w:vAlign w:val="bottom"/>
          </w:tcPr>
          <w:p>
            <w:pPr>
              <w:jc w:val="center"/>
              <w:ind w:right="1809"/>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c>
          <w:tcPr>
            <w:tcW w:w="0" w:type="dxa"/>
            <w:vAlign w:val="bottom"/>
          </w:tcPr>
          <w:p>
            <w:pPr>
              <w:spacing w:after="0"/>
              <w:rPr>
                <w:sz w:val="1"/>
                <w:szCs w:val="1"/>
                <w:color w:val="auto"/>
              </w:rPr>
            </w:pPr>
          </w:p>
        </w:tc>
      </w:tr>
      <w:tr>
        <w:trPr>
          <w:trHeight w:val="320"/>
        </w:trPr>
        <w:tc>
          <w:tcPr>
            <w:tcW w:w="4780" w:type="dxa"/>
            <w:vAlign w:val="bottom"/>
            <w:gridSpan w:val="3"/>
          </w:tcPr>
          <w:p>
            <w:pPr>
              <w:jc w:val="center"/>
              <w:ind w:left="660"/>
              <w:spacing w:after="0"/>
              <w:rPr>
                <w:sz w:val="20"/>
                <w:szCs w:val="20"/>
                <w:color w:val="auto"/>
              </w:rPr>
            </w:pPr>
            <w:r>
              <w:rPr>
                <w:rFonts w:ascii="Times New Roman" w:cs="Times New Roman" w:eastAsia="Times New Roman" w:hAnsi="Times New Roman"/>
                <w:sz w:val="18"/>
                <w:szCs w:val="18"/>
                <w:b w:val="1"/>
                <w:bCs w:val="1"/>
                <w:color w:val="auto"/>
              </w:rPr>
              <w:t>2210 Woodland Drive, Manitowoc, Wisconsin</w:t>
            </w:r>
          </w:p>
        </w:tc>
        <w:tc>
          <w:tcPr>
            <w:tcW w:w="2760" w:type="dxa"/>
            <w:vAlign w:val="bottom"/>
          </w:tcPr>
          <w:p>
            <w:pPr>
              <w:spacing w:after="0"/>
              <w:rPr>
                <w:sz w:val="24"/>
                <w:szCs w:val="24"/>
                <w:color w:val="auto"/>
              </w:rPr>
            </w:pPr>
          </w:p>
        </w:tc>
        <w:tc>
          <w:tcPr>
            <w:tcW w:w="3700" w:type="dxa"/>
            <w:vAlign w:val="bottom"/>
            <w:gridSpan w:val="2"/>
          </w:tcPr>
          <w:p>
            <w:pPr>
              <w:jc w:val="right"/>
              <w:ind w:right="2449"/>
              <w:spacing w:after="0"/>
              <w:rPr>
                <w:sz w:val="20"/>
                <w:szCs w:val="20"/>
                <w:color w:val="auto"/>
              </w:rPr>
            </w:pPr>
            <w:r>
              <w:rPr>
                <w:rFonts w:ascii="Times New Roman" w:cs="Times New Roman" w:eastAsia="Times New Roman" w:hAnsi="Times New Roman"/>
                <w:sz w:val="18"/>
                <w:szCs w:val="18"/>
                <w:b w:val="1"/>
                <w:bCs w:val="1"/>
                <w:color w:val="auto"/>
              </w:rPr>
              <w:t>54220</w:t>
            </w:r>
          </w:p>
        </w:tc>
        <w:tc>
          <w:tcPr>
            <w:tcW w:w="0" w:type="dxa"/>
            <w:vAlign w:val="bottom"/>
          </w:tcPr>
          <w:p>
            <w:pPr>
              <w:spacing w:after="0"/>
              <w:rPr>
                <w:sz w:val="1"/>
                <w:szCs w:val="1"/>
                <w:color w:val="auto"/>
              </w:rPr>
            </w:pPr>
          </w:p>
        </w:tc>
      </w:tr>
      <w:tr>
        <w:trPr>
          <w:trHeight w:val="193"/>
        </w:trPr>
        <w:tc>
          <w:tcPr>
            <w:tcW w:w="4780" w:type="dxa"/>
            <w:vAlign w:val="bottom"/>
            <w:gridSpan w:val="3"/>
          </w:tcPr>
          <w:p>
            <w:pPr>
              <w:jc w:val="center"/>
              <w:ind w:left="68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0" w:type="dxa"/>
            <w:vAlign w:val="bottom"/>
          </w:tcPr>
          <w:p>
            <w:pPr>
              <w:jc w:val="center"/>
              <w:ind w:right="1829"/>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348"/>
        </w:trPr>
        <w:tc>
          <w:tcPr>
            <w:tcW w:w="11240" w:type="dxa"/>
            <w:vAlign w:val="bottom"/>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(920) 892-9340</w:t>
            </w:r>
          </w:p>
        </w:tc>
        <w:tc>
          <w:tcPr>
            <w:tcW w:w="0" w:type="dxa"/>
            <w:vAlign w:val="bottom"/>
          </w:tcPr>
          <w:p>
            <w:pPr>
              <w:spacing w:after="0"/>
              <w:rPr>
                <w:sz w:val="1"/>
                <w:szCs w:val="1"/>
                <w:color w:val="auto"/>
              </w:rPr>
            </w:pPr>
          </w:p>
        </w:tc>
      </w:tr>
      <w:tr>
        <w:trPr>
          <w:trHeight w:val="500"/>
        </w:trPr>
        <w:tc>
          <w:tcPr>
            <w:tcW w:w="11240" w:type="dxa"/>
            <w:vAlign w:val="bottom"/>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c>
          <w:tcPr>
            <w:tcW w:w="0" w:type="dxa"/>
            <w:vAlign w:val="bottom"/>
          </w:tcPr>
          <w:p>
            <w:pPr>
              <w:spacing w:after="0"/>
              <w:rPr>
                <w:sz w:val="1"/>
                <w:szCs w:val="1"/>
                <w:color w:val="auto"/>
              </w:rPr>
            </w:pPr>
          </w:p>
        </w:tc>
      </w:tr>
      <w:tr>
        <w:trPr>
          <w:trHeight w:val="229"/>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tcPr>
          <w:p>
            <w:pPr>
              <w:jc w:val="center"/>
              <w:ind w:right="928"/>
              <w:spacing w:after="0"/>
              <w:rPr>
                <w:sz w:val="20"/>
                <w:szCs w:val="20"/>
                <w:color w:val="auto"/>
              </w:rPr>
            </w:pPr>
            <w:r>
              <w:rPr>
                <w:rFonts w:ascii="Times New Roman" w:cs="Times New Roman" w:eastAsia="Times New Roman" w:hAnsi="Times New Roman"/>
                <w:sz w:val="14"/>
                <w:szCs w:val="14"/>
                <w:b w:val="1"/>
                <w:bCs w:val="1"/>
                <w:color w:val="auto"/>
              </w:rPr>
              <w:t>Trading Symbol (s)</w:t>
            </w:r>
          </w:p>
        </w:tc>
        <w:tc>
          <w:tcPr>
            <w:tcW w:w="100" w:type="dxa"/>
            <w:vAlign w:val="bottom"/>
          </w:tcPr>
          <w:p>
            <w:pPr>
              <w:spacing w:after="0"/>
              <w:rPr>
                <w:sz w:val="19"/>
                <w:szCs w:val="19"/>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19"/>
        </w:trPr>
        <w:tc>
          <w:tcPr>
            <w:tcW w:w="4780" w:type="dxa"/>
            <w:vAlign w:val="bottom"/>
            <w:gridSpan w:val="3"/>
            <w:vMerge w:val="restart"/>
          </w:tcPr>
          <w:p>
            <w:pPr>
              <w:jc w:val="center"/>
              <w:ind w:right="1160"/>
              <w:spacing w:after="0"/>
              <w:rPr>
                <w:sz w:val="20"/>
                <w:szCs w:val="20"/>
                <w:color w:val="auto"/>
              </w:rPr>
            </w:pPr>
            <w:r>
              <w:rPr>
                <w:rFonts w:ascii="Times New Roman" w:cs="Times New Roman" w:eastAsia="Times New Roman" w:hAnsi="Times New Roman"/>
                <w:sz w:val="14"/>
                <w:szCs w:val="14"/>
                <w:color w:val="auto"/>
              </w:rPr>
              <w:t>Common stock, no par value</w:t>
            </w:r>
          </w:p>
        </w:tc>
        <w:tc>
          <w:tcPr>
            <w:tcW w:w="2760" w:type="dxa"/>
            <w:vAlign w:val="bottom"/>
            <w:vMerge w:val="restart"/>
          </w:tcPr>
          <w:p>
            <w:pPr>
              <w:jc w:val="center"/>
              <w:ind w:right="928"/>
              <w:spacing w:after="0"/>
              <w:rPr>
                <w:sz w:val="20"/>
                <w:szCs w:val="20"/>
                <w:color w:val="auto"/>
              </w:rPr>
            </w:pPr>
            <w:r>
              <w:rPr>
                <w:rFonts w:ascii="Times New Roman" w:cs="Times New Roman" w:eastAsia="Times New Roman" w:hAnsi="Times New Roman"/>
                <w:sz w:val="14"/>
                <w:szCs w:val="14"/>
                <w:b w:val="1"/>
                <w:bCs w:val="1"/>
                <w:color w:val="auto"/>
              </w:rPr>
              <w:t>OESX</w:t>
            </w:r>
          </w:p>
        </w:tc>
        <w:tc>
          <w:tcPr>
            <w:tcW w:w="100" w:type="dxa"/>
            <w:vAlign w:val="bottom"/>
          </w:tcPr>
          <w:p>
            <w:pPr>
              <w:spacing w:after="0"/>
              <w:rPr>
                <w:sz w:val="10"/>
                <w:szCs w:val="10"/>
                <w:color w:val="auto"/>
              </w:rPr>
            </w:pPr>
          </w:p>
        </w:tc>
        <w:tc>
          <w:tcPr>
            <w:tcW w:w="3600" w:type="dxa"/>
            <w:vAlign w:val="bottom"/>
          </w:tcPr>
          <w:p>
            <w:pPr>
              <w:jc w:val="center"/>
              <w:spacing w:after="0" w:line="119" w:lineRule="exact"/>
              <w:rPr>
                <w:sz w:val="20"/>
                <w:szCs w:val="20"/>
                <w:color w:val="auto"/>
              </w:rPr>
            </w:pPr>
            <w:r>
              <w:rPr>
                <w:rFonts w:ascii="Times New Roman" w:cs="Times New Roman" w:eastAsia="Times New Roman" w:hAnsi="Times New Roman"/>
                <w:sz w:val="13"/>
                <w:szCs w:val="13"/>
                <w:color w:val="auto"/>
              </w:rPr>
              <w:t>The Nasdaq Stock Market LLC</w:t>
            </w:r>
          </w:p>
        </w:tc>
        <w:tc>
          <w:tcPr>
            <w:tcW w:w="0" w:type="dxa"/>
            <w:vAlign w:val="bottom"/>
          </w:tcPr>
          <w:p>
            <w:pPr>
              <w:spacing w:after="0"/>
              <w:rPr>
                <w:sz w:val="1"/>
                <w:szCs w:val="1"/>
                <w:color w:val="auto"/>
              </w:rPr>
            </w:pPr>
          </w:p>
        </w:tc>
      </w:tr>
      <w:tr>
        <w:trPr>
          <w:trHeight w:val="188"/>
        </w:trPr>
        <w:tc>
          <w:tcPr>
            <w:tcW w:w="4780" w:type="dxa"/>
            <w:vAlign w:val="bottom"/>
            <w:gridSpan w:val="3"/>
            <w:vMerge w:val="continue"/>
          </w:tcPr>
          <w:p>
            <w:pPr>
              <w:spacing w:after="0"/>
              <w:rPr>
                <w:sz w:val="16"/>
                <w:szCs w:val="16"/>
                <w:color w:val="auto"/>
              </w:rPr>
            </w:pPr>
          </w:p>
        </w:tc>
        <w:tc>
          <w:tcPr>
            <w:tcW w:w="2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(NASDAQ Capital Market)</w:t>
            </w:r>
          </w:p>
        </w:tc>
        <w:tc>
          <w:tcPr>
            <w:tcW w:w="0" w:type="dxa"/>
            <w:vAlign w:val="bottom"/>
          </w:tcPr>
          <w:p>
            <w:pPr>
              <w:spacing w:after="0"/>
              <w:rPr>
                <w:sz w:val="1"/>
                <w:szCs w:val="1"/>
                <w:color w:val="auto"/>
              </w:rPr>
            </w:pPr>
          </w:p>
        </w:tc>
      </w:tr>
    </w:tbl>
    <w:p>
      <w:pPr>
        <w:spacing w:after="0" w:line="284" w:lineRule="exact"/>
        <w:rPr>
          <w:sz w:val="24"/>
          <w:szCs w:val="24"/>
          <w:color w:val="auto"/>
        </w:rPr>
      </w:pPr>
    </w:p>
    <w:p>
      <w:pPr>
        <w:jc w:val="both"/>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0" w:lineRule="exact"/>
        <w:rPr>
          <w:sz w:val="24"/>
          <w:szCs w:val="24"/>
          <w:color w:val="auto"/>
        </w:rPr>
      </w:pPr>
    </w:p>
    <w:p>
      <w:pPr>
        <w:jc w:val="both"/>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during the preceding 12 months (or for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0"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78" w:lineRule="exact"/>
        <w:rPr>
          <w:sz w:val="24"/>
          <w:szCs w:val="24"/>
          <w:color w:val="auto"/>
        </w:rPr>
      </w:pPr>
    </w:p>
    <w:tbl>
      <w:tblPr>
        <w:tblLayout w:type="fixed"/>
        <w:tblInd w:w="20" w:type="dxa"/>
        <w:tblCellMar>
          <w:top w:w="0" w:type="dxa"/>
          <w:left w:w="0" w:type="dxa"/>
          <w:bottom w:w="0" w:type="dxa"/>
          <w:right w:w="0" w:type="dxa"/>
        </w:tblCellMar>
      </w:tblPr>
      <w:tr>
        <w:trPr>
          <w:trHeight w:val="242"/>
        </w:trPr>
        <w:tc>
          <w:tcPr>
            <w:tcW w:w="172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86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ind w:left="2300"/>
              <w:spacing w:after="0"/>
              <w:rPr>
                <w:sz w:val="20"/>
                <w:szCs w:val="20"/>
                <w:color w:val="auto"/>
              </w:rPr>
            </w:pPr>
            <w:r>
              <w:rPr>
                <w:rFonts w:ascii="Times New Roman" w:cs="Times New Roman" w:eastAsia="Times New Roman" w:hAnsi="Times New Roman"/>
                <w:sz w:val="14"/>
                <w:szCs w:val="14"/>
                <w:color w:val="auto"/>
              </w:rPr>
              <w:t>Accelerated filer</w:t>
            </w:r>
          </w:p>
        </w:tc>
        <w:tc>
          <w:tcPr>
            <w:tcW w:w="1360" w:type="dxa"/>
            <w:vAlign w:val="bottom"/>
          </w:tcPr>
          <w:p>
            <w:pPr>
              <w:ind w:left="12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97"/>
        </w:trPr>
        <w:tc>
          <w:tcPr>
            <w:tcW w:w="172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86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ind w:left="230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360" w:type="dxa"/>
            <w:vAlign w:val="bottom"/>
          </w:tcPr>
          <w:p>
            <w:pPr>
              <w:ind w:left="12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97"/>
        </w:trPr>
        <w:tc>
          <w:tcPr>
            <w:tcW w:w="17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5100" w:type="dxa"/>
            <w:vAlign w:val="bottom"/>
          </w:tcPr>
          <w:p>
            <w:pPr>
              <w:ind w:left="2300"/>
              <w:spacing w:after="0"/>
              <w:rPr>
                <w:sz w:val="20"/>
                <w:szCs w:val="20"/>
                <w:color w:val="auto"/>
              </w:rPr>
            </w:pPr>
            <w:r>
              <w:rPr>
                <w:rFonts w:ascii="Times New Roman" w:cs="Times New Roman" w:eastAsia="Times New Roman" w:hAnsi="Times New Roman"/>
                <w:sz w:val="14"/>
                <w:szCs w:val="14"/>
                <w:color w:val="auto"/>
              </w:rPr>
              <w:t>Emerging growth company</w:t>
            </w:r>
          </w:p>
        </w:tc>
        <w:tc>
          <w:tcPr>
            <w:tcW w:w="1360" w:type="dxa"/>
            <w:vAlign w:val="bottom"/>
          </w:tcPr>
          <w:p>
            <w:pPr>
              <w:ind w:left="122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100" w:lineRule="exact"/>
        <w:rPr>
          <w:sz w:val="24"/>
          <w:szCs w:val="24"/>
          <w:color w:val="auto"/>
        </w:rPr>
      </w:pPr>
    </w:p>
    <w:p>
      <w:pPr>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3" w:lineRule="exact"/>
        <w:rPr>
          <w:sz w:val="24"/>
          <w:szCs w:val="24"/>
          <w:color w:val="auto"/>
        </w:rPr>
      </w:pPr>
    </w:p>
    <w:p>
      <w:pPr>
        <w:ind w:right="3560"/>
        <w:spacing w:after="0" w:line="245"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There were 32,952,087 shares of the Registrant’s common stock outstanding on February 10,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782955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2" w:right="339" w:bottom="1440" w:gutter="0" w:footer="0" w:header="0"/>
        </w:sectPr>
      </w:pPr>
    </w:p>
    <w:bookmarkStart w:id="1" w:name="page2"/>
    <w:bookmarkEnd w:id="1"/>
    <w:p>
      <w:pPr>
        <w:jc w:val="center"/>
        <w:ind w:left="820"/>
        <w:spacing w:after="0"/>
        <w:rPr>
          <w:sz w:val="20"/>
          <w:szCs w:val="20"/>
          <w:color w:val="auto"/>
        </w:rPr>
      </w:pPr>
      <w:r>
        <w:rPr>
          <w:rFonts w:ascii="Times New Roman" w:cs="Times New Roman" w:eastAsia="Times New Roman" w:hAnsi="Times New Roman"/>
          <w:sz w:val="18"/>
          <w:szCs w:val="18"/>
          <w:b w:val="1"/>
          <w:bCs w:val="1"/>
          <w:color w:val="auto"/>
        </w:rPr>
        <w:t>ORION ENERGY SYSTEMS, INC.</w:t>
      </w:r>
    </w:p>
    <w:p>
      <w:pPr>
        <w:spacing w:after="0" w:line="104"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90"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8"/>
          <w:szCs w:val="18"/>
          <w:b w:val="1"/>
          <w:bCs w:val="1"/>
          <w:color w:val="auto"/>
        </w:rPr>
        <w:t>FOR THE QUARTER ENDED DECEMBER 31, 2024</w:t>
      </w:r>
    </w:p>
    <w:p>
      <w:pPr>
        <w:spacing w:after="0" w:line="104"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PART I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wp:posOffset>
            </wp:positionV>
            <wp:extent cx="18313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31340" cy="8255"/>
                    </a:xfrm>
                    <a:prstGeom prst="rect">
                      <a:avLst/>
                    </a:prstGeom>
                    <a:noFill/>
                  </pic:spPr>
                </pic:pic>
              </a:graphicData>
            </a:graphic>
          </wp:anchor>
        </w:drawing>
      </w:r>
    </w:p>
    <w:p>
      <w:pPr>
        <w:spacing w:after="0" w:line="43"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2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r>
      <w:tr>
        <w:trPr>
          <w:trHeight w:val="20"/>
        </w:trPr>
        <w:tc>
          <w:tcPr>
            <w:tcW w:w="104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20" w:type="dxa"/>
            <w:vAlign w:val="bottom"/>
            <w:tcBorders>
              <w:right w:val="single" w:sz="8" w:color="0000EE"/>
            </w:tcBorders>
            <w:shd w:val="clear" w:color="auto" w:fill="0000FF"/>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63"/>
        </w:trPr>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2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December 31, 2024 and March 31, 2024</w:t>
            </w:r>
          </w:p>
        </w:tc>
      </w:tr>
      <w:tr>
        <w:trPr>
          <w:trHeight w:val="20"/>
        </w:trPr>
        <w:tc>
          <w:tcPr>
            <w:tcW w:w="104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50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960" w:type="dxa"/>
            <w:vAlign w:val="bottom"/>
            <w:tcBorders>
              <w:right w:val="single" w:sz="8" w:color="0000EE"/>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63"/>
        </w:trPr>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2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 for the Three and Nine Months Ended December 31, 2024 and December 31,</w:t>
            </w:r>
          </w:p>
        </w:tc>
      </w:tr>
      <w:tr>
        <w:trPr>
          <w:trHeight w:val="20"/>
        </w:trPr>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8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9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FF"/>
                <w:w w:val="88"/>
              </w:rPr>
              <w:t>2023</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63"/>
        </w:trPr>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2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Condensed Consolidated Statements of Shareholders’ Equity for the Three and Nine Months Ended December 31, 2024 and</w:t>
            </w:r>
          </w:p>
        </w:tc>
      </w:tr>
      <w:tr>
        <w:trPr>
          <w:trHeight w:val="20"/>
        </w:trPr>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50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8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December 31, 2023</w:t>
            </w:r>
          </w:p>
        </w:tc>
      </w:tr>
      <w:tr>
        <w:trPr>
          <w:trHeight w:val="20"/>
        </w:trPr>
        <w:tc>
          <w:tcPr>
            <w:tcW w:w="104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63"/>
        </w:trPr>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2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Nine Months Ended December 31, 2024 and December 31, 2023</w:t>
            </w:r>
          </w:p>
        </w:tc>
      </w:tr>
      <w:tr>
        <w:trPr>
          <w:trHeight w:val="20"/>
        </w:trPr>
        <w:tc>
          <w:tcPr>
            <w:tcW w:w="104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50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63"/>
        </w:trPr>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2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Notes to the Condensed Consolidated Financial Statements</w:t>
            </w:r>
          </w:p>
        </w:tc>
      </w:tr>
      <w:tr>
        <w:trPr>
          <w:trHeight w:val="20"/>
        </w:trPr>
        <w:tc>
          <w:tcPr>
            <w:tcW w:w="104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500" w:type="dxa"/>
            <w:vAlign w:val="bottom"/>
            <w:tcBorders>
              <w:right w:val="single" w:sz="8" w:color="0000EE"/>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r>
      <w:tr>
        <w:trPr>
          <w:trHeight w:val="263"/>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2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r>
      <w:tr>
        <w:trPr>
          <w:trHeight w:val="20"/>
        </w:trPr>
        <w:tc>
          <w:tcPr>
            <w:tcW w:w="104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52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r>
      <w:tr>
        <w:trPr>
          <w:trHeight w:val="263"/>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92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r>
      <w:tr>
        <w:trPr>
          <w:trHeight w:val="20"/>
        </w:trPr>
        <w:tc>
          <w:tcPr>
            <w:tcW w:w="104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52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r>
      <w:tr>
        <w:trPr>
          <w:trHeight w:val="263"/>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2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Controls and Procedures</w:t>
            </w:r>
          </w:p>
        </w:tc>
      </w:tr>
      <w:tr>
        <w:trPr>
          <w:trHeight w:val="20"/>
        </w:trPr>
        <w:tc>
          <w:tcPr>
            <w:tcW w:w="104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r>
      <w:tr>
        <w:trPr>
          <w:trHeight w:val="264"/>
        </w:trPr>
        <w:tc>
          <w:tcPr>
            <w:tcW w:w="103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PART II OTHER INFORMATION</w:t>
            </w:r>
          </w:p>
        </w:tc>
      </w:tr>
      <w:tr>
        <w:trPr>
          <w:trHeight w:val="20"/>
        </w:trPr>
        <w:tc>
          <w:tcPr>
            <w:tcW w:w="10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2840" w:type="dxa"/>
            <w:vAlign w:val="bottom"/>
            <w:gridSpan w:val="5"/>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r>
      <w:tr>
        <w:trPr>
          <w:trHeight w:val="263"/>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2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Legal Proceedings</w:t>
            </w:r>
          </w:p>
        </w:tc>
      </w:tr>
      <w:tr>
        <w:trPr>
          <w:trHeight w:val="20"/>
        </w:trPr>
        <w:tc>
          <w:tcPr>
            <w:tcW w:w="104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20" w:type="dxa"/>
            <w:vAlign w:val="bottom"/>
            <w:tcBorders>
              <w:left w:val="single" w:sz="8" w:color="0000FF"/>
            </w:tcBorders>
            <w:gridSpan w:val="7"/>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r>
      <w:tr>
        <w:trPr>
          <w:trHeight w:val="263"/>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2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Risk Factors</w:t>
            </w:r>
          </w:p>
        </w:tc>
      </w:tr>
      <w:tr>
        <w:trPr>
          <w:trHeight w:val="20"/>
        </w:trPr>
        <w:tc>
          <w:tcPr>
            <w:tcW w:w="104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20" w:type="dxa"/>
            <w:vAlign w:val="bottom"/>
            <w:gridSpan w:val="7"/>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r>
      <w:tr>
        <w:trPr>
          <w:trHeight w:val="263"/>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2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r>
      <w:tr>
        <w:trPr>
          <w:trHeight w:val="20"/>
        </w:trPr>
        <w:tc>
          <w:tcPr>
            <w:tcW w:w="104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3020" w:type="dxa"/>
            <w:vAlign w:val="bottom"/>
            <w:tcBorders>
              <w:left w:val="single" w:sz="8" w:color="0000FF"/>
            </w:tcBorders>
            <w:gridSpan w:val="7"/>
            <w:shd w:val="clear" w:color="auto" w:fill="0000FF"/>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r>
      <w:tr>
        <w:trPr>
          <w:trHeight w:val="26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92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Other Information</w:t>
            </w:r>
          </w:p>
        </w:tc>
      </w:tr>
      <w:tr>
        <w:trPr>
          <w:trHeight w:val="20"/>
        </w:trPr>
        <w:tc>
          <w:tcPr>
            <w:tcW w:w="104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7980" w:type="dxa"/>
            <w:vAlign w:val="bottom"/>
            <w:gridSpan w:val="11"/>
          </w:tcPr>
          <w:p>
            <w:pPr>
              <w:spacing w:after="0" w:line="20" w:lineRule="exact"/>
              <w:rPr>
                <w:sz w:val="1"/>
                <w:szCs w:val="1"/>
                <w:color w:val="auto"/>
              </w:rPr>
            </w:pPr>
          </w:p>
        </w:tc>
      </w:tr>
      <w:tr>
        <w:trPr>
          <w:trHeight w:val="263"/>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92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Exhibits</w:t>
            </w:r>
          </w:p>
        </w:tc>
      </w:tr>
      <w:tr>
        <w:trPr>
          <w:trHeight w:val="263"/>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w:t>
            </w:r>
          </w:p>
        </w:tc>
        <w:tc>
          <w:tcPr>
            <w:tcW w:w="36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3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340" w:type="dxa"/>
            <w:vAlign w:val="bottom"/>
          </w:tcPr>
          <w:p>
            <w:pPr>
              <w:spacing w:after="0"/>
              <w:rPr>
                <w:sz w:val="22"/>
                <w:szCs w:val="22"/>
                <w:color w:val="auto"/>
              </w:rPr>
            </w:pPr>
          </w:p>
        </w:tc>
      </w:tr>
      <w:tr>
        <w:trPr>
          <w:trHeight w:val="20"/>
        </w:trPr>
        <w:tc>
          <w:tcPr>
            <w:tcW w:w="104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981710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wp:posOffset>
            </wp:positionH>
            <wp:positionV relativeFrom="paragraph">
              <wp:posOffset>33655</wp:posOffset>
            </wp:positionV>
            <wp:extent cx="4629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62915" cy="8255"/>
                    </a:xfrm>
                    <a:prstGeom prst="rect">
                      <a:avLst/>
                    </a:prstGeom>
                    <a:noFill/>
                  </pic:spPr>
                </pic:pic>
              </a:graphicData>
            </a:graphic>
          </wp:anchor>
        </w:drawing>
      </w:r>
    </w:p>
    <w:p>
      <w:pPr>
        <w:spacing w:after="0" w:line="9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w:t>
      </w:r>
    </w:p>
    <w:p>
      <w:pPr>
        <w:spacing w:after="0" w:line="29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w:t>
      </w:r>
    </w:p>
    <w:p>
      <w:pPr>
        <w:spacing w:after="0" w:line="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w:t>
      </w:r>
    </w:p>
    <w:p>
      <w:pPr>
        <w:spacing w:after="0" w:line="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w:t>
      </w:r>
    </w:p>
    <w:p>
      <w:pPr>
        <w:spacing w:after="0" w:line="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21</w:t>
      </w:r>
    </w:p>
    <w:p>
      <w:pPr>
        <w:spacing w:after="0" w:line="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30</w:t>
      </w:r>
    </w:p>
    <w:p>
      <w:pPr>
        <w:spacing w:after="0" w:line="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30</w:t>
      </w:r>
    </w:p>
    <w:p>
      <w:pPr>
        <w:spacing w:after="0" w:line="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31</w:t>
      </w:r>
    </w:p>
    <w:p>
      <w:pPr>
        <w:spacing w:after="0" w:line="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31</w:t>
      </w:r>
    </w:p>
    <w:p>
      <w:pPr>
        <w:spacing w:after="0" w:line="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31</w:t>
      </w:r>
    </w:p>
    <w:p>
      <w:pPr>
        <w:spacing w:after="0" w:line="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31</w:t>
      </w:r>
    </w:p>
    <w:p>
      <w:pPr>
        <w:spacing w:after="0" w:line="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31</w:t>
      </w:r>
    </w:p>
    <w:p>
      <w:pPr>
        <w:spacing w:after="0" w:line="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32</w:t>
      </w:r>
    </w:p>
    <w:p>
      <w:pPr>
        <w:spacing w:after="0" w:line="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2">
            <w:col w:w="10380" w:space="260"/>
            <w:col w:w="560"/>
          </w:cols>
          <w:pgMar w:left="340" w:top="981"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ORION ENERGY SYSTEMS,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6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80" w:type="dxa"/>
            <w:vAlign w:val="bottom"/>
          </w:tcPr>
          <w:p>
            <w:pPr>
              <w:spacing w:after="0"/>
              <w:rPr>
                <w:sz w:val="15"/>
                <w:szCs w:val="15"/>
                <w:color w:val="auto"/>
              </w:rPr>
            </w:pPr>
          </w:p>
        </w:tc>
        <w:tc>
          <w:tcPr>
            <w:tcW w:w="174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March 31, 2024</w:t>
            </w:r>
          </w:p>
        </w:tc>
      </w:tr>
      <w:tr>
        <w:trPr>
          <w:trHeight w:val="209"/>
        </w:trPr>
        <w:tc>
          <w:tcPr>
            <w:tcW w:w="7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Borders>
              <w:top w:val="single" w:sz="8" w:color="auto"/>
            </w:tcBorders>
            <w:shd w:val="clear" w:color="auto" w:fill="CFF0FC"/>
          </w:tcPr>
          <w:p>
            <w:pPr>
              <w:spacing w:after="0"/>
              <w:rPr>
                <w:sz w:val="18"/>
                <w:szCs w:val="18"/>
                <w:color w:val="auto"/>
              </w:rPr>
            </w:pPr>
          </w:p>
        </w:tc>
        <w:tc>
          <w:tcPr>
            <w:tcW w:w="168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6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7,497</w:t>
            </w:r>
          </w:p>
        </w:tc>
        <w:tc>
          <w:tcPr>
            <w:tcW w:w="28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5,155</w:t>
            </w:r>
          </w:p>
        </w:tc>
        <w:tc>
          <w:tcPr>
            <w:tcW w:w="100" w:type="dxa"/>
            <w:vAlign w:val="bottom"/>
          </w:tcPr>
          <w:p>
            <w:pPr>
              <w:spacing w:after="0"/>
              <w:rPr>
                <w:sz w:val="18"/>
                <w:szCs w:val="18"/>
                <w:color w:val="auto"/>
              </w:rPr>
            </w:pPr>
          </w:p>
        </w:tc>
      </w:tr>
      <w:tr>
        <w:trPr>
          <w:trHeight w:val="216"/>
        </w:trPr>
        <w:tc>
          <w:tcPr>
            <w:tcW w:w="7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12,234</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14,022</w:t>
            </w:r>
          </w:p>
        </w:tc>
        <w:tc>
          <w:tcPr>
            <w:tcW w:w="100" w:type="dxa"/>
            <w:vAlign w:val="bottom"/>
            <w:shd w:val="clear" w:color="auto" w:fill="CFF0FC"/>
          </w:tcPr>
          <w:p>
            <w:pPr>
              <w:spacing w:after="0"/>
              <w:rPr>
                <w:sz w:val="18"/>
                <w:szCs w:val="18"/>
                <w:color w:val="auto"/>
              </w:rPr>
            </w:pPr>
          </w:p>
        </w:tc>
      </w:tr>
      <w:tr>
        <w:trPr>
          <w:trHeight w:val="216"/>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earned but not billed</w:t>
            </w:r>
          </w:p>
        </w:tc>
        <w:tc>
          <w:tcPr>
            <w:tcW w:w="2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2,186</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4,539</w:t>
            </w:r>
          </w:p>
        </w:tc>
        <w:tc>
          <w:tcPr>
            <w:tcW w:w="100" w:type="dxa"/>
            <w:vAlign w:val="bottom"/>
          </w:tcPr>
          <w:p>
            <w:pPr>
              <w:spacing w:after="0"/>
              <w:rPr>
                <w:sz w:val="18"/>
                <w:szCs w:val="18"/>
                <w:color w:val="auto"/>
              </w:rPr>
            </w:pPr>
          </w:p>
        </w:tc>
      </w:tr>
      <w:tr>
        <w:trPr>
          <w:trHeight w:val="216"/>
        </w:trPr>
        <w:tc>
          <w:tcPr>
            <w:tcW w:w="7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13,473</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18,246</w:t>
            </w:r>
          </w:p>
        </w:tc>
        <w:tc>
          <w:tcPr>
            <w:tcW w:w="100" w:type="dxa"/>
            <w:vAlign w:val="bottom"/>
            <w:shd w:val="clear" w:color="auto" w:fill="CFF0FC"/>
          </w:tcPr>
          <w:p>
            <w:pPr>
              <w:spacing w:after="0"/>
              <w:rPr>
                <w:sz w:val="18"/>
                <w:szCs w:val="18"/>
                <w:color w:val="auto"/>
              </w:rPr>
            </w:pPr>
          </w:p>
        </w:tc>
      </w:tr>
      <w:tr>
        <w:trPr>
          <w:trHeight w:val="216"/>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1,728</w:t>
            </w:r>
          </w:p>
        </w:tc>
        <w:tc>
          <w:tcPr>
            <w:tcW w:w="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2,860</w:t>
            </w:r>
          </w:p>
        </w:tc>
        <w:tc>
          <w:tcPr>
            <w:tcW w:w="100" w:type="dxa"/>
            <w:vAlign w:val="bottom"/>
          </w:tcPr>
          <w:p>
            <w:pPr>
              <w:spacing w:after="0"/>
              <w:rPr>
                <w:sz w:val="18"/>
                <w:szCs w:val="18"/>
                <w:color w:val="auto"/>
              </w:rPr>
            </w:pPr>
          </w:p>
        </w:tc>
      </w:tr>
      <w:tr>
        <w:trPr>
          <w:trHeight w:val="210"/>
        </w:trPr>
        <w:tc>
          <w:tcPr>
            <w:tcW w:w="7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37,118</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44,822</w:t>
            </w:r>
          </w:p>
        </w:tc>
        <w:tc>
          <w:tcPr>
            <w:tcW w:w="100" w:type="dxa"/>
            <w:vAlign w:val="bottom"/>
            <w:shd w:val="clear" w:color="auto" w:fill="CFF0FC"/>
          </w:tcPr>
          <w:p>
            <w:pPr>
              <w:spacing w:after="0"/>
              <w:rPr>
                <w:sz w:val="18"/>
                <w:szCs w:val="18"/>
                <w:color w:val="auto"/>
              </w:rPr>
            </w:pPr>
          </w:p>
        </w:tc>
      </w:tr>
      <w:tr>
        <w:trPr>
          <w:trHeight w:val="216"/>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8,403</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9,593</w:t>
            </w:r>
          </w:p>
        </w:tc>
        <w:tc>
          <w:tcPr>
            <w:tcW w:w="100" w:type="dxa"/>
            <w:vAlign w:val="bottom"/>
          </w:tcPr>
          <w:p>
            <w:pPr>
              <w:spacing w:after="0"/>
              <w:rPr>
                <w:sz w:val="18"/>
                <w:szCs w:val="18"/>
                <w:color w:val="auto"/>
              </w:rPr>
            </w:pPr>
          </w:p>
        </w:tc>
      </w:tr>
      <w:tr>
        <w:trPr>
          <w:trHeight w:val="216"/>
        </w:trPr>
        <w:tc>
          <w:tcPr>
            <w:tcW w:w="7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1,484</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1,484</w:t>
            </w:r>
          </w:p>
        </w:tc>
        <w:tc>
          <w:tcPr>
            <w:tcW w:w="100" w:type="dxa"/>
            <w:vAlign w:val="bottom"/>
            <w:shd w:val="clear" w:color="auto" w:fill="CFF0FC"/>
          </w:tcPr>
          <w:p>
            <w:pPr>
              <w:spacing w:after="0"/>
              <w:rPr>
                <w:sz w:val="18"/>
                <w:szCs w:val="18"/>
                <w:color w:val="auto"/>
              </w:rPr>
            </w:pPr>
          </w:p>
        </w:tc>
      </w:tr>
      <w:tr>
        <w:trPr>
          <w:trHeight w:val="216"/>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2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3,715</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4,462</w:t>
            </w:r>
          </w:p>
        </w:tc>
        <w:tc>
          <w:tcPr>
            <w:tcW w:w="100" w:type="dxa"/>
            <w:vAlign w:val="bottom"/>
          </w:tcPr>
          <w:p>
            <w:pPr>
              <w:spacing w:after="0"/>
              <w:rPr>
                <w:sz w:val="18"/>
                <w:szCs w:val="18"/>
                <w:color w:val="auto"/>
              </w:rPr>
            </w:pPr>
          </w:p>
        </w:tc>
      </w:tr>
      <w:tr>
        <w:trPr>
          <w:trHeight w:val="216"/>
        </w:trPr>
        <w:tc>
          <w:tcPr>
            <w:tcW w:w="70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240" w:type="dxa"/>
            <w:vAlign w:val="bottom"/>
            <w:tcBorders>
              <w:bottom w:val="single" w:sz="8" w:color="auto"/>
            </w:tcBorders>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1,993</w:t>
            </w:r>
          </w:p>
        </w:tc>
        <w:tc>
          <w:tcPr>
            <w:tcW w:w="2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52,713</w:t>
            </w:r>
          </w:p>
        </w:tc>
        <w:tc>
          <w:tcPr>
            <w:tcW w:w="28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63,169</w:t>
            </w:r>
          </w:p>
        </w:tc>
        <w:tc>
          <w:tcPr>
            <w:tcW w:w="100" w:type="dxa"/>
            <w:vAlign w:val="bottom"/>
          </w:tcPr>
          <w:p>
            <w:pPr>
              <w:spacing w:after="0"/>
              <w:rPr>
                <w:sz w:val="18"/>
                <w:szCs w:val="18"/>
                <w:color w:val="auto"/>
              </w:rPr>
            </w:pPr>
          </w:p>
        </w:tc>
      </w:tr>
      <w:tr>
        <w:trPr>
          <w:trHeight w:val="20"/>
        </w:trPr>
        <w:tc>
          <w:tcPr>
            <w:tcW w:w="7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02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40" w:type="dxa"/>
            <w:vAlign w:val="bottom"/>
            <w:shd w:val="clear" w:color="auto" w:fill="CFF0FC"/>
          </w:tcPr>
          <w:p>
            <w:pPr>
              <w:spacing w:after="0"/>
              <w:rPr>
                <w:sz w:val="17"/>
                <w:szCs w:val="17"/>
                <w:color w:val="auto"/>
              </w:rPr>
            </w:pPr>
          </w:p>
        </w:tc>
        <w:tc>
          <w:tcPr>
            <w:tcW w:w="16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13,412</w:t>
            </w:r>
          </w:p>
        </w:tc>
        <w:tc>
          <w:tcPr>
            <w:tcW w:w="28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18,350</w:t>
            </w:r>
          </w:p>
        </w:tc>
        <w:tc>
          <w:tcPr>
            <w:tcW w:w="100" w:type="dxa"/>
            <w:vAlign w:val="bottom"/>
          </w:tcPr>
          <w:p>
            <w:pPr>
              <w:spacing w:after="0"/>
              <w:rPr>
                <w:sz w:val="18"/>
                <w:szCs w:val="18"/>
                <w:color w:val="auto"/>
              </w:rPr>
            </w:pPr>
          </w:p>
        </w:tc>
      </w:tr>
      <w:tr>
        <w:trPr>
          <w:trHeight w:val="216"/>
        </w:trPr>
        <w:tc>
          <w:tcPr>
            <w:tcW w:w="7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24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12,530</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9,440</w:t>
            </w:r>
          </w:p>
        </w:tc>
        <w:tc>
          <w:tcPr>
            <w:tcW w:w="100" w:type="dxa"/>
            <w:vAlign w:val="bottom"/>
            <w:shd w:val="clear" w:color="auto" w:fill="CFF0FC"/>
          </w:tcPr>
          <w:p>
            <w:pPr>
              <w:spacing w:after="0"/>
              <w:rPr>
                <w:sz w:val="18"/>
                <w:szCs w:val="18"/>
                <w:color w:val="auto"/>
              </w:rPr>
            </w:pPr>
          </w:p>
        </w:tc>
      </w:tr>
      <w:tr>
        <w:trPr>
          <w:trHeight w:val="216"/>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current</w:t>
            </w:r>
          </w:p>
        </w:tc>
        <w:tc>
          <w:tcPr>
            <w:tcW w:w="2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Pr>
          <w:p>
            <w:pPr>
              <w:spacing w:after="0"/>
              <w:rPr>
                <w:sz w:val="18"/>
                <w:szCs w:val="18"/>
                <w:color w:val="auto"/>
              </w:rPr>
            </w:pPr>
          </w:p>
        </w:tc>
      </w:tr>
      <w:tr>
        <w:trPr>
          <w:trHeight w:val="216"/>
        </w:trPr>
        <w:tc>
          <w:tcPr>
            <w:tcW w:w="70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240" w:type="dxa"/>
            <w:vAlign w:val="bottom"/>
            <w:tcBorders>
              <w:bottom w:val="single" w:sz="8" w:color="auto"/>
            </w:tcBorders>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2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26,582</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28,053</w:t>
            </w:r>
          </w:p>
        </w:tc>
        <w:tc>
          <w:tcPr>
            <w:tcW w:w="100" w:type="dxa"/>
            <w:vAlign w:val="bottom"/>
          </w:tcPr>
          <w:p>
            <w:pPr>
              <w:spacing w:after="0"/>
              <w:rPr>
                <w:sz w:val="18"/>
                <w:szCs w:val="18"/>
                <w:color w:val="auto"/>
              </w:rPr>
            </w:pPr>
          </w:p>
        </w:tc>
      </w:tr>
      <w:tr>
        <w:trPr>
          <w:trHeight w:val="216"/>
        </w:trPr>
        <w:tc>
          <w:tcPr>
            <w:tcW w:w="7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4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FF0FC"/>
          </w:tcPr>
          <w:p>
            <w:pPr>
              <w:spacing w:after="0"/>
              <w:rPr>
                <w:sz w:val="18"/>
                <w:szCs w:val="18"/>
                <w:color w:val="auto"/>
              </w:rPr>
            </w:pPr>
          </w:p>
        </w:tc>
      </w:tr>
      <w:tr>
        <w:trPr>
          <w:trHeight w:val="216"/>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less current maturities</w:t>
            </w:r>
          </w:p>
        </w:tc>
        <w:tc>
          <w:tcPr>
            <w:tcW w:w="2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3,059</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revenue, long-term</w:t>
            </w:r>
          </w:p>
        </w:tc>
        <w:tc>
          <w:tcPr>
            <w:tcW w:w="24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00" w:type="dxa"/>
            <w:vAlign w:val="bottom"/>
            <w:shd w:val="clear" w:color="auto" w:fill="CFF0FC"/>
          </w:tcPr>
          <w:p>
            <w:pPr>
              <w:spacing w:after="0"/>
              <w:rPr>
                <w:sz w:val="18"/>
                <w:szCs w:val="18"/>
                <w:color w:val="auto"/>
              </w:rPr>
            </w:pPr>
          </w:p>
        </w:tc>
      </w:tr>
      <w:tr>
        <w:trPr>
          <w:trHeight w:val="216"/>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2,161</w:t>
            </w:r>
          </w:p>
        </w:tc>
        <w:tc>
          <w:tcPr>
            <w:tcW w:w="100" w:type="dxa"/>
            <w:vAlign w:val="bottom"/>
          </w:tcPr>
          <w:p>
            <w:pPr>
              <w:spacing w:after="0"/>
              <w:rPr>
                <w:sz w:val="18"/>
                <w:szCs w:val="18"/>
                <w:color w:val="auto"/>
              </w:rPr>
            </w:pPr>
          </w:p>
        </w:tc>
      </w:tr>
      <w:tr>
        <w:trPr>
          <w:trHeight w:val="209"/>
        </w:trPr>
        <w:tc>
          <w:tcPr>
            <w:tcW w:w="70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bottom w:val="single" w:sz="8" w:color="auto"/>
            </w:tcBorders>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38,238</w:t>
            </w:r>
          </w:p>
        </w:tc>
        <w:tc>
          <w:tcPr>
            <w:tcW w:w="2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40,627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24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8"/>
        </w:trPr>
        <w:tc>
          <w:tcPr>
            <w:tcW w:w="70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Preferred stock, $0.01 par value: Shares authorized: 30,000,000 at</w:t>
            </w:r>
          </w:p>
        </w:tc>
        <w:tc>
          <w:tcPr>
            <w:tcW w:w="2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31, 2024 and March 31, 2024; no shares issued and outstanding at December 31,</w:t>
            </w: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 and March 31, 2024</w:t>
            </w:r>
          </w:p>
        </w:tc>
        <w:tc>
          <w:tcPr>
            <w:tcW w:w="240" w:type="dxa"/>
            <w:vAlign w:val="bottom"/>
          </w:tcPr>
          <w:p>
            <w:pPr>
              <w:spacing w:after="0"/>
              <w:rPr>
                <w:sz w:val="20"/>
                <w:szCs w:val="20"/>
                <w:color w:val="auto"/>
              </w:rPr>
            </w:pPr>
          </w:p>
        </w:tc>
        <w:tc>
          <w:tcPr>
            <w:tcW w:w="1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02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Common stock, no par value: Shares authorized: 200,000,000 at</w:t>
            </w:r>
          </w:p>
        </w:tc>
        <w:tc>
          <w:tcPr>
            <w:tcW w:w="240" w:type="dxa"/>
            <w:vAlign w:val="bottom"/>
            <w:shd w:val="clear" w:color="auto" w:fill="CFF0FC"/>
          </w:tcPr>
          <w:p>
            <w:pPr>
              <w:spacing w:after="0"/>
              <w:rPr>
                <w:sz w:val="17"/>
                <w:szCs w:val="17"/>
                <w:color w:val="auto"/>
              </w:rPr>
            </w:pPr>
          </w:p>
        </w:tc>
        <w:tc>
          <w:tcPr>
            <w:tcW w:w="16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December 31, 2024 and March 31, 2024; shares issued: 42,409,937 at</w:t>
            </w:r>
          </w:p>
        </w:tc>
        <w:tc>
          <w:tcPr>
            <w:tcW w:w="24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December 31, 2024 and 42,038,967 at March 31, 2024; shares outstanding:</w:t>
            </w:r>
          </w:p>
        </w:tc>
        <w:tc>
          <w:tcPr>
            <w:tcW w:w="24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7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32,939,922 at December 31, 2024 and 32,567,746 at March 31, 2024</w:t>
            </w:r>
          </w:p>
        </w:tc>
        <w:tc>
          <w:tcPr>
            <w:tcW w:w="240" w:type="dxa"/>
            <w:vAlign w:val="bottom"/>
            <w:shd w:val="clear" w:color="auto" w:fill="CFF0FC"/>
          </w:tcPr>
          <w:p>
            <w:pPr>
              <w:spacing w:after="0"/>
              <w:rPr>
                <w:sz w:val="20"/>
                <w:szCs w:val="20"/>
                <w:color w:val="auto"/>
              </w:rPr>
            </w:pPr>
          </w:p>
        </w:tc>
        <w:tc>
          <w:tcPr>
            <w:tcW w:w="19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0"/>
                <w:szCs w:val="20"/>
                <w:color w:val="auto"/>
              </w:rPr>
            </w:pPr>
          </w:p>
        </w:tc>
        <w:tc>
          <w:tcPr>
            <w:tcW w:w="17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162,691</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161,869</w:t>
            </w:r>
          </w:p>
        </w:tc>
        <w:tc>
          <w:tcPr>
            <w:tcW w:w="100" w:type="dxa"/>
            <w:vAlign w:val="bottom"/>
          </w:tcPr>
          <w:p>
            <w:pPr>
              <w:spacing w:after="0"/>
              <w:rPr>
                <w:sz w:val="18"/>
                <w:szCs w:val="18"/>
                <w:color w:val="auto"/>
              </w:rPr>
            </w:pPr>
          </w:p>
        </w:tc>
      </w:tr>
      <w:tr>
        <w:trPr>
          <w:trHeight w:val="198"/>
        </w:trPr>
        <w:tc>
          <w:tcPr>
            <w:tcW w:w="702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Treasury stock, common shares: 9,470,015 at December 31, 2024 and 9,471,221 at March 31,</w:t>
            </w:r>
          </w:p>
        </w:tc>
        <w:tc>
          <w:tcPr>
            <w:tcW w:w="240" w:type="dxa"/>
            <w:vAlign w:val="bottom"/>
            <w:shd w:val="clear" w:color="auto" w:fill="CFF0FC"/>
          </w:tcPr>
          <w:p>
            <w:pPr>
              <w:spacing w:after="0"/>
              <w:rPr>
                <w:sz w:val="17"/>
                <w:szCs w:val="17"/>
                <w:color w:val="auto"/>
              </w:rPr>
            </w:pPr>
          </w:p>
        </w:tc>
        <w:tc>
          <w:tcPr>
            <w:tcW w:w="16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7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shd w:val="clear" w:color="auto" w:fill="CFF0FC"/>
          </w:tcPr>
          <w:p>
            <w:pPr>
              <w:spacing w:after="0"/>
              <w:rPr>
                <w:sz w:val="20"/>
                <w:szCs w:val="20"/>
                <w:color w:val="auto"/>
              </w:rPr>
            </w:pPr>
          </w:p>
        </w:tc>
        <w:tc>
          <w:tcPr>
            <w:tcW w:w="19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(36,233 )</w:t>
            </w:r>
          </w:p>
        </w:tc>
        <w:tc>
          <w:tcPr>
            <w:tcW w:w="280" w:type="dxa"/>
            <w:vAlign w:val="bottom"/>
            <w:shd w:val="clear" w:color="auto" w:fill="CFF0FC"/>
          </w:tcPr>
          <w:p>
            <w:pPr>
              <w:spacing w:after="0"/>
              <w:rPr>
                <w:sz w:val="20"/>
                <w:szCs w:val="20"/>
                <w:color w:val="auto"/>
              </w:rPr>
            </w:pPr>
          </w:p>
        </w:tc>
        <w:tc>
          <w:tcPr>
            <w:tcW w:w="1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(36,235 )</w:t>
            </w:r>
          </w:p>
        </w:tc>
      </w:tr>
      <w:tr>
        <w:trPr>
          <w:trHeight w:val="216"/>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Retained deficit</w:t>
            </w:r>
          </w:p>
        </w:tc>
        <w:tc>
          <w:tcPr>
            <w:tcW w:w="240" w:type="dxa"/>
            <w:vAlign w:val="bottom"/>
          </w:tcPr>
          <w:p>
            <w:pPr>
              <w:spacing w:after="0"/>
              <w:rPr>
                <w:sz w:val="18"/>
                <w:szCs w:val="18"/>
                <w:color w:val="auto"/>
              </w:rPr>
            </w:pPr>
          </w:p>
        </w:tc>
        <w:tc>
          <w:tcPr>
            <w:tcW w:w="1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(111,983 )</w:t>
            </w:r>
          </w:p>
        </w:tc>
        <w:tc>
          <w:tcPr>
            <w:tcW w:w="280" w:type="dxa"/>
            <w:vAlign w:val="bottom"/>
          </w:tcPr>
          <w:p>
            <w:pPr>
              <w:spacing w:after="0"/>
              <w:rPr>
                <w:sz w:val="18"/>
                <w:szCs w:val="18"/>
                <w:color w:val="auto"/>
              </w:rPr>
            </w:pPr>
          </w:p>
        </w:tc>
        <w:tc>
          <w:tcPr>
            <w:tcW w:w="1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(103,092 )</w:t>
            </w:r>
          </w:p>
        </w:tc>
      </w:tr>
      <w:tr>
        <w:trPr>
          <w:trHeight w:val="210"/>
        </w:trPr>
        <w:tc>
          <w:tcPr>
            <w:tcW w:w="70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14,475</w:t>
            </w:r>
          </w:p>
        </w:tc>
        <w:tc>
          <w:tcPr>
            <w:tcW w:w="2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22,542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52,713</w:t>
            </w:r>
          </w:p>
        </w:tc>
        <w:tc>
          <w:tcPr>
            <w:tcW w:w="28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63,169</w:t>
            </w:r>
          </w:p>
        </w:tc>
        <w:tc>
          <w:tcPr>
            <w:tcW w:w="100" w:type="dxa"/>
            <w:vAlign w:val="bottom"/>
          </w:tcPr>
          <w:p>
            <w:pPr>
              <w:spacing w:after="0"/>
              <w:rPr>
                <w:sz w:val="18"/>
                <w:szCs w:val="18"/>
                <w:color w:val="auto"/>
              </w:rPr>
            </w:pPr>
          </w:p>
        </w:tc>
      </w:tr>
      <w:tr>
        <w:trPr>
          <w:trHeight w:val="20"/>
        </w:trPr>
        <w:tc>
          <w:tcPr>
            <w:tcW w:w="7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-3805555</wp:posOffset>
            </wp:positionV>
            <wp:extent cx="685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-3805555</wp:posOffset>
            </wp:positionV>
            <wp:extent cx="685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-2948305</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-2948305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-2108200</wp:posOffset>
            </wp:positionV>
            <wp:extent cx="685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-2108200</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-170815</wp:posOffset>
            </wp:positionV>
            <wp:extent cx="685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ind w:left="340" w:right="2320"/>
        <w:spacing w:after="0" w:line="268" w:lineRule="auto"/>
        <w:rPr>
          <w:sz w:val="20"/>
          <w:szCs w:val="20"/>
          <w:color w:val="auto"/>
        </w:rPr>
      </w:pPr>
      <w:r>
        <w:rPr>
          <w:rFonts w:ascii="Times New Roman" w:cs="Times New Roman" w:eastAsia="Times New Roman" w:hAnsi="Times New Roman"/>
          <w:sz w:val="18"/>
          <w:szCs w:val="18"/>
          <w:b w:val="1"/>
          <w:bCs w:val="1"/>
          <w:color w:val="auto"/>
        </w:rPr>
        <w:t>ORION ENERGY SYSTEMS, INC. AND SUBSIDIARIES UNAUDITED CONDENSED CONSOLIDATED STATEMENTS OF OPERATIONS (in thousands, except share and per share amounts)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900" w:type="dxa"/>
            <w:vAlign w:val="bottom"/>
            <w:gridSpan w:val="5"/>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260" w:type="dxa"/>
            <w:vAlign w:val="bottom"/>
          </w:tcPr>
          <w:p>
            <w:pPr>
              <w:spacing w:after="0"/>
              <w:rPr>
                <w:sz w:val="15"/>
                <w:szCs w:val="15"/>
                <w:color w:val="auto"/>
              </w:rPr>
            </w:pPr>
          </w:p>
        </w:tc>
        <w:tc>
          <w:tcPr>
            <w:tcW w:w="2800" w:type="dxa"/>
            <w:vAlign w:val="bottom"/>
            <w:gridSpan w:val="6"/>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Nine Months Ended December 31,</w:t>
            </w:r>
          </w:p>
        </w:tc>
      </w:tr>
      <w:tr>
        <w:trPr>
          <w:trHeight w:val="142"/>
        </w:trPr>
        <w:tc>
          <w:tcPr>
            <w:tcW w:w="506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r>
      <w:tr>
        <w:trPr>
          <w:trHeight w:val="210"/>
        </w:trPr>
        <w:tc>
          <w:tcPr>
            <w:tcW w:w="5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Product revenue</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14,308</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17,007</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39,442</w:t>
            </w:r>
          </w:p>
        </w:tc>
        <w:tc>
          <w:tcPr>
            <w:tcW w:w="10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46,266</w:t>
            </w:r>
          </w:p>
        </w:tc>
        <w:tc>
          <w:tcPr>
            <w:tcW w:w="120" w:type="dxa"/>
            <w:vAlign w:val="bottom"/>
            <w:shd w:val="clear" w:color="auto" w:fill="CFF0FC"/>
          </w:tcPr>
          <w:p>
            <w:pPr>
              <w:spacing w:after="0"/>
              <w:rPr>
                <w:sz w:val="18"/>
                <w:szCs w:val="18"/>
                <w:color w:val="auto"/>
              </w:rPr>
            </w:pPr>
          </w:p>
        </w:tc>
      </w:tr>
      <w:tr>
        <w:trPr>
          <w:trHeight w:val="216"/>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revenue</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5,276</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8,964</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19,409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17,904</w:t>
            </w:r>
          </w:p>
        </w:tc>
        <w:tc>
          <w:tcPr>
            <w:tcW w:w="120" w:type="dxa"/>
            <w:vAlign w:val="bottom"/>
          </w:tcPr>
          <w:p>
            <w:pPr>
              <w:spacing w:after="0"/>
              <w:rPr>
                <w:sz w:val="18"/>
                <w:szCs w:val="18"/>
                <w:color w:val="auto"/>
              </w:rPr>
            </w:pPr>
          </w:p>
        </w:tc>
      </w:tr>
      <w:tr>
        <w:trPr>
          <w:trHeight w:val="209"/>
        </w:trPr>
        <w:tc>
          <w:tcPr>
            <w:tcW w:w="50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19,584</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25,971</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58,851</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64,170</w:t>
            </w:r>
          </w:p>
        </w:tc>
        <w:tc>
          <w:tcPr>
            <w:tcW w:w="120" w:type="dxa"/>
            <w:vAlign w:val="bottom"/>
            <w:shd w:val="clear" w:color="auto" w:fill="CFF0FC"/>
          </w:tcPr>
          <w:p>
            <w:pPr>
              <w:spacing w:after="0"/>
              <w:rPr>
                <w:sz w:val="18"/>
                <w:szCs w:val="18"/>
                <w:color w:val="auto"/>
              </w:rPr>
            </w:pPr>
          </w:p>
        </w:tc>
      </w:tr>
      <w:tr>
        <w:trPr>
          <w:trHeight w:val="216"/>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product revenue</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9,347</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12,302</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26,809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33,258</w:t>
            </w:r>
          </w:p>
        </w:tc>
        <w:tc>
          <w:tcPr>
            <w:tcW w:w="120" w:type="dxa"/>
            <w:vAlign w:val="bottom"/>
          </w:tcPr>
          <w:p>
            <w:pPr>
              <w:spacing w:after="0"/>
              <w:rPr>
                <w:sz w:val="18"/>
                <w:szCs w:val="18"/>
                <w:color w:val="auto"/>
              </w:rPr>
            </w:pPr>
          </w:p>
        </w:tc>
      </w:tr>
      <w:tr>
        <w:trPr>
          <w:trHeight w:val="216"/>
        </w:trPr>
        <w:tc>
          <w:tcPr>
            <w:tcW w:w="5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service revenue</w:t>
            </w:r>
          </w:p>
        </w:tc>
        <w:tc>
          <w:tcPr>
            <w:tcW w:w="2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4,483</w:t>
            </w:r>
          </w:p>
        </w:tc>
        <w:tc>
          <w:tcPr>
            <w:tcW w:w="2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7,302</w:t>
            </w:r>
          </w:p>
        </w:tc>
        <w:tc>
          <w:tcPr>
            <w:tcW w:w="2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17,541</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16,805</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5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cost of revenue</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13,830</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19,604</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44,350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50,063</w:t>
            </w:r>
          </w:p>
        </w:tc>
        <w:tc>
          <w:tcPr>
            <w:tcW w:w="120" w:type="dxa"/>
            <w:vAlign w:val="bottom"/>
          </w:tcPr>
          <w:p>
            <w:pPr>
              <w:spacing w:after="0"/>
              <w:rPr>
                <w:sz w:val="18"/>
                <w:szCs w:val="18"/>
                <w:color w:val="auto"/>
              </w:rPr>
            </w:pPr>
          </w:p>
        </w:tc>
      </w:tr>
      <w:tr>
        <w:trPr>
          <w:trHeight w:val="209"/>
        </w:trPr>
        <w:tc>
          <w:tcPr>
            <w:tcW w:w="50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5,754</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6,367</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14,501</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14,107</w:t>
            </w:r>
          </w:p>
        </w:tc>
        <w:tc>
          <w:tcPr>
            <w:tcW w:w="120" w:type="dxa"/>
            <w:vAlign w:val="bottom"/>
            <w:shd w:val="clear" w:color="auto" w:fill="CFF0FC"/>
          </w:tcPr>
          <w:p>
            <w:pPr>
              <w:spacing w:after="0"/>
              <w:rPr>
                <w:sz w:val="18"/>
                <w:szCs w:val="18"/>
                <w:color w:val="auto"/>
              </w:rPr>
            </w:pPr>
          </w:p>
        </w:tc>
      </w:tr>
      <w:tr>
        <w:trPr>
          <w:trHeight w:val="216"/>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3,857</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4,910</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12,970</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15,689</w:t>
            </w:r>
          </w:p>
        </w:tc>
        <w:tc>
          <w:tcPr>
            <w:tcW w:w="120" w:type="dxa"/>
            <w:vAlign w:val="bottom"/>
            <w:shd w:val="clear" w:color="auto" w:fill="CFF0FC"/>
          </w:tcPr>
          <w:p>
            <w:pPr>
              <w:spacing w:after="0"/>
              <w:rPr>
                <w:sz w:val="18"/>
                <w:szCs w:val="18"/>
                <w:color w:val="auto"/>
              </w:rPr>
            </w:pPr>
          </w:p>
        </w:tc>
      </w:tr>
      <w:tr>
        <w:trPr>
          <w:trHeight w:val="216"/>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related costs</w:t>
            </w:r>
          </w:p>
        </w:tc>
        <w:tc>
          <w:tcPr>
            <w:tcW w:w="22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Pr>
          <w:p>
            <w:pPr>
              <w:spacing w:after="0"/>
              <w:rPr>
                <w:sz w:val="18"/>
                <w:szCs w:val="18"/>
                <w:color w:val="auto"/>
              </w:rPr>
            </w:pPr>
          </w:p>
        </w:tc>
      </w:tr>
      <w:tr>
        <w:trPr>
          <w:trHeight w:val="216"/>
        </w:trPr>
        <w:tc>
          <w:tcPr>
            <w:tcW w:w="5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2,859</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3,170</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8,644</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9,778</w:t>
            </w:r>
          </w:p>
        </w:tc>
        <w:tc>
          <w:tcPr>
            <w:tcW w:w="120" w:type="dxa"/>
            <w:vAlign w:val="bottom"/>
            <w:shd w:val="clear" w:color="auto" w:fill="CFF0FC"/>
          </w:tcPr>
          <w:p>
            <w:pPr>
              <w:spacing w:after="0"/>
              <w:rPr>
                <w:sz w:val="18"/>
                <w:szCs w:val="18"/>
                <w:color w:val="auto"/>
              </w:rPr>
            </w:pPr>
          </w:p>
        </w:tc>
      </w:tr>
      <w:tr>
        <w:trPr>
          <w:trHeight w:val="216"/>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120" w:type="dxa"/>
            <w:vAlign w:val="bottom"/>
          </w:tcPr>
          <w:p>
            <w:pPr>
              <w:spacing w:after="0"/>
              <w:rPr>
                <w:sz w:val="18"/>
                <w:szCs w:val="18"/>
                <w:color w:val="auto"/>
              </w:rPr>
            </w:pPr>
          </w:p>
        </w:tc>
      </w:tr>
      <w:tr>
        <w:trPr>
          <w:trHeight w:val="210"/>
        </w:trPr>
        <w:tc>
          <w:tcPr>
            <w:tcW w:w="50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7,003</w:t>
            </w:r>
          </w:p>
        </w:tc>
        <w:tc>
          <w:tcPr>
            <w:tcW w:w="2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8,429</w:t>
            </w:r>
          </w:p>
        </w:tc>
        <w:tc>
          <w:tcPr>
            <w:tcW w:w="2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22,454</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26,734</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2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(1,249 )</w:t>
            </w:r>
          </w:p>
        </w:tc>
        <w:tc>
          <w:tcPr>
            <w:tcW w:w="30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(2,062 )</w:t>
            </w:r>
          </w:p>
        </w:tc>
        <w:tc>
          <w:tcPr>
            <w:tcW w:w="26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(7,953 )</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(12,627 )</w:t>
            </w:r>
          </w:p>
        </w:tc>
      </w:tr>
      <w:tr>
        <w:trPr>
          <w:trHeight w:val="216"/>
        </w:trPr>
        <w:tc>
          <w:tcPr>
            <w:tcW w:w="5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22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18"/>
                <w:szCs w:val="18"/>
                <w:color w:val="auto"/>
              </w:rPr>
            </w:pPr>
          </w:p>
        </w:tc>
      </w:tr>
      <w:tr>
        <w:trPr>
          <w:trHeight w:val="216"/>
        </w:trPr>
        <w:tc>
          <w:tcPr>
            <w:tcW w:w="5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(255 )</w:t>
            </w:r>
          </w:p>
        </w:tc>
        <w:tc>
          <w:tcPr>
            <w:tcW w:w="3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(193 )</w:t>
            </w:r>
          </w:p>
        </w:tc>
        <w:tc>
          <w:tcPr>
            <w:tcW w:w="2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(800 )</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(561 )</w:t>
            </w:r>
          </w:p>
        </w:tc>
      </w:tr>
      <w:tr>
        <w:trPr>
          <w:trHeight w:val="216"/>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debt issue costs</w:t>
            </w:r>
          </w:p>
        </w:tc>
        <w:tc>
          <w:tcPr>
            <w:tcW w:w="22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(49 )</w:t>
            </w:r>
          </w:p>
        </w:tc>
        <w:tc>
          <w:tcPr>
            <w:tcW w:w="30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(25 )</w:t>
            </w:r>
          </w:p>
        </w:tc>
        <w:tc>
          <w:tcPr>
            <w:tcW w:w="26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(155 )</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(74 )</w:t>
            </w:r>
          </w:p>
        </w:tc>
      </w:tr>
      <w:tr>
        <w:trPr>
          <w:trHeight w:val="216"/>
        </w:trPr>
        <w:tc>
          <w:tcPr>
            <w:tcW w:w="5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Royalty income</w:t>
            </w: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r>
      <w:tr>
        <w:trPr>
          <w:trHeight w:val="210"/>
        </w:trPr>
        <w:tc>
          <w:tcPr>
            <w:tcW w:w="50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other expense</w:t>
            </w:r>
          </w:p>
        </w:tc>
        <w:tc>
          <w:tcPr>
            <w:tcW w:w="2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(258 )</w:t>
            </w:r>
          </w:p>
        </w:tc>
        <w:tc>
          <w:tcPr>
            <w:tcW w:w="3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(193 )</w:t>
            </w:r>
          </w:p>
        </w:tc>
        <w:tc>
          <w:tcPr>
            <w:tcW w:w="2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(893 )</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(596 )</w:t>
            </w:r>
          </w:p>
        </w:tc>
      </w:tr>
      <w:tr>
        <w:trPr>
          <w:trHeight w:val="20"/>
        </w:trPr>
        <w:tc>
          <w:tcPr>
            <w:tcW w:w="50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w:t>
            </w:r>
          </w:p>
        </w:tc>
        <w:tc>
          <w:tcPr>
            <w:tcW w:w="22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(1,507 )</w:t>
            </w:r>
          </w:p>
        </w:tc>
        <w:tc>
          <w:tcPr>
            <w:tcW w:w="30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(2,255 )</w:t>
            </w:r>
          </w:p>
        </w:tc>
        <w:tc>
          <w:tcPr>
            <w:tcW w:w="26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(8,846 )</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(13,223 )</w:t>
            </w:r>
          </w:p>
        </w:tc>
      </w:tr>
      <w:tr>
        <w:trPr>
          <w:trHeight w:val="216"/>
        </w:trPr>
        <w:tc>
          <w:tcPr>
            <w:tcW w:w="5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5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(1,508 )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(2,256 )</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(8,890 )</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(13,281 )</w:t>
            </w:r>
          </w:p>
        </w:tc>
      </w:tr>
      <w:tr>
        <w:trPr>
          <w:trHeight w:val="20"/>
        </w:trPr>
        <w:tc>
          <w:tcPr>
            <w:tcW w:w="50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8"/>
        </w:trPr>
        <w:tc>
          <w:tcPr>
            <w:tcW w:w="5060" w:type="dxa"/>
            <w:vAlign w:val="bottom"/>
            <w:shd w:val="clear" w:color="auto" w:fill="CFF0FC"/>
          </w:tcPr>
          <w:p>
            <w:pPr>
              <w:ind w:left="20"/>
              <w:spacing w:after="0" w:line="178" w:lineRule="exact"/>
              <w:rPr>
                <w:sz w:val="20"/>
                <w:szCs w:val="20"/>
                <w:color w:val="auto"/>
              </w:rPr>
            </w:pPr>
            <w:r>
              <w:rPr>
                <w:rFonts w:ascii="Times New Roman" w:cs="Times New Roman" w:eastAsia="Times New Roman" w:hAnsi="Times New Roman"/>
                <w:sz w:val="18"/>
                <w:szCs w:val="18"/>
                <w:color w:val="auto"/>
              </w:rPr>
              <w:t>Basic net loss per share attributable to</w:t>
            </w:r>
          </w:p>
        </w:tc>
        <w:tc>
          <w:tcPr>
            <w:tcW w:w="22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234"/>
        </w:trPr>
        <w:tc>
          <w:tcPr>
            <w:tcW w:w="50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common shareholders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(0.05 )</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(0.07 )</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(0.27 )</w:t>
            </w:r>
          </w:p>
        </w:tc>
        <w:tc>
          <w:tcPr>
            <w:tcW w:w="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(0.41 )</w:t>
            </w:r>
          </w:p>
        </w:tc>
      </w:tr>
      <w:tr>
        <w:trPr>
          <w:trHeight w:val="216"/>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32,923,321</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32,531,563</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32,787,107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32,460,398</w:t>
            </w:r>
          </w:p>
        </w:tc>
        <w:tc>
          <w:tcPr>
            <w:tcW w:w="120" w:type="dxa"/>
            <w:vAlign w:val="bottom"/>
          </w:tcPr>
          <w:p>
            <w:pPr>
              <w:spacing w:after="0"/>
              <w:rPr>
                <w:sz w:val="18"/>
                <w:szCs w:val="18"/>
                <w:color w:val="auto"/>
              </w:rPr>
            </w:pPr>
          </w:p>
        </w:tc>
      </w:tr>
      <w:tr>
        <w:trPr>
          <w:trHeight w:val="216"/>
        </w:trPr>
        <w:tc>
          <w:tcPr>
            <w:tcW w:w="5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Diluted net loss per share</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(0.05 )</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(0.07 )</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(0.27 )</w:t>
            </w:r>
          </w:p>
        </w:tc>
        <w:tc>
          <w:tcPr>
            <w:tcW w:w="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(0.41 )</w:t>
            </w:r>
          </w:p>
        </w:tc>
      </w:tr>
      <w:tr>
        <w:trPr>
          <w:trHeight w:val="198"/>
        </w:trPr>
        <w:tc>
          <w:tcPr>
            <w:tcW w:w="50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Weighted-average common shares and share</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5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equivalents outstanding</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32,923,321</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32,531,563</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32,787,107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32,460,398</w:t>
            </w:r>
          </w:p>
        </w:tc>
        <w:tc>
          <w:tcPr>
            <w:tcW w:w="1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-3514090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-3514090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-3514090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-3514090</wp:posOffset>
            </wp:positionV>
            <wp:extent cx="7747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-2390775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-2390775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-2390775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-2390775</wp:posOffset>
            </wp:positionV>
            <wp:extent cx="774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-1276985</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-1276985</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-1276985</wp:posOffset>
            </wp:positionV>
            <wp:extent cx="68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-1276985</wp:posOffset>
            </wp:positionV>
            <wp:extent cx="7747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-993775</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-993775</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-993775</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-993775</wp:posOffset>
            </wp:positionV>
            <wp:extent cx="7747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jc w:val="center"/>
        <w:ind w:left="340" w:right="1760"/>
        <w:spacing w:after="0" w:line="268" w:lineRule="auto"/>
        <w:rPr>
          <w:sz w:val="20"/>
          <w:szCs w:val="20"/>
          <w:color w:val="auto"/>
        </w:rPr>
      </w:pPr>
      <w:r>
        <w:rPr>
          <w:rFonts w:ascii="Times New Roman" w:cs="Times New Roman" w:eastAsia="Times New Roman" w:hAnsi="Times New Roman"/>
          <w:sz w:val="18"/>
          <w:szCs w:val="18"/>
          <w:b w:val="1"/>
          <w:bCs w:val="1"/>
          <w:color w:val="auto"/>
        </w:rPr>
        <w:t>ORION ENERGY SYSTEMS, INC. AND SUBSIDIARIES UNAUDITED CONDENSED CONSOLIDATED STATEMENTS OF SHAREHOLDERS’ EQUITY (in thousands, except share amounts)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8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Shareholders’ Equity</w:t>
            </w: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680" w:type="dxa"/>
            <w:vAlign w:val="bottom"/>
          </w:tcPr>
          <w:p>
            <w:pPr>
              <w:spacing w:after="0"/>
              <w:rPr>
                <w:sz w:val="12"/>
                <w:szCs w:val="12"/>
                <w:color w:val="auto"/>
              </w:rPr>
            </w:pPr>
          </w:p>
        </w:tc>
        <w:tc>
          <w:tcPr>
            <w:tcW w:w="2440" w:type="dxa"/>
            <w:vAlign w:val="bottom"/>
            <w:tcBorders>
              <w:bottom w:val="single" w:sz="8" w:color="auto"/>
            </w:tcBorders>
            <w:gridSpan w:val="4"/>
          </w:tcPr>
          <w:p>
            <w:pPr>
              <w:jc w:val="right"/>
              <w:ind w:right="673"/>
              <w:spacing w:after="0" w:line="142"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17"/>
        </w:trPr>
        <w:tc>
          <w:tcPr>
            <w:tcW w:w="46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jc w:val="center"/>
              <w:ind w:right="93"/>
              <w:spacing w:after="0" w:line="118"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80" w:type="dxa"/>
            <w:vAlign w:val="bottom"/>
          </w:tcPr>
          <w:p>
            <w:pPr>
              <w:spacing w:after="0"/>
              <w:rPr>
                <w:sz w:val="10"/>
                <w:szCs w:val="10"/>
                <w:color w:val="auto"/>
              </w:rPr>
            </w:pPr>
          </w:p>
        </w:tc>
        <w:tc>
          <w:tcPr>
            <w:tcW w:w="116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680" w:type="dxa"/>
            <w:vAlign w:val="bottom"/>
          </w:tcPr>
          <w:p>
            <w:pPr>
              <w:spacing w:after="0"/>
              <w:rPr>
                <w:sz w:val="12"/>
                <w:szCs w:val="12"/>
                <w:color w:val="auto"/>
              </w:rPr>
            </w:pPr>
          </w:p>
        </w:tc>
        <w:tc>
          <w:tcPr>
            <w:tcW w:w="1120" w:type="dxa"/>
            <w:vAlign w:val="bottom"/>
            <w:vMerge w:val="restart"/>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center"/>
              <w:ind w:right="113"/>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22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73"/>
        </w:trPr>
        <w:tc>
          <w:tcPr>
            <w:tcW w:w="4680" w:type="dxa"/>
            <w:vAlign w:val="bottom"/>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March 31, 2024</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32,567,746</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161,869</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(36,235 )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(103,092 )</w:t>
            </w:r>
          </w:p>
        </w:tc>
        <w:tc>
          <w:tcPr>
            <w:tcW w:w="2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22,542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68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Shares issued under Employee Stock Purchase</w:t>
            </w: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Plan</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175,204</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(3,758 )</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(3,758 )</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June 30, 2024</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32,743,409</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162,163</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(36,234 )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(106,850 )</w:t>
            </w:r>
          </w:p>
        </w:tc>
        <w:tc>
          <w:tcPr>
            <w:tcW w:w="2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19,079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680" w:type="dxa"/>
            <w:vAlign w:val="bottom"/>
            <w:tcBorders>
              <w:top w:val="single" w:sz="8" w:color="CFF0FC"/>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Shares issued under Employee Stock Purchase</w:t>
            </w:r>
          </w:p>
        </w:tc>
        <w:tc>
          <w:tcPr>
            <w:tcW w:w="1120" w:type="dxa"/>
            <w:vAlign w:val="bottom"/>
            <w:tcBorders>
              <w:top w:val="single" w:sz="8" w:color="auto"/>
            </w:tcBorders>
          </w:tcPr>
          <w:p>
            <w:pPr>
              <w:spacing w:after="0"/>
              <w:rPr>
                <w:sz w:val="16"/>
                <w:szCs w:val="16"/>
                <w:color w:val="auto"/>
              </w:rPr>
            </w:pPr>
          </w:p>
        </w:tc>
        <w:tc>
          <w:tcPr>
            <w:tcW w:w="240" w:type="dxa"/>
            <w:vAlign w:val="bottom"/>
            <w:tcBorders>
              <w:top w:val="single" w:sz="8" w:color="CFF0FC"/>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40" w:type="dxa"/>
            <w:vAlign w:val="bottom"/>
            <w:tcBorders>
              <w:top w:val="single" w:sz="8" w:color="CFF0FC"/>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40" w:type="dxa"/>
            <w:vAlign w:val="bottom"/>
            <w:tcBorders>
              <w:top w:val="single" w:sz="8" w:color="CFF0FC"/>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40" w:type="dxa"/>
            <w:vAlign w:val="bottom"/>
            <w:tcBorders>
              <w:top w:val="single" w:sz="8" w:color="CFF0FC"/>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Plan</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161,630</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(3,625 )</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(3,625 )</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September 30, 2024</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32,905,731</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162,511</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(36,233 )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(110,475 )</w:t>
            </w:r>
          </w:p>
        </w:tc>
        <w:tc>
          <w:tcPr>
            <w:tcW w:w="2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15,803</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4680" w:type="dxa"/>
            <w:vAlign w:val="bottom"/>
            <w:tcBorders>
              <w:top w:val="single" w:sz="8" w:color="CFF0FC"/>
            </w:tcBorders>
          </w:tcPr>
          <w:p>
            <w:pPr>
              <w:ind w:left="20"/>
              <w:spacing w:after="0" w:line="178" w:lineRule="exact"/>
              <w:rPr>
                <w:sz w:val="20"/>
                <w:szCs w:val="20"/>
                <w:color w:val="auto"/>
              </w:rPr>
            </w:pPr>
            <w:r>
              <w:rPr>
                <w:rFonts w:ascii="Times New Roman" w:cs="Times New Roman" w:eastAsia="Times New Roman" w:hAnsi="Times New Roman"/>
                <w:sz w:val="18"/>
                <w:szCs w:val="18"/>
                <w:color w:val="auto"/>
              </w:rPr>
              <w:t>Shares issued under Employee Stock Purchase</w:t>
            </w:r>
          </w:p>
        </w:tc>
        <w:tc>
          <w:tcPr>
            <w:tcW w:w="1120" w:type="dxa"/>
            <w:vAlign w:val="bottom"/>
            <w:tcBorders>
              <w:top w:val="single" w:sz="8" w:color="auto"/>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Plan</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34,136</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68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Employee tax withholdings on stock-based</w:t>
            </w: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compensation</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(483 )</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(1,508 )</w:t>
            </w:r>
          </w:p>
        </w:tc>
        <w:tc>
          <w:tcPr>
            <w:tcW w:w="2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(1,508 )</w:t>
            </w:r>
          </w:p>
        </w:tc>
        <w:tc>
          <w:tcPr>
            <w:tcW w:w="0" w:type="dxa"/>
            <w:vAlign w:val="bottom"/>
          </w:tcPr>
          <w:p>
            <w:pPr>
              <w:spacing w:after="0"/>
              <w:rPr>
                <w:sz w:val="1"/>
                <w:szCs w:val="1"/>
                <w:color w:val="auto"/>
              </w:rPr>
            </w:pPr>
          </w:p>
        </w:tc>
      </w:tr>
      <w:tr>
        <w:trPr>
          <w:trHeight w:val="20"/>
        </w:trPr>
        <w:tc>
          <w:tcPr>
            <w:tcW w:w="468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December 31, 2024</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32,939,922</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162,691</w:t>
            </w: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(36,233 )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(111,983 )</w:t>
            </w: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468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Shareholders’ Equity</w:t>
            </w: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680" w:type="dxa"/>
            <w:vAlign w:val="bottom"/>
          </w:tcPr>
          <w:p>
            <w:pPr>
              <w:spacing w:after="0"/>
              <w:rPr>
                <w:sz w:val="12"/>
                <w:szCs w:val="12"/>
                <w:color w:val="auto"/>
              </w:rPr>
            </w:pPr>
          </w:p>
        </w:tc>
        <w:tc>
          <w:tcPr>
            <w:tcW w:w="2440" w:type="dxa"/>
            <w:vAlign w:val="bottom"/>
            <w:tcBorders>
              <w:bottom w:val="single" w:sz="8" w:color="auto"/>
            </w:tcBorders>
            <w:gridSpan w:val="4"/>
          </w:tcPr>
          <w:p>
            <w:pPr>
              <w:jc w:val="right"/>
              <w:ind w:right="673"/>
              <w:spacing w:after="0" w:line="142"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17"/>
        </w:trPr>
        <w:tc>
          <w:tcPr>
            <w:tcW w:w="46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jc w:val="center"/>
              <w:ind w:right="93"/>
              <w:spacing w:after="0" w:line="118"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80" w:type="dxa"/>
            <w:vAlign w:val="bottom"/>
          </w:tcPr>
          <w:p>
            <w:pPr>
              <w:spacing w:after="0"/>
              <w:rPr>
                <w:sz w:val="10"/>
                <w:szCs w:val="10"/>
                <w:color w:val="auto"/>
              </w:rPr>
            </w:pPr>
          </w:p>
        </w:tc>
        <w:tc>
          <w:tcPr>
            <w:tcW w:w="116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680" w:type="dxa"/>
            <w:vAlign w:val="bottom"/>
          </w:tcPr>
          <w:p>
            <w:pPr>
              <w:spacing w:after="0"/>
              <w:rPr>
                <w:sz w:val="12"/>
                <w:szCs w:val="12"/>
                <w:color w:val="auto"/>
              </w:rPr>
            </w:pPr>
          </w:p>
        </w:tc>
        <w:tc>
          <w:tcPr>
            <w:tcW w:w="1120" w:type="dxa"/>
            <w:vAlign w:val="bottom"/>
            <w:vMerge w:val="restart"/>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center"/>
              <w:ind w:right="113"/>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22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73"/>
        </w:trPr>
        <w:tc>
          <w:tcPr>
            <w:tcW w:w="4680" w:type="dxa"/>
            <w:vAlign w:val="bottom"/>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March 31, 2023</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32,295,408</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160,907</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(36,237 )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(91,421 )</w:t>
            </w:r>
          </w:p>
        </w:tc>
        <w:tc>
          <w:tcPr>
            <w:tcW w:w="2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33,249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68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Shares issued under Employee Stock Purchase</w:t>
            </w: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Plan</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206,451</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(6,637 )</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(6,637 )</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June 30, 2023</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32,502,558</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161,095</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(36,236 )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(98,058 )</w:t>
            </w:r>
          </w:p>
        </w:tc>
        <w:tc>
          <w:tcPr>
            <w:tcW w:w="2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26,801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680" w:type="dxa"/>
            <w:vAlign w:val="bottom"/>
            <w:tcBorders>
              <w:top w:val="single" w:sz="8" w:color="CFF0FC"/>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Shares issued under Employee Stock Purchase</w:t>
            </w:r>
          </w:p>
        </w:tc>
        <w:tc>
          <w:tcPr>
            <w:tcW w:w="1120" w:type="dxa"/>
            <w:vAlign w:val="bottom"/>
            <w:tcBorders>
              <w:top w:val="single" w:sz="8" w:color="auto"/>
            </w:tcBorders>
          </w:tcPr>
          <w:p>
            <w:pPr>
              <w:spacing w:after="0"/>
              <w:rPr>
                <w:sz w:val="16"/>
                <w:szCs w:val="16"/>
                <w:color w:val="auto"/>
              </w:rPr>
            </w:pPr>
          </w:p>
        </w:tc>
        <w:tc>
          <w:tcPr>
            <w:tcW w:w="240" w:type="dxa"/>
            <w:vAlign w:val="bottom"/>
            <w:tcBorders>
              <w:top w:val="single" w:sz="8" w:color="CFF0FC"/>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40" w:type="dxa"/>
            <w:vAlign w:val="bottom"/>
            <w:tcBorders>
              <w:top w:val="single" w:sz="8" w:color="CFF0FC"/>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40" w:type="dxa"/>
            <w:vAlign w:val="bottom"/>
            <w:tcBorders>
              <w:top w:val="single" w:sz="8" w:color="CFF0FC"/>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40" w:type="dxa"/>
            <w:vAlign w:val="bottom"/>
            <w:tcBorders>
              <w:top w:val="single" w:sz="8" w:color="CFF0FC"/>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Plan</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(4,388 )</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(4,388 )</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September 30, 2023</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32,503,320</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161,321</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(36,235 )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(102,446 )</w:t>
            </w:r>
          </w:p>
        </w:tc>
        <w:tc>
          <w:tcPr>
            <w:tcW w:w="2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22,640</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680" w:type="dxa"/>
            <w:vAlign w:val="bottom"/>
            <w:tcBorders>
              <w:top w:val="single" w:sz="8" w:color="CFF0FC"/>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Exercise of stock options for cash</w:t>
            </w:r>
          </w:p>
        </w:tc>
        <w:tc>
          <w:tcPr>
            <w:tcW w:w="112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5,859</w:t>
            </w:r>
          </w:p>
        </w:tc>
        <w:tc>
          <w:tcPr>
            <w:tcW w:w="24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24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68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Shares issued under Employee Stock Purchase</w:t>
            </w:r>
          </w:p>
        </w:tc>
        <w:tc>
          <w:tcPr>
            <w:tcW w:w="1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Plan</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41,939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68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Employee tax withholdings on stock-based</w:t>
            </w:r>
          </w:p>
        </w:tc>
        <w:tc>
          <w:tcPr>
            <w:tcW w:w="1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compensation</w:t>
            </w: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(53 )</w:t>
            </w: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(2,256 )</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(2,256 )</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32,551,737</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161,594</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(36,234 )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(104,702 )</w:t>
            </w:r>
          </w:p>
        </w:tc>
        <w:tc>
          <w:tcPr>
            <w:tcW w:w="2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20,658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8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-5185410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-5185410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-5185410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-5185410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-5185410</wp:posOffset>
            </wp:positionV>
            <wp:extent cx="774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-4482465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-4465320</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-4482465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-4465320</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-4482465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-4465320</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-4482465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-4465320</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-4482465</wp:posOffset>
            </wp:positionV>
            <wp:extent cx="774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-4465320</wp:posOffset>
            </wp:positionV>
            <wp:extent cx="7747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-3634105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-3634105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-3634105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-3634105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-3634105</wp:posOffset>
            </wp:positionV>
            <wp:extent cx="774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-1859280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-1859280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-1859280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-1859280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-1859280</wp:posOffset>
            </wp:positionV>
            <wp:extent cx="774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-1156970</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-1139190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-1156970</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-1139190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-1156970</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-1139190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-1156970</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-1139190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-1156970</wp:posOffset>
            </wp:positionV>
            <wp:extent cx="7747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-1139190</wp:posOffset>
            </wp:positionV>
            <wp:extent cx="7747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-25400</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-8255</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-25400</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-8255</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-25400</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-8255</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-25400</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-8255</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ind w:left="340" w:right="2320"/>
        <w:spacing w:after="0" w:line="268" w:lineRule="auto"/>
        <w:rPr>
          <w:sz w:val="20"/>
          <w:szCs w:val="20"/>
          <w:color w:val="auto"/>
        </w:rPr>
      </w:pPr>
      <w:r>
        <w:rPr>
          <w:rFonts w:ascii="Times New Roman" w:cs="Times New Roman" w:eastAsia="Times New Roman" w:hAnsi="Times New Roman"/>
          <w:sz w:val="18"/>
          <w:szCs w:val="18"/>
          <w:b w:val="1"/>
          <w:bCs w:val="1"/>
          <w:color w:val="auto"/>
        </w:rPr>
        <w:t>ORION ENERGY SYSTEMS, INC. AND SUBSIDIARIES UNAUDITED CONDENSED CONSOLIDATED STATEMENTS OF CASH FLOWS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28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December 31,</w:t>
            </w: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720" w:type="dxa"/>
            <w:vAlign w:val="bottom"/>
          </w:tcPr>
          <w:p>
            <w:pPr>
              <w:spacing w:after="0"/>
              <w:rPr>
                <w:sz w:val="12"/>
                <w:szCs w:val="12"/>
                <w:color w:val="auto"/>
              </w:rPr>
            </w:pPr>
          </w:p>
        </w:tc>
        <w:tc>
          <w:tcPr>
            <w:tcW w:w="10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00" w:type="dxa"/>
            <w:vAlign w:val="bottom"/>
          </w:tcPr>
          <w:p>
            <w:pPr>
              <w:jc w:val="right"/>
              <w:ind w:right="817"/>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(8,890 )</w:t>
            </w:r>
          </w:p>
        </w:tc>
        <w:tc>
          <w:tcPr>
            <w:tcW w:w="960" w:type="dxa"/>
            <w:vAlign w:val="bottom"/>
          </w:tcPr>
          <w:p>
            <w:pPr>
              <w:jc w:val="right"/>
              <w:ind w:right="775"/>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(13,281 )</w:t>
            </w:r>
          </w:p>
        </w:tc>
      </w:tr>
      <w:tr>
        <w:trPr>
          <w:trHeight w:val="198"/>
        </w:trPr>
        <w:tc>
          <w:tcPr>
            <w:tcW w:w="7720" w:type="dxa"/>
            <w:vAlign w:val="bottom"/>
            <w:shd w:val="clear" w:color="auto" w:fill="CFF0FC"/>
          </w:tcPr>
          <w:p>
            <w:pPr>
              <w:ind w:left="200"/>
              <w:spacing w:after="0" w:line="198" w:lineRule="exact"/>
              <w:rPr>
                <w:sz w:val="20"/>
                <w:szCs w:val="20"/>
                <w:color w:val="auto"/>
              </w:rPr>
            </w:pPr>
            <w:r>
              <w:rPr>
                <w:rFonts w:ascii="Times New Roman" w:cs="Times New Roman" w:eastAsia="Times New Roman" w:hAnsi="Times New Roman"/>
                <w:sz w:val="18"/>
                <w:szCs w:val="18"/>
                <w:color w:val="auto"/>
              </w:rPr>
              <w:t>Adjustments to reconcile net loss to net cash used in</w:t>
            </w:r>
          </w:p>
        </w:tc>
        <w:tc>
          <w:tcPr>
            <w:tcW w:w="10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activities:</w:t>
            </w:r>
          </w:p>
        </w:tc>
        <w:tc>
          <w:tcPr>
            <w:tcW w:w="100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16"/>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Amortization of debt issue costs</w:t>
            </w: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Loss on sale of property and equipment</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Provision for inventory reserves</w:t>
            </w: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Accounts receivable</w:t>
            </w: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(2,156 )</w:t>
            </w:r>
          </w:p>
        </w:tc>
      </w:tr>
      <w:tr>
        <w:trPr>
          <w:trHeight w:val="216"/>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Revenue earned but not billed</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2,353</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(372 )</w:t>
            </w:r>
          </w:p>
        </w:tc>
      </w:tr>
      <w:tr>
        <w:trPr>
          <w:trHeight w:val="216"/>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Inventories</w:t>
            </w: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4,462</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(2,963 )</w:t>
            </w:r>
          </w:p>
        </w:tc>
      </w:tr>
      <w:tr>
        <w:trPr>
          <w:trHeight w:val="216"/>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1,792</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(1,189 )</w:t>
            </w:r>
          </w:p>
        </w:tc>
      </w:tr>
      <w:tr>
        <w:trPr>
          <w:trHeight w:val="216"/>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10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(4,938 )</w:t>
            </w: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5,506</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Deferred revenue, current and long-term</w:t>
            </w:r>
          </w:p>
        </w:tc>
        <w:tc>
          <w:tcPr>
            <w:tcW w:w="10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(30 )</w:t>
            </w:r>
          </w:p>
        </w:tc>
        <w:tc>
          <w:tcPr>
            <w:tcW w:w="96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(364 )</w:t>
            </w:r>
          </w:p>
        </w:tc>
      </w:tr>
      <w:tr>
        <w:trPr>
          <w:trHeight w:val="20"/>
        </w:trPr>
        <w:tc>
          <w:tcPr>
            <w:tcW w:w="77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Net cash provided by (used in) operating activities</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(10,267 )</w:t>
            </w: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0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(48 )</w:t>
            </w:r>
          </w:p>
        </w:tc>
        <w:tc>
          <w:tcPr>
            <w:tcW w:w="9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(868 )</w:t>
            </w: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sale of property, plant and equipment</w:t>
            </w: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Additions to patents and licenses</w:t>
            </w:r>
          </w:p>
        </w:tc>
        <w:tc>
          <w:tcPr>
            <w:tcW w:w="10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(7 )</w:t>
            </w:r>
          </w:p>
        </w:tc>
        <w:tc>
          <w:tcPr>
            <w:tcW w:w="960" w:type="dxa"/>
            <w:vAlign w:val="bottom"/>
          </w:tcPr>
          <w:p>
            <w:pPr>
              <w:spacing w:after="0"/>
              <w:rPr>
                <w:sz w:val="18"/>
                <w:szCs w:val="18"/>
                <w:color w:val="auto"/>
              </w:rPr>
            </w:pPr>
          </w:p>
        </w:tc>
        <w:tc>
          <w:tcPr>
            <w:tcW w:w="7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7720" w:type="dxa"/>
            <w:vAlign w:val="bottom"/>
            <w:tcBorders>
              <w:top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 activities</w:t>
            </w:r>
          </w:p>
        </w:tc>
        <w:tc>
          <w:tcPr>
            <w:tcW w:w="100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8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Payment of long-term debt</w:t>
            </w:r>
          </w:p>
        </w:tc>
        <w:tc>
          <w:tcPr>
            <w:tcW w:w="10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(116 )</w:t>
            </w:r>
          </w:p>
        </w:tc>
        <w:tc>
          <w:tcPr>
            <w:tcW w:w="96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long-term debt</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3,525</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Payments of revolving credit facility</w:t>
            </w:r>
          </w:p>
        </w:tc>
        <w:tc>
          <w:tcPr>
            <w:tcW w:w="10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(2,500 )</w:t>
            </w:r>
          </w:p>
        </w:tc>
        <w:tc>
          <w:tcPr>
            <w:tcW w:w="96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employee equity exercises</w:t>
            </w:r>
          </w:p>
        </w:tc>
        <w:tc>
          <w:tcPr>
            <w:tcW w:w="10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r>
      <w:tr>
        <w:trPr>
          <w:trHeight w:val="210"/>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(8 )</w:t>
            </w:r>
          </w:p>
        </w:tc>
      </w:tr>
      <w:tr>
        <w:trPr>
          <w:trHeight w:val="20"/>
        </w:trPr>
        <w:tc>
          <w:tcPr>
            <w:tcW w:w="77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2,342</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(11,025 )</w:t>
            </w:r>
          </w:p>
        </w:tc>
      </w:tr>
      <w:tr>
        <w:trPr>
          <w:trHeight w:val="21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00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5,155</w:t>
            </w:r>
          </w:p>
        </w:tc>
        <w:tc>
          <w:tcPr>
            <w:tcW w:w="28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15,992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000" w:type="dxa"/>
            <w:vAlign w:val="bottom"/>
            <w:tcBorders>
              <w:bottom w:val="single" w:sz="8" w:color="auto"/>
            </w:tcBorders>
          </w:tcPr>
          <w:p>
            <w:pPr>
              <w:jc w:val="right"/>
              <w:ind w:right="817"/>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7,497</w:t>
            </w:r>
          </w:p>
        </w:tc>
        <w:tc>
          <w:tcPr>
            <w:tcW w:w="280" w:type="dxa"/>
            <w:vAlign w:val="bottom"/>
          </w:tcPr>
          <w:p>
            <w:pPr>
              <w:spacing w:after="0"/>
              <w:rPr>
                <w:sz w:val="18"/>
                <w:szCs w:val="18"/>
                <w:color w:val="auto"/>
              </w:rPr>
            </w:pPr>
          </w:p>
        </w:tc>
        <w:tc>
          <w:tcPr>
            <w:tcW w:w="960" w:type="dxa"/>
            <w:vAlign w:val="bottom"/>
            <w:tcBorders>
              <w:bottom w:val="single" w:sz="8" w:color="auto"/>
            </w:tcBorders>
          </w:tcPr>
          <w:p>
            <w:pPr>
              <w:jc w:val="right"/>
              <w:ind w:right="775"/>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4,967</w:t>
            </w:r>
          </w:p>
        </w:tc>
        <w:tc>
          <w:tcPr>
            <w:tcW w:w="10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72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10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assets obtained in exchange for new operating lease liabilities</w:t>
            </w:r>
          </w:p>
        </w:tc>
        <w:tc>
          <w:tcPr>
            <w:tcW w:w="1000" w:type="dxa"/>
            <w:vAlign w:val="bottom"/>
          </w:tcPr>
          <w:p>
            <w:pPr>
              <w:jc w:val="right"/>
              <w:ind w:right="817"/>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775"/>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-2411095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-2411095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-1717040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-1717040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-739775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-739775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-456565</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-456565</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ORION ENERGY SYSTEMS,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THE CONDENSED CONSOLIDATED FINANCIAL STATEMENTS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DESCRIPTION OF BUSINESS</w:t>
      </w:r>
    </w:p>
    <w:p>
      <w:pPr>
        <w:spacing w:after="0" w:line="175" w:lineRule="exact"/>
        <w:rPr>
          <w:sz w:val="20"/>
          <w:szCs w:val="20"/>
          <w:color w:val="auto"/>
        </w:rPr>
      </w:pPr>
    </w:p>
    <w:p>
      <w:pPr>
        <w:jc w:val="both"/>
        <w:ind w:firstLine="464"/>
        <w:spacing w:after="0" w:line="261" w:lineRule="auto"/>
        <w:rPr>
          <w:sz w:val="20"/>
          <w:szCs w:val="20"/>
          <w:color w:val="auto"/>
        </w:rPr>
      </w:pPr>
      <w:r>
        <w:rPr>
          <w:rFonts w:ascii="Times New Roman" w:cs="Times New Roman" w:eastAsia="Times New Roman" w:hAnsi="Times New Roman"/>
          <w:sz w:val="18"/>
          <w:szCs w:val="18"/>
          <w:color w:val="auto"/>
        </w:rPr>
        <w:t>Orion includes Orion Energy Systems, Inc., a Wisconsin corporation, and all consolidated subsidiaries. Orion provides light emitting diode lighting systems, wireless Internet of Things enabled control solutions, project engineering, energy project management design, maintenance services and turnkey electric vehicle charging station installation services to commercial and industrial businesses, and federal and local governments, predominantly in North America.</w:t>
      </w:r>
    </w:p>
    <w:p>
      <w:pPr>
        <w:spacing w:after="0" w:line="126" w:lineRule="exact"/>
        <w:rPr>
          <w:sz w:val="20"/>
          <w:szCs w:val="20"/>
          <w:color w:val="auto"/>
        </w:rPr>
      </w:pPr>
    </w:p>
    <w:p>
      <w:pPr>
        <w:jc w:val="both"/>
        <w:ind w:firstLine="464"/>
        <w:spacing w:after="0" w:line="282" w:lineRule="auto"/>
        <w:rPr>
          <w:sz w:val="20"/>
          <w:szCs w:val="20"/>
          <w:color w:val="auto"/>
        </w:rPr>
      </w:pPr>
      <w:r>
        <w:rPr>
          <w:rFonts w:ascii="Times New Roman" w:cs="Times New Roman" w:eastAsia="Times New Roman" w:hAnsi="Times New Roman"/>
          <w:sz w:val="18"/>
          <w:szCs w:val="18"/>
          <w:color w:val="auto"/>
        </w:rPr>
        <w:t>Orion’s corporate offices and leased primary manufacturing operations are located in Manitowoc, Wisconsin. Orion also leases office space in Jacksonville, Florida and Lawrence, Massachusetts. Additionally, Orion had a lease in Pewaukee, Wisconsin that ended in August of the current fiscal year.</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75" w:lineRule="exact"/>
        <w:rPr>
          <w:sz w:val="20"/>
          <w:szCs w:val="20"/>
          <w:color w:val="auto"/>
        </w:rPr>
      </w:pPr>
    </w:p>
    <w:p>
      <w:pPr>
        <w:jc w:val="both"/>
        <w:ind w:firstLine="469"/>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Orion Energy Systems, Inc. and its wholly-owned subsidiaries. All significant intercompany transactions and balances have been eliminated in consolidation.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75" w:lineRule="exact"/>
        <w:rPr>
          <w:sz w:val="20"/>
          <w:szCs w:val="20"/>
          <w:color w:val="auto"/>
        </w:rPr>
      </w:pPr>
    </w:p>
    <w:p>
      <w:pPr>
        <w:jc w:val="both"/>
        <w:ind w:firstLine="469"/>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of Orion have been prepared in accordance with accounting principles generally accepted in the United States (GAAP) for interim financial information and with the rules and regulations of the Securities and Exchange Commission (SEC). Accordingly, they do not include all of the information and footnotes required by GAAP for complete financial statements. In the opinion of management, all adjustments, consisting of normal recurring adjustments, considered necessary for a fair statement have been included. Interim results are not necessarily indicative of results that may be expected for the fiscal year ending March 31, 2025 or other interim periods.</w:t>
      </w:r>
    </w:p>
    <w:p>
      <w:pPr>
        <w:spacing w:after="0" w:line="129" w:lineRule="exact"/>
        <w:rPr>
          <w:sz w:val="20"/>
          <w:szCs w:val="20"/>
          <w:color w:val="auto"/>
        </w:rPr>
      </w:pPr>
    </w:p>
    <w:p>
      <w:pPr>
        <w:jc w:val="both"/>
        <w:ind w:right="20" w:firstLine="469"/>
        <w:spacing w:after="0" w:line="282" w:lineRule="auto"/>
        <w:rPr>
          <w:sz w:val="20"/>
          <w:szCs w:val="20"/>
          <w:color w:val="auto"/>
        </w:rPr>
      </w:pPr>
      <w:r>
        <w:rPr>
          <w:rFonts w:ascii="Times New Roman" w:cs="Times New Roman" w:eastAsia="Times New Roman" w:hAnsi="Times New Roman"/>
          <w:sz w:val="18"/>
          <w:szCs w:val="18"/>
          <w:color w:val="auto"/>
        </w:rPr>
        <w:t>The Condensed Consolidated Balance Sheet as of March 31, 2024 has been derived from the audited consolidated financial statements at that date but does not include all of the information required by GAAP for complete financial statements.</w:t>
      </w:r>
    </w:p>
    <w:p>
      <w:pPr>
        <w:spacing w:after="0" w:line="108" w:lineRule="exact"/>
        <w:rPr>
          <w:sz w:val="20"/>
          <w:szCs w:val="20"/>
          <w:color w:val="auto"/>
        </w:rPr>
      </w:pPr>
    </w:p>
    <w:p>
      <w:pPr>
        <w:jc w:val="both"/>
        <w:ind w:firstLine="469"/>
        <w:spacing w:after="0" w:line="26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should be read in conjunction with the audited consolidated financial statements and footnotes thereto included in Orion’s Annual Report on Form 10-K for the fiscal year ended March 31, 2024 filed with the SEC on June 12, 2024.</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175" w:lineRule="exact"/>
        <w:rPr>
          <w:sz w:val="20"/>
          <w:szCs w:val="20"/>
          <w:color w:val="auto"/>
        </w:rPr>
      </w:pPr>
    </w:p>
    <w:p>
      <w:pPr>
        <w:jc w:val="both"/>
        <w:ind w:firstLine="469"/>
        <w:spacing w:after="0" w:line="261" w:lineRule="auto"/>
        <w:rPr>
          <w:sz w:val="20"/>
          <w:szCs w:val="20"/>
          <w:color w:val="auto"/>
        </w:rPr>
      </w:pPr>
      <w:r>
        <w:rPr>
          <w:rFonts w:ascii="Times New Roman" w:cs="Times New Roman" w:eastAsia="Times New Roman" w:hAnsi="Times New Roman"/>
          <w:sz w:val="18"/>
          <w:szCs w:val="18"/>
          <w:color w:val="auto"/>
        </w:rPr>
        <w:t>Orion performs ongoing evaluations of its customers and continuously monitors collections and payments. Orion estimates an allowance for credit losses based upon the historical collectability based on past due status and makes judgments about the creditworthiness of customers based on ongoing credit evaluations. We also consider customer-specific information, current market conditions, and reasonable and supportable forecasts of future economic conditions.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75" w:lineRule="exact"/>
        <w:rPr>
          <w:sz w:val="20"/>
          <w:szCs w:val="20"/>
          <w:color w:val="auto"/>
        </w:rPr>
      </w:pPr>
    </w:p>
    <w:p>
      <w:pPr>
        <w:jc w:val="both"/>
        <w:ind w:firstLine="469"/>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disclosures of contingent assets and liabilities at the date of the financial statements and reported amounts of revenues and expenses during that reporting period. Areas that require the use of significant management estimates include revenue recognition, net realizable value of inventory, allowance for credit losses, accruals for warranty and loss contingencies, earn-out, income taxes, impairment analyses, and certain equity transactions. Accordingly, actual results could differ from those estimates.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 and Other Risks and Uncertainties</w:t>
      </w:r>
    </w:p>
    <w:p>
      <w:pPr>
        <w:spacing w:after="0" w:line="175" w:lineRule="exact"/>
        <w:rPr>
          <w:sz w:val="20"/>
          <w:szCs w:val="20"/>
          <w:color w:val="auto"/>
        </w:rPr>
      </w:pPr>
    </w:p>
    <w:p>
      <w:pPr>
        <w:jc w:val="both"/>
        <w:ind w:firstLine="469"/>
        <w:spacing w:after="0" w:line="266" w:lineRule="auto"/>
        <w:rPr>
          <w:sz w:val="20"/>
          <w:szCs w:val="20"/>
          <w:color w:val="auto"/>
        </w:rPr>
      </w:pPr>
      <w:r>
        <w:rPr>
          <w:rFonts w:ascii="Times New Roman" w:cs="Times New Roman" w:eastAsia="Times New Roman" w:hAnsi="Times New Roman"/>
          <w:sz w:val="18"/>
          <w:szCs w:val="18"/>
          <w:color w:val="auto"/>
        </w:rPr>
        <w:t>Orion's cash is primarily deposited with one financial institution. At times, deposits in this institution exceeds the amount of insurance provided on such deposits. Orion has not experienced any losses in such accounts and believes that it is not exposed to any significant financial institution viability risk on these balances.</w:t>
      </w:r>
    </w:p>
    <w:p>
      <w:pPr>
        <w:spacing w:after="0" w:line="122" w:lineRule="exact"/>
        <w:rPr>
          <w:sz w:val="20"/>
          <w:szCs w:val="20"/>
          <w:color w:val="auto"/>
        </w:rPr>
      </w:pPr>
    </w:p>
    <w:p>
      <w:pPr>
        <w:jc w:val="both"/>
        <w:ind w:firstLine="469"/>
        <w:spacing w:after="0" w:line="261" w:lineRule="auto"/>
        <w:rPr>
          <w:sz w:val="20"/>
          <w:szCs w:val="20"/>
          <w:color w:val="auto"/>
        </w:rPr>
      </w:pPr>
      <w:r>
        <w:rPr>
          <w:rFonts w:ascii="Times New Roman" w:cs="Times New Roman" w:eastAsia="Times New Roman" w:hAnsi="Times New Roman"/>
          <w:sz w:val="18"/>
          <w:szCs w:val="18"/>
          <w:color w:val="auto"/>
        </w:rPr>
        <w:t>Orion purchases components necessary for its lighting products, including lamps and LED components, from multiple suppliers. For the three and nine months ended December 31, 2024, no suppliers accounted for more than 10% of total cost of revenue. For the three months ended December 31, 2023, one supplier accounted for 12.6% of total cost of revenue, and for the nine months ended December 31, 2023, no suppliers accounted for more than 10.0% of total cost of revenue.</w:t>
      </w:r>
    </w:p>
    <w:p>
      <w:pPr>
        <w:spacing w:after="0" w:line="126" w:lineRule="exact"/>
        <w:rPr>
          <w:sz w:val="20"/>
          <w:szCs w:val="20"/>
          <w:color w:val="auto"/>
        </w:rPr>
      </w:pPr>
    </w:p>
    <w:p>
      <w:pPr>
        <w:jc w:val="both"/>
        <w:ind w:firstLine="469"/>
        <w:spacing w:after="0" w:line="266" w:lineRule="auto"/>
        <w:rPr>
          <w:sz w:val="20"/>
          <w:szCs w:val="20"/>
          <w:color w:val="auto"/>
        </w:rPr>
      </w:pPr>
      <w:r>
        <w:rPr>
          <w:rFonts w:ascii="Times New Roman" w:cs="Times New Roman" w:eastAsia="Times New Roman" w:hAnsi="Times New Roman"/>
          <w:sz w:val="18"/>
          <w:szCs w:val="18"/>
          <w:color w:val="auto"/>
        </w:rPr>
        <w:t>For the three months ended December 31, 2024, two customers accounted for 26.7% and 10.4% of total revenue, respectively. For the nine months ended December 31, 2024, one customer accounted for 24.2% of total revenue. For the three and nine months ended December 31, 2023, one customer accounted for 27.1% and 22.4% of total revenue, respectively.</w:t>
      </w:r>
    </w:p>
    <w:p>
      <w:pPr>
        <w:spacing w:after="0" w:line="122" w:lineRule="exact"/>
        <w:rPr>
          <w:sz w:val="20"/>
          <w:szCs w:val="20"/>
          <w:color w:val="auto"/>
        </w:rPr>
      </w:pPr>
    </w:p>
    <w:p>
      <w:pPr>
        <w:jc w:val="both"/>
        <w:ind w:firstLine="464"/>
        <w:spacing w:after="0" w:line="282" w:lineRule="auto"/>
        <w:rPr>
          <w:sz w:val="20"/>
          <w:szCs w:val="20"/>
          <w:color w:val="auto"/>
        </w:rPr>
      </w:pPr>
      <w:r>
        <w:rPr>
          <w:rFonts w:ascii="Times New Roman" w:cs="Times New Roman" w:eastAsia="Times New Roman" w:hAnsi="Times New Roman"/>
          <w:sz w:val="18"/>
          <w:szCs w:val="18"/>
          <w:color w:val="auto"/>
        </w:rPr>
        <w:t>As of December 31, 2024, one customer accounted for 17.0% and one customer accounted for 10.5% of accounts receivable. As of March 31, 2024, two customers accounted for 17.3% and 11.7% of accounts receivable,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Compliance with the Continued Listing Standards of the Nasdaq Capital Market (“Nasdaq”)</w:t>
      </w:r>
    </w:p>
    <w:p>
      <w:pPr>
        <w:spacing w:after="0" w:line="229"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On September 20, 2024, Orion received written notice from (“Nasdaq”) notifying the Company that it is not in compliance with the Minimum Bid Price Requirement for continued listing on The Nasdaq Capital Market.</w:t>
      </w:r>
    </w:p>
    <w:p>
      <w:pPr>
        <w:spacing w:after="0" w:line="162" w:lineRule="exact"/>
        <w:rPr>
          <w:sz w:val="20"/>
          <w:szCs w:val="20"/>
          <w:color w:val="auto"/>
        </w:rPr>
      </w:pPr>
    </w:p>
    <w:p>
      <w:pPr>
        <w:jc w:val="both"/>
        <w:ind w:firstLine="499"/>
        <w:spacing w:after="0" w:line="254" w:lineRule="auto"/>
        <w:rPr>
          <w:sz w:val="20"/>
          <w:szCs w:val="20"/>
          <w:color w:val="auto"/>
        </w:rPr>
      </w:pPr>
      <w:r>
        <w:rPr>
          <w:rFonts w:ascii="Times New Roman" w:cs="Times New Roman" w:eastAsia="Times New Roman" w:hAnsi="Times New Roman"/>
          <w:sz w:val="18"/>
          <w:szCs w:val="18"/>
          <w:color w:val="auto"/>
        </w:rPr>
        <w:t>The notification letter did not impact the Company’s current listing on The Nasdaq Capital Market at this time, and shares of the Company’s common stock will continue to trade on the Nasdaq Capital Market under the symbol “OESX”. The notification letter stated that the Company has 180 calendar days, or until March 19, 2025, to regain compliance with the Minimum Bid Price Requirement. To regain compliance, the Company’s common stock must have a closing bid price of at least $1.00 per share for a minimum of 10 consecutive business days. If the Company does not regain compliance by March 19, 2025, an additional 180 days may be granted to regain compliance, so long as the Company meets The Nasdaq Capital Market initial listing criteria (except for the Minimum Bid Price Requirement) and notifies Nasdaq in writing of its intention to cure the deficiency during the second compliance period, including the implementation of a reverse stock split, if necessary. If the Company does not qualify for the second compliance period or fails to regain compliance during the second 180-day period, then Nasdaq will notify the Company of its determination to delist the Company’s common stock, at which point the Company would have an opportunity to appeal the delisting determination to a hearings panel.</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Issued: Not Yet Adopted</w:t>
      </w:r>
    </w:p>
    <w:p>
      <w:pPr>
        <w:spacing w:after="0" w:line="175"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In November 2024, the FASB issued ASU No. 2024-03, Income Statement - Reporting Comprehensive Income - Expense Disaggregation Disclosures (Subtopic 220-40), which modifies the disclosure and presentation requirements relating to expenses shown on the income statement. The amendments in the update require disclosure, in the notes to financial statements, of specified information about certain costs and expenses. The amendments require that at each interim and annual reporting period an entity: 1 . Disclose the amounts of (a) purchases of inventory, (b) employee compensation, (c) depreciation, (d) intangible asset amortization, and (e) depreciation, depletion, and amortization recognized as part of oil and gas-producing activities. 2. Include certain amounts that are already required to be disclosed under current generally accepted accounting principles in the same disclosure as the other disaggregation requirements. 3. Disclose a qualitative description of the amounts remaining in relevant expense captions that are not separately disaggregated quantitatively. 4. Disclose the total amount of selling expense and, in annual reporting periods, an entity's definition of selling expenses. The amendments in this update are effective for annual reporting periods beginning after December 15, 2026, and interim reporting periods beginning after December 15,</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8" w:name="page9"/>
    <w:bookmarkEnd w:id="8"/>
    <w:p>
      <w:pPr>
        <w:jc w:val="both"/>
        <w:spacing w:after="0" w:line="282" w:lineRule="auto"/>
        <w:rPr>
          <w:sz w:val="20"/>
          <w:szCs w:val="20"/>
          <w:color w:val="auto"/>
        </w:rPr>
      </w:pPr>
      <w:r>
        <w:rPr>
          <w:rFonts w:ascii="Times New Roman" w:cs="Times New Roman" w:eastAsia="Times New Roman" w:hAnsi="Times New Roman"/>
          <w:sz w:val="18"/>
          <w:szCs w:val="18"/>
          <w:color w:val="auto"/>
        </w:rPr>
        <w:t>2027. Early adoption is permitted. Orion is currently evaluating the impact that this guidance will have on the presentation of its consolidated financial statements and accompanying notes.</w:t>
      </w:r>
    </w:p>
    <w:p>
      <w:pPr>
        <w:spacing w:after="0" w:line="108"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In November 2023, the FASB issued ASU No. 2023-07, Segment Reporting (Topic 280): Improvements to Reportable Segment Disclosures, which modifies the disclosure and presentation requirements of reportable segments. The amendments in the update require the disclosure of significant segment expenses that are regularly provided to the chief operating decision maker (the "CODM") and included within each reported measure of segment profit and loss. The amendments also require disclosure of all other segment items by reportable segment and a description of its composition. Additionally, the amendments require disclosure of the title and position of the CODM and an explanation of how the CODM uses the reported measure(s) of segment profit or loss in assessing segment performance and deciding how to allocate resources. This update is effective for annual periods beginning after December 15, 2023, and interim periods within fiscal years beginning after December 15, 2024. Early adoption is permitted. Orion has concluded this guidance will not impact the presentation of its consolidated financial statements, and will only impact presentation in the accompanying footnotes.</w:t>
      </w:r>
    </w:p>
    <w:p>
      <w:pPr>
        <w:spacing w:after="0" w:line="138"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which expands disclosures in an entity's income tax rate reconciliation table and disclosures regarding cash taxes paid both in the U.S. and foreign jurisdictions. The update will be effective for annual periods beginning after December 15, 2025. Orion is currently evaluating the impact that this guidance will have on the presentation of its consolidated financial statements and accompanying notes.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REVENUE</w:t>
      </w:r>
    </w:p>
    <w:p>
      <w:pPr>
        <w:spacing w:after="0" w:line="175" w:lineRule="exact"/>
        <w:rPr>
          <w:sz w:val="20"/>
          <w:szCs w:val="20"/>
          <w:color w:val="auto"/>
        </w:rPr>
      </w:pPr>
    </w:p>
    <w:p>
      <w:pPr>
        <w:jc w:val="both"/>
        <w:ind w:firstLine="464"/>
        <w:spacing w:after="0" w:line="258" w:lineRule="auto"/>
        <w:rPr>
          <w:sz w:val="20"/>
          <w:szCs w:val="20"/>
          <w:color w:val="auto"/>
        </w:rPr>
      </w:pPr>
      <w:r>
        <w:rPr>
          <w:rFonts w:ascii="Times New Roman" w:cs="Times New Roman" w:eastAsia="Times New Roman" w:hAnsi="Times New Roman"/>
          <w:sz w:val="18"/>
          <w:szCs w:val="18"/>
          <w:color w:val="auto"/>
        </w:rPr>
        <w:t>Orion generates revenue primarily by selling manufactured or sourced commercial lighting fixtures and components, sourced electric vehicle chargers and related products, installing these products in customer’s facilities, and providing maintenance services including repairs and replacements for the lighting and related electrical components. Orion recognizes revenue in accordance with the guidance in “Revenue from Contracts with Customers” (Topic 606) when control of the goods or services being provided (which Orion refers to as a performance obligation) is transferred to a customer at an amount that reflects the consideration Orion expects to receive in exchange for those goods or services.</w:t>
      </w:r>
    </w:p>
    <w:p>
      <w:pPr>
        <w:spacing w:after="0" w:line="183"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The sale of charging stations and related software subscriptions, renewals and extended warranty is presented in Product revenue. Orion is the principal in the sales of charging stations as it has control of the physical products prior to transfer to the customer. Accordingly, revenue is recognized on a gross basis. For certain sales, primarily software subscriptions, renewals and extended warranty, Orion is the sales agent providing access to the content and recognize commission revenue net of amounts due to third parties who fulfill the performance obligation. For these sales, control passes at the point in time upon providing access of the content to the customer.</w:t>
      </w:r>
    </w:p>
    <w:p>
      <w:pPr>
        <w:spacing w:after="0" w:line="129" w:lineRule="exact"/>
        <w:rPr>
          <w:sz w:val="20"/>
          <w:szCs w:val="20"/>
          <w:color w:val="auto"/>
        </w:rPr>
      </w:pPr>
    </w:p>
    <w:p>
      <w:pPr>
        <w:jc w:val="both"/>
        <w:ind w:firstLine="464"/>
        <w:spacing w:after="0" w:line="266" w:lineRule="auto"/>
        <w:rPr>
          <w:sz w:val="20"/>
          <w:szCs w:val="20"/>
          <w:color w:val="auto"/>
        </w:rPr>
      </w:pPr>
      <w:r>
        <w:rPr>
          <w:rFonts w:ascii="Times New Roman" w:cs="Times New Roman" w:eastAsia="Times New Roman" w:hAnsi="Times New Roman"/>
          <w:sz w:val="18"/>
          <w:szCs w:val="18"/>
          <w:color w:val="auto"/>
        </w:rPr>
        <w:t>The sale of installation and services related to the EV charging business is presented in Service revenue. Revenue from the EV segment that includes both the sale of product and service is allocated between the product and service performance obligations based on relative standalone selling prices, and is recorded in Product revenue and Service revenue, respectively, in the Condensed Consolidated Statement of Operations.</w:t>
      </w:r>
    </w:p>
    <w:p>
      <w:pPr>
        <w:spacing w:after="0" w:line="122" w:lineRule="exact"/>
        <w:rPr>
          <w:sz w:val="20"/>
          <w:szCs w:val="20"/>
          <w:color w:val="auto"/>
        </w:rPr>
      </w:pPr>
    </w:p>
    <w:p>
      <w:pPr>
        <w:jc w:val="both"/>
        <w:ind w:firstLine="464"/>
        <w:spacing w:after="0" w:line="266" w:lineRule="auto"/>
        <w:rPr>
          <w:sz w:val="20"/>
          <w:szCs w:val="20"/>
          <w:color w:val="auto"/>
        </w:rPr>
      </w:pPr>
      <w:r>
        <w:rPr>
          <w:rFonts w:ascii="Times New Roman" w:cs="Times New Roman" w:eastAsia="Times New Roman" w:hAnsi="Times New Roman"/>
          <w:sz w:val="18"/>
          <w:szCs w:val="18"/>
          <w:color w:val="auto"/>
        </w:rPr>
        <w:t>Revenue from the lighting maintenance offering that includes both the sale of Orion manufactured or sourced product and service is allocated between the product and service performance obligations based on relative standalone selling prices, and is recorded in Product revenue and Service revenue, respectively, in the Condensed Consolidated Statement of Operations.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9" w:name="page10"/>
    <w:bookmarkEnd w:id="9"/>
    <w:p>
      <w:pPr>
        <w:jc w:val="both"/>
        <w:ind w:firstLine="469"/>
        <w:spacing w:after="0" w:line="282" w:lineRule="auto"/>
        <w:rPr>
          <w:sz w:val="20"/>
          <w:szCs w:val="20"/>
          <w:color w:val="auto"/>
        </w:rPr>
      </w:pPr>
      <w:r>
        <w:rPr>
          <w:rFonts w:ascii="Times New Roman" w:cs="Times New Roman" w:eastAsia="Times New Roman" w:hAnsi="Times New Roman"/>
          <w:sz w:val="18"/>
          <w:szCs w:val="18"/>
          <w:color w:val="auto"/>
        </w:rPr>
        <w:t>The following tables provide detail of Orion’s total revenue for the three and nine months ended December 31, 2024 and December 31, 2023 (dollars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960" w:type="dxa"/>
            <w:vAlign w:val="bottom"/>
            <w:gridSpan w:val="7"/>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rPr>
              <w:t>Three Months Ended December 31, 2024</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100" w:type="dxa"/>
            <w:vAlign w:val="bottom"/>
            <w:gridSpan w:val="8"/>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Nine Months Ended December 31, 2024</w:t>
            </w:r>
          </w:p>
        </w:tc>
      </w:tr>
      <w:tr>
        <w:trPr>
          <w:trHeight w:val="142"/>
        </w:trPr>
        <w:tc>
          <w:tcPr>
            <w:tcW w:w="46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Product</w:t>
            </w: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center"/>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Services</w:t>
            </w: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Product</w:t>
            </w:r>
          </w:p>
        </w:tc>
        <w:tc>
          <w:tcPr>
            <w:tcW w:w="20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center"/>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Services</w:t>
            </w:r>
          </w:p>
        </w:tc>
        <w:tc>
          <w:tcPr>
            <w:tcW w:w="20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r>
      <w:tr>
        <w:trPr>
          <w:trHeight w:val="209"/>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 from contracts with customers:</w:t>
            </w: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Lighting product and installation</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11,291</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1,754</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13,045</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30,636</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5,725</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36,361</w:t>
            </w:r>
          </w:p>
        </w:tc>
        <w:tc>
          <w:tcPr>
            <w:tcW w:w="100" w:type="dxa"/>
            <w:vAlign w:val="bottom"/>
          </w:tcPr>
          <w:p>
            <w:pPr>
              <w:spacing w:after="0"/>
              <w:rPr>
                <w:sz w:val="18"/>
                <w:szCs w:val="18"/>
                <w:color w:val="auto"/>
              </w:rPr>
            </w:pPr>
          </w:p>
        </w:tc>
      </w:tr>
      <w:tr>
        <w:trPr>
          <w:trHeight w:val="216"/>
        </w:trPr>
        <w:tc>
          <w:tcPr>
            <w:tcW w:w="4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Maintenance services</w:t>
            </w: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1,672</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2,253</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3,925</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3,795</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7,250</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11,045</w:t>
            </w:r>
          </w:p>
        </w:tc>
        <w:tc>
          <w:tcPr>
            <w:tcW w:w="100" w:type="dxa"/>
            <w:vAlign w:val="bottom"/>
            <w:shd w:val="clear" w:color="auto" w:fill="CFF0FC"/>
          </w:tcPr>
          <w:p>
            <w:pPr>
              <w:spacing w:after="0"/>
              <w:rPr>
                <w:sz w:val="18"/>
                <w:szCs w:val="18"/>
                <w:color w:val="auto"/>
              </w:rPr>
            </w:pPr>
          </w:p>
        </w:tc>
      </w:tr>
      <w:tr>
        <w:trPr>
          <w:trHeight w:val="216"/>
        </w:trPr>
        <w:tc>
          <w:tcPr>
            <w:tcW w:w="4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Electric vehicle charging</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11,001</w:t>
            </w:r>
          </w:p>
        </w:tc>
        <w:tc>
          <w:tcPr>
            <w:tcW w:w="100" w:type="dxa"/>
            <w:vAlign w:val="bottom"/>
          </w:tcPr>
          <w:p>
            <w:pPr>
              <w:spacing w:after="0"/>
              <w:rPr>
                <w:sz w:val="18"/>
                <w:szCs w:val="18"/>
                <w:color w:val="auto"/>
              </w:rPr>
            </w:pPr>
          </w:p>
        </w:tc>
      </w:tr>
      <w:tr>
        <w:trPr>
          <w:trHeight w:val="216"/>
        </w:trPr>
        <w:tc>
          <w:tcPr>
            <w:tcW w:w="46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Solar energy related revenues</w:t>
            </w:r>
          </w:p>
        </w:tc>
        <w:tc>
          <w:tcPr>
            <w:tcW w:w="14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 from contracts with customers</w:t>
            </w: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14,139</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5,276</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19,415</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39,015</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19,409</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58,424</w:t>
            </w:r>
          </w:p>
        </w:tc>
        <w:tc>
          <w:tcPr>
            <w:tcW w:w="100" w:type="dxa"/>
            <w:vAlign w:val="bottom"/>
          </w:tcPr>
          <w:p>
            <w:pPr>
              <w:spacing w:after="0"/>
              <w:rPr>
                <w:sz w:val="18"/>
                <w:szCs w:val="18"/>
                <w:color w:val="auto"/>
              </w:rPr>
            </w:pPr>
          </w:p>
        </w:tc>
      </w:tr>
      <w:tr>
        <w:trPr>
          <w:trHeight w:val="210"/>
        </w:trPr>
        <w:tc>
          <w:tcPr>
            <w:tcW w:w="4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 accounted for under other guidance</w:t>
            </w:r>
          </w:p>
        </w:tc>
        <w:tc>
          <w:tcPr>
            <w:tcW w:w="14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2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14,308</w:t>
            </w:r>
          </w:p>
        </w:tc>
        <w:tc>
          <w:tcPr>
            <w:tcW w:w="2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5,276</w:t>
            </w:r>
          </w:p>
        </w:tc>
        <w:tc>
          <w:tcPr>
            <w:tcW w:w="2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19,584</w:t>
            </w: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39,442</w:t>
            </w:r>
          </w:p>
        </w:tc>
        <w:tc>
          <w:tcPr>
            <w:tcW w:w="2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19,409</w:t>
            </w:r>
          </w:p>
        </w:tc>
        <w:tc>
          <w:tcPr>
            <w:tcW w:w="2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58,851</w:t>
            </w:r>
          </w:p>
        </w:tc>
        <w:tc>
          <w:tcPr>
            <w:tcW w:w="100" w:type="dxa"/>
            <w:vAlign w:val="bottom"/>
          </w:tcPr>
          <w:p>
            <w:pPr>
              <w:spacing w:after="0"/>
              <w:rPr>
                <w:sz w:val="18"/>
                <w:szCs w:val="18"/>
                <w:color w:val="auto"/>
              </w:rPr>
            </w:pPr>
          </w:p>
        </w:tc>
      </w:tr>
      <w:tr>
        <w:trPr>
          <w:trHeight w:val="20"/>
        </w:trPr>
        <w:tc>
          <w:tcPr>
            <w:tcW w:w="4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6"/>
        </w:trPr>
        <w:tc>
          <w:tcPr>
            <w:tcW w:w="4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60" w:type="dxa"/>
            <w:vAlign w:val="bottom"/>
            <w:gridSpan w:val="7"/>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rPr>
              <w:t>Three Months Ended December 31, 2023</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00" w:type="dxa"/>
            <w:vAlign w:val="bottom"/>
            <w:gridSpan w:val="8"/>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Nine Months Ended December 31, 2023</w:t>
            </w:r>
          </w:p>
        </w:tc>
      </w:tr>
      <w:tr>
        <w:trPr>
          <w:trHeight w:val="155"/>
        </w:trPr>
        <w:tc>
          <w:tcPr>
            <w:tcW w:w="468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114"/>
              <w:spacing w:after="0" w:line="155" w:lineRule="exact"/>
              <w:rPr>
                <w:sz w:val="20"/>
                <w:szCs w:val="20"/>
                <w:color w:val="auto"/>
              </w:rPr>
            </w:pPr>
            <w:r>
              <w:rPr>
                <w:rFonts w:ascii="Times New Roman" w:cs="Times New Roman" w:eastAsia="Times New Roman" w:hAnsi="Times New Roman"/>
                <w:sz w:val="14"/>
                <w:szCs w:val="14"/>
                <w:b w:val="1"/>
                <w:bCs w:val="1"/>
                <w:color w:val="auto"/>
              </w:rPr>
              <w:t>Product</w:t>
            </w:r>
          </w:p>
        </w:tc>
        <w:tc>
          <w:tcPr>
            <w:tcW w:w="220" w:type="dxa"/>
            <w:vAlign w:val="bottom"/>
            <w:tcBorders>
              <w:top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center"/>
              <w:ind w:right="72"/>
              <w:spacing w:after="0" w:line="155" w:lineRule="exact"/>
              <w:rPr>
                <w:sz w:val="20"/>
                <w:szCs w:val="20"/>
                <w:color w:val="auto"/>
              </w:rPr>
            </w:pPr>
            <w:r>
              <w:rPr>
                <w:rFonts w:ascii="Times New Roman" w:cs="Times New Roman" w:eastAsia="Times New Roman" w:hAnsi="Times New Roman"/>
                <w:sz w:val="14"/>
                <w:szCs w:val="14"/>
                <w:b w:val="1"/>
                <w:bCs w:val="1"/>
                <w:color w:val="auto"/>
              </w:rPr>
              <w:t>Services</w:t>
            </w:r>
          </w:p>
        </w:tc>
        <w:tc>
          <w:tcPr>
            <w:tcW w:w="220" w:type="dxa"/>
            <w:vAlign w:val="bottom"/>
            <w:tcBorders>
              <w:top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192"/>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134"/>
              <w:spacing w:after="0" w:line="155" w:lineRule="exact"/>
              <w:rPr>
                <w:sz w:val="20"/>
                <w:szCs w:val="20"/>
                <w:color w:val="auto"/>
              </w:rPr>
            </w:pPr>
            <w:r>
              <w:rPr>
                <w:rFonts w:ascii="Times New Roman" w:cs="Times New Roman" w:eastAsia="Times New Roman" w:hAnsi="Times New Roman"/>
                <w:sz w:val="14"/>
                <w:szCs w:val="14"/>
                <w:b w:val="1"/>
                <w:bCs w:val="1"/>
                <w:color w:val="auto"/>
              </w:rPr>
              <w:t>Product</w:t>
            </w:r>
          </w:p>
        </w:tc>
        <w:tc>
          <w:tcPr>
            <w:tcW w:w="200" w:type="dxa"/>
            <w:vAlign w:val="bottom"/>
            <w:tcBorders>
              <w:top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center"/>
              <w:ind w:right="92"/>
              <w:spacing w:after="0" w:line="155" w:lineRule="exact"/>
              <w:rPr>
                <w:sz w:val="20"/>
                <w:szCs w:val="20"/>
                <w:color w:val="auto"/>
              </w:rPr>
            </w:pPr>
            <w:r>
              <w:rPr>
                <w:rFonts w:ascii="Times New Roman" w:cs="Times New Roman" w:eastAsia="Times New Roman" w:hAnsi="Times New Roman"/>
                <w:sz w:val="14"/>
                <w:szCs w:val="14"/>
                <w:b w:val="1"/>
                <w:bCs w:val="1"/>
                <w:color w:val="auto"/>
              </w:rPr>
              <w:t>Services</w:t>
            </w:r>
          </w:p>
        </w:tc>
        <w:tc>
          <w:tcPr>
            <w:tcW w:w="200" w:type="dxa"/>
            <w:vAlign w:val="bottom"/>
            <w:tcBorders>
              <w:top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12"/>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3"/>
                <w:szCs w:val="13"/>
                <w:color w:val="auto"/>
              </w:rPr>
            </w:pPr>
          </w:p>
        </w:tc>
      </w:tr>
      <w:tr>
        <w:trPr>
          <w:trHeight w:val="210"/>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 from contracts with customers:</w:t>
            </w: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Lighting product and installation</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13,773</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4,745</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18,518</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37,486</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7,190</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44,676</w:t>
            </w:r>
          </w:p>
        </w:tc>
        <w:tc>
          <w:tcPr>
            <w:tcW w:w="100" w:type="dxa"/>
            <w:vAlign w:val="bottom"/>
          </w:tcPr>
          <w:p>
            <w:pPr>
              <w:spacing w:after="0"/>
              <w:rPr>
                <w:sz w:val="18"/>
                <w:szCs w:val="18"/>
                <w:color w:val="auto"/>
              </w:rPr>
            </w:pPr>
          </w:p>
        </w:tc>
      </w:tr>
      <w:tr>
        <w:trPr>
          <w:trHeight w:val="216"/>
        </w:trPr>
        <w:tc>
          <w:tcPr>
            <w:tcW w:w="4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Maintenance services</w:t>
            </w: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3,529</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4,609</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2,855</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9,141</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11,996</w:t>
            </w:r>
          </w:p>
        </w:tc>
        <w:tc>
          <w:tcPr>
            <w:tcW w:w="100" w:type="dxa"/>
            <w:vAlign w:val="bottom"/>
            <w:shd w:val="clear" w:color="auto" w:fill="CFF0FC"/>
          </w:tcPr>
          <w:p>
            <w:pPr>
              <w:spacing w:after="0"/>
              <w:rPr>
                <w:sz w:val="18"/>
                <w:szCs w:val="18"/>
                <w:color w:val="auto"/>
              </w:rPr>
            </w:pPr>
          </w:p>
        </w:tc>
      </w:tr>
      <w:tr>
        <w:trPr>
          <w:trHeight w:val="216"/>
        </w:trPr>
        <w:tc>
          <w:tcPr>
            <w:tcW w:w="4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Electric vehicle charging</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7,435</w:t>
            </w:r>
          </w:p>
        </w:tc>
        <w:tc>
          <w:tcPr>
            <w:tcW w:w="100" w:type="dxa"/>
            <w:vAlign w:val="bottom"/>
          </w:tcPr>
          <w:p>
            <w:pPr>
              <w:spacing w:after="0"/>
              <w:rPr>
                <w:sz w:val="18"/>
                <w:szCs w:val="18"/>
                <w:color w:val="auto"/>
              </w:rPr>
            </w:pPr>
          </w:p>
        </w:tc>
      </w:tr>
      <w:tr>
        <w:trPr>
          <w:trHeight w:val="216"/>
        </w:trPr>
        <w:tc>
          <w:tcPr>
            <w:tcW w:w="46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Solar energy related revenues</w:t>
            </w:r>
          </w:p>
        </w:tc>
        <w:tc>
          <w:tcPr>
            <w:tcW w:w="14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 from contracts with customers</w:t>
            </w: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16,988</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8,964</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25,952</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46,223</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17,904</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64,127</w:t>
            </w:r>
          </w:p>
        </w:tc>
        <w:tc>
          <w:tcPr>
            <w:tcW w:w="100" w:type="dxa"/>
            <w:vAlign w:val="bottom"/>
          </w:tcPr>
          <w:p>
            <w:pPr>
              <w:spacing w:after="0"/>
              <w:rPr>
                <w:sz w:val="18"/>
                <w:szCs w:val="18"/>
                <w:color w:val="auto"/>
              </w:rPr>
            </w:pPr>
          </w:p>
        </w:tc>
      </w:tr>
      <w:tr>
        <w:trPr>
          <w:trHeight w:val="209"/>
        </w:trPr>
        <w:tc>
          <w:tcPr>
            <w:tcW w:w="4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 accounted for under other guidance</w:t>
            </w:r>
          </w:p>
        </w:tc>
        <w:tc>
          <w:tcPr>
            <w:tcW w:w="14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17,007</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8,964</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25,971</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46,266</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17,904</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64,170</w:t>
            </w:r>
          </w:p>
        </w:tc>
        <w:tc>
          <w:tcPr>
            <w:tcW w:w="100" w:type="dxa"/>
            <w:vAlign w:val="bottom"/>
          </w:tcPr>
          <w:p>
            <w:pPr>
              <w:spacing w:after="0"/>
              <w:rPr>
                <w:sz w:val="18"/>
                <w:szCs w:val="18"/>
                <w:color w:val="auto"/>
              </w:rPr>
            </w:pPr>
          </w:p>
        </w:tc>
      </w:tr>
      <w:tr>
        <w:trPr>
          <w:trHeight w:val="20"/>
        </w:trPr>
        <w:tc>
          <w:tcPr>
            <w:tcW w:w="4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-1988185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-1988185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-1988185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-1988185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-1988185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-1988185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-1696720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-1696720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-1696720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-1696720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-1696720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-1696720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-462280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-462280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-462280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-462280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-462280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-462280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-170815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-170815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-170815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-170815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-170815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4" w:lineRule="exact"/>
        <w:rPr>
          <w:sz w:val="20"/>
          <w:szCs w:val="20"/>
          <w:color w:val="auto"/>
        </w:rPr>
      </w:pPr>
    </w:p>
    <w:p>
      <w:pPr>
        <w:jc w:val="both"/>
        <w:ind w:firstLine="469"/>
        <w:spacing w:after="0" w:line="261" w:lineRule="auto"/>
        <w:rPr>
          <w:sz w:val="20"/>
          <w:szCs w:val="20"/>
          <w:color w:val="auto"/>
        </w:rPr>
      </w:pPr>
      <w:r>
        <w:rPr>
          <w:rFonts w:ascii="Times New Roman" w:cs="Times New Roman" w:eastAsia="Times New Roman" w:hAnsi="Times New Roman"/>
          <w:sz w:val="18"/>
          <w:szCs w:val="18"/>
          <w:color w:val="auto"/>
        </w:rPr>
        <w:t>From time to time, Orion sells the receivables from one customer to a financing institution. The total amount received from the advances of these receivables was $0.7 million and $1.3 million for the three and nine months ended December 31, 2024, respectively. Orion's losses on these sales were $12 thousand and $30 thousand for the three and nine months ended December 31, 2024, respectively, and are included in Interest expense in the Condensed Consolidated Statement of Operations. There was no activity during the three and nine months ended December 31, 2023.</w:t>
      </w:r>
    </w:p>
    <w:p>
      <w:pPr>
        <w:spacing w:after="0" w:line="12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During the nine months ended December 31, 2024, changes in estimates resulted in a reduction of revenue of $0.2 million.</w:t>
      </w:r>
    </w:p>
    <w:p>
      <w:pPr>
        <w:spacing w:after="0" w:line="17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chart shows the balance of Orion’s receivables arising from contracts with customers, contract assets and contract liabilities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and March 31, 2024 (dollars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73"/>
        </w:trPr>
        <w:tc>
          <w:tcPr>
            <w:tcW w:w="77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12,234</w:t>
            </w:r>
          </w:p>
        </w:tc>
        <w:tc>
          <w:tcPr>
            <w:tcW w:w="5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14,022</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earned but not billed (1)</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1,830</w:t>
            </w: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4,539</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revenue (2)</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5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shd w:val="clear" w:color="auto" w:fill="CFF0FC"/>
          </w:tcPr>
          <w:p>
            <w:pPr>
              <w:spacing w:after="0"/>
              <w:rPr>
                <w:sz w:val="18"/>
                <w:szCs w:val="18"/>
                <w:color w:val="auto"/>
              </w:rPr>
            </w:pPr>
          </w:p>
        </w:tc>
      </w:tr>
    </w:tbl>
    <w:p>
      <w:pPr>
        <w:spacing w:after="0" w:line="200" w:lineRule="exact"/>
        <w:rPr>
          <w:sz w:val="20"/>
          <w:szCs w:val="20"/>
          <w:color w:val="auto"/>
        </w:rPr>
      </w:pPr>
    </w:p>
    <w:p>
      <w:pPr>
        <w:spacing w:after="0" w:line="214" w:lineRule="exact"/>
        <w:rPr>
          <w:sz w:val="20"/>
          <w:szCs w:val="20"/>
          <w:color w:val="auto"/>
        </w:rPr>
      </w:pPr>
    </w:p>
    <w:p>
      <w:pPr>
        <w:ind w:left="500" w:hanging="492"/>
        <w:spacing w:after="0" w:line="282" w:lineRule="auto"/>
        <w:tabs>
          <w:tab w:leader="none" w:pos="36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the revenue earned not billed line on the condensed consolidated balance sheet, $0.4 million is accounted for as a sales type lease under ASC 842, and therefore not considered a "contract asset", which is an asset defined by ASC 606.</w:t>
      </w:r>
    </w:p>
    <w:p>
      <w:pPr>
        <w:spacing w:after="0" w:line="161" w:lineRule="exact"/>
        <w:rPr>
          <w:rFonts w:ascii="Times New Roman" w:cs="Times New Roman" w:eastAsia="Times New Roman" w:hAnsi="Times New Roman"/>
          <w:sz w:val="18"/>
          <w:szCs w:val="18"/>
          <w:color w:val="auto"/>
        </w:rPr>
      </w:pPr>
    </w:p>
    <w:p>
      <w:pPr>
        <w:ind w:left="500" w:hanging="492"/>
        <w:spacing w:after="0" w:line="266" w:lineRule="auto"/>
        <w:tabs>
          <w:tab w:leader="none" w:pos="36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unamortized portion of the funds received from the federal government in 2010 and 2011 as reimbursement for the costs to build the two facilities related to the PPAs. As the transaction is not considered a contract with a customer, this value is not a contract liability as defined by ASC 606.</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0" w:name="page11"/>
    <w:bookmarkEnd w:id="10"/>
    <w:p>
      <w:pPr>
        <w:jc w:val="both"/>
        <w:ind w:firstLine="464"/>
        <w:spacing w:after="0" w:line="258" w:lineRule="auto"/>
        <w:rPr>
          <w:sz w:val="20"/>
          <w:szCs w:val="20"/>
          <w:color w:val="auto"/>
        </w:rPr>
      </w:pPr>
      <w:r>
        <w:rPr>
          <w:rFonts w:ascii="Times New Roman" w:cs="Times New Roman" w:eastAsia="Times New Roman" w:hAnsi="Times New Roman"/>
          <w:sz w:val="18"/>
          <w:szCs w:val="18"/>
          <w:color w:val="auto"/>
        </w:rPr>
        <w:t>There were no significant changes in the contract assets outside of standard increases due to timing of contract completion, offset by the reclassifications to accounts receivable, net upon billing. Deferred revenue, current as of December 31, 2024 and March 31, 2024, includes $0.2 million and $0.1 million, respectively, of contract liabilities which represent consideration received from a new customer contract on which installation has not yet begun and Orion has not fulfilled the promises included. Of the $0.1 million outstanding as of March 31, 2024, $0.1 million has been recognized as revenue.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ACCOUNTS RECEIVABLE</w:t>
      </w:r>
    </w:p>
    <w:p>
      <w:pPr>
        <w:spacing w:after="0" w:line="175" w:lineRule="exact"/>
        <w:rPr>
          <w:sz w:val="20"/>
          <w:szCs w:val="20"/>
          <w:color w:val="auto"/>
        </w:rPr>
      </w:pPr>
    </w:p>
    <w:p>
      <w:pPr>
        <w:jc w:val="both"/>
        <w:ind w:firstLine="469"/>
        <w:spacing w:after="0" w:line="282" w:lineRule="auto"/>
        <w:rPr>
          <w:sz w:val="20"/>
          <w:szCs w:val="20"/>
          <w:color w:val="auto"/>
        </w:rPr>
      </w:pPr>
      <w:r>
        <w:rPr>
          <w:rFonts w:ascii="Times New Roman" w:cs="Times New Roman" w:eastAsia="Times New Roman" w:hAnsi="Times New Roman"/>
          <w:sz w:val="18"/>
          <w:szCs w:val="18"/>
          <w:color w:val="auto"/>
        </w:rPr>
        <w:t>As of December 31, 2024 and March 31, 2024, Orion's accounts receivable and allowance for credit losses balances were as follows (dollars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40" w:type="dxa"/>
            <w:vAlign w:val="bottom"/>
            <w:gridSpan w:val="6"/>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4"/>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73"/>
        </w:trPr>
        <w:tc>
          <w:tcPr>
            <w:tcW w:w="5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10"/>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receivable, gross</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center"/>
              <w:ind w:right="237"/>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12,364</w:t>
            </w:r>
          </w:p>
        </w:tc>
        <w:tc>
          <w:tcPr>
            <w:tcW w:w="8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14,094</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(130 )</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(72 )</w:t>
            </w:r>
          </w:p>
        </w:tc>
      </w:tr>
      <w:tr>
        <w:trPr>
          <w:trHeight w:val="249"/>
        </w:trPr>
        <w:tc>
          <w:tcPr>
            <w:tcW w:w="5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top w:val="single" w:sz="8" w:color="auto"/>
              <w:bottom w:val="single" w:sz="8" w:color="auto"/>
            </w:tcBorders>
            <w:shd w:val="clear" w:color="auto" w:fill="CFF0FC"/>
          </w:tcPr>
          <w:p>
            <w:pPr>
              <w:jc w:val="center"/>
              <w:ind w:right="417"/>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auto"/>
              <w:bottom w:val="single" w:sz="8" w:color="auto"/>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spacing w:after="0"/>
              <w:rPr>
                <w:sz w:val="21"/>
                <w:szCs w:val="21"/>
                <w:color w:val="auto"/>
              </w:rPr>
            </w:pPr>
          </w:p>
        </w:tc>
        <w:tc>
          <w:tcPr>
            <w:tcW w:w="5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12,234</w:t>
            </w:r>
          </w:p>
        </w:tc>
        <w:tc>
          <w:tcPr>
            <w:tcW w:w="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bottom w:val="single" w:sz="8" w:color="auto"/>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spacing w:after="0"/>
              <w:rPr>
                <w:sz w:val="21"/>
                <w:szCs w:val="21"/>
                <w:color w:val="auto"/>
              </w:rPr>
            </w:pPr>
          </w:p>
        </w:tc>
        <w:tc>
          <w:tcPr>
            <w:tcW w:w="580" w:type="dxa"/>
            <w:vAlign w:val="bottom"/>
            <w:tcBorders>
              <w:top w:val="single" w:sz="8" w:color="auto"/>
              <w:bottom w:val="single" w:sz="8" w:color="auto"/>
            </w:tcBorders>
            <w:shd w:val="clear" w:color="auto" w:fill="CFF0FC"/>
          </w:tcPr>
          <w:p>
            <w:pPr>
              <w:spacing w:after="0"/>
              <w:rPr>
                <w:sz w:val="21"/>
                <w:szCs w:val="21"/>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14,022</w:t>
            </w:r>
          </w:p>
        </w:tc>
        <w:tc>
          <w:tcPr>
            <w:tcW w:w="20" w:type="dxa"/>
            <w:vAlign w:val="bottom"/>
            <w:tcBorders>
              <w:top w:val="single" w:sz="8" w:color="auto"/>
              <w:bottom w:val="single" w:sz="8" w:color="auto"/>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r>
      <w:tr>
        <w:trPr>
          <w:trHeight w:val="575"/>
        </w:trPr>
        <w:tc>
          <w:tcPr>
            <w:tcW w:w="7180" w:type="dxa"/>
            <w:vAlign w:val="bottom"/>
            <w:gridSpan w:val="4"/>
          </w:tcPr>
          <w:p>
            <w:pPr>
              <w:ind w:left="480"/>
              <w:spacing w:after="0"/>
              <w:rPr>
                <w:sz w:val="20"/>
                <w:szCs w:val="20"/>
                <w:color w:val="auto"/>
              </w:rPr>
            </w:pPr>
            <w:r>
              <w:rPr>
                <w:rFonts w:ascii="Times New Roman" w:cs="Times New Roman" w:eastAsia="Times New Roman" w:hAnsi="Times New Roman"/>
                <w:sz w:val="18"/>
                <w:szCs w:val="18"/>
                <w:color w:val="auto"/>
              </w:rPr>
              <w:t>Changes in Orion’s allowance for credit losses were as follows (dollars in thousands):</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86"/>
        </w:trPr>
        <w:tc>
          <w:tcPr>
            <w:tcW w:w="5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40" w:type="dxa"/>
            <w:vAlign w:val="bottom"/>
            <w:gridSpan w:val="6"/>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40" w:type="dxa"/>
            <w:vAlign w:val="bottom"/>
          </w:tcPr>
          <w:p>
            <w:pPr>
              <w:spacing w:after="0"/>
              <w:rPr>
                <w:sz w:val="24"/>
                <w:szCs w:val="24"/>
                <w:color w:val="auto"/>
              </w:rPr>
            </w:pPr>
          </w:p>
        </w:tc>
        <w:tc>
          <w:tcPr>
            <w:tcW w:w="2520" w:type="dxa"/>
            <w:vAlign w:val="bottom"/>
            <w:gridSpan w:val="11"/>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r>
      <w:tr>
        <w:trPr>
          <w:trHeight w:val="173"/>
        </w:trPr>
        <w:tc>
          <w:tcPr>
            <w:tcW w:w="58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5"/>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8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3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jc w:val="center"/>
              <w:ind w:right="277"/>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3"/>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Borders>
              <w:bottom w:val="single" w:sz="8" w:color="auto"/>
            </w:tcBorders>
            <w:gridSpan w:val="2"/>
          </w:tcPr>
          <w:p>
            <w:pPr>
              <w:jc w:val="right"/>
              <w:ind w:right="35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09"/>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Beginning of period</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(66 )</w:t>
            </w:r>
          </w:p>
        </w:tc>
        <w:tc>
          <w:tcPr>
            <w:tcW w:w="3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(272 )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(72 )</w:t>
            </w:r>
          </w:p>
        </w:tc>
        <w:tc>
          <w:tcPr>
            <w:tcW w:w="740" w:type="dxa"/>
            <w:vAlign w:val="bottom"/>
            <w:gridSpan w:val="2"/>
            <w:shd w:val="clear" w:color="auto" w:fill="CFF0FC"/>
          </w:tcPr>
          <w:p>
            <w:pPr>
              <w:jc w:val="right"/>
              <w:ind w:right="40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(86 )</w:t>
            </w:r>
          </w:p>
        </w:tc>
      </w:tr>
      <w:tr>
        <w:trPr>
          <w:trHeight w:val="216"/>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Reserve adjustment</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Credit loss expense</w:t>
            </w:r>
          </w:p>
        </w:tc>
        <w:tc>
          <w:tcPr>
            <w:tcW w:w="2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(75 )</w:t>
            </w:r>
          </w:p>
        </w:tc>
        <w:tc>
          <w:tcPr>
            <w:tcW w:w="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w w:val="96"/>
              </w:rPr>
              <w:t>(130 )</w:t>
            </w: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68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(190 )</w:t>
            </w:r>
          </w:p>
        </w:tc>
      </w:tr>
      <w:tr>
        <w:trPr>
          <w:trHeight w:val="216"/>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Write-off</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9"/>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End of period</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(130 )</w:t>
            </w:r>
          </w:p>
        </w:tc>
        <w:tc>
          <w:tcPr>
            <w:tcW w:w="3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(252 )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4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w w:val="96"/>
              </w:rPr>
              <w:t>(130 )</w:t>
            </w:r>
          </w:p>
        </w:tc>
        <w:tc>
          <w:tcPr>
            <w:tcW w:w="740" w:type="dxa"/>
            <w:vAlign w:val="bottom"/>
            <w:gridSpan w:val="2"/>
            <w:shd w:val="clear" w:color="auto" w:fill="CFF0FC"/>
          </w:tcPr>
          <w:p>
            <w:pPr>
              <w:jc w:val="right"/>
              <w:ind w:right="40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(252 )</w:t>
            </w:r>
          </w:p>
        </w:tc>
      </w:tr>
      <w:tr>
        <w:trPr>
          <w:trHeight w:val="480"/>
        </w:trPr>
        <w:tc>
          <w:tcPr>
            <w:tcW w:w="58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NOTE 5 — INVENTORIES</w:t>
            </w: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378"/>
        </w:trPr>
        <w:tc>
          <w:tcPr>
            <w:tcW w:w="8720" w:type="dxa"/>
            <w:vAlign w:val="bottom"/>
            <w:gridSpan w:val="9"/>
          </w:tcPr>
          <w:p>
            <w:pPr>
              <w:ind w:left="480"/>
              <w:spacing w:after="0"/>
              <w:rPr>
                <w:sz w:val="20"/>
                <w:szCs w:val="20"/>
                <w:color w:val="auto"/>
              </w:rPr>
            </w:pPr>
            <w:r>
              <w:rPr>
                <w:rFonts w:ascii="Times New Roman" w:cs="Times New Roman" w:eastAsia="Times New Roman" w:hAnsi="Times New Roman"/>
                <w:sz w:val="18"/>
                <w:szCs w:val="18"/>
                <w:color w:val="auto"/>
              </w:rPr>
              <w:t>As of December 31, 2024 and March 31, 2024, Orion's inventory balances were as follows (dollars in thousands):</w:t>
            </w: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8"/>
        </w:trPr>
        <w:tc>
          <w:tcPr>
            <w:tcW w:w="5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Inventories</w:t>
            </w:r>
          </w:p>
        </w:tc>
        <w:tc>
          <w:tcPr>
            <w:tcW w:w="5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 of December 31, 2024</w:t>
            </w: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16"/>
        </w:trPr>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Raw materials and components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Work in process</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Finished goods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9"/>
        </w:trPr>
        <w:tc>
          <w:tcPr>
            <w:tcW w:w="58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13,473</w:t>
            </w: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197"/>
        </w:trPr>
        <w:tc>
          <w:tcPr>
            <w:tcW w:w="5800" w:type="dxa"/>
            <w:vAlign w:val="bottom"/>
            <w:tcBorders>
              <w:top w:val="single" w:sz="8" w:color="CFF0FC"/>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900" w:type="dxa"/>
            <w:vAlign w:val="bottom"/>
            <w:tcBorders>
              <w:top w:val="single" w:sz="8" w:color="CFF0FC"/>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360" w:type="dxa"/>
            <w:vAlign w:val="bottom"/>
            <w:tcBorders>
              <w:top w:val="single" w:sz="8" w:color="CFF0FC"/>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620" w:type="dxa"/>
            <w:vAlign w:val="bottom"/>
            <w:tcBorders>
              <w:top w:val="single" w:sz="8" w:color="CFF0FC"/>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500" w:type="dxa"/>
            <w:vAlign w:val="bottom"/>
            <w:tcBorders>
              <w:top w:val="single" w:sz="8" w:color="CFF0FC"/>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 of March 31, 2024</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Raw materials and components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Work in process</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Finished goods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10,760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58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18,246</w:t>
            </w:r>
          </w:p>
        </w:tc>
        <w:tc>
          <w:tcPr>
            <w:tcW w:w="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-3925570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-3908425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-3925570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-3908425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-2425065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-2407920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-2425065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-2407920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-2425065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-2407920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-2425065</wp:posOffset>
            </wp:positionV>
            <wp:extent cx="7747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-2407920</wp:posOffset>
            </wp:positionV>
            <wp:extent cx="7747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-882015</wp:posOffset>
            </wp:positionV>
            <wp:extent cx="7747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-864870</wp:posOffset>
            </wp:positionV>
            <wp:extent cx="7747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PREPAID EXPENSES AND OTHER CURRENT ASSETS</w:t>
      </w:r>
    </w:p>
    <w:p>
      <w:pPr>
        <w:spacing w:after="0" w:line="216" w:lineRule="exact"/>
        <w:rPr>
          <w:sz w:val="20"/>
          <w:szCs w:val="20"/>
          <w:color w:val="auto"/>
        </w:rPr>
      </w:pPr>
    </w:p>
    <w:p>
      <w:pPr>
        <w:jc w:val="both"/>
        <w:ind w:firstLine="464"/>
        <w:spacing w:after="0" w:line="282" w:lineRule="auto"/>
        <w:rPr>
          <w:sz w:val="20"/>
          <w:szCs w:val="20"/>
          <w:color w:val="auto"/>
        </w:rPr>
      </w:pPr>
      <w:r>
        <w:rPr>
          <w:rFonts w:ascii="Times New Roman" w:cs="Times New Roman" w:eastAsia="Times New Roman" w:hAnsi="Times New Roman"/>
          <w:sz w:val="18"/>
          <w:szCs w:val="18"/>
          <w:color w:val="auto"/>
        </w:rPr>
        <w:t>Prepaid expenses and other current assets consist primarily of prepaid insurance premiums, debt issue costs, prepaid subscription fees and value added tax receivable. Prepaid expenses totaled $1.5 million and $1.3 million as of December 31, 2024 and March 31, 2024, respectively.</w:t>
      </w:r>
    </w:p>
    <w:p>
      <w:pPr>
        <w:spacing w:after="0" w:line="162" w:lineRule="exact"/>
        <w:rPr>
          <w:sz w:val="20"/>
          <w:szCs w:val="20"/>
          <w:color w:val="auto"/>
        </w:rPr>
      </w:pPr>
    </w:p>
    <w:p>
      <w:pPr>
        <w:jc w:val="both"/>
        <w:ind w:firstLine="464"/>
        <w:spacing w:after="0" w:line="282" w:lineRule="auto"/>
        <w:rPr>
          <w:sz w:val="20"/>
          <w:szCs w:val="20"/>
          <w:color w:val="auto"/>
        </w:rPr>
      </w:pPr>
      <w:r>
        <w:rPr>
          <w:rFonts w:ascii="Times New Roman" w:cs="Times New Roman" w:eastAsia="Times New Roman" w:hAnsi="Times New Roman"/>
          <w:sz w:val="18"/>
          <w:szCs w:val="18"/>
          <w:color w:val="auto"/>
        </w:rPr>
        <w:t>Other current assets as of December 31, 2024 and March 31, 2024 consists primarily of $0.3 million and $1.6 million, respectively, of prepaid software and services.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1" w:name="page12"/>
    <w:bookmarkEnd w:id="11"/>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PROPERTY AND EQUIPMENT</w:t>
      </w:r>
    </w:p>
    <w:p>
      <w:pPr>
        <w:spacing w:after="0" w:line="17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As of December 31, 2024 and March 31, 2024, property and equipment, net, included the following (dollars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2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Pr>
          <w:p>
            <w:pPr>
              <w:spacing w:after="0"/>
              <w:rPr>
                <w:sz w:val="13"/>
                <w:szCs w:val="13"/>
                <w:color w:val="auto"/>
              </w:rPr>
            </w:pPr>
          </w:p>
        </w:tc>
        <w:tc>
          <w:tcPr>
            <w:tcW w:w="140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73"/>
        </w:trPr>
        <w:tc>
          <w:tcPr>
            <w:tcW w:w="7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10"/>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4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building improvements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9,530</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9,504</w:t>
            </w:r>
          </w:p>
        </w:tc>
        <w:tc>
          <w:tcPr>
            <w:tcW w:w="100" w:type="dxa"/>
            <w:vAlign w:val="bottom"/>
          </w:tcPr>
          <w:p>
            <w:pPr>
              <w:spacing w:after="0"/>
              <w:rPr>
                <w:sz w:val="18"/>
                <w:szCs w:val="18"/>
                <w:color w:val="auto"/>
              </w:rPr>
            </w:pPr>
          </w:p>
        </w:tc>
      </w:tr>
      <w:tr>
        <w:trPr>
          <w:trHeight w:val="216"/>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Furniture, fixtures and office equipment</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7,886</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7,941</w:t>
            </w: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tcPr>
          <w:p>
            <w:pPr>
              <w:spacing w:after="0"/>
              <w:rPr>
                <w:sz w:val="18"/>
                <w:szCs w:val="18"/>
                <w:color w:val="auto"/>
              </w:rPr>
            </w:pPr>
          </w:p>
        </w:tc>
      </w:tr>
      <w:tr>
        <w:trPr>
          <w:trHeight w:val="216"/>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Equipment leased to customers</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4,997</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4,997</w:t>
            </w: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Plant equipment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11,013</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11,142</w:t>
            </w:r>
          </w:p>
        </w:tc>
        <w:tc>
          <w:tcPr>
            <w:tcW w:w="100" w:type="dxa"/>
            <w:vAlign w:val="bottom"/>
          </w:tcPr>
          <w:p>
            <w:pPr>
              <w:spacing w:after="0"/>
              <w:rPr>
                <w:sz w:val="18"/>
                <w:szCs w:val="18"/>
                <w:color w:val="auto"/>
              </w:rPr>
            </w:pPr>
          </w:p>
        </w:tc>
      </w:tr>
      <w:tr>
        <w:trPr>
          <w:trHeight w:val="216"/>
        </w:trPr>
        <w:tc>
          <w:tcPr>
            <w:tcW w:w="7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Vehicles</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2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5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Gross property and equipment</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34,886</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35,516</w:t>
            </w: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(26,483 )</w:t>
            </w:r>
          </w:p>
        </w:tc>
        <w:tc>
          <w:tcPr>
            <w:tcW w:w="28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(25,923 )</w:t>
            </w:r>
          </w:p>
        </w:tc>
      </w:tr>
      <w:tr>
        <w:trPr>
          <w:trHeight w:val="250"/>
        </w:trPr>
        <w:tc>
          <w:tcPr>
            <w:tcW w:w="75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8,403</w:t>
            </w:r>
          </w:p>
        </w:tc>
        <w:tc>
          <w:tcPr>
            <w:tcW w:w="2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9,593</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-453390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LEASES</w:t>
      </w:r>
    </w:p>
    <w:p>
      <w:pPr>
        <w:spacing w:after="0" w:line="17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From time to time, Orion leases assets from third parties. Orion also leases certain assets to third parties.</w:t>
      </w:r>
    </w:p>
    <w:p>
      <w:pPr>
        <w:spacing w:after="0" w:line="171" w:lineRule="exact"/>
        <w:rPr>
          <w:sz w:val="20"/>
          <w:szCs w:val="20"/>
          <w:color w:val="auto"/>
        </w:rPr>
      </w:pPr>
    </w:p>
    <w:p>
      <w:pPr>
        <w:jc w:val="both"/>
        <w:ind w:firstLine="464"/>
        <w:spacing w:after="0" w:line="261" w:lineRule="auto"/>
        <w:rPr>
          <w:sz w:val="20"/>
          <w:szCs w:val="20"/>
          <w:color w:val="auto"/>
        </w:rPr>
      </w:pPr>
      <w:r>
        <w:rPr>
          <w:rFonts w:ascii="Times New Roman" w:cs="Times New Roman" w:eastAsia="Times New Roman" w:hAnsi="Times New Roman"/>
          <w:sz w:val="18"/>
          <w:szCs w:val="18"/>
          <w:color w:val="auto"/>
        </w:rPr>
        <w:t>Orion accounts for leases in accordance with Accounting Standards Codification ("ASC") 842. Under ASC 842, both finance and operating lease ROU assets and lease liabilities for leases with initial terms in excess of 12 months are recognized at the commencement date based on the present value of lease payments over the lease term. Orion recognizes lease expense for leases with an initial term of 12 months or less, referred to as short term leases, on a straight-line basis over the lease term.</w:t>
      </w:r>
    </w:p>
    <w:p>
      <w:pPr>
        <w:spacing w:after="0" w:line="12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 summary of Orion’s assets leased from third parties follows (dollars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60" w:type="dxa"/>
            <w:vAlign w:val="bottom"/>
          </w:tcPr>
          <w:p>
            <w:pPr>
              <w:spacing w:after="0"/>
              <w:rPr>
                <w:sz w:val="15"/>
                <w:szCs w:val="15"/>
                <w:color w:val="auto"/>
              </w:rPr>
            </w:pPr>
          </w:p>
        </w:tc>
        <w:tc>
          <w:tcPr>
            <w:tcW w:w="3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sheet classification</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4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March 31, 2024</w:t>
            </w:r>
          </w:p>
        </w:tc>
      </w:tr>
      <w:tr>
        <w:trPr>
          <w:trHeight w:val="209"/>
        </w:trPr>
        <w:tc>
          <w:tcPr>
            <w:tcW w:w="3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3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640" w:type="dxa"/>
            <w:vAlign w:val="bottom"/>
            <w:tcBorders>
              <w:top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6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assets</w:t>
            </w:r>
          </w:p>
        </w:tc>
        <w:tc>
          <w:tcPr>
            <w:tcW w:w="3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long-term assets</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w:t>
            </w:r>
          </w:p>
        </w:tc>
        <w:tc>
          <w:tcPr>
            <w:tcW w:w="120" w:type="dxa"/>
            <w:vAlign w:val="bottom"/>
          </w:tcPr>
          <w:p>
            <w:pPr>
              <w:spacing w:after="0"/>
              <w:rPr>
                <w:sz w:val="18"/>
                <w:szCs w:val="18"/>
                <w:color w:val="auto"/>
              </w:rPr>
            </w:pPr>
          </w:p>
        </w:tc>
      </w:tr>
      <w:tr>
        <w:trPr>
          <w:trHeight w:val="216"/>
        </w:trPr>
        <w:tc>
          <w:tcPr>
            <w:tcW w:w="3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460" w:type="dxa"/>
            <w:vAlign w:val="bottom"/>
            <w:shd w:val="clear" w:color="auto" w:fill="CFF0FC"/>
          </w:tcPr>
          <w:p>
            <w:pPr>
              <w:jc w:val="center"/>
              <w:ind w:right="1130"/>
              <w:spacing w:after="0"/>
              <w:rPr>
                <w:sz w:val="20"/>
                <w:szCs w:val="20"/>
                <w:color w:val="auto"/>
              </w:rPr>
            </w:pPr>
            <w:r>
              <w:rPr>
                <w:rFonts w:ascii="Times New Roman" w:cs="Times New Roman" w:eastAsia="Times New Roman" w:hAnsi="Times New Roman"/>
                <w:sz w:val="18"/>
                <w:szCs w:val="18"/>
                <w:color w:val="auto"/>
                <w:w w:val="99"/>
              </w:rPr>
              <w:t>Operating lease liabilities</w:t>
            </w:r>
          </w:p>
        </w:tc>
        <w:tc>
          <w:tcPr>
            <w:tcW w:w="33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6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120" w:type="dxa"/>
            <w:vAlign w:val="bottom"/>
            <w:shd w:val="clear" w:color="auto" w:fill="CFF0FC"/>
          </w:tcPr>
          <w:p>
            <w:pPr>
              <w:spacing w:after="0"/>
              <w:rPr>
                <w:sz w:val="18"/>
                <w:szCs w:val="18"/>
                <w:color w:val="auto"/>
              </w:rPr>
            </w:pPr>
          </w:p>
        </w:tc>
      </w:tr>
      <w:tr>
        <w:trPr>
          <w:trHeight w:val="216"/>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3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460" w:type="dxa"/>
            <w:vAlign w:val="bottom"/>
            <w:tcBorders>
              <w:bottom w:val="single" w:sz="8" w:color="CFF0FC"/>
            </w:tcBorders>
            <w:shd w:val="clear" w:color="auto" w:fill="CFF0FC"/>
          </w:tcPr>
          <w:p>
            <w:pPr>
              <w:jc w:val="center"/>
              <w:ind w:right="1130"/>
              <w:spacing w:after="0"/>
              <w:rPr>
                <w:sz w:val="20"/>
                <w:szCs w:val="20"/>
                <w:color w:val="auto"/>
              </w:rPr>
            </w:pPr>
            <w:r>
              <w:rPr>
                <w:rFonts w:ascii="Times New Roman" w:cs="Times New Roman" w:eastAsia="Times New Roman" w:hAnsi="Times New Roman"/>
                <w:sz w:val="18"/>
                <w:szCs w:val="18"/>
                <w:color w:val="auto"/>
                <w:w w:val="99"/>
              </w:rPr>
              <w:t>Operating lease liabilities</w:t>
            </w:r>
          </w:p>
        </w:tc>
        <w:tc>
          <w:tcPr>
            <w:tcW w:w="338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3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1,121</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3460" w:type="dxa"/>
            <w:vAlign w:val="bottom"/>
          </w:tcPr>
          <w:p>
            <w:pPr>
              <w:jc w:val="center"/>
              <w:ind w:right="1110"/>
              <w:spacing w:after="0"/>
              <w:rPr>
                <w:sz w:val="20"/>
                <w:szCs w:val="20"/>
                <w:color w:val="auto"/>
              </w:rPr>
            </w:pPr>
            <w:r>
              <w:rPr>
                <w:rFonts w:ascii="Times New Roman" w:cs="Times New Roman" w:eastAsia="Times New Roman" w:hAnsi="Times New Roman"/>
                <w:sz w:val="18"/>
                <w:szCs w:val="18"/>
                <w:color w:val="auto"/>
                <w:w w:val="99"/>
              </w:rPr>
              <w:t>Total lease liabilities</w:t>
            </w:r>
          </w:p>
        </w:tc>
        <w:tc>
          <w:tcPr>
            <w:tcW w:w="338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2,111</w:t>
            </w:r>
          </w:p>
        </w:tc>
        <w:tc>
          <w:tcPr>
            <w:tcW w:w="120" w:type="dxa"/>
            <w:vAlign w:val="bottom"/>
          </w:tcPr>
          <w:p>
            <w:pPr>
              <w:spacing w:after="0"/>
              <w:rPr>
                <w:sz w:val="18"/>
                <w:szCs w:val="18"/>
                <w:color w:val="auto"/>
              </w:rPr>
            </w:pPr>
          </w:p>
        </w:tc>
      </w:tr>
      <w:tr>
        <w:trPr>
          <w:trHeight w:val="20"/>
        </w:trPr>
        <w:tc>
          <w:tcPr>
            <w:tcW w:w="34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-170815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jc w:val="both"/>
        <w:ind w:firstLine="469"/>
        <w:spacing w:after="0" w:line="282" w:lineRule="auto"/>
        <w:rPr>
          <w:sz w:val="20"/>
          <w:szCs w:val="20"/>
          <w:color w:val="auto"/>
        </w:rPr>
      </w:pPr>
      <w:r>
        <w:rPr>
          <w:rFonts w:ascii="Times New Roman" w:cs="Times New Roman" w:eastAsia="Times New Roman" w:hAnsi="Times New Roman"/>
          <w:sz w:val="18"/>
          <w:szCs w:val="18"/>
          <w:color w:val="auto"/>
        </w:rPr>
        <w:t>Orion had operating lease costs of $0.3 million and $0.9 million for the three and nine months ended December 31, 2024, respectively. Orion had operating lease costs of $0.5 million and $1.5 million for the three and nine months ended December 31, 2023, respectively.</w:t>
      </w:r>
    </w:p>
    <w:p>
      <w:pPr>
        <w:spacing w:after="0" w:line="16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estimated maturity of lease liabilities for each of the remaining years is shown below (dollars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Maturity of Lease Liabilities</w:t>
            </w:r>
          </w:p>
        </w:tc>
        <w:tc>
          <w:tcPr>
            <w:tcW w:w="5300" w:type="dxa"/>
            <w:vAlign w:val="bottom"/>
          </w:tcPr>
          <w:p>
            <w:pPr>
              <w:spacing w:after="0"/>
              <w:rPr>
                <w:sz w:val="20"/>
                <w:szCs w:val="20"/>
                <w:color w:val="auto"/>
              </w:rPr>
            </w:pPr>
          </w:p>
        </w:tc>
        <w:tc>
          <w:tcPr>
            <w:tcW w:w="1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3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Fiscal 2025 (period remaining)</w:t>
            </w:r>
          </w:p>
        </w:tc>
        <w:tc>
          <w:tcPr>
            <w:tcW w:w="6720" w:type="dxa"/>
            <w:vAlign w:val="bottom"/>
            <w:gridSpan w:val="2"/>
            <w:shd w:val="clear" w:color="auto" w:fill="CFF0FC"/>
          </w:tcPr>
          <w:p>
            <w:pPr>
              <w:ind w:left="53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shd w:val="clear" w:color="auto" w:fill="CFF0FC"/>
          </w:tcPr>
          <w:p>
            <w:pPr>
              <w:spacing w:after="0"/>
              <w:rPr>
                <w:sz w:val="18"/>
                <w:szCs w:val="18"/>
                <w:color w:val="auto"/>
              </w:rPr>
            </w:pPr>
          </w:p>
        </w:tc>
      </w:tr>
      <w:tr>
        <w:trPr>
          <w:trHeight w:val="216"/>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2026</w:t>
            </w:r>
          </w:p>
        </w:tc>
        <w:tc>
          <w:tcPr>
            <w:tcW w:w="5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100" w:type="dxa"/>
            <w:vAlign w:val="bottom"/>
          </w:tcPr>
          <w:p>
            <w:pPr>
              <w:spacing w:after="0"/>
              <w:rPr>
                <w:sz w:val="18"/>
                <w:szCs w:val="18"/>
                <w:color w:val="auto"/>
              </w:rPr>
            </w:pPr>
          </w:p>
        </w:tc>
      </w:tr>
      <w:tr>
        <w:trPr>
          <w:trHeight w:val="216"/>
        </w:trPr>
        <w:tc>
          <w:tcPr>
            <w:tcW w:w="3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Fiscal 2027</w:t>
            </w:r>
          </w:p>
        </w:tc>
        <w:tc>
          <w:tcPr>
            <w:tcW w:w="53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shd w:val="clear" w:color="auto" w:fill="CFF0FC"/>
          </w:tcPr>
          <w:p>
            <w:pPr>
              <w:spacing w:after="0"/>
              <w:rPr>
                <w:sz w:val="18"/>
                <w:szCs w:val="18"/>
                <w:color w:val="auto"/>
              </w:rPr>
            </w:pPr>
          </w:p>
        </w:tc>
      </w:tr>
      <w:tr>
        <w:trPr>
          <w:trHeight w:val="216"/>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300" w:type="dxa"/>
            <w:vAlign w:val="bottom"/>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09"/>
        </w:trPr>
        <w:tc>
          <w:tcPr>
            <w:tcW w:w="3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5300" w:type="dxa"/>
            <w:vAlign w:val="bottom"/>
            <w:tcBorders>
              <w:bottom w:val="single" w:sz="8" w:color="CFF0FC"/>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3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Less: Interest</w:t>
            </w:r>
          </w:p>
        </w:tc>
        <w:tc>
          <w:tcPr>
            <w:tcW w:w="5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(50 )</w:t>
            </w:r>
          </w:p>
        </w:tc>
      </w:tr>
      <w:tr>
        <w:trPr>
          <w:trHeight w:val="249"/>
        </w:trPr>
        <w:tc>
          <w:tcPr>
            <w:tcW w:w="3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530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629"/>
        </w:trPr>
        <w:tc>
          <w:tcPr>
            <w:tcW w:w="3920" w:type="dxa"/>
            <w:vAlign w:val="bottom"/>
          </w:tcPr>
          <w:p>
            <w:pPr>
              <w:spacing w:after="0"/>
              <w:rPr>
                <w:sz w:val="24"/>
                <w:szCs w:val="24"/>
                <w:color w:val="auto"/>
              </w:rPr>
            </w:pPr>
          </w:p>
        </w:tc>
        <w:tc>
          <w:tcPr>
            <w:tcW w:w="5300" w:type="dxa"/>
            <w:vAlign w:val="bottom"/>
          </w:tcPr>
          <w:p>
            <w:pPr>
              <w:jc w:val="right"/>
              <w:ind w:right="3410"/>
              <w:spacing w:after="0"/>
              <w:rPr>
                <w:sz w:val="20"/>
                <w:szCs w:val="20"/>
                <w:color w:val="auto"/>
              </w:rPr>
            </w:pPr>
            <w:r>
              <w:rPr>
                <w:rFonts w:ascii="Times New Roman" w:cs="Times New Roman" w:eastAsia="Times New Roman" w:hAnsi="Times New Roman"/>
                <w:sz w:val="18"/>
                <w:szCs w:val="18"/>
                <w:color w:val="auto"/>
              </w:rPr>
              <w:t>12</w:t>
            </w:r>
          </w:p>
        </w:tc>
        <w:tc>
          <w:tcPr>
            <w:tcW w:w="1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3920" w:type="dxa"/>
            <w:vAlign w:val="bottom"/>
            <w:tcBorders>
              <w:bottom w:val="single" w:sz="8" w:color="9A9A9A"/>
            </w:tcBorders>
          </w:tcPr>
          <w:p>
            <w:pPr>
              <w:spacing w:after="0"/>
              <w:rPr>
                <w:sz w:val="24"/>
                <w:szCs w:val="24"/>
                <w:color w:val="auto"/>
              </w:rPr>
            </w:pPr>
          </w:p>
        </w:tc>
        <w:tc>
          <w:tcPr>
            <w:tcW w:w="530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-1224915</wp:posOffset>
            </wp:positionV>
            <wp:extent cx="685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t>Assets Orion Leases to Other Parties</w:t>
      </w:r>
    </w:p>
    <w:p>
      <w:pPr>
        <w:spacing w:after="0" w:line="175" w:lineRule="exact"/>
        <w:rPr>
          <w:sz w:val="20"/>
          <w:szCs w:val="20"/>
          <w:color w:val="auto"/>
        </w:rPr>
      </w:pPr>
    </w:p>
    <w:p>
      <w:pPr>
        <w:jc w:val="both"/>
        <w:ind w:firstLine="464"/>
        <w:spacing w:after="0" w:line="261" w:lineRule="auto"/>
        <w:rPr>
          <w:sz w:val="20"/>
          <w:szCs w:val="20"/>
          <w:color w:val="auto"/>
        </w:rPr>
      </w:pPr>
      <w:r>
        <w:rPr>
          <w:rFonts w:ascii="Times New Roman" w:cs="Times New Roman" w:eastAsia="Times New Roman" w:hAnsi="Times New Roman"/>
          <w:sz w:val="18"/>
          <w:szCs w:val="18"/>
          <w:color w:val="auto"/>
        </w:rPr>
        <w:t>Orion provides long-term financing to one customer who engages Orion in large turnkey projects that span between three and nine months. The customer executes an agreement providing for monthly payments, at a fixed monthly amount, of the contract price, plus interest, over typically a five-year period. The total transaction price in these contracts is allocated between product and services in the same manner as all other turnkey projects. The portion of the transaction associated with the installation is accounted for consistently with all other installation related performance obligations under ASC 606.</w:t>
      </w:r>
    </w:p>
    <w:p>
      <w:pPr>
        <w:spacing w:after="0" w:line="126" w:lineRule="exact"/>
        <w:rPr>
          <w:sz w:val="20"/>
          <w:szCs w:val="20"/>
          <w:color w:val="auto"/>
        </w:rPr>
      </w:pPr>
    </w:p>
    <w:p>
      <w:pPr>
        <w:jc w:val="both"/>
        <w:ind w:firstLine="464"/>
        <w:spacing w:after="0" w:line="266" w:lineRule="auto"/>
        <w:rPr>
          <w:sz w:val="20"/>
          <w:szCs w:val="20"/>
          <w:color w:val="auto"/>
        </w:rPr>
      </w:pPr>
      <w:r>
        <w:rPr>
          <w:rFonts w:ascii="Times New Roman" w:cs="Times New Roman" w:eastAsia="Times New Roman" w:hAnsi="Times New Roman"/>
          <w:sz w:val="18"/>
          <w:szCs w:val="18"/>
          <w:color w:val="auto"/>
        </w:rPr>
        <w:t>While Orion retains ownership of the light fixtures during the financing period, the transaction terms and the underlying economics associated with used lighting fixtures results in Orion essentially ceding ownership of the lighting fixtures to the customer after completion of the agreement. Therefore, the portions of the transaction associated with the sale of the multiple individual light fixtures is accounted for as a sales-type lease under ASC 842.</w:t>
      </w:r>
    </w:p>
    <w:p>
      <w:pPr>
        <w:spacing w:after="0" w:line="122" w:lineRule="exact"/>
        <w:rPr>
          <w:sz w:val="20"/>
          <w:szCs w:val="20"/>
          <w:color w:val="auto"/>
        </w:rPr>
      </w:pPr>
    </w:p>
    <w:p>
      <w:pPr>
        <w:jc w:val="both"/>
        <w:ind w:firstLine="464"/>
        <w:spacing w:after="0" w:line="261" w:lineRule="auto"/>
        <w:rPr>
          <w:sz w:val="20"/>
          <w:szCs w:val="20"/>
          <w:color w:val="auto"/>
        </w:rPr>
      </w:pPr>
      <w:r>
        <w:rPr>
          <w:rFonts w:ascii="Times New Roman" w:cs="Times New Roman" w:eastAsia="Times New Roman" w:hAnsi="Times New Roman"/>
          <w:sz w:val="18"/>
          <w:szCs w:val="18"/>
          <w:color w:val="auto"/>
        </w:rPr>
        <w:t>Revenues, and production and acquisition costs, associated with sales-type leases are included in Product revenue and Cost of product revenue in the Consolidated Statement of Operations. These amounts are recorded for each fixture separately based on the customer’s monthly acknowledgment that specified fixtures have been installed and are operating as specified. The execution of the acknowledgment is considered the commencement date as defined in ASC 842.</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chart shows the amount of revenue and cost of sales arising from sales-type leases during the quarter ended December 31, 2024 and 2023 (dollars in thousands):</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80" w:type="dxa"/>
            <w:vAlign w:val="bottom"/>
          </w:tcPr>
          <w:p>
            <w:pPr>
              <w:spacing w:after="0"/>
              <w:rPr>
                <w:sz w:val="15"/>
                <w:szCs w:val="15"/>
                <w:color w:val="auto"/>
              </w:rPr>
            </w:pPr>
          </w:p>
        </w:tc>
        <w:tc>
          <w:tcPr>
            <w:tcW w:w="2840" w:type="dxa"/>
            <w:vAlign w:val="bottom"/>
            <w:gridSpan w:val="4"/>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Nine Months Ended December 31,</w:t>
            </w:r>
          </w:p>
        </w:tc>
      </w:tr>
      <w:tr>
        <w:trPr>
          <w:trHeight w:val="142"/>
        </w:trPr>
        <w:tc>
          <w:tcPr>
            <w:tcW w:w="4480" w:type="dxa"/>
            <w:vAlign w:val="bottom"/>
          </w:tcPr>
          <w:p>
            <w:pPr>
              <w:spacing w:after="0"/>
              <w:rPr>
                <w:sz w:val="12"/>
                <w:szCs w:val="12"/>
                <w:color w:val="auto"/>
              </w:rPr>
            </w:pPr>
          </w:p>
        </w:tc>
        <w:tc>
          <w:tcPr>
            <w:tcW w:w="1020" w:type="dxa"/>
            <w:vAlign w:val="bottom"/>
            <w:tcBorders>
              <w:top w:val="single" w:sz="8" w:color="auto"/>
              <w:bottom w:val="single" w:sz="8" w:color="auto"/>
            </w:tcBorders>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Borders>
              <w:top w:val="single" w:sz="8" w:color="auto"/>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51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53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37"/>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Product revenue</w:t>
            </w:r>
          </w:p>
        </w:tc>
        <w:tc>
          <w:tcPr>
            <w:tcW w:w="1020" w:type="dxa"/>
            <w:vAlign w:val="bottom"/>
            <w:shd w:val="clear" w:color="auto" w:fill="CFF0FC"/>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380" w:type="dxa"/>
            <w:vAlign w:val="bottom"/>
            <w:gridSpan w:val="2"/>
            <w:shd w:val="clear" w:color="auto" w:fill="CFF0FC"/>
          </w:tcPr>
          <w:p>
            <w:pPr>
              <w:jc w:val="right"/>
              <w:ind w:right="948"/>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w w:val="99"/>
              </w:rPr>
              <w:t>—</w:t>
            </w:r>
          </w:p>
        </w:tc>
        <w:tc>
          <w:tcPr>
            <w:tcW w:w="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6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ind w:left="9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product revenue</w:t>
            </w:r>
          </w:p>
        </w:tc>
        <w:tc>
          <w:tcPr>
            <w:tcW w:w="1020" w:type="dxa"/>
            <w:vAlign w:val="bottom"/>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380" w:type="dxa"/>
            <w:vAlign w:val="bottom"/>
            <w:gridSpan w:val="2"/>
          </w:tcPr>
          <w:p>
            <w:pPr>
              <w:jc w:val="right"/>
              <w:ind w:right="948"/>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GOODWILL AND OTHER INTANGIBLE ASSETS</w:t>
      </w:r>
    </w:p>
    <w:p>
      <w:pPr>
        <w:spacing w:after="0" w:line="175" w:lineRule="exact"/>
        <w:rPr>
          <w:sz w:val="20"/>
          <w:szCs w:val="20"/>
          <w:color w:val="auto"/>
        </w:rPr>
      </w:pPr>
    </w:p>
    <w:p>
      <w:pPr>
        <w:jc w:val="both"/>
        <w:ind w:firstLine="464"/>
        <w:spacing w:after="0" w:line="282" w:lineRule="auto"/>
        <w:rPr>
          <w:sz w:val="20"/>
          <w:szCs w:val="20"/>
          <w:color w:val="auto"/>
        </w:rPr>
      </w:pPr>
      <w:r>
        <w:rPr>
          <w:rFonts w:ascii="Times New Roman" w:cs="Times New Roman" w:eastAsia="Times New Roman" w:hAnsi="Times New Roman"/>
          <w:sz w:val="18"/>
          <w:szCs w:val="18"/>
          <w:color w:val="auto"/>
        </w:rPr>
        <w:t>Orion had $0.9 million of goodwill related to its purchase of Voltrek LLC ("Voltrek") in the third quarter of fiscal 2023, which has an indefinite life, and is assigned to the EV Charging operating segment.</w:t>
      </w:r>
    </w:p>
    <w:p>
      <w:pPr>
        <w:spacing w:after="0" w:line="108" w:lineRule="exact"/>
        <w:rPr>
          <w:sz w:val="20"/>
          <w:szCs w:val="20"/>
          <w:color w:val="auto"/>
        </w:rPr>
      </w:pPr>
    </w:p>
    <w:p>
      <w:pPr>
        <w:jc w:val="both"/>
        <w:ind w:right="20" w:firstLine="464"/>
        <w:spacing w:after="0" w:line="282" w:lineRule="auto"/>
        <w:rPr>
          <w:sz w:val="20"/>
          <w:szCs w:val="20"/>
          <w:color w:val="auto"/>
        </w:rPr>
      </w:pPr>
      <w:r>
        <w:rPr>
          <w:rFonts w:ascii="Times New Roman" w:cs="Times New Roman" w:eastAsia="Times New Roman" w:hAnsi="Times New Roman"/>
          <w:sz w:val="18"/>
          <w:szCs w:val="18"/>
          <w:color w:val="auto"/>
        </w:rPr>
        <w:t>Orion had $0.6 million of goodwill related to its purchase of Stay-Light Lighting, Inc. during fiscal year 2022, which has an indefinite life, and is assigned to the Maintenance operating segment.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3" w:name="page14"/>
    <w:bookmarkEnd w:id="13"/>
    <w:p>
      <w:pPr>
        <w:jc w:val="both"/>
        <w:ind w:firstLine="464"/>
        <w:spacing w:after="0" w:line="282" w:lineRule="auto"/>
        <w:rPr>
          <w:sz w:val="20"/>
          <w:szCs w:val="20"/>
          <w:color w:val="auto"/>
        </w:rPr>
      </w:pPr>
      <w:r>
        <w:rPr>
          <w:rFonts w:ascii="Times New Roman" w:cs="Times New Roman" w:eastAsia="Times New Roman" w:hAnsi="Times New Roman"/>
          <w:sz w:val="18"/>
          <w:szCs w:val="18"/>
          <w:color w:val="auto"/>
        </w:rPr>
        <w:t>As of December 31, 2024 and March 31, 2024, the components of, and changes in, the carrying amount of other intangible assets, net, were as follows (dollars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4"/>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jc w:val="center"/>
              <w:ind w:right="108"/>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20" w:type="dxa"/>
            <w:vAlign w:val="bottom"/>
          </w:tcPr>
          <w:p>
            <w:pPr>
              <w:spacing w:after="0"/>
              <w:rPr>
                <w:sz w:val="10"/>
                <w:szCs w:val="10"/>
                <w:color w:val="auto"/>
              </w:rPr>
            </w:pPr>
          </w:p>
        </w:tc>
        <w:tc>
          <w:tcPr>
            <w:tcW w:w="112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jc w:val="center"/>
              <w:ind w:right="68"/>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20" w:type="dxa"/>
            <w:vAlign w:val="bottom"/>
          </w:tcPr>
          <w:p>
            <w:pPr>
              <w:spacing w:after="0"/>
              <w:rPr>
                <w:sz w:val="10"/>
                <w:szCs w:val="10"/>
                <w:color w:val="auto"/>
              </w:rPr>
            </w:pPr>
          </w:p>
        </w:tc>
        <w:tc>
          <w:tcPr>
            <w:tcW w:w="114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2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Net</w:t>
            </w:r>
          </w:p>
        </w:tc>
        <w:tc>
          <w:tcPr>
            <w:tcW w:w="2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2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73"/>
        </w:trPr>
        <w:tc>
          <w:tcPr>
            <w:tcW w:w="3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Amortized Intangible Assets</w:t>
            </w:r>
          </w:p>
        </w:tc>
        <w:tc>
          <w:tcPr>
            <w:tcW w:w="140" w:type="dxa"/>
            <w:vAlign w:val="bottom"/>
          </w:tcPr>
          <w:p>
            <w:pPr>
              <w:spacing w:after="0"/>
              <w:rPr>
                <w:sz w:val="15"/>
                <w:szCs w:val="15"/>
                <w:color w:val="auto"/>
              </w:rPr>
            </w:pPr>
          </w:p>
        </w:tc>
        <w:tc>
          <w:tcPr>
            <w:tcW w:w="78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5"/>
                <w:szCs w:val="15"/>
                <w:color w:val="auto"/>
              </w:rPr>
            </w:pPr>
          </w:p>
        </w:tc>
        <w:tc>
          <w:tcPr>
            <w:tcW w:w="112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5"/>
                <w:szCs w:val="15"/>
                <w:color w:val="auto"/>
              </w:rPr>
            </w:pPr>
          </w:p>
        </w:tc>
        <w:tc>
          <w:tcPr>
            <w:tcW w:w="114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3400" w:type="dxa"/>
            <w:vAlign w:val="bottom"/>
            <w:vMerge w:val="continue"/>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34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Patents</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2,528</w:t>
            </w:r>
          </w:p>
        </w:tc>
        <w:tc>
          <w:tcPr>
            <w:tcW w:w="460" w:type="dxa"/>
            <w:vAlign w:val="bottom"/>
            <w:gridSpan w:val="2"/>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(2,110 )</w:t>
            </w:r>
          </w:p>
        </w:tc>
        <w:tc>
          <w:tcPr>
            <w:tcW w:w="1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418</w:t>
            </w:r>
          </w:p>
        </w:tc>
        <w:tc>
          <w:tcPr>
            <w:tcW w:w="1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2,521</w:t>
            </w:r>
          </w:p>
        </w:tc>
        <w:tc>
          <w:tcPr>
            <w:tcW w:w="5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(2,029 )</w:t>
            </w:r>
          </w:p>
        </w:tc>
        <w:tc>
          <w:tcPr>
            <w:tcW w:w="2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492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340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460" w:type="dxa"/>
            <w:vAlign w:val="bottom"/>
            <w:gridSpan w:val="2"/>
            <w:vMerge w:val="continue"/>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340" w:type="dxa"/>
            <w:vAlign w:val="bottom"/>
            <w:gridSpan w:val="2"/>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520" w:type="dxa"/>
            <w:vAlign w:val="bottom"/>
            <w:gridSpan w:val="2"/>
            <w:vMerge w:val="continue"/>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34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Licenses</w:t>
            </w:r>
          </w:p>
        </w:tc>
        <w:tc>
          <w:tcPr>
            <w:tcW w:w="140" w:type="dxa"/>
            <w:vAlign w:val="bottom"/>
            <w:tcBorders>
              <w:bottom w:val="single" w:sz="8" w:color="CFF0FC"/>
            </w:tcBorders>
            <w:shd w:val="clear" w:color="auto" w:fill="CFF0FC"/>
          </w:tcPr>
          <w:p>
            <w:pPr>
              <w:spacing w:after="0"/>
              <w:rPr>
                <w:sz w:val="17"/>
                <w:szCs w:val="17"/>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2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88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(58 )</w:t>
            </w:r>
          </w:p>
        </w:tc>
        <w:tc>
          <w:tcPr>
            <w:tcW w:w="180" w:type="dxa"/>
            <w:vAlign w:val="bottom"/>
            <w:tcBorders>
              <w:bottom w:val="single" w:sz="8" w:color="CFF0FC"/>
            </w:tcBorders>
            <w:shd w:val="clear" w:color="auto" w:fill="CFF0FC"/>
          </w:tcPr>
          <w:p>
            <w:pPr>
              <w:spacing w:after="0"/>
              <w:rPr>
                <w:sz w:val="17"/>
                <w:szCs w:val="17"/>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22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84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(58 )</w:t>
            </w:r>
          </w:p>
        </w:tc>
        <w:tc>
          <w:tcPr>
            <w:tcW w:w="22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34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Trade name and trademarks</w:t>
            </w:r>
          </w:p>
        </w:tc>
        <w:tc>
          <w:tcPr>
            <w:tcW w:w="14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(134 )</w:t>
            </w:r>
          </w:p>
        </w:tc>
        <w:tc>
          <w:tcPr>
            <w:tcW w:w="18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1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(90 )</w:t>
            </w:r>
          </w:p>
        </w:tc>
        <w:tc>
          <w:tcPr>
            <w:tcW w:w="22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3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4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Customer relationships</w:t>
            </w:r>
          </w:p>
        </w:tc>
        <w:tc>
          <w:tcPr>
            <w:tcW w:w="140" w:type="dxa"/>
            <w:vAlign w:val="bottom"/>
            <w:tcBorders>
              <w:bottom w:val="single" w:sz="8" w:color="CFF0FC"/>
            </w:tcBorders>
            <w:shd w:val="clear" w:color="auto" w:fill="CFF0FC"/>
          </w:tcPr>
          <w:p>
            <w:pPr>
              <w:spacing w:after="0"/>
              <w:rPr>
                <w:sz w:val="17"/>
                <w:szCs w:val="17"/>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2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88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(4,646 )</w:t>
            </w:r>
          </w:p>
        </w:tc>
        <w:tc>
          <w:tcPr>
            <w:tcW w:w="180" w:type="dxa"/>
            <w:vAlign w:val="bottom"/>
            <w:tcBorders>
              <w:bottom w:val="single" w:sz="8" w:color="CFF0FC"/>
            </w:tcBorders>
            <w:shd w:val="clear" w:color="auto" w:fill="CFF0FC"/>
          </w:tcPr>
          <w:p>
            <w:pPr>
              <w:spacing w:after="0"/>
              <w:rPr>
                <w:sz w:val="17"/>
                <w:szCs w:val="17"/>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354</w:t>
            </w:r>
          </w:p>
        </w:tc>
        <w:tc>
          <w:tcPr>
            <w:tcW w:w="11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2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22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84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(4,296 )</w:t>
            </w:r>
          </w:p>
        </w:tc>
        <w:tc>
          <w:tcPr>
            <w:tcW w:w="220" w:type="dxa"/>
            <w:vAlign w:val="bottom"/>
            <w:tcBorders>
              <w:bottom w:val="single" w:sz="8" w:color="CFF0FC"/>
            </w:tcBorders>
            <w:shd w:val="clear" w:color="auto" w:fill="CFF0FC"/>
          </w:tcPr>
          <w:p>
            <w:pPr>
              <w:spacing w:after="0"/>
              <w:rPr>
                <w:sz w:val="17"/>
                <w:szCs w:val="17"/>
                <w:color w:val="auto"/>
              </w:rPr>
            </w:pPr>
          </w:p>
        </w:tc>
        <w:tc>
          <w:tcPr>
            <w:tcW w:w="7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704</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34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Vendor relationships</w:t>
            </w:r>
          </w:p>
        </w:tc>
        <w:tc>
          <w:tcPr>
            <w:tcW w:w="14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2,600</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(833 )</w:t>
            </w:r>
          </w:p>
        </w:tc>
        <w:tc>
          <w:tcPr>
            <w:tcW w:w="18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1,767</w:t>
            </w:r>
          </w:p>
        </w:tc>
        <w:tc>
          <w:tcPr>
            <w:tcW w:w="1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2,600</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(554 )</w:t>
            </w:r>
          </w:p>
        </w:tc>
        <w:tc>
          <w:tcPr>
            <w:tcW w:w="22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2,046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3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34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Developed technology</w:t>
            </w:r>
          </w:p>
        </w:tc>
        <w:tc>
          <w:tcPr>
            <w:tcW w:w="140" w:type="dxa"/>
            <w:vAlign w:val="bottom"/>
            <w:tcBorders>
              <w:bottom w:val="single" w:sz="8" w:color="CFF0FC"/>
            </w:tcBorders>
            <w:shd w:val="clear" w:color="auto" w:fill="CFF0FC"/>
          </w:tcPr>
          <w:p>
            <w:pPr>
              <w:spacing w:after="0"/>
              <w:rPr>
                <w:sz w:val="15"/>
                <w:szCs w:val="15"/>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900</w:t>
            </w:r>
          </w:p>
        </w:tc>
        <w:tc>
          <w:tcPr>
            <w:tcW w:w="22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88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(900 )</w:t>
            </w:r>
          </w:p>
        </w:tc>
        <w:tc>
          <w:tcPr>
            <w:tcW w:w="180" w:type="dxa"/>
            <w:vAlign w:val="bottom"/>
            <w:tcBorders>
              <w:bottom w:val="single" w:sz="8" w:color="CFF0FC"/>
            </w:tcBorders>
            <w:shd w:val="clear" w:color="auto" w:fill="CFF0FC"/>
          </w:tcPr>
          <w:p>
            <w:pPr>
              <w:spacing w:after="0"/>
              <w:rPr>
                <w:sz w:val="15"/>
                <w:szCs w:val="15"/>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900</w:t>
            </w:r>
          </w:p>
        </w:tc>
        <w:tc>
          <w:tcPr>
            <w:tcW w:w="22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CFF0FC"/>
            </w:tcBorders>
            <w:shd w:val="clear" w:color="auto" w:fill="CFF0FC"/>
          </w:tcPr>
          <w:p>
            <w:pPr>
              <w:spacing w:after="0"/>
              <w:rPr>
                <w:sz w:val="15"/>
                <w:szCs w:val="15"/>
                <w:color w:val="auto"/>
              </w:rPr>
            </w:pPr>
          </w:p>
        </w:tc>
        <w:tc>
          <w:tcPr>
            <w:tcW w:w="84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(900 )</w:t>
            </w:r>
          </w:p>
        </w:tc>
        <w:tc>
          <w:tcPr>
            <w:tcW w:w="220" w:type="dxa"/>
            <w:vAlign w:val="bottom"/>
            <w:tcBorders>
              <w:bottom w:val="single" w:sz="8" w:color="CFF0FC"/>
            </w:tcBorders>
            <w:shd w:val="clear" w:color="auto" w:fill="CFF0FC"/>
          </w:tcPr>
          <w:p>
            <w:pPr>
              <w:spacing w:after="0"/>
              <w:rPr>
                <w:sz w:val="15"/>
                <w:szCs w:val="15"/>
                <w:color w:val="auto"/>
              </w:rPr>
            </w:pPr>
          </w:p>
        </w:tc>
        <w:tc>
          <w:tcPr>
            <w:tcW w:w="86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34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4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 Amortized Intangible Assets</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11,386</w:t>
            </w:r>
          </w:p>
        </w:tc>
        <w:tc>
          <w:tcPr>
            <w:tcW w:w="220" w:type="dxa"/>
            <w:vAlign w:val="bottom"/>
            <w:vMerge w:val="restart"/>
          </w:tcPr>
          <w:p>
            <w:pPr>
              <w:spacing w:after="0"/>
              <w:rPr>
                <w:sz w:val="15"/>
                <w:szCs w:val="15"/>
                <w:color w:val="auto"/>
              </w:rPr>
            </w:pPr>
          </w:p>
        </w:tc>
        <w:tc>
          <w:tcPr>
            <w:tcW w:w="2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(8,681 )</w:t>
            </w:r>
          </w:p>
        </w:tc>
        <w:tc>
          <w:tcPr>
            <w:tcW w:w="1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2,705</w:t>
            </w:r>
          </w:p>
        </w:tc>
        <w:tc>
          <w:tcPr>
            <w:tcW w:w="1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11,379</w:t>
            </w:r>
          </w:p>
        </w:tc>
        <w:tc>
          <w:tcPr>
            <w:tcW w:w="5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(7,927 )</w:t>
            </w:r>
          </w:p>
        </w:tc>
        <w:tc>
          <w:tcPr>
            <w:tcW w:w="2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3,452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3400" w:type="dxa"/>
            <w:vAlign w:val="bottom"/>
          </w:tcPr>
          <w:p>
            <w:pPr>
              <w:spacing w:after="0"/>
              <w:rPr>
                <w:sz w:val="2"/>
                <w:szCs w:val="2"/>
                <w:color w:val="auto"/>
              </w:rPr>
            </w:pPr>
          </w:p>
        </w:tc>
        <w:tc>
          <w:tcPr>
            <w:tcW w:w="14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220" w:type="dxa"/>
            <w:vAlign w:val="bottom"/>
            <w:vMerge w:val="continue"/>
          </w:tcPr>
          <w:p>
            <w:pPr>
              <w:spacing w:after="0"/>
              <w:rPr>
                <w:sz w:val="2"/>
                <w:szCs w:val="2"/>
                <w:color w:val="auto"/>
              </w:rPr>
            </w:pPr>
          </w:p>
        </w:tc>
        <w:tc>
          <w:tcPr>
            <w:tcW w:w="240" w:type="dxa"/>
            <w:vAlign w:val="bottom"/>
            <w:vMerge w:val="continue"/>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180" w:type="dxa"/>
            <w:vAlign w:val="bottom"/>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340" w:type="dxa"/>
            <w:vAlign w:val="bottom"/>
            <w:gridSpan w:val="2"/>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520" w:type="dxa"/>
            <w:vAlign w:val="bottom"/>
            <w:gridSpan w:val="2"/>
            <w:vMerge w:val="continue"/>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220" w:type="dxa"/>
            <w:vAlign w:val="bottom"/>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3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Indefinite-lived Intangible Assets</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34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Trade name and trademarks</w:t>
            </w: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1,010</w:t>
            </w:r>
          </w:p>
        </w:tc>
        <w:tc>
          <w:tcPr>
            <w:tcW w:w="220" w:type="dxa"/>
            <w:vAlign w:val="bottom"/>
            <w:vMerge w:val="restart"/>
            <w:shd w:val="clear" w:color="auto" w:fill="CFF0FC"/>
          </w:tcPr>
          <w:p>
            <w:pPr>
              <w:spacing w:after="0"/>
              <w:rPr>
                <w:sz w:val="15"/>
                <w:szCs w:val="15"/>
                <w:color w:val="auto"/>
              </w:rPr>
            </w:pPr>
          </w:p>
        </w:tc>
        <w:tc>
          <w:tcPr>
            <w:tcW w:w="240" w:type="dxa"/>
            <w:vAlign w:val="bottom"/>
            <w:vMerge w:val="restart"/>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shd w:val="clear" w:color="auto" w:fill="CFF0FC"/>
          </w:tcPr>
          <w:p>
            <w:pPr>
              <w:spacing w:after="0"/>
              <w:rPr>
                <w:sz w:val="15"/>
                <w:szCs w:val="15"/>
                <w:color w:val="auto"/>
              </w:rPr>
            </w:pPr>
          </w:p>
        </w:tc>
        <w:tc>
          <w:tcPr>
            <w:tcW w:w="180" w:type="dxa"/>
            <w:vAlign w:val="bottom"/>
            <w:vMerge w:val="restart"/>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1,010</w:t>
            </w:r>
          </w:p>
        </w:tc>
        <w:tc>
          <w:tcPr>
            <w:tcW w:w="22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20" w:type="dxa"/>
            <w:vAlign w:val="bottom"/>
            <w:vMerge w:val="restart"/>
            <w:shd w:val="clear" w:color="auto" w:fill="CFF0FC"/>
          </w:tcPr>
          <w:p>
            <w:pPr>
              <w:spacing w:after="0"/>
              <w:rPr>
                <w:sz w:val="15"/>
                <w:szCs w:val="15"/>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1,010</w:t>
            </w:r>
          </w:p>
        </w:tc>
        <w:tc>
          <w:tcPr>
            <w:tcW w:w="220" w:type="dxa"/>
            <w:vAlign w:val="bottom"/>
            <w:vMerge w:val="restart"/>
            <w:shd w:val="clear" w:color="auto" w:fill="CFF0FC"/>
          </w:tcPr>
          <w:p>
            <w:pPr>
              <w:spacing w:after="0"/>
              <w:rPr>
                <w:sz w:val="15"/>
                <w:szCs w:val="15"/>
                <w:color w:val="auto"/>
              </w:rPr>
            </w:pPr>
          </w:p>
        </w:tc>
        <w:tc>
          <w:tcPr>
            <w:tcW w:w="30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shd w:val="clear" w:color="auto" w:fill="CFF0FC"/>
          </w:tcPr>
          <w:p>
            <w:pPr>
              <w:spacing w:after="0"/>
              <w:rPr>
                <w:sz w:val="15"/>
                <w:szCs w:val="15"/>
                <w:color w:val="auto"/>
              </w:rPr>
            </w:pPr>
          </w:p>
        </w:tc>
        <w:tc>
          <w:tcPr>
            <w:tcW w:w="22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1,010</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3400" w:type="dxa"/>
            <w:vAlign w:val="bottom"/>
            <w:tcBorders>
              <w:bottom w:val="single" w:sz="8" w:color="CFF0FC"/>
            </w:tcBorders>
            <w:shd w:val="clear" w:color="auto" w:fill="CFF0FC"/>
          </w:tcPr>
          <w:p>
            <w:pPr>
              <w:spacing w:after="0"/>
              <w:rPr>
                <w:sz w:val="2"/>
                <w:szCs w:val="2"/>
                <w:color w:val="auto"/>
              </w:rPr>
            </w:pPr>
          </w:p>
        </w:tc>
        <w:tc>
          <w:tcPr>
            <w:tcW w:w="140" w:type="dxa"/>
            <w:vAlign w:val="bottom"/>
            <w:tcBorders>
              <w:bottom w:val="single" w:sz="8" w:color="auto"/>
            </w:tcBorders>
            <w:vMerge w:val="continue"/>
            <w:shd w:val="clear" w:color="auto" w:fill="CFF0FC"/>
          </w:tcPr>
          <w:p>
            <w:pPr>
              <w:spacing w:after="0"/>
              <w:rPr>
                <w:sz w:val="2"/>
                <w:szCs w:val="2"/>
                <w:color w:val="auto"/>
              </w:rPr>
            </w:pPr>
          </w:p>
        </w:tc>
        <w:tc>
          <w:tcPr>
            <w:tcW w:w="780" w:type="dxa"/>
            <w:vAlign w:val="bottom"/>
            <w:tcBorders>
              <w:bottom w:val="single" w:sz="8" w:color="auto"/>
            </w:tcBorders>
            <w:vMerge w:val="continue"/>
            <w:shd w:val="clear" w:color="auto" w:fill="CFF0FC"/>
          </w:tcPr>
          <w:p>
            <w:pPr>
              <w:spacing w:after="0"/>
              <w:rPr>
                <w:sz w:val="2"/>
                <w:szCs w:val="2"/>
                <w:color w:val="auto"/>
              </w:rPr>
            </w:pPr>
          </w:p>
        </w:tc>
        <w:tc>
          <w:tcPr>
            <w:tcW w:w="220" w:type="dxa"/>
            <w:vAlign w:val="bottom"/>
            <w:tcBorders>
              <w:bottom w:val="single" w:sz="8" w:color="CFF0FC"/>
            </w:tcBorders>
            <w:vMerge w:val="continue"/>
            <w:shd w:val="clear" w:color="auto" w:fill="CFF0FC"/>
          </w:tcPr>
          <w:p>
            <w:pPr>
              <w:spacing w:after="0"/>
              <w:rPr>
                <w:sz w:val="2"/>
                <w:szCs w:val="2"/>
                <w:color w:val="auto"/>
              </w:rPr>
            </w:pPr>
          </w:p>
        </w:tc>
        <w:tc>
          <w:tcPr>
            <w:tcW w:w="240" w:type="dxa"/>
            <w:vAlign w:val="bottom"/>
            <w:tcBorders>
              <w:bottom w:val="single" w:sz="8" w:color="auto"/>
            </w:tcBorders>
            <w:vMerge w:val="continue"/>
            <w:shd w:val="clear" w:color="auto" w:fill="CFF0FC"/>
          </w:tcPr>
          <w:p>
            <w:pPr>
              <w:spacing w:after="0"/>
              <w:rPr>
                <w:sz w:val="2"/>
                <w:szCs w:val="2"/>
                <w:color w:val="auto"/>
              </w:rPr>
            </w:pPr>
          </w:p>
        </w:tc>
        <w:tc>
          <w:tcPr>
            <w:tcW w:w="660" w:type="dxa"/>
            <w:vAlign w:val="bottom"/>
            <w:tcBorders>
              <w:bottom w:val="single" w:sz="8" w:color="auto"/>
            </w:tcBorders>
            <w:vMerge w:val="continue"/>
            <w:shd w:val="clear" w:color="auto" w:fill="CFF0FC"/>
          </w:tcPr>
          <w:p>
            <w:pPr>
              <w:spacing w:after="0"/>
              <w:rPr>
                <w:sz w:val="2"/>
                <w:szCs w:val="2"/>
                <w:color w:val="auto"/>
              </w:rPr>
            </w:pPr>
          </w:p>
        </w:tc>
        <w:tc>
          <w:tcPr>
            <w:tcW w:w="220" w:type="dxa"/>
            <w:vAlign w:val="bottom"/>
            <w:tcBorders>
              <w:bottom w:val="single" w:sz="8" w:color="CFF0FC"/>
            </w:tcBorders>
            <w:vMerge w:val="continue"/>
            <w:shd w:val="clear" w:color="auto" w:fill="CFF0FC"/>
          </w:tcPr>
          <w:p>
            <w:pPr>
              <w:spacing w:after="0"/>
              <w:rPr>
                <w:sz w:val="2"/>
                <w:szCs w:val="2"/>
                <w:color w:val="auto"/>
              </w:rPr>
            </w:pPr>
          </w:p>
        </w:tc>
        <w:tc>
          <w:tcPr>
            <w:tcW w:w="180" w:type="dxa"/>
            <w:vAlign w:val="bottom"/>
            <w:tcBorders>
              <w:bottom w:val="single" w:sz="8" w:color="auto"/>
            </w:tcBorders>
            <w:vMerge w:val="continue"/>
            <w:shd w:val="clear" w:color="auto" w:fill="CFF0FC"/>
          </w:tcPr>
          <w:p>
            <w:pPr>
              <w:spacing w:after="0"/>
              <w:rPr>
                <w:sz w:val="2"/>
                <w:szCs w:val="2"/>
                <w:color w:val="auto"/>
              </w:rPr>
            </w:pPr>
          </w:p>
        </w:tc>
        <w:tc>
          <w:tcPr>
            <w:tcW w:w="660" w:type="dxa"/>
            <w:vAlign w:val="bottom"/>
            <w:tcBorders>
              <w:bottom w:val="single" w:sz="8" w:color="auto"/>
            </w:tcBorders>
            <w:vMerge w:val="continue"/>
            <w:shd w:val="clear" w:color="auto" w:fill="CFF0FC"/>
          </w:tcPr>
          <w:p>
            <w:pPr>
              <w:spacing w:after="0"/>
              <w:rPr>
                <w:sz w:val="2"/>
                <w:szCs w:val="2"/>
                <w:color w:val="auto"/>
              </w:rPr>
            </w:pPr>
          </w:p>
        </w:tc>
        <w:tc>
          <w:tcPr>
            <w:tcW w:w="220" w:type="dxa"/>
            <w:vAlign w:val="bottom"/>
            <w:tcBorders>
              <w:bottom w:val="single" w:sz="8" w:color="CFF0FC"/>
            </w:tcBorders>
            <w:shd w:val="clear" w:color="auto" w:fill="CFF0FC"/>
          </w:tcPr>
          <w:p>
            <w:pPr>
              <w:spacing w:after="0"/>
              <w:rPr>
                <w:sz w:val="2"/>
                <w:szCs w:val="2"/>
                <w:color w:val="auto"/>
              </w:rPr>
            </w:pPr>
          </w:p>
        </w:tc>
        <w:tc>
          <w:tcPr>
            <w:tcW w:w="960" w:type="dxa"/>
            <w:vAlign w:val="bottom"/>
            <w:tcBorders>
              <w:bottom w:val="single" w:sz="8" w:color="CFF0FC"/>
            </w:tcBorders>
            <w:shd w:val="clear" w:color="auto" w:fill="CFF0FC"/>
          </w:tcPr>
          <w:p>
            <w:pPr>
              <w:spacing w:after="0"/>
              <w:rPr>
                <w:sz w:val="2"/>
                <w:szCs w:val="2"/>
                <w:color w:val="auto"/>
              </w:rPr>
            </w:pPr>
          </w:p>
        </w:tc>
        <w:tc>
          <w:tcPr>
            <w:tcW w:w="220" w:type="dxa"/>
            <w:vAlign w:val="bottom"/>
            <w:tcBorders>
              <w:bottom w:val="single" w:sz="8" w:color="CFF0FC"/>
            </w:tcBorders>
            <w:vMerge w:val="continue"/>
            <w:shd w:val="clear" w:color="auto" w:fill="CFF0FC"/>
          </w:tcPr>
          <w:p>
            <w:pPr>
              <w:spacing w:after="0"/>
              <w:rPr>
                <w:sz w:val="2"/>
                <w:szCs w:val="2"/>
                <w:color w:val="auto"/>
              </w:rPr>
            </w:pPr>
          </w:p>
        </w:tc>
        <w:tc>
          <w:tcPr>
            <w:tcW w:w="120" w:type="dxa"/>
            <w:vAlign w:val="bottom"/>
            <w:tcBorders>
              <w:bottom w:val="single" w:sz="8" w:color="auto"/>
            </w:tcBorders>
            <w:vMerge w:val="continue"/>
            <w:shd w:val="clear" w:color="auto" w:fill="CFF0FC"/>
          </w:tcPr>
          <w:p>
            <w:pPr>
              <w:spacing w:after="0"/>
              <w:rPr>
                <w:sz w:val="2"/>
                <w:szCs w:val="2"/>
                <w:color w:val="auto"/>
              </w:rPr>
            </w:pPr>
          </w:p>
        </w:tc>
        <w:tc>
          <w:tcPr>
            <w:tcW w:w="780" w:type="dxa"/>
            <w:vAlign w:val="bottom"/>
            <w:tcBorders>
              <w:bottom w:val="single" w:sz="8" w:color="auto"/>
            </w:tcBorders>
            <w:vMerge w:val="continue"/>
            <w:shd w:val="clear" w:color="auto" w:fill="CFF0FC"/>
          </w:tcPr>
          <w:p>
            <w:pPr>
              <w:spacing w:after="0"/>
              <w:rPr>
                <w:sz w:val="2"/>
                <w:szCs w:val="2"/>
                <w:color w:val="auto"/>
              </w:rPr>
            </w:pPr>
          </w:p>
        </w:tc>
        <w:tc>
          <w:tcPr>
            <w:tcW w:w="220" w:type="dxa"/>
            <w:vAlign w:val="bottom"/>
            <w:tcBorders>
              <w:bottom w:val="single" w:sz="8" w:color="CFF0FC"/>
            </w:tcBorders>
            <w:vMerge w:val="continue"/>
            <w:shd w:val="clear" w:color="auto" w:fill="CFF0FC"/>
          </w:tcPr>
          <w:p>
            <w:pPr>
              <w:spacing w:after="0"/>
              <w:rPr>
                <w:sz w:val="2"/>
                <w:szCs w:val="2"/>
                <w:color w:val="auto"/>
              </w:rPr>
            </w:pPr>
          </w:p>
        </w:tc>
        <w:tc>
          <w:tcPr>
            <w:tcW w:w="300" w:type="dxa"/>
            <w:vAlign w:val="bottom"/>
            <w:tcBorders>
              <w:bottom w:val="single" w:sz="8" w:color="auto"/>
            </w:tcBorders>
            <w:vMerge w:val="continue"/>
            <w:shd w:val="clear" w:color="auto" w:fill="CFF0FC"/>
          </w:tcPr>
          <w:p>
            <w:pPr>
              <w:spacing w:after="0"/>
              <w:rPr>
                <w:sz w:val="2"/>
                <w:szCs w:val="2"/>
                <w:color w:val="auto"/>
              </w:rPr>
            </w:pPr>
          </w:p>
        </w:tc>
        <w:tc>
          <w:tcPr>
            <w:tcW w:w="620" w:type="dxa"/>
            <w:vAlign w:val="bottom"/>
            <w:tcBorders>
              <w:bottom w:val="single" w:sz="8" w:color="auto"/>
            </w:tcBorders>
            <w:vMerge w:val="continue"/>
            <w:shd w:val="clear" w:color="auto" w:fill="CFF0FC"/>
          </w:tcPr>
          <w:p>
            <w:pPr>
              <w:spacing w:after="0"/>
              <w:rPr>
                <w:sz w:val="2"/>
                <w:szCs w:val="2"/>
                <w:color w:val="auto"/>
              </w:rPr>
            </w:pPr>
          </w:p>
        </w:tc>
        <w:tc>
          <w:tcPr>
            <w:tcW w:w="220" w:type="dxa"/>
            <w:vAlign w:val="bottom"/>
            <w:tcBorders>
              <w:bottom w:val="single" w:sz="8" w:color="CFF0FC"/>
            </w:tcBorders>
            <w:vMerge w:val="continue"/>
            <w:shd w:val="clear" w:color="auto" w:fill="CFF0FC"/>
          </w:tcPr>
          <w:p>
            <w:pPr>
              <w:spacing w:after="0"/>
              <w:rPr>
                <w:sz w:val="2"/>
                <w:szCs w:val="2"/>
                <w:color w:val="auto"/>
              </w:rPr>
            </w:pPr>
          </w:p>
        </w:tc>
        <w:tc>
          <w:tcPr>
            <w:tcW w:w="220" w:type="dxa"/>
            <w:vAlign w:val="bottom"/>
            <w:tcBorders>
              <w:bottom w:val="single" w:sz="8" w:color="auto"/>
            </w:tcBorders>
            <w:vMerge w:val="continue"/>
            <w:shd w:val="clear" w:color="auto" w:fill="CFF0FC"/>
          </w:tcPr>
          <w:p>
            <w:pPr>
              <w:spacing w:after="0"/>
              <w:rPr>
                <w:sz w:val="2"/>
                <w:szCs w:val="2"/>
                <w:color w:val="auto"/>
              </w:rPr>
            </w:pPr>
          </w:p>
        </w:tc>
        <w:tc>
          <w:tcPr>
            <w:tcW w:w="740" w:type="dxa"/>
            <w:vAlign w:val="bottom"/>
            <w:tcBorders>
              <w:bottom w:val="single" w:sz="8" w:color="auto"/>
            </w:tcBorders>
            <w:vMerge w:val="continue"/>
            <w:shd w:val="clear" w:color="auto" w:fill="CFF0FC"/>
          </w:tcPr>
          <w:p>
            <w:pPr>
              <w:spacing w:after="0"/>
              <w:rPr>
                <w:sz w:val="2"/>
                <w:szCs w:val="2"/>
                <w:color w:val="auto"/>
              </w:rPr>
            </w:pPr>
          </w:p>
        </w:tc>
        <w:tc>
          <w:tcPr>
            <w:tcW w:w="120" w:type="dxa"/>
            <w:vAlign w:val="bottom"/>
            <w:tcBorders>
              <w:bottom w:val="single" w:sz="8" w:color="CFF0FC"/>
            </w:tcBorders>
            <w:shd w:val="clear" w:color="auto" w:fill="CFF0FC"/>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34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 Non-Amortized Intangible Assets</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1,010</w:t>
            </w:r>
          </w:p>
        </w:tc>
        <w:tc>
          <w:tcPr>
            <w:tcW w:w="460" w:type="dxa"/>
            <w:vAlign w:val="bottom"/>
            <w:gridSpan w:val="2"/>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1,010</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1,010</w:t>
            </w:r>
          </w:p>
        </w:tc>
        <w:tc>
          <w:tcPr>
            <w:tcW w:w="5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1,010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3400" w:type="dxa"/>
            <w:vAlign w:val="bottom"/>
          </w:tcPr>
          <w:p>
            <w:pPr>
              <w:spacing w:after="0"/>
              <w:rPr>
                <w:sz w:val="3"/>
                <w:szCs w:val="3"/>
                <w:color w:val="auto"/>
              </w:rPr>
            </w:pPr>
          </w:p>
        </w:tc>
        <w:tc>
          <w:tcPr>
            <w:tcW w:w="14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60" w:type="dxa"/>
            <w:vAlign w:val="bottom"/>
            <w:gridSpan w:val="2"/>
            <w:vMerge w:val="continue"/>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180" w:type="dxa"/>
            <w:vAlign w:val="bottom"/>
            <w:vMerge w:val="continue"/>
          </w:tcPr>
          <w:p>
            <w:pPr>
              <w:spacing w:after="0"/>
              <w:rPr>
                <w:sz w:val="3"/>
                <w:szCs w:val="3"/>
                <w:color w:val="auto"/>
              </w:rPr>
            </w:pPr>
          </w:p>
        </w:tc>
        <w:tc>
          <w:tcPr>
            <w:tcW w:w="66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960" w:type="dxa"/>
            <w:vAlign w:val="bottom"/>
          </w:tcPr>
          <w:p>
            <w:pPr>
              <w:spacing w:after="0"/>
              <w:rPr>
                <w:sz w:val="3"/>
                <w:szCs w:val="3"/>
                <w:color w:val="auto"/>
              </w:rPr>
            </w:pPr>
          </w:p>
        </w:tc>
        <w:tc>
          <w:tcPr>
            <w:tcW w:w="340" w:type="dxa"/>
            <w:vAlign w:val="bottom"/>
            <w:gridSpan w:val="2"/>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520" w:type="dxa"/>
            <w:vAlign w:val="bottom"/>
            <w:gridSpan w:val="2"/>
            <w:vMerge w:val="continue"/>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22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2739390</wp:posOffset>
            </wp:positionH>
            <wp:positionV relativeFrom="paragraph">
              <wp:posOffset>-704850</wp:posOffset>
            </wp:positionV>
            <wp:extent cx="685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-704850</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-704850</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-704850</wp:posOffset>
            </wp:positionV>
            <wp:extent cx="685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-704850</wp:posOffset>
            </wp:positionV>
            <wp:extent cx="685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-704850</wp:posOffset>
            </wp:positionV>
            <wp:extent cx="685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-704850</wp:posOffset>
            </wp:positionV>
            <wp:extent cx="7747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2739390</wp:posOffset>
            </wp:positionH>
            <wp:positionV relativeFrom="paragraph">
              <wp:posOffset>-156210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-156210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-156210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-156210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-156210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-156210</wp:posOffset>
            </wp:positionV>
            <wp:extent cx="7747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07" w:lineRule="exact"/>
        <w:rPr>
          <w:sz w:val="20"/>
          <w:szCs w:val="20"/>
          <w:color w:val="auto"/>
        </w:rPr>
      </w:pPr>
    </w:p>
    <w:p>
      <w:pPr>
        <w:jc w:val="both"/>
        <w:ind w:firstLine="464"/>
        <w:spacing w:after="0" w:line="282" w:lineRule="auto"/>
        <w:rPr>
          <w:sz w:val="20"/>
          <w:szCs w:val="20"/>
          <w:color w:val="auto"/>
        </w:rPr>
      </w:pPr>
      <w:r>
        <w:rPr>
          <w:rFonts w:ascii="Times New Roman" w:cs="Times New Roman" w:eastAsia="Times New Roman" w:hAnsi="Times New Roman"/>
          <w:sz w:val="18"/>
          <w:szCs w:val="18"/>
          <w:color w:val="auto"/>
        </w:rPr>
        <w:t>Amortization expense on intangible assets was $0.3 million and $0.8 million for the three and nine months ended December 31, 2024 and 2023, respectively.</w:t>
      </w:r>
    </w:p>
    <w:p>
      <w:pPr>
        <w:spacing w:after="0" w:line="1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estimated amortization expense for the remainder of fiscal 2024, the next five fiscal years and beyond is shown below (dollars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Fiscal 2025 (period remaining)</w:t>
            </w:r>
          </w:p>
        </w:tc>
        <w:tc>
          <w:tcPr>
            <w:tcW w:w="800" w:type="dxa"/>
            <w:vAlign w:val="bottom"/>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20" w:type="dxa"/>
            <w:vAlign w:val="bottom"/>
            <w:shd w:val="clear" w:color="auto" w:fill="CFF0FC"/>
          </w:tcPr>
          <w:p>
            <w:pPr>
              <w:spacing w:after="0"/>
              <w:rPr>
                <w:sz w:val="18"/>
                <w:szCs w:val="18"/>
                <w:color w:val="auto"/>
              </w:rPr>
            </w:pPr>
          </w:p>
        </w:tc>
      </w:tr>
      <w:tr>
        <w:trPr>
          <w:trHeight w:val="216"/>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2026</w:t>
            </w:r>
          </w:p>
        </w:tc>
        <w:tc>
          <w:tcPr>
            <w:tcW w:w="8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20" w:type="dxa"/>
            <w:vAlign w:val="bottom"/>
          </w:tcPr>
          <w:p>
            <w:pPr>
              <w:spacing w:after="0"/>
              <w:rPr>
                <w:sz w:val="18"/>
                <w:szCs w:val="18"/>
                <w:color w:val="auto"/>
              </w:rPr>
            </w:pPr>
          </w:p>
        </w:tc>
      </w:tr>
      <w:tr>
        <w:trPr>
          <w:trHeight w:val="216"/>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Fiscal 2027</w:t>
            </w:r>
          </w:p>
        </w:tc>
        <w:tc>
          <w:tcPr>
            <w:tcW w:w="8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20" w:type="dxa"/>
            <w:vAlign w:val="bottom"/>
            <w:shd w:val="clear" w:color="auto" w:fill="CFF0FC"/>
          </w:tcPr>
          <w:p>
            <w:pPr>
              <w:spacing w:after="0"/>
              <w:rPr>
                <w:sz w:val="18"/>
                <w:szCs w:val="18"/>
                <w:color w:val="auto"/>
              </w:rPr>
            </w:pPr>
          </w:p>
        </w:tc>
      </w:tr>
      <w:tr>
        <w:trPr>
          <w:trHeight w:val="216"/>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2028</w:t>
            </w:r>
          </w:p>
        </w:tc>
        <w:tc>
          <w:tcPr>
            <w:tcW w:w="8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20" w:type="dxa"/>
            <w:vAlign w:val="bottom"/>
          </w:tcPr>
          <w:p>
            <w:pPr>
              <w:spacing w:after="0"/>
              <w:rPr>
                <w:sz w:val="18"/>
                <w:szCs w:val="18"/>
                <w:color w:val="auto"/>
              </w:rPr>
            </w:pPr>
          </w:p>
        </w:tc>
      </w:tr>
      <w:tr>
        <w:trPr>
          <w:trHeight w:val="216"/>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Fiscal 2029</w:t>
            </w:r>
          </w:p>
        </w:tc>
        <w:tc>
          <w:tcPr>
            <w:tcW w:w="8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20" w:type="dxa"/>
            <w:vAlign w:val="bottom"/>
            <w:shd w:val="clear" w:color="auto" w:fill="CFF0FC"/>
          </w:tcPr>
          <w:p>
            <w:pPr>
              <w:spacing w:after="0"/>
              <w:rPr>
                <w:sz w:val="18"/>
                <w:szCs w:val="18"/>
                <w:color w:val="auto"/>
              </w:rPr>
            </w:pPr>
          </w:p>
        </w:tc>
      </w:tr>
      <w:tr>
        <w:trPr>
          <w:trHeight w:val="216"/>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8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20" w:type="dxa"/>
            <w:vAlign w:val="bottom"/>
          </w:tcPr>
          <w:p>
            <w:pPr>
              <w:spacing w:after="0"/>
              <w:rPr>
                <w:sz w:val="18"/>
                <w:szCs w:val="18"/>
                <w:color w:val="auto"/>
              </w:rPr>
            </w:pPr>
          </w:p>
        </w:tc>
      </w:tr>
      <w:tr>
        <w:trPr>
          <w:trHeight w:val="250"/>
        </w:trPr>
        <w:tc>
          <w:tcPr>
            <w:tcW w:w="9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800" w:type="dxa"/>
            <w:vAlign w:val="bottom"/>
            <w:tcBorders>
              <w:bottom w:val="single" w:sz="8" w:color="auto"/>
            </w:tcBorders>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2,705</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ACCRUED EXPENSES AND OTHER</w:t>
      </w:r>
    </w:p>
    <w:p>
      <w:pPr>
        <w:spacing w:after="0" w:line="17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As of December 31, 2024 and March 31, 2024, accrued expenses and other included the following (dollars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73"/>
        </w:trPr>
        <w:tc>
          <w:tcPr>
            <w:tcW w:w="77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acquisition earn-out</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2,784</w:t>
            </w:r>
          </w:p>
        </w:tc>
        <w:tc>
          <w:tcPr>
            <w:tcW w:w="5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accruals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2,277</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1,854</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2,574</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2,255</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Credits due to customers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project costs</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2,419</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2,366</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Warranty</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Sales returns reserve</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tax</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Pr>
          <w:p>
            <w:pPr>
              <w:spacing w:after="0"/>
              <w:rPr>
                <w:sz w:val="18"/>
                <w:szCs w:val="18"/>
                <w:color w:val="auto"/>
              </w:rPr>
            </w:pPr>
          </w:p>
        </w:tc>
      </w:tr>
      <w:tr>
        <w:trPr>
          <w:trHeight w:val="21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Legal and professional fees</w:t>
            </w: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12,530</w:t>
            </w: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9,440</w:t>
            </w:r>
          </w:p>
        </w:tc>
        <w:tc>
          <w:tcPr>
            <w:tcW w:w="10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-170815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jc w:val="both"/>
        <w:ind w:right="20" w:firstLine="464"/>
        <w:spacing w:after="0" w:line="266" w:lineRule="auto"/>
        <w:rPr>
          <w:sz w:val="20"/>
          <w:szCs w:val="20"/>
          <w:color w:val="auto"/>
        </w:rPr>
      </w:pPr>
      <w:r>
        <w:rPr>
          <w:rFonts w:ascii="Times New Roman" w:cs="Times New Roman" w:eastAsia="Times New Roman" w:hAnsi="Times New Roman"/>
          <w:sz w:val="18"/>
          <w:szCs w:val="18"/>
          <w:color w:val="auto"/>
        </w:rPr>
        <w:t>Orion generally offers a limited warranty of one to ten years on its lighting products, including the pass through of standard warranties offered by major original equipment component manufacturers. The manufacturers’ warranties cover lamps, power supplies, LED modules, chips and drivers, control devices, and other fixture related items, which are significant components in Orion's lighting products.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4" w:name="page15"/>
    <w:bookmarkEnd w:id="14"/>
    <w:p>
      <w:pPr>
        <w:ind w:left="480"/>
        <w:spacing w:after="0"/>
        <w:rPr>
          <w:sz w:val="20"/>
          <w:szCs w:val="20"/>
          <w:color w:val="auto"/>
        </w:rPr>
      </w:pPr>
      <w:r>
        <w:rPr>
          <w:rFonts w:ascii="Times New Roman" w:cs="Times New Roman" w:eastAsia="Times New Roman" w:hAnsi="Times New Roman"/>
          <w:sz w:val="18"/>
          <w:szCs w:val="18"/>
          <w:color w:val="auto"/>
        </w:rPr>
        <w:t>Changes in Orion’s warranty accrual (both current and long-term) were as follows (dollars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3"/>
                <w:szCs w:val="13"/>
                <w:color w:val="auto"/>
              </w:rPr>
            </w:pPr>
          </w:p>
        </w:tc>
        <w:tc>
          <w:tcPr>
            <w:tcW w:w="21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0" w:type="dxa"/>
            <w:vAlign w:val="bottom"/>
            <w:gridSpan w:val="5"/>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r>
      <w:tr>
        <w:trPr>
          <w:trHeight w:val="173"/>
        </w:trPr>
        <w:tc>
          <w:tcPr>
            <w:tcW w:w="580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5800" w:type="dxa"/>
            <w:vAlign w:val="bottom"/>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r>
      <w:tr>
        <w:trPr>
          <w:trHeight w:val="209"/>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Beginning of period</w:t>
            </w:r>
          </w:p>
        </w:tc>
        <w:tc>
          <w:tcPr>
            <w:tcW w:w="760" w:type="dxa"/>
            <w:vAlign w:val="bottom"/>
            <w:shd w:val="clear" w:color="auto" w:fill="CFF0FC"/>
          </w:tcPr>
          <w:p>
            <w:pPr>
              <w:jc w:val="right"/>
              <w:ind w:right="579"/>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596"/>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20" w:type="dxa"/>
            <w:vAlign w:val="bottom"/>
            <w:shd w:val="clear" w:color="auto" w:fill="CFF0FC"/>
          </w:tcPr>
          <w:p>
            <w:pPr>
              <w:spacing w:after="0"/>
              <w:rPr>
                <w:sz w:val="18"/>
                <w:szCs w:val="18"/>
                <w:color w:val="auto"/>
              </w:rPr>
            </w:pPr>
          </w:p>
        </w:tc>
      </w:tr>
      <w:tr>
        <w:trPr>
          <w:trHeight w:val="216"/>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Accruals</w:t>
            </w:r>
          </w:p>
        </w:tc>
        <w:tc>
          <w:tcPr>
            <w:tcW w:w="7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20" w:type="dxa"/>
            <w:vAlign w:val="bottom"/>
          </w:tcPr>
          <w:p>
            <w:pPr>
              <w:spacing w:after="0"/>
              <w:rPr>
                <w:sz w:val="18"/>
                <w:szCs w:val="18"/>
                <w:color w:val="auto"/>
              </w:rPr>
            </w:pPr>
          </w:p>
        </w:tc>
      </w:tr>
      <w:tr>
        <w:trPr>
          <w:trHeight w:val="216"/>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Warranty claims (net of vendor reimbursements)</w:t>
            </w:r>
          </w:p>
        </w:tc>
        <w:tc>
          <w:tcPr>
            <w:tcW w:w="76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(122 )</w:t>
            </w:r>
          </w:p>
        </w:tc>
        <w:tc>
          <w:tcPr>
            <w:tcW w:w="80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w w:val="96"/>
              </w:rPr>
              <w:t>(125 )</w:t>
            </w: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(326 )</w:t>
            </w:r>
          </w:p>
        </w:tc>
        <w:tc>
          <w:tcPr>
            <w:tcW w:w="3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(241 )</w:t>
            </w:r>
          </w:p>
        </w:tc>
      </w:tr>
      <w:tr>
        <w:trPr>
          <w:trHeight w:val="210"/>
        </w:trPr>
        <w:tc>
          <w:tcPr>
            <w:tcW w:w="58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End of period</w:t>
            </w:r>
          </w:p>
        </w:tc>
        <w:tc>
          <w:tcPr>
            <w:tcW w:w="7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240" w:type="dxa"/>
            <w:vAlign w:val="bottom"/>
            <w:tcBorders>
              <w:top w:val="single" w:sz="8" w:color="CFF0FC"/>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596"/>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24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260" w:type="dxa"/>
            <w:vAlign w:val="bottom"/>
            <w:tcBorders>
              <w:top w:val="single" w:sz="8" w:color="CFF0FC"/>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120" w:type="dxa"/>
            <w:vAlign w:val="bottom"/>
            <w:tcBorders>
              <w:top w:val="single" w:sz="8" w:color="CFF0FC"/>
            </w:tcBorders>
          </w:tcPr>
          <w:p>
            <w:pPr>
              <w:spacing w:after="0"/>
              <w:rPr>
                <w:sz w:val="18"/>
                <w:szCs w:val="18"/>
                <w:color w:val="auto"/>
              </w:rPr>
            </w:pPr>
          </w:p>
        </w:tc>
      </w:tr>
      <w:tr>
        <w:trPr>
          <w:trHeight w:val="20"/>
        </w:trPr>
        <w:tc>
          <w:tcPr>
            <w:tcW w:w="58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-170815</wp:posOffset>
            </wp:positionV>
            <wp:extent cx="685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-170815</wp:posOffset>
            </wp:positionV>
            <wp:extent cx="685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-170815</wp:posOffset>
            </wp:positionV>
            <wp:extent cx="685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8" w:lineRule="exact"/>
        <w:rPr>
          <w:sz w:val="20"/>
          <w:szCs w:val="20"/>
          <w:color w:val="auto"/>
        </w:rPr>
      </w:pPr>
    </w:p>
    <w:p>
      <w:pPr>
        <w:jc w:val="both"/>
        <w:ind w:firstLine="464"/>
        <w:spacing w:after="0" w:line="256" w:lineRule="auto"/>
        <w:rPr>
          <w:sz w:val="20"/>
          <w:szCs w:val="20"/>
          <w:color w:val="auto"/>
        </w:rPr>
      </w:pPr>
      <w:r>
        <w:rPr>
          <w:rFonts w:ascii="Times New Roman" w:cs="Times New Roman" w:eastAsia="Times New Roman" w:hAnsi="Times New Roman"/>
          <w:sz w:val="18"/>
          <w:szCs w:val="18"/>
          <w:color w:val="auto"/>
        </w:rPr>
        <w:t>Effective on October 5, 2022, Orion acquired all the membership interests of Voltrek, an electric vehicle charging station solutions provider (the “Voltrek Acquisition”). The Voltrek Acquisition agreement provided that, depending upon the relative EBITDA growth of Voltrek’s business in fiscal 2023, 2024 and 2025, Orion could pay up to an additional $3.0 million, $3.5 million and $7.15 million, respectively, in earn-out payments. These compensatory payments do not fall within the scope of ASC 805, Business Combinations, and has been, and will be, expensed over the course of the earn-out periods to the extent they were or are earned. As of December 31, 2024, Orion has recorded $2.8 million to accrued acquisition earn-out that remains unpaid.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NET LOSS PER COMMON SHARE</w:t>
      </w:r>
    </w:p>
    <w:p>
      <w:pPr>
        <w:spacing w:after="0" w:line="175" w:lineRule="exact"/>
        <w:rPr>
          <w:sz w:val="20"/>
          <w:szCs w:val="20"/>
          <w:color w:val="auto"/>
        </w:rPr>
      </w:pPr>
    </w:p>
    <w:p>
      <w:pPr>
        <w:jc w:val="both"/>
        <w:ind w:right="20" w:firstLine="469"/>
        <w:spacing w:after="0" w:line="282" w:lineRule="auto"/>
        <w:rPr>
          <w:sz w:val="20"/>
          <w:szCs w:val="20"/>
          <w:color w:val="auto"/>
        </w:rPr>
      </w:pPr>
      <w:r>
        <w:rPr>
          <w:rFonts w:ascii="Times New Roman" w:cs="Times New Roman" w:eastAsia="Times New Roman" w:hAnsi="Times New Roman"/>
          <w:sz w:val="18"/>
          <w:szCs w:val="18"/>
          <w:color w:val="auto"/>
        </w:rPr>
        <w:t>Basic net loss per common share is computed by dividing net loss attributable to common shareholders by the weighted-average number of common shares outstanding for the period and does not consider common stock equivalents.</w:t>
      </w:r>
    </w:p>
    <w:p>
      <w:pPr>
        <w:spacing w:after="0" w:line="108" w:lineRule="exact"/>
        <w:rPr>
          <w:sz w:val="20"/>
          <w:szCs w:val="20"/>
          <w:color w:val="auto"/>
        </w:rPr>
      </w:pPr>
    </w:p>
    <w:p>
      <w:pPr>
        <w:jc w:val="both"/>
        <w:ind w:firstLine="469"/>
        <w:spacing w:after="0" w:line="261" w:lineRule="auto"/>
        <w:rPr>
          <w:sz w:val="20"/>
          <w:szCs w:val="20"/>
          <w:color w:val="auto"/>
        </w:rPr>
      </w:pPr>
      <w:r>
        <w:rPr>
          <w:rFonts w:ascii="Times New Roman" w:cs="Times New Roman" w:eastAsia="Times New Roman" w:hAnsi="Times New Roman"/>
          <w:sz w:val="18"/>
          <w:szCs w:val="18"/>
          <w:color w:val="auto"/>
        </w:rPr>
        <w:t>Diluted net loss per common share reflects the dilution that would occur if restricted shares were vested. In the computation of diluted net loss per common share, Orion uses the treasury stock method for outstanding options and restricted shares. For the three and nine months ended December 31, 2024 and 2023, Orion was in a net loss position; therefore, the Basic and Diluted weighted-average shares outstanding are equal because any increase to the basic shares would be anti-dilutive. Net loss per common share is calculated based upon the following shares: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580" w:type="dxa"/>
            <w:vAlign w:val="bottom"/>
            <w:gridSpan w:val="5"/>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00" w:type="dxa"/>
            <w:vAlign w:val="bottom"/>
          </w:tcPr>
          <w:p>
            <w:pPr>
              <w:spacing w:after="0"/>
              <w:rPr>
                <w:sz w:val="13"/>
                <w:szCs w:val="13"/>
                <w:color w:val="auto"/>
              </w:rPr>
            </w:pPr>
          </w:p>
        </w:tc>
        <w:tc>
          <w:tcPr>
            <w:tcW w:w="2460" w:type="dxa"/>
            <w:vAlign w:val="bottom"/>
            <w:gridSpan w:val="5"/>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0" w:type="dxa"/>
            <w:vAlign w:val="bottom"/>
          </w:tcPr>
          <w:p>
            <w:pPr>
              <w:spacing w:after="0"/>
              <w:rPr>
                <w:sz w:val="1"/>
                <w:szCs w:val="1"/>
                <w:color w:val="auto"/>
              </w:rPr>
            </w:pPr>
          </w:p>
        </w:tc>
      </w:tr>
      <w:tr>
        <w:trPr>
          <w:trHeight w:val="173"/>
        </w:trPr>
        <w:tc>
          <w:tcPr>
            <w:tcW w:w="58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8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3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3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 thousands)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(1,508 )</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(2,256 )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(8,890 )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(13,281 )</w:t>
            </w:r>
          </w:p>
        </w:tc>
        <w:tc>
          <w:tcPr>
            <w:tcW w:w="0" w:type="dxa"/>
            <w:vAlign w:val="bottom"/>
          </w:tcPr>
          <w:p>
            <w:pPr>
              <w:spacing w:after="0"/>
              <w:rPr>
                <w:sz w:val="1"/>
                <w:szCs w:val="1"/>
                <w:color w:val="auto"/>
              </w:rPr>
            </w:pPr>
          </w:p>
        </w:tc>
      </w:tr>
      <w:tr>
        <w:trPr>
          <w:trHeight w:val="216"/>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32,923,321</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32,531,563</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32,787,107</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32,460,398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800" w:type="dxa"/>
            <w:vAlign w:val="bottom"/>
            <w:shd w:val="clear" w:color="auto" w:fill="CFF0FC"/>
          </w:tcPr>
          <w:p>
            <w:pPr>
              <w:ind w:left="20"/>
              <w:spacing w:after="0" w:line="191" w:lineRule="exact"/>
              <w:rPr>
                <w:sz w:val="20"/>
                <w:szCs w:val="20"/>
                <w:color w:val="auto"/>
              </w:rPr>
            </w:pPr>
            <w:r>
              <w:rPr>
                <w:rFonts w:ascii="Times New Roman" w:cs="Times New Roman" w:eastAsia="Times New Roman" w:hAnsi="Times New Roman"/>
                <w:sz w:val="18"/>
                <w:szCs w:val="18"/>
                <w:color w:val="auto"/>
              </w:rPr>
              <w:t>Weighted-average common shares and common share</w:t>
            </w:r>
          </w:p>
        </w:tc>
        <w:tc>
          <w:tcPr>
            <w:tcW w:w="200" w:type="dxa"/>
            <w:vAlign w:val="bottom"/>
            <w:shd w:val="clear" w:color="auto" w:fill="CFF0FC"/>
          </w:tcPr>
          <w:p>
            <w:pPr>
              <w:spacing w:after="0"/>
              <w:rPr>
                <w:sz w:val="16"/>
                <w:szCs w:val="16"/>
                <w:color w:val="auto"/>
              </w:rPr>
            </w:pP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32,923,321</w:t>
            </w:r>
          </w:p>
        </w:tc>
        <w:tc>
          <w:tcPr>
            <w:tcW w:w="2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32,531,563</w:t>
            </w:r>
          </w:p>
        </w:tc>
        <w:tc>
          <w:tcPr>
            <w:tcW w:w="2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32,787,107</w:t>
            </w:r>
          </w:p>
        </w:tc>
        <w:tc>
          <w:tcPr>
            <w:tcW w:w="2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32,460,398</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800" w:type="dxa"/>
            <w:vAlign w:val="bottom"/>
            <w:tcBorders>
              <w:bottom w:val="single" w:sz="8" w:color="CFF0FC"/>
            </w:tcBorders>
            <w:shd w:val="clear" w:color="auto" w:fill="CFF0FC"/>
          </w:tcPr>
          <w:p>
            <w:pPr>
              <w:ind w:left="160"/>
              <w:spacing w:after="0" w:line="194" w:lineRule="exact"/>
              <w:rPr>
                <w:sz w:val="20"/>
                <w:szCs w:val="20"/>
                <w:color w:val="auto"/>
              </w:rPr>
            </w:pPr>
            <w:r>
              <w:rPr>
                <w:rFonts w:ascii="Times New Roman" w:cs="Times New Roman" w:eastAsia="Times New Roman" w:hAnsi="Times New Roman"/>
                <w:sz w:val="18"/>
                <w:szCs w:val="18"/>
                <w:color w:val="auto"/>
              </w:rPr>
              <w:t>equivalents outstanding</w:t>
            </w:r>
          </w:p>
        </w:tc>
        <w:tc>
          <w:tcPr>
            <w:tcW w:w="20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vMerge w:val="continue"/>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vMerge w:val="continue"/>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vMerge w:val="continue"/>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vMerge w:val="continue"/>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5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Net loss per common share:</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(0.05 )</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(0.07 )</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(0.27 )</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(0.41 )</w:t>
            </w:r>
          </w:p>
        </w:tc>
        <w:tc>
          <w:tcPr>
            <w:tcW w:w="0" w:type="dxa"/>
            <w:vAlign w:val="bottom"/>
          </w:tcPr>
          <w:p>
            <w:pPr>
              <w:spacing w:after="0"/>
              <w:rPr>
                <w:sz w:val="1"/>
                <w:szCs w:val="1"/>
                <w:color w:val="auto"/>
              </w:rPr>
            </w:pPr>
          </w:p>
        </w:tc>
      </w:tr>
      <w:tr>
        <w:trPr>
          <w:trHeight w:val="234"/>
        </w:trPr>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(0.05 )</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(0.07 )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(0.27 )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(0.41 )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-448310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-431165</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-448310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-431165</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-448310</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-431165</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-448310</wp:posOffset>
            </wp:positionV>
            <wp:extent cx="7747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-431165</wp:posOffset>
            </wp:positionV>
            <wp:extent cx="7747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05" w:lineRule="exact"/>
        <w:rPr>
          <w:sz w:val="20"/>
          <w:szCs w:val="20"/>
          <w:color w:val="auto"/>
        </w:rPr>
      </w:pPr>
    </w:p>
    <w:p>
      <w:pPr>
        <w:jc w:val="both"/>
        <w:ind w:firstLine="464"/>
        <w:spacing w:after="0" w:line="282" w:lineRule="auto"/>
        <w:rPr>
          <w:sz w:val="20"/>
          <w:szCs w:val="20"/>
          <w:color w:val="auto"/>
        </w:rPr>
      </w:pPr>
      <w:r>
        <w:rPr>
          <w:rFonts w:ascii="Times New Roman" w:cs="Times New Roman" w:eastAsia="Times New Roman" w:hAnsi="Times New Roman"/>
          <w:sz w:val="18"/>
          <w:szCs w:val="18"/>
          <w:color w:val="auto"/>
        </w:rPr>
        <w:t>The following table indicates the number of potentially dilutive securities excluded from the calculation of Diluted net loss per common share because their inclusion would have been anti-dilutive. The number of shares is as of the end of each period: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6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00" w:type="dxa"/>
            <w:vAlign w:val="bottom"/>
          </w:tcPr>
          <w:p>
            <w:pPr>
              <w:spacing w:after="0"/>
              <w:rPr>
                <w:sz w:val="13"/>
                <w:szCs w:val="13"/>
                <w:color w:val="auto"/>
              </w:rPr>
            </w:pPr>
          </w:p>
        </w:tc>
        <w:tc>
          <w:tcPr>
            <w:tcW w:w="268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0" w:type="dxa"/>
            <w:vAlign w:val="bottom"/>
          </w:tcPr>
          <w:p>
            <w:pPr>
              <w:spacing w:after="0"/>
              <w:rPr>
                <w:sz w:val="1"/>
                <w:szCs w:val="1"/>
                <w:color w:val="auto"/>
              </w:rPr>
            </w:pPr>
          </w:p>
        </w:tc>
      </w:tr>
      <w:tr>
        <w:trPr>
          <w:trHeight w:val="173"/>
        </w:trPr>
        <w:tc>
          <w:tcPr>
            <w:tcW w:w="41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780" w:type="dxa"/>
            <w:vAlign w:val="bottom"/>
            <w:tcBorders>
              <w:bottom w:val="single" w:sz="8" w:color="auto"/>
            </w:tcBorders>
            <w:gridSpan w:val="3"/>
          </w:tcPr>
          <w:p>
            <w:pPr>
              <w:jc w:val="center"/>
              <w:ind w:left="70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760" w:type="dxa"/>
            <w:vAlign w:val="bottom"/>
            <w:tcBorders>
              <w:bottom w:val="single" w:sz="8" w:color="auto"/>
            </w:tcBorders>
            <w:gridSpan w:val="3"/>
          </w:tcPr>
          <w:p>
            <w:pPr>
              <w:ind w:left="8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Time-Based Restricted shares</w:t>
            </w:r>
          </w:p>
        </w:tc>
        <w:tc>
          <w:tcPr>
            <w:tcW w:w="1640" w:type="dxa"/>
            <w:vAlign w:val="bottom"/>
          </w:tcPr>
          <w:p>
            <w:pPr>
              <w:spacing w:after="0"/>
              <w:rPr>
                <w:sz w:val="12"/>
                <w:szCs w:val="12"/>
                <w:color w:val="auto"/>
              </w:rPr>
            </w:pPr>
          </w:p>
        </w:tc>
        <w:tc>
          <w:tcPr>
            <w:tcW w:w="1180" w:type="dxa"/>
            <w:vAlign w:val="bottom"/>
            <w:tcBorders>
              <w:bottom w:val="single" w:sz="8" w:color="auto"/>
            </w:tcBorders>
          </w:tcPr>
          <w:p>
            <w:pPr>
              <w:ind w:left="44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7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1160" w:type="dxa"/>
            <w:vAlign w:val="bottom"/>
            <w:tcBorders>
              <w:bottom w:val="single" w:sz="8" w:color="auto"/>
            </w:tcBorders>
          </w:tcPr>
          <w:p>
            <w:pPr>
              <w:ind w:left="44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7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120" w:type="dxa"/>
            <w:vAlign w:val="bottom"/>
            <w:vMerge w:val="continue"/>
          </w:tcPr>
          <w:p>
            <w:pPr>
              <w:spacing w:after="0"/>
              <w:rPr>
                <w:sz w:val="18"/>
                <w:szCs w:val="18"/>
                <w:color w:val="auto"/>
              </w:rPr>
            </w:pPr>
          </w:p>
        </w:tc>
        <w:tc>
          <w:tcPr>
            <w:tcW w:w="1640" w:type="dxa"/>
            <w:vAlign w:val="bottom"/>
          </w:tcPr>
          <w:p>
            <w:pPr>
              <w:spacing w:after="0"/>
              <w:rPr>
                <w:sz w:val="18"/>
                <w:szCs w:val="18"/>
                <w:color w:val="auto"/>
              </w:rPr>
            </w:pPr>
          </w:p>
        </w:tc>
        <w:tc>
          <w:tcPr>
            <w:tcW w:w="118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9"/>
              </w:rPr>
              <w:t>1,329,556</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881,870</w:t>
            </w:r>
          </w:p>
        </w:tc>
        <w:tc>
          <w:tcPr>
            <w:tcW w:w="200" w:type="dxa"/>
            <w:vAlign w:val="bottom"/>
          </w:tcPr>
          <w:p>
            <w:pPr>
              <w:spacing w:after="0"/>
              <w:rPr>
                <w:sz w:val="18"/>
                <w:szCs w:val="18"/>
                <w:color w:val="auto"/>
              </w:rPr>
            </w:pPr>
          </w:p>
        </w:tc>
        <w:tc>
          <w:tcPr>
            <w:tcW w:w="116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9"/>
              </w:rPr>
              <w:t>1,329,556</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881,870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Performance-Based Restricted shares</w:t>
            </w:r>
          </w:p>
        </w:tc>
        <w:tc>
          <w:tcPr>
            <w:tcW w:w="164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w w:val="99"/>
              </w:rPr>
              <w:t>1,529,936</w:t>
            </w:r>
          </w:p>
        </w:tc>
        <w:tc>
          <w:tcPr>
            <w:tcW w:w="2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708,377</w:t>
            </w:r>
          </w:p>
        </w:tc>
        <w:tc>
          <w:tcPr>
            <w:tcW w:w="20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w w:val="99"/>
              </w:rPr>
              <w:t>1,529,936</w:t>
            </w:r>
          </w:p>
        </w:tc>
        <w:tc>
          <w:tcPr>
            <w:tcW w:w="22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708,377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2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w w:val="99"/>
              </w:rPr>
              <w:t>2,859,492</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1,590,247</w:t>
            </w:r>
          </w:p>
        </w:tc>
        <w:tc>
          <w:tcPr>
            <w:tcW w:w="13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w w:val="99"/>
              </w:rPr>
              <w:t>2,859,492</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1,590,247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120" w:type="dxa"/>
            <w:vAlign w:val="bottom"/>
          </w:tcPr>
          <w:p>
            <w:pPr>
              <w:spacing w:after="0"/>
              <w:rPr>
                <w:sz w:val="24"/>
                <w:szCs w:val="24"/>
                <w:color w:val="auto"/>
              </w:rPr>
            </w:pPr>
          </w:p>
        </w:tc>
        <w:tc>
          <w:tcPr>
            <w:tcW w:w="164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12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-1079500</wp:posOffset>
            </wp:positionV>
            <wp:extent cx="7747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-1079500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-1079500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NOTE 12 — LONG-TERM DEBT</w:t>
      </w:r>
    </w:p>
    <w:p>
      <w:pPr>
        <w:spacing w:after="0" w:line="17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Long-term debt, including the revolving credit facility, consisted of the following (dollars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2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Pr>
          <w:p>
            <w:pPr>
              <w:spacing w:after="0"/>
              <w:rPr>
                <w:sz w:val="13"/>
                <w:szCs w:val="13"/>
                <w:color w:val="auto"/>
              </w:rPr>
            </w:pPr>
          </w:p>
        </w:tc>
        <w:tc>
          <w:tcPr>
            <w:tcW w:w="140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73"/>
        </w:trPr>
        <w:tc>
          <w:tcPr>
            <w:tcW w:w="77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Loan</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3,412</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Equipment debt obligations</w:t>
            </w:r>
          </w:p>
        </w:tc>
        <w:tc>
          <w:tcPr>
            <w:tcW w:w="22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18"/>
                <w:szCs w:val="18"/>
                <w:color w:val="auto"/>
              </w:rPr>
            </w:pPr>
          </w:p>
        </w:tc>
      </w:tr>
      <w:tr>
        <w:trPr>
          <w:trHeight w:val="210"/>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2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10,912</w:t>
            </w:r>
          </w:p>
        </w:tc>
        <w:tc>
          <w:tcPr>
            <w:tcW w:w="280" w:type="dxa"/>
            <w:vAlign w:val="bottom"/>
            <w:tcBorders>
              <w:top w:val="single" w:sz="8" w:color="CFF0F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10,003</w:t>
            </w:r>
          </w:p>
        </w:tc>
        <w:tc>
          <w:tcPr>
            <w:tcW w:w="100" w:type="dxa"/>
            <w:vAlign w:val="bottom"/>
            <w:tcBorders>
              <w:top w:val="single" w:sz="8" w:color="CFF0FC"/>
            </w:tcBorders>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current maturities</w:t>
            </w:r>
          </w:p>
        </w:tc>
        <w:tc>
          <w:tcPr>
            <w:tcW w:w="22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(353 )</w:t>
            </w:r>
          </w:p>
        </w:tc>
        <w:tc>
          <w:tcPr>
            <w:tcW w:w="28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(3 )</w:t>
            </w:r>
          </w:p>
        </w:tc>
      </w:tr>
      <w:tr>
        <w:trPr>
          <w:trHeight w:val="209"/>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Long-term debt, less current maturities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10,559</w:t>
            </w:r>
          </w:p>
        </w:tc>
        <w:tc>
          <w:tcPr>
            <w:tcW w:w="280" w:type="dxa"/>
            <w:vAlign w:val="bottom"/>
            <w:tcBorders>
              <w:top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Borders>
              <w:top w:val="single" w:sz="8" w:color="CFF0FC"/>
            </w:tcBorders>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-454025</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-454025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-170815</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Agreement</w:t>
      </w:r>
    </w:p>
    <w:p>
      <w:pPr>
        <w:spacing w:after="0" w:line="175" w:lineRule="exact"/>
        <w:rPr>
          <w:sz w:val="20"/>
          <w:szCs w:val="20"/>
          <w:color w:val="auto"/>
        </w:rPr>
      </w:pPr>
    </w:p>
    <w:p>
      <w:pPr>
        <w:jc w:val="both"/>
        <w:ind w:firstLine="464"/>
        <w:spacing w:after="0" w:line="282" w:lineRule="auto"/>
        <w:rPr>
          <w:sz w:val="20"/>
          <w:szCs w:val="20"/>
          <w:color w:val="auto"/>
        </w:rPr>
      </w:pPr>
      <w:r>
        <w:rPr>
          <w:rFonts w:ascii="Times New Roman" w:cs="Times New Roman" w:eastAsia="Times New Roman" w:hAnsi="Times New Roman"/>
          <w:sz w:val="18"/>
          <w:szCs w:val="18"/>
          <w:color w:val="auto"/>
        </w:rPr>
        <w:t>On December 29, 2020, Orion entered into a $25 million Loan and Security Agreement with Bank of America, N.A., as lender (the “Credit Agreement”).</w:t>
      </w:r>
    </w:p>
    <w:p>
      <w:pPr>
        <w:spacing w:after="0" w:line="108" w:lineRule="exact"/>
        <w:rPr>
          <w:sz w:val="20"/>
          <w:szCs w:val="20"/>
          <w:color w:val="auto"/>
        </w:rPr>
      </w:pPr>
    </w:p>
    <w:p>
      <w:pPr>
        <w:jc w:val="both"/>
        <w:ind w:firstLine="464"/>
        <w:spacing w:after="0" w:line="261" w:lineRule="auto"/>
        <w:rPr>
          <w:sz w:val="20"/>
          <w:szCs w:val="20"/>
          <w:color w:val="auto"/>
        </w:rPr>
      </w:pPr>
      <w:r>
        <w:rPr>
          <w:rFonts w:ascii="Times New Roman" w:cs="Times New Roman" w:eastAsia="Times New Roman" w:hAnsi="Times New Roman"/>
          <w:sz w:val="18"/>
          <w:szCs w:val="18"/>
          <w:color w:val="auto"/>
        </w:rPr>
        <w:t>The Credit Agreement provides for a five-year $25.0 million revolving credit facility (the “Credit Facility”) that matures on June 30, 2027. Borrowings under the Credit Facility are subject to a borrowing base requirement based on eligible receivables, inventory and cash. As of December 31, 2024, the borrowing base of the Credit Facility supported approximately $15.6 million of availability, with $8.1 million of remaining availability net of $7.5 million borrowed.</w:t>
      </w:r>
    </w:p>
    <w:p>
      <w:pPr>
        <w:spacing w:after="0" w:line="126" w:lineRule="exact"/>
        <w:rPr>
          <w:sz w:val="20"/>
          <w:szCs w:val="20"/>
          <w:color w:val="auto"/>
        </w:rPr>
      </w:pPr>
    </w:p>
    <w:p>
      <w:pPr>
        <w:jc w:val="both"/>
        <w:ind w:firstLine="464"/>
        <w:spacing w:after="0" w:line="256" w:lineRule="auto"/>
        <w:rPr>
          <w:sz w:val="20"/>
          <w:szCs w:val="20"/>
          <w:color w:val="auto"/>
        </w:rPr>
      </w:pPr>
      <w:r>
        <w:rPr>
          <w:rFonts w:ascii="Times New Roman" w:cs="Times New Roman" w:eastAsia="Times New Roman" w:hAnsi="Times New Roman"/>
          <w:sz w:val="18"/>
          <w:szCs w:val="18"/>
          <w:color w:val="auto"/>
        </w:rPr>
        <w:t>Effective November 4, 2022, Orion, with Bank of America, N.A. as lender, executed Amendment No. 1 to its Credit Agreement. The primary purpose of the amendment was to include the assets of the acquired subsidiaries, Stay-Lite Lighting, Inc. ("Stay-Lite") and Voltrek, as secured collateral under the Credit Agreement. Accordingly, eligible assets of Stay-Lite and Voltrek will be included in the borrowing base calculation for the purpose of establishing the monthly borrowing availability under the Credit Agreement. The amendment also clarified that the earn-out liabilities associated with the Stay-Lite and Voltrek transactions are permitted under the Credit Agreement and that the expenses recognized in connection with those earn-outs should be added back in the computation of EBITDA, as defined, under the Credit Agreement.</w:t>
      </w:r>
    </w:p>
    <w:p>
      <w:pPr>
        <w:spacing w:after="0" w:line="79"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Effective April 22, 2024, the Company, with Bank of America, N.A. as lender, executed Amendment No. 2 to its Credit Agreement (“Amendment No. 2”). The primary purpose of Amendment No. 2 was to add a $3.525 million mortgage loan facility to the Credit Agreement secured by the Company’s office headquarters property in Manitowoc, Wisconsin. Amendment No. 2 also broadened the definition of receivables to encompass government receivables as being eligible to be included in the Company’s borrowing base calculation for the purpose of establishing the Company’s monthly borrowing availability under the Credit Agreement. Quarterly installments of $88,125 are due on the first day of each fiscal quarter beginning October 1, 2024.</w:t>
      </w:r>
    </w:p>
    <w:p>
      <w:pPr>
        <w:spacing w:after="0" w:line="75"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Effective October 30, 2024, the Company, with Bank of America, N.A. as lender, executed Amendment No. 3 ("Amendment No. 3") to its Credit Agreement. The primary purpose of Amendment No. 3 was to extend the maturity date of the Credit Facility from December 29, 2025 to June 30, 2027.</w:t>
      </w:r>
    </w:p>
    <w:p>
      <w:pPr>
        <w:spacing w:after="0" w:line="1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As of December 31, 2024, Orion was in compliance with all debt covenants.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INCOME TAXES</w:t>
      </w:r>
    </w:p>
    <w:p>
      <w:pPr>
        <w:spacing w:after="0" w:line="175" w:lineRule="exact"/>
        <w:rPr>
          <w:sz w:val="20"/>
          <w:szCs w:val="20"/>
          <w:color w:val="auto"/>
        </w:rPr>
      </w:pPr>
    </w:p>
    <w:p>
      <w:pPr>
        <w:jc w:val="both"/>
        <w:ind w:firstLine="469"/>
        <w:spacing w:after="0" w:line="258" w:lineRule="auto"/>
        <w:rPr>
          <w:sz w:val="20"/>
          <w:szCs w:val="20"/>
          <w:color w:val="auto"/>
        </w:rPr>
      </w:pPr>
      <w:r>
        <w:rPr>
          <w:rFonts w:ascii="Times New Roman" w:cs="Times New Roman" w:eastAsia="Times New Roman" w:hAnsi="Times New Roman"/>
          <w:sz w:val="18"/>
          <w:szCs w:val="18"/>
          <w:color w:val="auto"/>
        </w:rPr>
        <w:t>Orion’s income tax provision was determined by applying an estimated annual effective tax rate, based upon the facts and circumstances known, to book income (loss) before income tax, adjusting for discrete items. Orion’s actual effective tax rate is adjusted each interim period, as appropriate, for changes in facts and circumstances. For the three months ended December 31, 2024 and 2023, Orion recorded income tax expense of $1 thousand, using this methodology. For the nine months ended December 31, 2024 and 2023, Orion recorded income tax expense of $44 thousand and $58 thousand, respectively, using this methodology.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16" w:name="page17"/>
    <w:bookmarkEnd w:id="16"/>
    <w:p>
      <w:pPr>
        <w:jc w:val="both"/>
        <w:ind w:firstLine="464"/>
        <w:spacing w:after="0" w:line="261" w:lineRule="auto"/>
        <w:rPr>
          <w:sz w:val="20"/>
          <w:szCs w:val="20"/>
          <w:color w:val="auto"/>
        </w:rPr>
      </w:pPr>
      <w:r>
        <w:rPr>
          <w:rFonts w:ascii="Times New Roman" w:cs="Times New Roman" w:eastAsia="Times New Roman" w:hAnsi="Times New Roman"/>
          <w:sz w:val="18"/>
          <w:szCs w:val="18"/>
          <w:color w:val="auto"/>
        </w:rPr>
        <w:t>As of December 31, 2024 and March 31, 2024, Orion had a full valuation allowance against its net deferred tax asset balance. Orion considers future taxable income and ongoing prudent and feasible tax planning strategies in assessing the need for the valuation allowance. In the event that Orion determines that the deferred tax assets are able to be realized, an adjustment to the deferred tax asset would increase income in the period such determination is made.</w:t>
      </w:r>
    </w:p>
    <w:p>
      <w:pPr>
        <w:spacing w:after="0" w:line="126" w:lineRule="exact"/>
        <w:rPr>
          <w:sz w:val="20"/>
          <w:szCs w:val="20"/>
          <w:color w:val="auto"/>
        </w:rPr>
      </w:pPr>
    </w:p>
    <w:p>
      <w:pPr>
        <w:jc w:val="both"/>
        <w:ind w:firstLine="464"/>
        <w:spacing w:after="0" w:line="261" w:lineRule="auto"/>
        <w:rPr>
          <w:sz w:val="20"/>
          <w:szCs w:val="20"/>
          <w:color w:val="auto"/>
        </w:rPr>
      </w:pPr>
      <w:r>
        <w:rPr>
          <w:rFonts w:ascii="Times New Roman" w:cs="Times New Roman" w:eastAsia="Times New Roman" w:hAnsi="Times New Roman"/>
          <w:sz w:val="18"/>
          <w:szCs w:val="18"/>
          <w:color w:val="auto"/>
        </w:rPr>
        <w:t>As of each reporting date, management considers new evidence, both positive and negative, that could affect its view of the future realization of deferred tax assets. Orion considers future taxable income and ongoing prudent and feasible tax planning strategies in assessing the need for the valuation allowance. In the event that Orion determines that the more or less of its deferred tax assets are able to be realized, an adjustment to the valuation allowance would be reflected in the company’s provision for income taxes.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Uncertain Tax Positions</w:t>
      </w:r>
    </w:p>
    <w:p>
      <w:pPr>
        <w:spacing w:after="0" w:line="175" w:lineRule="exact"/>
        <w:rPr>
          <w:sz w:val="20"/>
          <w:szCs w:val="20"/>
          <w:color w:val="auto"/>
        </w:rPr>
      </w:pPr>
    </w:p>
    <w:p>
      <w:pPr>
        <w:jc w:val="both"/>
        <w:ind w:firstLine="464"/>
        <w:spacing w:after="0" w:line="282" w:lineRule="auto"/>
        <w:rPr>
          <w:sz w:val="20"/>
          <w:szCs w:val="20"/>
          <w:color w:val="auto"/>
        </w:rPr>
      </w:pPr>
      <w:r>
        <w:rPr>
          <w:rFonts w:ascii="Times New Roman" w:cs="Times New Roman" w:eastAsia="Times New Roman" w:hAnsi="Times New Roman"/>
          <w:sz w:val="18"/>
          <w:szCs w:val="18"/>
          <w:color w:val="auto"/>
        </w:rPr>
        <w:t>As of December 31, 2024, Orion’s balance of gross unrecognized tax benefits was approximately $0.2 million, all of which would reduce Orion’s effective tax rate if recognized.</w:t>
      </w:r>
    </w:p>
    <w:p>
      <w:pPr>
        <w:spacing w:after="0" w:line="108" w:lineRule="exact"/>
        <w:rPr>
          <w:sz w:val="20"/>
          <w:szCs w:val="20"/>
          <w:color w:val="auto"/>
        </w:rPr>
      </w:pPr>
    </w:p>
    <w:p>
      <w:pPr>
        <w:jc w:val="both"/>
        <w:ind w:firstLine="464"/>
        <w:spacing w:after="0" w:line="266" w:lineRule="auto"/>
        <w:rPr>
          <w:sz w:val="20"/>
          <w:szCs w:val="20"/>
          <w:color w:val="auto"/>
        </w:rPr>
      </w:pPr>
      <w:r>
        <w:rPr>
          <w:rFonts w:ascii="Times New Roman" w:cs="Times New Roman" w:eastAsia="Times New Roman" w:hAnsi="Times New Roman"/>
          <w:sz w:val="18"/>
          <w:szCs w:val="18"/>
          <w:color w:val="auto"/>
        </w:rPr>
        <w:t>Orion has classified the amounts recorded for uncertain tax benefits in the balance sheet as Other long-term liabilities to the extent that payment is not anticipated within one year. Orion recognizes penalties and interest related to uncertain tax liabilities in income tax (benefit) expense. Penalties and interest are included in the unrecognized tax benefits.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COMMITMENTS AND CONTINGENCIES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75" w:lineRule="exact"/>
        <w:rPr>
          <w:sz w:val="20"/>
          <w:szCs w:val="20"/>
          <w:color w:val="auto"/>
        </w:rPr>
      </w:pPr>
    </w:p>
    <w:p>
      <w:pPr>
        <w:jc w:val="both"/>
        <w:ind w:right="20" w:firstLine="469"/>
        <w:spacing w:after="0" w:line="282" w:lineRule="auto"/>
        <w:rPr>
          <w:sz w:val="20"/>
          <w:szCs w:val="20"/>
          <w:color w:val="auto"/>
        </w:rPr>
      </w:pPr>
      <w:r>
        <w:rPr>
          <w:rFonts w:ascii="Times New Roman" w:cs="Times New Roman" w:eastAsia="Times New Roman" w:hAnsi="Times New Roman"/>
          <w:sz w:val="18"/>
          <w:szCs w:val="18"/>
          <w:color w:val="auto"/>
        </w:rPr>
        <w:t>Orion is subject to various claims and legal proceedings arising in the ordinary course of business. Orion does not believe the final resolution of any of such claims or legal proceedings will have a material adverse effect on Orion’s future results of operations or financial condition.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SHAREHOLDERS’ EQUITY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75" w:lineRule="exact"/>
        <w:rPr>
          <w:sz w:val="20"/>
          <w:szCs w:val="20"/>
          <w:color w:val="auto"/>
        </w:rPr>
      </w:pPr>
    </w:p>
    <w:p>
      <w:pPr>
        <w:jc w:val="both"/>
        <w:ind w:firstLine="464"/>
        <w:spacing w:after="0" w:line="266" w:lineRule="auto"/>
        <w:rPr>
          <w:sz w:val="20"/>
          <w:szCs w:val="20"/>
          <w:color w:val="auto"/>
        </w:rPr>
      </w:pPr>
      <w:r>
        <w:rPr>
          <w:rFonts w:ascii="Times New Roman" w:cs="Times New Roman" w:eastAsia="Times New Roman" w:hAnsi="Times New Roman"/>
          <w:sz w:val="18"/>
          <w:szCs w:val="18"/>
          <w:color w:val="auto"/>
        </w:rPr>
        <w:t>In August 2010, Orion’s Board of Directors approved a non-compensatory employee stock purchase plan, or “ESPP”. In the three months ended December 31, 2024, Orion issued 538 shares under the ESPP plan at a closing market price of $0.80. In the three months ended December 31, 2023, Orion issued 672 shares under the ESPP plan at a closing market price of $0.87.</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of shares</w:t>
      </w:r>
    </w:p>
    <w:p>
      <w:pPr>
        <w:spacing w:after="0" w:line="121" w:lineRule="exact"/>
        <w:rPr>
          <w:sz w:val="20"/>
          <w:szCs w:val="20"/>
          <w:color w:val="auto"/>
        </w:rPr>
      </w:pPr>
    </w:p>
    <w:p>
      <w:pPr>
        <w:jc w:val="both"/>
        <w:ind w:firstLine="464"/>
        <w:spacing w:after="0" w:line="261" w:lineRule="auto"/>
        <w:rPr>
          <w:sz w:val="20"/>
          <w:szCs w:val="20"/>
          <w:color w:val="auto"/>
        </w:rPr>
      </w:pPr>
      <w:r>
        <w:rPr>
          <w:rFonts w:ascii="Times New Roman" w:cs="Times New Roman" w:eastAsia="Times New Roman" w:hAnsi="Times New Roman"/>
          <w:sz w:val="18"/>
          <w:szCs w:val="18"/>
          <w:color w:val="auto"/>
        </w:rPr>
        <w:t>In March 2023, Orion filed a universal shelf registration statement with the Securities and Exchange Commission. Under the shelf registration statement, Orion currently has the flexibility to publicly offer and sell from time to time up to $100 million of debt and/or equity securities, subject to regulatory limitations. The filing of the shelf registration statement may help facilitate Orion’s ability to raise public equity or debt capital to expand existing businesses, fund potential acquisitions, invest in other growth opportunities, repay existing debt, or for other general corporate purposes.</w:t>
      </w:r>
    </w:p>
    <w:p>
      <w:pPr>
        <w:spacing w:after="0" w:line="126" w:lineRule="exact"/>
        <w:rPr>
          <w:sz w:val="20"/>
          <w:szCs w:val="20"/>
          <w:color w:val="auto"/>
        </w:rPr>
      </w:pPr>
    </w:p>
    <w:p>
      <w:pPr>
        <w:jc w:val="both"/>
        <w:ind w:firstLine="464"/>
        <w:spacing w:after="0" w:line="266" w:lineRule="auto"/>
        <w:rPr>
          <w:sz w:val="20"/>
          <w:szCs w:val="20"/>
          <w:color w:val="auto"/>
        </w:rPr>
      </w:pPr>
      <w:r>
        <w:rPr>
          <w:rFonts w:ascii="Times New Roman" w:cs="Times New Roman" w:eastAsia="Times New Roman" w:hAnsi="Times New Roman"/>
          <w:sz w:val="18"/>
          <w:szCs w:val="18"/>
          <w:color w:val="auto"/>
        </w:rPr>
        <w:t>In March 2021, Orion entered into an At Market Issuance Sales Agreement to undertake an “at the market” (ATM) public equity capital raising program pursuant to which Orion may offer and sell shares of common stock from time to time, having an aggregate offering price of up to $50 million. No share sales have been exercised pursuant to the ATM program through December 31, 2024.</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RESTRICTED SHARES</w:t>
      </w:r>
    </w:p>
    <w:p>
      <w:pPr>
        <w:spacing w:after="0" w:line="175" w:lineRule="exact"/>
        <w:rPr>
          <w:sz w:val="20"/>
          <w:szCs w:val="20"/>
          <w:color w:val="auto"/>
        </w:rPr>
      </w:pPr>
    </w:p>
    <w:p>
      <w:pPr>
        <w:jc w:val="both"/>
        <w:ind w:firstLine="469"/>
        <w:spacing w:after="0" w:line="282" w:lineRule="auto"/>
        <w:rPr>
          <w:sz w:val="20"/>
          <w:szCs w:val="20"/>
          <w:color w:val="auto"/>
        </w:rPr>
      </w:pPr>
      <w:r>
        <w:rPr>
          <w:rFonts w:ascii="Times New Roman" w:cs="Times New Roman" w:eastAsia="Times New Roman" w:hAnsi="Times New Roman"/>
          <w:sz w:val="18"/>
          <w:szCs w:val="18"/>
          <w:color w:val="auto"/>
        </w:rPr>
        <w:t>At Orion’s 2023 annual meeting of shareholders, Orion’s shareholders approved the Orion Energy Systems, Inc. 2016 Omnibus Incentive Plan, as amended and restated (the “Amended 2016 Plan”). The Amended 2016 Plan increased the number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7" w:name="page18"/>
    <w:bookmarkEnd w:id="17"/>
    <w:p>
      <w:pPr>
        <w:jc w:val="both"/>
        <w:spacing w:after="0" w:line="266" w:lineRule="auto"/>
        <w:rPr>
          <w:sz w:val="20"/>
          <w:szCs w:val="20"/>
          <w:color w:val="auto"/>
        </w:rPr>
      </w:pPr>
      <w:r>
        <w:rPr>
          <w:rFonts w:ascii="Times New Roman" w:cs="Times New Roman" w:eastAsia="Times New Roman" w:hAnsi="Times New Roman"/>
          <w:sz w:val="18"/>
          <w:szCs w:val="18"/>
          <w:color w:val="auto"/>
        </w:rPr>
        <w:t>of shares of Orion’s common stock available for issuance under the Amended 2016 Plan from 3,500,000 shares to 6,000,000 shares (an increase of 2,500,000 shares); added a minimum vesting period for all awards granted under the Amended 2016 Plan (with limited exceptions); and added a specific prohibition on the payment of dividends and dividend equivalents on unvested awards.</w:t>
      </w:r>
    </w:p>
    <w:p>
      <w:pPr>
        <w:spacing w:after="0" w:line="122" w:lineRule="exact"/>
        <w:rPr>
          <w:sz w:val="20"/>
          <w:szCs w:val="20"/>
          <w:color w:val="auto"/>
        </w:rPr>
      </w:pPr>
    </w:p>
    <w:p>
      <w:pPr>
        <w:jc w:val="both"/>
        <w:ind w:firstLine="469"/>
        <w:spacing w:after="0" w:line="266" w:lineRule="auto"/>
        <w:rPr>
          <w:sz w:val="20"/>
          <w:szCs w:val="20"/>
          <w:color w:val="auto"/>
        </w:rPr>
      </w:pPr>
      <w:r>
        <w:rPr>
          <w:rFonts w:ascii="Times New Roman" w:cs="Times New Roman" w:eastAsia="Times New Roman" w:hAnsi="Times New Roman"/>
          <w:sz w:val="18"/>
          <w:szCs w:val="18"/>
          <w:color w:val="auto"/>
        </w:rPr>
        <w:t>The Amended 2016 Plan authorizes grants of equity-based and incentive cash awards to eligible participants designated by the Plan's administrator. Awards under the Amended 2016 Plan may consist of stock options, stock appreciation rights, performance shares, performance units, common stock, restricted stock, restricted stock units, incentive awards or dividend equivalent units.</w:t>
      </w:r>
    </w:p>
    <w:p>
      <w:pPr>
        <w:spacing w:after="0" w:line="122" w:lineRule="exact"/>
        <w:rPr>
          <w:sz w:val="20"/>
          <w:szCs w:val="20"/>
          <w:color w:val="auto"/>
        </w:rPr>
      </w:pPr>
    </w:p>
    <w:p>
      <w:pPr>
        <w:jc w:val="both"/>
        <w:ind w:firstLine="469"/>
        <w:spacing w:after="0" w:line="255" w:lineRule="auto"/>
        <w:rPr>
          <w:sz w:val="20"/>
          <w:szCs w:val="20"/>
          <w:color w:val="auto"/>
        </w:rPr>
      </w:pPr>
      <w:r>
        <w:rPr>
          <w:rFonts w:ascii="Times New Roman" w:cs="Times New Roman" w:eastAsia="Times New Roman" w:hAnsi="Times New Roman"/>
          <w:sz w:val="18"/>
          <w:szCs w:val="18"/>
          <w:color w:val="auto"/>
        </w:rPr>
        <w:t>Prior to the 2016 Omnibus Incentive Plan, Orion maintained its 2004 Stock and Incentive Awards Plan, as amended, which authorized the grant of cash and equity awards to employees (the “2004 Plan”). No new awards are being granted under the 2004 Plan; however, all awards granted under the 2004 Plan that are outstanding will continue to be governed by the 2004 Plan. Forfeited awards originally issued under the 2004 Plan are canceled and are not available for subsequent issuance under the 2004 Plan or under the Amended 2016 Plan. The Amended 2016 Plan and the 2004 Plan also permit accelerated vesting in the event of certain changes of control of Orion as well as under other special circumstances. Certain non-employee directors have from time to time elected to receive stock awards in lieu of cash compensation pursuant to elections made under Orion’s non-employee director compensation program.</w:t>
      </w:r>
    </w:p>
    <w:p>
      <w:pPr>
        <w:spacing w:after="0" w:line="13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amounts of Orion's consolidated stock-based compensation were recorded (dollars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3"/>
                <w:szCs w:val="13"/>
                <w:color w:val="auto"/>
              </w:rPr>
            </w:pPr>
          </w:p>
        </w:tc>
        <w:tc>
          <w:tcPr>
            <w:tcW w:w="22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3"/>
        </w:trPr>
        <w:tc>
          <w:tcPr>
            <w:tcW w:w="580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5800" w:type="dxa"/>
            <w:vAlign w:val="bottom"/>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Borders>
              <w:bottom w:val="single" w:sz="8" w:color="auto"/>
            </w:tcBorders>
          </w:tcPr>
          <w:p>
            <w:pPr>
              <w:jc w:val="right"/>
              <w:ind w:right="1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10"/>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product revenue</w:t>
            </w:r>
          </w:p>
        </w:tc>
        <w:tc>
          <w:tcPr>
            <w:tcW w:w="780" w:type="dxa"/>
            <w:vAlign w:val="bottom"/>
            <w:shd w:val="clear" w:color="auto" w:fill="CFF0FC"/>
          </w:tcPr>
          <w:p>
            <w:pPr>
              <w:jc w:val="right"/>
              <w:ind w:right="59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60" w:type="dxa"/>
            <w:vAlign w:val="bottom"/>
            <w:gridSpan w:val="2"/>
            <w:shd w:val="clear" w:color="auto" w:fill="CFF0FC"/>
          </w:tcPr>
          <w:p>
            <w:pPr>
              <w:jc w:val="right"/>
              <w:ind w:right="61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20" w:type="dxa"/>
            <w:vAlign w:val="bottom"/>
            <w:gridSpan w:val="2"/>
            <w:shd w:val="clear" w:color="auto" w:fill="CFF0FC"/>
          </w:tcPr>
          <w:p>
            <w:pPr>
              <w:jc w:val="right"/>
              <w:ind w:right="60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40" w:type="dxa"/>
            <w:vAlign w:val="bottom"/>
            <w:gridSpan w:val="2"/>
            <w:shd w:val="clear" w:color="auto" w:fill="CFF0FC"/>
          </w:tcPr>
          <w:p>
            <w:pPr>
              <w:jc w:val="right"/>
              <w:ind w:right="599"/>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FF0FC"/>
          </w:tcPr>
          <w:p>
            <w:pPr>
              <w:spacing w:after="0"/>
              <w:rPr>
                <w:sz w:val="18"/>
                <w:szCs w:val="18"/>
                <w:color w:val="auto"/>
              </w:rPr>
            </w:pPr>
          </w:p>
        </w:tc>
      </w:tr>
      <w:tr>
        <w:trPr>
          <w:trHeight w:val="216"/>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20" w:type="dxa"/>
            <w:vAlign w:val="bottom"/>
          </w:tcPr>
          <w:p>
            <w:pPr>
              <w:spacing w:after="0"/>
              <w:rPr>
                <w:sz w:val="18"/>
                <w:szCs w:val="18"/>
                <w:color w:val="auto"/>
              </w:rPr>
            </w:pPr>
          </w:p>
        </w:tc>
      </w:tr>
      <w:tr>
        <w:trPr>
          <w:trHeight w:val="216"/>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780" w:type="dxa"/>
            <w:vAlign w:val="bottom"/>
            <w:shd w:val="clear" w:color="auto" w:fill="CFF0FC"/>
          </w:tcPr>
          <w:p>
            <w:pPr>
              <w:spacing w:after="0"/>
              <w:rPr>
                <w:sz w:val="18"/>
                <w:szCs w:val="18"/>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FF0FC"/>
          </w:tcPr>
          <w:p>
            <w:pPr>
              <w:spacing w:after="0"/>
              <w:rPr>
                <w:sz w:val="18"/>
                <w:szCs w:val="18"/>
                <w:color w:val="auto"/>
              </w:rPr>
            </w:pPr>
          </w:p>
        </w:tc>
      </w:tr>
      <w:tr>
        <w:trPr>
          <w:trHeight w:val="216"/>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7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8"/>
                <w:szCs w:val="18"/>
                <w:color w:val="auto"/>
              </w:rPr>
            </w:pPr>
          </w:p>
        </w:tc>
      </w:tr>
      <w:tr>
        <w:trPr>
          <w:trHeight w:val="250"/>
        </w:trPr>
        <w:tc>
          <w:tcPr>
            <w:tcW w:w="5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780" w:type="dxa"/>
            <w:vAlign w:val="bottom"/>
            <w:tcBorders>
              <w:bottom w:val="single" w:sz="8" w:color="auto"/>
            </w:tcBorders>
            <w:shd w:val="clear" w:color="auto" w:fill="CFF0FC"/>
          </w:tcPr>
          <w:p>
            <w:pPr>
              <w:jc w:val="right"/>
              <w:ind w:right="59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4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ind w:right="61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24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ind w:right="602"/>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26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ind w:right="59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-24765</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-7620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-24765</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-7620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-24765</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summarizes information with respect to performance-vesting restricted stock and time vesting-restricted stock activity: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40" w:type="dxa"/>
            <w:vAlign w:val="bottom"/>
          </w:tcPr>
          <w:p>
            <w:pPr>
              <w:spacing w:after="0"/>
              <w:rPr>
                <w:sz w:val="18"/>
                <w:szCs w:val="18"/>
                <w:color w:val="auto"/>
              </w:rPr>
            </w:pPr>
          </w:p>
        </w:tc>
        <w:tc>
          <w:tcPr>
            <w:tcW w:w="2560" w:type="dxa"/>
            <w:vAlign w:val="bottom"/>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Time-Based</w:t>
            </w:r>
          </w:p>
        </w:tc>
        <w:tc>
          <w:tcPr>
            <w:tcW w:w="220" w:type="dxa"/>
            <w:vAlign w:val="bottom"/>
          </w:tcPr>
          <w:p>
            <w:pPr>
              <w:spacing w:after="0"/>
              <w:rPr>
                <w:sz w:val="18"/>
                <w:szCs w:val="18"/>
                <w:color w:val="auto"/>
              </w:rPr>
            </w:pPr>
          </w:p>
        </w:tc>
        <w:tc>
          <w:tcPr>
            <w:tcW w:w="272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Performance-Based</w:t>
            </w:r>
          </w:p>
        </w:tc>
      </w:tr>
      <w:tr>
        <w:trPr>
          <w:trHeight w:val="238"/>
        </w:trPr>
        <w:tc>
          <w:tcPr>
            <w:tcW w:w="5740" w:type="dxa"/>
            <w:vAlign w:val="bottom"/>
          </w:tcPr>
          <w:p>
            <w:pPr>
              <w:spacing w:after="0"/>
              <w:rPr>
                <w:sz w:val="20"/>
                <w:szCs w:val="20"/>
                <w:color w:val="auto"/>
              </w:rPr>
            </w:pPr>
          </w:p>
        </w:tc>
        <w:tc>
          <w:tcPr>
            <w:tcW w:w="2560" w:type="dxa"/>
            <w:vAlign w:val="bottom"/>
            <w:gridSpan w:val="4"/>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Restricted Shares</w:t>
            </w:r>
          </w:p>
        </w:tc>
        <w:tc>
          <w:tcPr>
            <w:tcW w:w="220" w:type="dxa"/>
            <w:vAlign w:val="bottom"/>
          </w:tcPr>
          <w:p>
            <w:pPr>
              <w:spacing w:after="0"/>
              <w:rPr>
                <w:sz w:val="20"/>
                <w:szCs w:val="20"/>
                <w:color w:val="auto"/>
              </w:rPr>
            </w:pPr>
          </w:p>
        </w:tc>
        <w:tc>
          <w:tcPr>
            <w:tcW w:w="272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Restricted Shares</w:t>
            </w:r>
          </w:p>
        </w:tc>
      </w:tr>
      <w:tr>
        <w:trPr>
          <w:trHeight w:val="187"/>
        </w:trPr>
        <w:tc>
          <w:tcPr>
            <w:tcW w:w="5740" w:type="dxa"/>
            <w:vAlign w:val="bottom"/>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right="50"/>
              <w:spacing w:after="0" w:line="188"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220" w:type="dxa"/>
            <w:vAlign w:val="bottom"/>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120" w:type="dxa"/>
            <w:vAlign w:val="bottom"/>
          </w:tcPr>
          <w:p>
            <w:pPr>
              <w:spacing w:after="0"/>
              <w:rPr>
                <w:sz w:val="16"/>
                <w:szCs w:val="16"/>
                <w:color w:val="auto"/>
              </w:rPr>
            </w:pPr>
          </w:p>
        </w:tc>
      </w:tr>
      <w:tr>
        <w:trPr>
          <w:trHeight w:val="216"/>
        </w:trPr>
        <w:tc>
          <w:tcPr>
            <w:tcW w:w="57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16"/>
        </w:trPr>
        <w:tc>
          <w:tcPr>
            <w:tcW w:w="57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r>
      <w:tr>
        <w:trPr>
          <w:trHeight w:val="238"/>
        </w:trPr>
        <w:tc>
          <w:tcPr>
            <w:tcW w:w="5740" w:type="dxa"/>
            <w:vAlign w:val="bottom"/>
          </w:tcPr>
          <w:p>
            <w:pPr>
              <w:spacing w:after="0"/>
              <w:rPr>
                <w:sz w:val="20"/>
                <w:szCs w:val="20"/>
                <w:color w:val="auto"/>
              </w:rPr>
            </w:pPr>
          </w:p>
        </w:tc>
        <w:tc>
          <w:tcPr>
            <w:tcW w:w="12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220" w:type="dxa"/>
            <w:vAlign w:val="bottom"/>
          </w:tcPr>
          <w:p>
            <w:pPr>
              <w:spacing w:after="0"/>
              <w:rPr>
                <w:sz w:val="20"/>
                <w:szCs w:val="20"/>
                <w:color w:val="auto"/>
              </w:rPr>
            </w:pPr>
          </w:p>
        </w:tc>
        <w:tc>
          <w:tcPr>
            <w:tcW w:w="12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20" w:type="dxa"/>
            <w:vAlign w:val="bottom"/>
          </w:tcPr>
          <w:p>
            <w:pPr>
              <w:spacing w:after="0"/>
              <w:rPr>
                <w:sz w:val="20"/>
                <w:szCs w:val="20"/>
                <w:color w:val="auto"/>
              </w:rPr>
            </w:pPr>
          </w:p>
        </w:tc>
      </w:tr>
      <w:tr>
        <w:trPr>
          <w:trHeight w:val="210"/>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March 31, 2024</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1,014,104</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708,377</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shd w:val="clear" w:color="auto" w:fill="CFF0FC"/>
          </w:tcPr>
          <w:p>
            <w:pPr>
              <w:spacing w:after="0"/>
              <w:rPr>
                <w:sz w:val="18"/>
                <w:szCs w:val="18"/>
                <w:color w:val="auto"/>
              </w:rPr>
            </w:pPr>
          </w:p>
        </w:tc>
      </w:tr>
      <w:tr>
        <w:trPr>
          <w:trHeight w:val="216"/>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issued</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685,322</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821,559</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18"/>
                <w:szCs w:val="18"/>
                <w:color w:val="auto"/>
              </w:rPr>
            </w:pPr>
          </w:p>
        </w:tc>
      </w:tr>
      <w:tr>
        <w:trPr>
          <w:trHeight w:val="216"/>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Shares vested</w:t>
            </w: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(369,870 )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7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Shares outstanding at December 31, 2024</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1,329,556</w:t>
            </w:r>
          </w:p>
        </w:tc>
        <w:tc>
          <w:tcPr>
            <w:tcW w:w="24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20" w:type="dxa"/>
            <w:vAlign w:val="bottom"/>
            <w:tcBorders>
              <w:top w:val="single" w:sz="8" w:color="CFF0FC"/>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1,529,936</w:t>
            </w:r>
          </w:p>
        </w:tc>
        <w:tc>
          <w:tcPr>
            <w:tcW w:w="24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tcBorders>
              <w:top w:val="single" w:sz="8" w:color="CFF0FC"/>
            </w:tcBorders>
          </w:tcPr>
          <w:p>
            <w:pPr>
              <w:spacing w:after="0"/>
              <w:rPr>
                <w:sz w:val="18"/>
                <w:szCs w:val="18"/>
                <w:color w:val="auto"/>
              </w:rPr>
            </w:pPr>
          </w:p>
        </w:tc>
      </w:tr>
      <w:tr>
        <w:trPr>
          <w:trHeight w:val="216"/>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Per share price on grant date</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-281940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-281940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-281940</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-281940</wp:posOffset>
            </wp:positionV>
            <wp:extent cx="7747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jc w:val="both"/>
        <w:ind w:firstLine="469"/>
        <w:spacing w:after="0" w:line="282" w:lineRule="auto"/>
        <w:rPr>
          <w:sz w:val="20"/>
          <w:szCs w:val="20"/>
          <w:color w:val="auto"/>
        </w:rPr>
      </w:pPr>
      <w:r>
        <w:rPr>
          <w:rFonts w:ascii="Times New Roman" w:cs="Times New Roman" w:eastAsia="Times New Roman" w:hAnsi="Times New Roman"/>
          <w:sz w:val="18"/>
          <w:szCs w:val="18"/>
          <w:color w:val="auto"/>
        </w:rPr>
        <w:t>As of December 31, 2024, the amount of deferred stock-based compensation expense to be recognized, over a remaining period of 2.8 years, was approximately $1.5 million.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SEGMENT DATA</w:t>
      </w:r>
    </w:p>
    <w:p>
      <w:pPr>
        <w:spacing w:after="0" w:line="175" w:lineRule="exact"/>
        <w:rPr>
          <w:sz w:val="20"/>
          <w:szCs w:val="20"/>
          <w:color w:val="auto"/>
        </w:rPr>
      </w:pPr>
    </w:p>
    <w:p>
      <w:pPr>
        <w:jc w:val="both"/>
        <w:ind w:firstLine="469"/>
        <w:spacing w:after="0" w:line="266" w:lineRule="auto"/>
        <w:rPr>
          <w:sz w:val="20"/>
          <w:szCs w:val="20"/>
          <w:color w:val="auto"/>
        </w:rPr>
      </w:pPr>
      <w:r>
        <w:rPr>
          <w:rFonts w:ascii="Times New Roman" w:cs="Times New Roman" w:eastAsia="Times New Roman" w:hAnsi="Times New Roman"/>
          <w:sz w:val="18"/>
          <w:szCs w:val="18"/>
          <w:color w:val="auto"/>
        </w:rPr>
        <w:t>Reportable segments are components of an entity that have separate financial data that the entity's chief operating decision maker ("CODM") regularly reviews when allocating resources and assessing performance. Orion's CODM is the chief executive officer. Orion evaluates and reports on the business using three segments: Lighting Segment, Maintenance Segment and Electric Vehicle Charging Segment (“EV Segment”).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i w:val="1"/>
          <w:iCs w:val="1"/>
          <w:color w:val="auto"/>
        </w:rPr>
        <w:t>Lighting Segment</w:t>
      </w:r>
    </w:p>
    <w:p>
      <w:pPr>
        <w:spacing w:after="0" w:line="175" w:lineRule="exact"/>
        <w:rPr>
          <w:sz w:val="20"/>
          <w:szCs w:val="20"/>
          <w:color w:val="auto"/>
        </w:rPr>
      </w:pPr>
    </w:p>
    <w:p>
      <w:pPr>
        <w:jc w:val="both"/>
        <w:ind w:firstLine="469"/>
        <w:spacing w:after="0" w:line="261" w:lineRule="auto"/>
        <w:rPr>
          <w:sz w:val="20"/>
          <w:szCs w:val="20"/>
          <w:color w:val="auto"/>
        </w:rPr>
      </w:pPr>
      <w:r>
        <w:rPr>
          <w:rFonts w:ascii="Times New Roman" w:cs="Times New Roman" w:eastAsia="Times New Roman" w:hAnsi="Times New Roman"/>
          <w:sz w:val="18"/>
          <w:szCs w:val="18"/>
          <w:color w:val="auto"/>
        </w:rPr>
        <w:t>The Lighting Segment develops and sells lighting products and provides construction and engineering services for Orion's commercial lighting and energy management systems. The Lighting Segment provides engineering, design, lighting products and in many cases turnkey solutions for large national accounts, governments, municipalities, schools and other customers mostly through direct sales and also sells lighting products though manufacturer representative agencies and to the wholesale contractor markets through energy service companies and contractors.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Maintenance Segment</w:t>
      </w:r>
    </w:p>
    <w:p>
      <w:pPr>
        <w:spacing w:after="0" w:line="175" w:lineRule="exact"/>
        <w:rPr>
          <w:sz w:val="20"/>
          <w:szCs w:val="20"/>
          <w:color w:val="auto"/>
        </w:rPr>
      </w:pPr>
    </w:p>
    <w:p>
      <w:pPr>
        <w:jc w:val="both"/>
        <w:ind w:firstLine="469"/>
        <w:spacing w:after="0" w:line="282" w:lineRule="auto"/>
        <w:rPr>
          <w:sz w:val="20"/>
          <w:szCs w:val="20"/>
          <w:color w:val="auto"/>
        </w:rPr>
      </w:pPr>
      <w:r>
        <w:rPr>
          <w:rFonts w:ascii="Times New Roman" w:cs="Times New Roman" w:eastAsia="Times New Roman" w:hAnsi="Times New Roman"/>
          <w:sz w:val="18"/>
          <w:szCs w:val="18"/>
          <w:color w:val="auto"/>
        </w:rPr>
        <w:t>The Maintenance Segment provides retailers, distributors and other businesses with maintenance, repair and replacement services for the lighting and related electrical components deployed in their facilities.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Electric Vehicle Charging Segment</w:t>
      </w:r>
    </w:p>
    <w:p>
      <w:pPr>
        <w:spacing w:after="0" w:line="175" w:lineRule="exact"/>
        <w:rPr>
          <w:sz w:val="20"/>
          <w:szCs w:val="20"/>
          <w:color w:val="auto"/>
        </w:rPr>
      </w:pPr>
    </w:p>
    <w:p>
      <w:pPr>
        <w:jc w:val="both"/>
        <w:ind w:firstLine="464"/>
        <w:spacing w:after="0" w:line="282" w:lineRule="auto"/>
        <w:rPr>
          <w:sz w:val="20"/>
          <w:szCs w:val="20"/>
          <w:color w:val="auto"/>
        </w:rPr>
      </w:pPr>
      <w:r>
        <w:rPr>
          <w:rFonts w:ascii="Times New Roman" w:cs="Times New Roman" w:eastAsia="Times New Roman" w:hAnsi="Times New Roman"/>
          <w:sz w:val="18"/>
          <w:szCs w:val="18"/>
          <w:color w:val="auto"/>
        </w:rPr>
        <w:t>The EV Segment offers leading electric vehicle charging expertise, sells and installs sourced electric vehicle charging stations with related software subscriptions and renewals and provides EV turnkey installation solutions with ongoing support to all commercial verticals.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and Other</w:t>
      </w:r>
    </w:p>
    <w:p>
      <w:pPr>
        <w:spacing w:after="0" w:line="175" w:lineRule="exact"/>
        <w:rPr>
          <w:sz w:val="20"/>
          <w:szCs w:val="20"/>
          <w:color w:val="auto"/>
        </w:rPr>
      </w:pPr>
    </w:p>
    <w:p>
      <w:pPr>
        <w:jc w:val="both"/>
        <w:ind w:firstLine="464"/>
        <w:spacing w:after="0" w:line="282" w:lineRule="auto"/>
        <w:rPr>
          <w:sz w:val="20"/>
          <w:szCs w:val="20"/>
          <w:color w:val="auto"/>
        </w:rPr>
      </w:pPr>
      <w:r>
        <w:rPr>
          <w:rFonts w:ascii="Times New Roman" w:cs="Times New Roman" w:eastAsia="Times New Roman" w:hAnsi="Times New Roman"/>
          <w:sz w:val="18"/>
          <w:szCs w:val="18"/>
          <w:color w:val="auto"/>
        </w:rPr>
        <w:t>Corporate and Other is comprised of operating expenses not allocated to Orion’s segments and adjustments to reconcile to consolidated results (dollars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3"/>
          </w:tcPr>
          <w:p>
            <w:pPr>
              <w:jc w:val="center"/>
              <w:ind w:left="357"/>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40" w:type="dxa"/>
            <w:vAlign w:val="bottom"/>
            <w:gridSpan w:val="6"/>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Operating Income (Loss)</w:t>
            </w:r>
          </w:p>
        </w:tc>
        <w:tc>
          <w:tcPr>
            <w:tcW w:w="200" w:type="dxa"/>
            <w:vAlign w:val="bottom"/>
          </w:tcPr>
          <w:p>
            <w:pPr>
              <w:spacing w:after="0"/>
              <w:rPr>
                <w:sz w:val="15"/>
                <w:szCs w:val="15"/>
                <w:color w:val="auto"/>
              </w:rPr>
            </w:pPr>
          </w:p>
        </w:tc>
        <w:tc>
          <w:tcPr>
            <w:tcW w:w="1940" w:type="dxa"/>
            <w:vAlign w:val="bottom"/>
            <w:gridSpan w:val="6"/>
          </w:tcPr>
          <w:p>
            <w:pPr>
              <w:ind w:left="44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0" w:type="dxa"/>
            <w:vAlign w:val="bottom"/>
          </w:tcPr>
          <w:p>
            <w:pPr>
              <w:spacing w:after="0"/>
              <w:rPr>
                <w:sz w:val="1"/>
                <w:szCs w:val="1"/>
                <w:color w:val="auto"/>
              </w:rPr>
            </w:pPr>
          </w:p>
        </w:tc>
      </w:tr>
      <w:tr>
        <w:trPr>
          <w:trHeight w:val="117"/>
        </w:trPr>
        <w:tc>
          <w:tcPr>
            <w:tcW w:w="4680" w:type="dxa"/>
            <w:vAlign w:val="bottom"/>
          </w:tcPr>
          <w:p>
            <w:pPr>
              <w:spacing w:after="0"/>
              <w:rPr>
                <w:sz w:val="10"/>
                <w:szCs w:val="10"/>
                <w:color w:val="auto"/>
              </w:rPr>
            </w:pPr>
          </w:p>
        </w:tc>
        <w:tc>
          <w:tcPr>
            <w:tcW w:w="2000" w:type="dxa"/>
            <w:vAlign w:val="bottom"/>
            <w:tcBorders>
              <w:top w:val="single" w:sz="8" w:color="auto"/>
            </w:tcBorders>
            <w:gridSpan w:val="5"/>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 Three Months Ended</w:t>
            </w:r>
          </w:p>
        </w:tc>
        <w:tc>
          <w:tcPr>
            <w:tcW w:w="220" w:type="dxa"/>
            <w:vAlign w:val="bottom"/>
          </w:tcPr>
          <w:p>
            <w:pPr>
              <w:spacing w:after="0"/>
              <w:rPr>
                <w:sz w:val="10"/>
                <w:szCs w:val="10"/>
                <w:color w:val="auto"/>
              </w:rPr>
            </w:pPr>
          </w:p>
        </w:tc>
        <w:tc>
          <w:tcPr>
            <w:tcW w:w="2000" w:type="dxa"/>
            <w:vAlign w:val="bottom"/>
            <w:tcBorders>
              <w:top w:val="single" w:sz="8" w:color="auto"/>
            </w:tcBorders>
            <w:gridSpan w:val="6"/>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 Three Months Ended</w:t>
            </w:r>
          </w:p>
        </w:tc>
        <w:tc>
          <w:tcPr>
            <w:tcW w:w="2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0" w:type="dxa"/>
            <w:vAlign w:val="bottom"/>
            <w:gridSpan w:val="4"/>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40" w:type="dxa"/>
            <w:vAlign w:val="bottom"/>
            <w:gridSpan w:val="6"/>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6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vMerge w:val="restart"/>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vMerge w:val="restart"/>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vMerge w:val="restart"/>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vMerge w:val="restart"/>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0"/>
                <w:szCs w:val="10"/>
                <w:color w:val="auto"/>
              </w:rPr>
            </w:pPr>
          </w:p>
        </w:tc>
        <w:tc>
          <w:tcPr>
            <w:tcW w:w="920" w:type="dxa"/>
            <w:vAlign w:val="bottom"/>
            <w:tcBorders>
              <w:top w:val="single" w:sz="8" w:color="auto"/>
            </w:tcBorders>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right"/>
              <w:ind w:right="76"/>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6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Segments:</w:t>
            </w: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Lighting Segment</w:t>
            </w:r>
          </w:p>
        </w:tc>
        <w:tc>
          <w:tcPr>
            <w:tcW w:w="20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13,214</w:t>
            </w:r>
          </w:p>
        </w:tc>
        <w:tc>
          <w:tcPr>
            <w:tcW w:w="4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18,545</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20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20,896</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Maintenance Segment</w:t>
            </w: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3,925</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4,608</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(1,060 )</w:t>
            </w: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5,006</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8,827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Electric Vehicle Charging Segment</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(1,166 )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(1,454 )</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(821 )</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(499 )</w:t>
            </w: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13,619</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13,140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80" w:type="dxa"/>
            <w:vAlign w:val="bottom"/>
          </w:tcPr>
          <w:p>
            <w:pPr>
              <w:spacing w:after="0"/>
              <w:rPr>
                <w:sz w:val="18"/>
                <w:szCs w:val="18"/>
                <w:color w:val="auto"/>
              </w:rPr>
            </w:pPr>
          </w:p>
        </w:tc>
        <w:tc>
          <w:tcPr>
            <w:tcW w:w="20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19,584</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25,971</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(1,249 )</w:t>
            </w:r>
          </w:p>
        </w:tc>
        <w:tc>
          <w:tcPr>
            <w:tcW w:w="1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(2,062 )</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52,713</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-170815</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-170815</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-170815</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-170815</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-170815</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4"/>
          <w:szCs w:val="14"/>
          <w:b w:val="1"/>
          <w:bCs w:val="1"/>
          <w:color w:val="auto"/>
        </w:rPr>
        <w:t>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7620</wp:posOffset>
            </wp:positionV>
            <wp:extent cx="161163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ind w:left="620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p>
      <w:pPr>
        <w:jc w:val="center"/>
        <w:ind w:left="586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-3175</wp:posOffset>
            </wp:positionV>
            <wp:extent cx="161163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ind w:left="6220"/>
        <w:spacing w:after="0" w:line="232" w:lineRule="auto"/>
        <w:tabs>
          <w:tab w:leader="none" w:pos="760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b w:val="1"/>
          <w:bCs w:val="1"/>
          <w:color w:val="auto"/>
        </w:rPr>
        <w:t>Operating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7620</wp:posOffset>
            </wp:positionV>
            <wp:extent cx="161163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b w:val="1"/>
          <w:bCs w:val="1"/>
          <w:color w:val="auto"/>
        </w:rPr>
        <w:t>For the Nine Months Ended</w:t>
      </w:r>
    </w:p>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-3175</wp:posOffset>
            </wp:positionV>
            <wp:extent cx="161163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ind w:left="20"/>
        <w:spacing w:after="0" w:line="232" w:lineRule="auto"/>
        <w:tabs>
          <w:tab w:leader="none" w:pos="140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1" w:lineRule="exact"/>
        <w:rPr>
          <w:sz w:val="20"/>
          <w:szCs w:val="20"/>
          <w:color w:val="auto"/>
        </w:rPr>
      </w:pPr>
    </w:p>
    <w:p>
      <w:pPr>
        <w:sectPr>
          <w:pgSz w:w="11900" w:h="16838" w:orient="portrait"/>
          <w:cols w:equalWidth="0" w:num="2">
            <w:col w:w="8260" w:space="720"/>
            <w:col w:w="2260"/>
          </w:cols>
          <w:pgMar w:left="320" w:top="1238" w:right="339" w:bottom="1440" w:gutter="0" w:footer="0" w:header="0"/>
          <w:type w:val="continuous"/>
        </w:sectPr>
      </w:pPr>
    </w:p>
    <w:tbl>
      <w:tblPr>
        <w:tblLayout w:type="fixed"/>
        <w:tblInd w:w="0" w:type="dxa"/>
        <w:tblCellMar>
          <w:top w:w="0" w:type="dxa"/>
          <w:left w:w="0" w:type="dxa"/>
          <w:bottom w:w="0" w:type="dxa"/>
          <w:right w:w="0" w:type="dxa"/>
        </w:tblCellMar>
      </w:tblPr>
      <w:tr>
        <w:trPr>
          <w:trHeight w:val="209"/>
        </w:trPr>
        <w:tc>
          <w:tcPr>
            <w:tcW w:w="580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Segments:</w:t>
            </w:r>
          </w:p>
        </w:tc>
        <w:tc>
          <w:tcPr>
            <w:tcW w:w="36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Lighting Segment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36,805</w:t>
            </w:r>
          </w:p>
        </w:tc>
        <w:tc>
          <w:tcPr>
            <w:tcW w:w="6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44,739</w:t>
            </w:r>
          </w:p>
        </w:tc>
        <w:tc>
          <w:tcPr>
            <w:tcW w:w="6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(2,058 )</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(1,777 )</w:t>
            </w:r>
          </w:p>
        </w:tc>
      </w:tr>
      <w:tr>
        <w:trPr>
          <w:trHeight w:val="216"/>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Maintenance Segment</w:t>
            </w: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11,045</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11,996</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(1,019 )</w:t>
            </w:r>
          </w:p>
        </w:tc>
        <w:tc>
          <w:tcPr>
            <w:tcW w:w="3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(4,660 )</w:t>
            </w:r>
          </w:p>
        </w:tc>
      </w:tr>
      <w:tr>
        <w:trPr>
          <w:trHeight w:val="216"/>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Electric Vehicle Charging Segment</w:t>
            </w: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11,001</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7,435</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(2,001 )</w:t>
            </w:r>
          </w:p>
        </w:tc>
        <w:tc>
          <w:tcPr>
            <w:tcW w:w="3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(4,417 )</w:t>
            </w:r>
          </w:p>
        </w:tc>
      </w:tr>
      <w:tr>
        <w:trPr>
          <w:trHeight w:val="216"/>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(2,875 )</w:t>
            </w:r>
          </w:p>
        </w:tc>
        <w:tc>
          <w:tcPr>
            <w:tcW w:w="3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(1,773 )</w:t>
            </w:r>
          </w:p>
        </w:tc>
      </w:tr>
      <w:tr>
        <w:trPr>
          <w:trHeight w:val="20"/>
        </w:trPr>
        <w:tc>
          <w:tcPr>
            <w:tcW w:w="58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580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58,851</w:t>
            </w:r>
          </w:p>
        </w:tc>
        <w:tc>
          <w:tcPr>
            <w:tcW w:w="240" w:type="dxa"/>
            <w:vAlign w:val="bottom"/>
          </w:tcPr>
          <w:p>
            <w:pPr>
              <w:spacing w:after="0"/>
              <w:rPr>
                <w:sz w:val="18"/>
                <w:szCs w:val="18"/>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64,170</w:t>
            </w:r>
          </w:p>
        </w:tc>
        <w:tc>
          <w:tcPr>
            <w:tcW w:w="24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(7,953 )</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(12,627 )</w:t>
            </w:r>
          </w:p>
        </w:tc>
      </w:tr>
      <w:tr>
        <w:trPr>
          <w:trHeight w:val="20"/>
        </w:trPr>
        <w:tc>
          <w:tcPr>
            <w:tcW w:w="58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-170815</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-170815</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-170815</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RESTRUCTURING EXPENSE</w:t>
      </w:r>
    </w:p>
    <w:p>
      <w:pPr>
        <w:spacing w:after="0" w:line="175" w:lineRule="exact"/>
        <w:rPr>
          <w:sz w:val="20"/>
          <w:szCs w:val="20"/>
          <w:color w:val="auto"/>
        </w:rPr>
      </w:pPr>
    </w:p>
    <w:p>
      <w:pPr>
        <w:jc w:val="both"/>
        <w:ind w:firstLine="464"/>
        <w:spacing w:after="0" w:line="261" w:lineRule="auto"/>
        <w:rPr>
          <w:sz w:val="20"/>
          <w:szCs w:val="20"/>
          <w:color w:val="auto"/>
        </w:rPr>
      </w:pPr>
      <w:r>
        <w:rPr>
          <w:rFonts w:ascii="Times New Roman" w:cs="Times New Roman" w:eastAsia="Times New Roman" w:hAnsi="Times New Roman"/>
          <w:sz w:val="18"/>
          <w:szCs w:val="18"/>
          <w:color w:val="auto"/>
        </w:rPr>
        <w:t>As part of Orion's restructuring effort, we entered into certain retention bonus agreements with certain key employees. The remainder of those retention bonuses were paid in Q3 and are not anticipated to recur. In addition, an inventory write-off was recognized in the first quarter of fiscal 2025 for inventory related to a customer Orion no longer does business with due to the restructuring, along with a lease breakage fee that occurred in the second quarter of fiscal 2025 due to the closing of the Pewaukee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type w:val="continuous"/>
        </w:sectPr>
      </w:pPr>
    </w:p>
    <w:bookmarkStart w:id="19" w:name="page20"/>
    <w:bookmarkEnd w:id="19"/>
    <w:p>
      <w:pPr>
        <w:spacing w:after="0" w:line="282" w:lineRule="auto"/>
        <w:rPr>
          <w:sz w:val="20"/>
          <w:szCs w:val="20"/>
          <w:color w:val="auto"/>
        </w:rPr>
      </w:pPr>
      <w:r>
        <w:rPr>
          <w:rFonts w:ascii="Times New Roman" w:cs="Times New Roman" w:eastAsia="Times New Roman" w:hAnsi="Times New Roman"/>
          <w:sz w:val="18"/>
          <w:szCs w:val="18"/>
          <w:color w:val="auto"/>
        </w:rPr>
        <w:t>office. Orion's restructuring expense for the three and nine months ended December 31, 2024 and 2023 is reflected within its consolidated statement of operations as follows (dollars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60" w:type="dxa"/>
            <w:vAlign w:val="bottom"/>
          </w:tcPr>
          <w:p>
            <w:pPr>
              <w:spacing w:after="0"/>
              <w:rPr>
                <w:sz w:val="13"/>
                <w:szCs w:val="13"/>
                <w:color w:val="auto"/>
              </w:rPr>
            </w:pPr>
          </w:p>
        </w:tc>
        <w:tc>
          <w:tcPr>
            <w:tcW w:w="216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100" w:type="dxa"/>
            <w:vAlign w:val="bottom"/>
          </w:tcPr>
          <w:p>
            <w:pPr>
              <w:spacing w:after="0"/>
              <w:rPr>
                <w:sz w:val="13"/>
                <w:szCs w:val="13"/>
                <w:color w:val="auto"/>
              </w:rPr>
            </w:pPr>
          </w:p>
        </w:tc>
      </w:tr>
      <w:tr>
        <w:trPr>
          <w:trHeight w:val="173"/>
        </w:trPr>
        <w:tc>
          <w:tcPr>
            <w:tcW w:w="656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656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9"/>
                <w:szCs w:val="19"/>
                <w:color w:val="auto"/>
              </w:rPr>
            </w:pPr>
          </w:p>
        </w:tc>
      </w:tr>
      <w:tr>
        <w:trPr>
          <w:trHeight w:val="237"/>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product revenue</w:t>
            </w:r>
          </w:p>
        </w:tc>
        <w:tc>
          <w:tcPr>
            <w:tcW w:w="640" w:type="dxa"/>
            <w:vAlign w:val="bottom"/>
            <w:shd w:val="clear" w:color="auto" w:fill="CFF0FC"/>
          </w:tcPr>
          <w:p>
            <w:pPr>
              <w:jc w:val="right"/>
              <w:ind w:right="439"/>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w w:val="99"/>
              </w:rPr>
              <w:t>—</w:t>
            </w:r>
          </w:p>
        </w:tc>
        <w:tc>
          <w:tcPr>
            <w:tcW w:w="56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FF0FC"/>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197</w:t>
            </w:r>
          </w:p>
        </w:tc>
        <w:tc>
          <w:tcPr>
            <w:tcW w:w="56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r>
      <w:tr>
        <w:trPr>
          <w:trHeight w:val="243"/>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service revenue</w:t>
            </w:r>
          </w:p>
        </w:tc>
        <w:tc>
          <w:tcPr>
            <w:tcW w:w="640" w:type="dxa"/>
            <w:vAlign w:val="bottom"/>
          </w:tcPr>
          <w:p>
            <w:pPr>
              <w:spacing w:after="0"/>
              <w:rPr>
                <w:sz w:val="21"/>
                <w:szCs w:val="21"/>
                <w:color w:val="auto"/>
              </w:rPr>
            </w:pPr>
          </w:p>
        </w:tc>
        <w:tc>
          <w:tcPr>
            <w:tcW w:w="3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149</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r>
      <w:tr>
        <w:trPr>
          <w:trHeight w:val="243"/>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640" w:type="dxa"/>
            <w:vAlign w:val="bottom"/>
            <w:tcBorders>
              <w:bottom w:val="single" w:sz="8" w:color="auto"/>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w w:val="99"/>
              </w:rPr>
              <w:t>20</w:t>
            </w:r>
          </w:p>
        </w:tc>
        <w:tc>
          <w:tcPr>
            <w:tcW w:w="260" w:type="dxa"/>
            <w:vAlign w:val="bottom"/>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FF0FC"/>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388</w:t>
            </w:r>
          </w:p>
        </w:tc>
        <w:tc>
          <w:tcPr>
            <w:tcW w:w="240" w:type="dxa"/>
            <w:vAlign w:val="bottom"/>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1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Restructuring</w:t>
            </w:r>
          </w:p>
        </w:tc>
        <w:tc>
          <w:tcPr>
            <w:tcW w:w="6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99"/>
              </w:rPr>
              <w:t>20</w:t>
            </w:r>
          </w:p>
        </w:tc>
        <w:tc>
          <w:tcPr>
            <w:tcW w:w="26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734</w:t>
            </w:r>
          </w:p>
        </w:tc>
        <w:tc>
          <w:tcPr>
            <w:tcW w:w="240" w:type="dxa"/>
            <w:vAlign w:val="bottom"/>
          </w:tcPr>
          <w:p>
            <w:pPr>
              <w:spacing w:after="0"/>
              <w:rPr>
                <w:sz w:val="18"/>
                <w:szCs w:val="18"/>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0"/>
        </w:trPr>
        <w:tc>
          <w:tcPr>
            <w:tcW w:w="65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Total restructuring expense by segment was recorded as follows (dollars in thousands):</w:t>
      </w:r>
    </w:p>
    <w:tbl>
      <w:tblPr>
        <w:tblLayout w:type="fixed"/>
        <w:tblInd w:w="0" w:type="dxa"/>
        <w:tblCellMar>
          <w:top w:w="0" w:type="dxa"/>
          <w:left w:w="0" w:type="dxa"/>
          <w:bottom w:w="0" w:type="dxa"/>
          <w:right w:w="0" w:type="dxa"/>
        </w:tblCellMar>
      </w:tblPr>
      <w:tr>
        <w:trPr>
          <w:trHeight w:val="151"/>
        </w:trPr>
        <w:tc>
          <w:tcPr>
            <w:tcW w:w="6560" w:type="dxa"/>
            <w:vAlign w:val="bottom"/>
          </w:tcPr>
          <w:p>
            <w:pPr>
              <w:spacing w:after="0"/>
              <w:rPr>
                <w:sz w:val="13"/>
                <w:szCs w:val="13"/>
                <w:color w:val="auto"/>
              </w:rPr>
            </w:pPr>
          </w:p>
        </w:tc>
        <w:tc>
          <w:tcPr>
            <w:tcW w:w="2160" w:type="dxa"/>
            <w:vAlign w:val="bottom"/>
            <w:gridSpan w:val="5"/>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0" w:type="dxa"/>
            <w:vAlign w:val="bottom"/>
            <w:gridSpan w:val="5"/>
          </w:tcPr>
          <w:p>
            <w:pPr>
              <w:jc w:val="center"/>
              <w:ind w:right="75"/>
              <w:spacing w:after="0" w:line="151" w:lineRule="exact"/>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100" w:type="dxa"/>
            <w:vAlign w:val="bottom"/>
          </w:tcPr>
          <w:p>
            <w:pPr>
              <w:spacing w:after="0"/>
              <w:rPr>
                <w:sz w:val="13"/>
                <w:szCs w:val="13"/>
                <w:color w:val="auto"/>
              </w:rPr>
            </w:pPr>
          </w:p>
        </w:tc>
      </w:tr>
      <w:tr>
        <w:trPr>
          <w:trHeight w:val="173"/>
        </w:trPr>
        <w:tc>
          <w:tcPr>
            <w:tcW w:w="656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4"/>
          </w:tcPr>
          <w:p>
            <w:pPr>
              <w:jc w:val="center"/>
              <w:ind w:left="39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656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9"/>
                <w:szCs w:val="19"/>
                <w:color w:val="auto"/>
              </w:rPr>
            </w:pPr>
          </w:p>
        </w:tc>
      </w:tr>
      <w:tr>
        <w:trPr>
          <w:trHeight w:val="236"/>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Segments:</w:t>
            </w: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65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Maintenance</w:t>
            </w:r>
          </w:p>
        </w:tc>
        <w:tc>
          <w:tcPr>
            <w:tcW w:w="640" w:type="dxa"/>
            <w:vAlign w:val="bottom"/>
            <w:shd w:val="clear" w:color="auto" w:fill="CFF0FC"/>
          </w:tcPr>
          <w:p>
            <w:pPr>
              <w:spacing w:after="0"/>
              <w:rPr>
                <w:sz w:val="21"/>
                <w:szCs w:val="21"/>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64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FF0FC"/>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64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29"/>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6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50"/>
        </w:trPr>
        <w:tc>
          <w:tcPr>
            <w:tcW w:w="65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Restructuring</w:t>
            </w:r>
          </w:p>
        </w:tc>
        <w:tc>
          <w:tcPr>
            <w:tcW w:w="640" w:type="dxa"/>
            <w:vAlign w:val="bottom"/>
            <w:tcBorders>
              <w:bottom w:val="single" w:sz="8" w:color="auto"/>
            </w:tcBorders>
            <w:shd w:val="clear" w:color="auto" w:fill="CFF0FC"/>
          </w:tcPr>
          <w:p>
            <w:pPr>
              <w:jc w:val="right"/>
              <w:ind w:right="44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10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-24765</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-7620</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-24765</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-7620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-24765</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-7620</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In the fourth quarter of fiscal 2025, Orion approved a cost reduction plan as part of its restructuring effort of approximately $1.5 million in annualized savings through targeted staffing reductions.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73" w:lineRule="exact"/>
        <w:rPr>
          <w:sz w:val="20"/>
          <w:szCs w:val="20"/>
          <w:color w:val="auto"/>
        </w:rPr>
      </w:pPr>
    </w:p>
    <w:p>
      <w:pPr>
        <w:jc w:val="both"/>
        <w:ind w:firstLine="469"/>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together with our unaudited Condensed Consolidated Financial Statements and related notes included in this Form 10-Q, as well as our audited Consolidated Financial Statements and related notes included in our Annual Report on Form 10-K for the fiscal year ended March 31, 2024.</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75" w:lineRule="exact"/>
        <w:rPr>
          <w:sz w:val="20"/>
          <w:szCs w:val="20"/>
          <w:color w:val="auto"/>
        </w:rPr>
      </w:pPr>
    </w:p>
    <w:p>
      <w:pPr>
        <w:jc w:val="both"/>
        <w:ind w:firstLine="464"/>
        <w:spacing w:after="0" w:line="253" w:lineRule="auto"/>
        <w:rPr>
          <w:sz w:val="20"/>
          <w:szCs w:val="20"/>
          <w:color w:val="auto"/>
        </w:rPr>
      </w:pPr>
      <w:r>
        <w:rPr>
          <w:rFonts w:ascii="Times New Roman" w:cs="Times New Roman" w:eastAsia="Times New Roman" w:hAnsi="Times New Roman"/>
          <w:sz w:val="18"/>
          <w:szCs w:val="18"/>
          <w:color w:val="auto"/>
        </w:rPr>
        <w:t>Any statements in this Quarterly Report on Form 10-Q about our expectations, beliefs, plans, objectives, prospects, financial condition, assumptions or future events or performance are not historical facts and are “forward-looking statements” as that term is defined under the federal securities laws. These statements are often, but not always, made through the use of words or phrases such as “believe”, “anticipate”, “should”, “intend”, “plan”, “will”, “expects”, “estimates”, “projects”, “positioned”, “strategy”, “outlook” and similar words. You should read the statements that contain these types of words carefully. Such forward-looking statements are subject to several risks, uncertainties and other factors that could cause actual results to differ materially from what is expressed or implied in such forward-looking statements. There may be events in the future that we are not able to predict accurately or over which we have no control. Potential risks and uncertainties include, but are not limited to, those discussed in “Part I, Item 1A. Risk Factors” in our Annual Report on Form 10-K for the fiscal year ended March 31, 2024. We urge you not to place undue reliance on these forward-looking statements, which speak only as of the date of this report. We do not undertake any obligation to release publicly any revisions to such forward-looking statements to reflect events or uncertainties after the date hereof or to reflect the occurrence of unanticipated events.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jc w:val="both"/>
        <w:ind w:firstLine="464"/>
        <w:spacing w:after="0" w:line="255" w:lineRule="auto"/>
        <w:rPr>
          <w:sz w:val="20"/>
          <w:szCs w:val="20"/>
          <w:color w:val="auto"/>
        </w:rPr>
      </w:pPr>
      <w:r>
        <w:rPr>
          <w:rFonts w:ascii="Times New Roman" w:cs="Times New Roman" w:eastAsia="Times New Roman" w:hAnsi="Times New Roman"/>
          <w:sz w:val="18"/>
          <w:szCs w:val="18"/>
          <w:color w:val="auto"/>
        </w:rPr>
        <w:t>We provide state-of-the-art light emitting diode (“LED”) lighting systems, wireless Internet of Things (“IoT”) enabled control solutions, commercial and industrial electric vehicle (“EV”) charging infrastructure solutions, and lighting and electrical maintenance services. We help our customers achieve their sustainability, energy savings and carbon footprint reduction goals through innovative technology and exceptional service. We sell our products and services into many vertical markets within the broader commercial and industrial market segment. Primary verticals include: big box retail, manufacturing, warehousing/logistics, commercial office, federal and municipal government, healthcare and schools. Our services consist of turnkey installation (lighting and EV) and system maintenance. Virtually all of our sales occur within North America or for the US Department of Defense's military bases operating in foreign countries.</w:t>
      </w:r>
    </w:p>
    <w:p>
      <w:pPr>
        <w:spacing w:after="0" w:line="135" w:lineRule="exact"/>
        <w:rPr>
          <w:sz w:val="20"/>
          <w:szCs w:val="20"/>
          <w:color w:val="auto"/>
        </w:rPr>
      </w:pPr>
    </w:p>
    <w:p>
      <w:pPr>
        <w:jc w:val="both"/>
        <w:ind w:firstLine="464"/>
        <w:spacing w:after="0" w:line="258" w:lineRule="auto"/>
        <w:rPr>
          <w:sz w:val="20"/>
          <w:szCs w:val="20"/>
          <w:color w:val="auto"/>
        </w:rPr>
      </w:pPr>
      <w:r>
        <w:rPr>
          <w:rFonts w:ascii="Times New Roman" w:cs="Times New Roman" w:eastAsia="Times New Roman" w:hAnsi="Times New Roman"/>
          <w:sz w:val="18"/>
          <w:szCs w:val="18"/>
          <w:color w:val="auto"/>
        </w:rPr>
        <w:t>Our lighting products consist primarily of LED lighting fixtures, many of which include sourced IoT enabled control systems. Our principal lighting customers include large national account end-users, federal and state government facilities, large regional account end-users, electrical distributors, electrical contractors and energy service companies (“ESCOs”). Currently, most of our lighting products are manufactured at our leased production facility located in Manitowoc, Wisconsin, although as the LED and related IoT market continues to evolve, we are increasingly sourcing products and components from third parties in order to provide versatility in our product development and offerings.</w:t>
      </w:r>
    </w:p>
    <w:p>
      <w:pPr>
        <w:spacing w:after="0" w:line="183" w:lineRule="exact"/>
        <w:rPr>
          <w:sz w:val="20"/>
          <w:szCs w:val="20"/>
          <w:color w:val="auto"/>
        </w:rPr>
      </w:pPr>
    </w:p>
    <w:p>
      <w:pPr>
        <w:jc w:val="both"/>
        <w:ind w:firstLine="499"/>
        <w:spacing w:after="0" w:line="254" w:lineRule="auto"/>
        <w:rPr>
          <w:sz w:val="20"/>
          <w:szCs w:val="20"/>
          <w:color w:val="auto"/>
        </w:rPr>
      </w:pPr>
      <w:r>
        <w:rPr>
          <w:rFonts w:ascii="Times New Roman" w:cs="Times New Roman" w:eastAsia="Times New Roman" w:hAnsi="Times New Roman"/>
          <w:sz w:val="18"/>
          <w:szCs w:val="18"/>
          <w:color w:val="auto"/>
        </w:rPr>
        <w:t>We differentiate ourselves from our competitors by offering very efficient light fixtures (measured in lumens per watt) coupled with our project management services to national account customers to retrofit their multiple locations. Our comprehensive services include initial site surveys and audits, utility incentive and government subsidy management, engineering design, and project management from delivery through to installation and controls integration and commissioning. In addition, we began to offer lighting and electrical maintenance services in fiscal 2021. We believe that providing these services enables us to support a long-term business relationship with our customers and results in an increase in our recurring revenue. We completed the acquisition of Stay-Lite on January 1, 2022, which was intended to further expand our maintenance services capabilities. We subsequently dissolved the Stay-Lite business and merged the net assets into Orion effective October 11, 2024. On October 5, 2022, we acquired Voltrek, which was intended to leverage our project management and maintenance expertise into the rapidly growing EV sector.</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1" w:name="page22"/>
    <w:bookmarkEnd w:id="21"/>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Our lighting products consist primarily of LED lighting fixtures, many of which include IoT enabled control systems provided by third parties. We believe the market for LED lighting products continues to grow. Due to their size and flexibility in application, we also believe that LED lighting systems can address opportunities for retrofit applications that cannot be satisfied by other lighting technologies.</w:t>
      </w:r>
    </w:p>
    <w:p>
      <w:pPr>
        <w:spacing w:after="0" w:line="176" w:lineRule="exact"/>
        <w:rPr>
          <w:sz w:val="20"/>
          <w:szCs w:val="20"/>
          <w:color w:val="auto"/>
        </w:rPr>
      </w:pPr>
    </w:p>
    <w:p>
      <w:pPr>
        <w:jc w:val="both"/>
        <w:ind w:firstLine="499"/>
        <w:spacing w:after="0" w:line="256" w:lineRule="auto"/>
        <w:rPr>
          <w:sz w:val="20"/>
          <w:szCs w:val="20"/>
          <w:color w:val="auto"/>
        </w:rPr>
      </w:pPr>
      <w:r>
        <w:rPr>
          <w:rFonts w:ascii="Times New Roman" w:cs="Times New Roman" w:eastAsia="Times New Roman" w:hAnsi="Times New Roman"/>
          <w:sz w:val="18"/>
          <w:szCs w:val="18"/>
          <w:color w:val="auto"/>
        </w:rPr>
        <w:t>We generally do not have long-term contracts with our customers for product or turnkey services that provide us with recurring annual revenue. However, our maintenance services contracts usually consist of multi-year arrangements. We typically generate substantially all of our lighting revenue from sales of lighting systems and related services to governmental, commercial and industrial customers on a project-by-project basis. We also perform work under global services or product purchasing agreements with major customers with sales completed on a purchase order basis. The loss of, or substantial reduction in sales to, any of our significant customers, or our current single largest customer, or the termination or delay of a significant volume of purchase orders by one or more key customers, could have a material adverse effect on our results of operations in any given future period.</w:t>
      </w:r>
    </w:p>
    <w:p>
      <w:pPr>
        <w:spacing w:after="0" w:line="187"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We typically sell our lighting systems in replacement of our customers’ existing lighting fixtures. We call this replacement process a "retrofit". We frequently sell our products and services directly to our customers and in many cases we provide design and installation services as well as project management services. We also sell our lighting systems on a wholesale basis, principally to electrical distributors, electrical contractors and ESCOs which then resell to their own customers.</w:t>
      </w:r>
    </w:p>
    <w:p>
      <w:pPr>
        <w:spacing w:after="0" w:line="180"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The gross margins of our products can vary significantly depending upon the types of products we sell, with gross margins typically ranging from 10% to 50%. As a result, a change in the total mix of our product sales among higher or lower gross margin products can cause our profitability to fluctuate from period to period.</w:t>
      </w:r>
    </w:p>
    <w:p>
      <w:pPr>
        <w:spacing w:after="0" w:line="176"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Our fiscal year ends on March 31. We refer to our current fiscal year which ends on March 31, 2025 as "fiscal 2025". We refer to our most recently completed fiscal year, which ended on March 31, 2024, as “fiscal 2024”, and our prior fiscal year which ended on March 31, 2023 as "fiscal 2023". Our fiscal first quarter of each fiscal year ends on June 30, our fiscal second quarter ends on September 30, our fiscal third quarter ends on December 31, and our fiscal fourth quarter ends on March 31.</w:t>
      </w:r>
    </w:p>
    <w:p>
      <w:pPr>
        <w:spacing w:after="0" w:line="126" w:lineRule="exact"/>
        <w:rPr>
          <w:sz w:val="20"/>
          <w:szCs w:val="20"/>
          <w:color w:val="auto"/>
        </w:rPr>
      </w:pPr>
    </w:p>
    <w:p>
      <w:pPr>
        <w:jc w:val="both"/>
        <w:ind w:firstLine="469"/>
        <w:spacing w:after="0" w:line="266" w:lineRule="auto"/>
        <w:rPr>
          <w:sz w:val="20"/>
          <w:szCs w:val="20"/>
          <w:color w:val="auto"/>
        </w:rPr>
      </w:pPr>
      <w:r>
        <w:rPr>
          <w:rFonts w:ascii="Times New Roman" w:cs="Times New Roman" w:eastAsia="Times New Roman" w:hAnsi="Times New Roman"/>
          <w:sz w:val="18"/>
          <w:szCs w:val="18"/>
          <w:color w:val="auto"/>
        </w:rPr>
        <w:t>Reportable segments are components of an entity that have separate financial data that the entity's chief operating decision maker ("CODM") regularly reviews when allocating resources and assessing performance. Orion's CODM is the chief executive officer. Orion evaluates and reports on the business using three segments: Lighting Segment, Maintenance Segment and Electric Vehicle Charging Segment (“EV Segment”).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Results of Operations - Three Months Ended December 31, 2024 versus Three Months Ended December 31, 2023</w:t>
      </w:r>
    </w:p>
    <w:p>
      <w:pPr>
        <w:spacing w:after="0" w:line="175" w:lineRule="exact"/>
        <w:rPr>
          <w:sz w:val="20"/>
          <w:szCs w:val="20"/>
          <w:color w:val="auto"/>
        </w:rPr>
      </w:pPr>
    </w:p>
    <w:p>
      <w:pPr>
        <w:jc w:val="both"/>
        <w:ind w:firstLine="469"/>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line items of our Condensed Consolidated Statements of Operations and as a relative percentage of our total revenue for each applicable period, together with the relative percentage change in such line item between applicable comparable periods (dollars in thousands, except percentages):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700" w:type="dxa"/>
            <w:vAlign w:val="bottom"/>
            <w:tcBorders>
              <w:bottom w:val="single" w:sz="8" w:color="auto"/>
            </w:tcBorders>
            <w:gridSpan w:val="6"/>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10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9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2"/>
                <w:szCs w:val="12"/>
                <w:color w:val="auto"/>
              </w:rPr>
            </w:pPr>
          </w:p>
        </w:tc>
        <w:tc>
          <w:tcPr>
            <w:tcW w:w="980" w:type="dxa"/>
            <w:vAlign w:val="bottom"/>
            <w:vMerge w:val="restart"/>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spacing w:after="0"/>
              <w:rPr>
                <w:sz w:val="12"/>
                <w:szCs w:val="12"/>
                <w:color w:val="auto"/>
              </w:rPr>
            </w:pPr>
          </w:p>
        </w:tc>
        <w:tc>
          <w:tcPr>
            <w:tcW w:w="9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360" w:type="dxa"/>
            <w:vAlign w:val="bottom"/>
          </w:tcPr>
          <w:p>
            <w:pPr>
              <w:spacing w:after="0"/>
              <w:rPr>
                <w:sz w:val="12"/>
                <w:szCs w:val="12"/>
                <w:color w:val="auto"/>
              </w:rPr>
            </w:pPr>
          </w:p>
        </w:tc>
        <w:tc>
          <w:tcPr>
            <w:tcW w:w="102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4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vMerge w:val="restart"/>
          </w:tcPr>
          <w:p>
            <w:pPr>
              <w:spacing w:after="0"/>
              <w:rPr>
                <w:sz w:val="10"/>
                <w:szCs w:val="10"/>
                <w:color w:val="auto"/>
              </w:rPr>
            </w:pPr>
          </w:p>
        </w:tc>
        <w:tc>
          <w:tcPr>
            <w:tcW w:w="98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9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360" w:type="dxa"/>
            <w:vAlign w:val="bottom"/>
          </w:tcPr>
          <w:p>
            <w:pPr>
              <w:spacing w:after="0"/>
              <w:rPr>
                <w:sz w:val="10"/>
                <w:szCs w:val="10"/>
                <w:color w:val="auto"/>
              </w:rPr>
            </w:pPr>
          </w:p>
        </w:tc>
        <w:tc>
          <w:tcPr>
            <w:tcW w:w="10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9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9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60" w:type="dxa"/>
            <w:vAlign w:val="bottom"/>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360" w:type="dxa"/>
            <w:vAlign w:val="bottom"/>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Product revenue</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14,308</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17,007</w:t>
            </w:r>
          </w:p>
        </w:tc>
        <w:tc>
          <w:tcPr>
            <w:tcW w:w="2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(15.9 )%</w:t>
            </w:r>
          </w:p>
        </w:tc>
        <w:tc>
          <w:tcPr>
            <w:tcW w:w="13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73.1 %</w:t>
            </w:r>
          </w:p>
        </w:tc>
        <w:tc>
          <w:tcPr>
            <w:tcW w:w="1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65.5 %</w:t>
            </w:r>
          </w:p>
        </w:tc>
        <w:tc>
          <w:tcPr>
            <w:tcW w:w="0" w:type="dxa"/>
            <w:vAlign w:val="bottom"/>
          </w:tcPr>
          <w:p>
            <w:pPr>
              <w:spacing w:after="0"/>
              <w:rPr>
                <w:sz w:val="1"/>
                <w:szCs w:val="1"/>
                <w:color w:val="auto"/>
              </w:rPr>
            </w:pPr>
          </w:p>
        </w:tc>
      </w:tr>
      <w:tr>
        <w:trPr>
          <w:trHeight w:val="216"/>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revenue</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8,964</w:t>
            </w:r>
          </w:p>
        </w:tc>
        <w:tc>
          <w:tcPr>
            <w:tcW w:w="22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(41.1 )%</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26.9 %</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34.5 %</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19,584</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25,971</w:t>
            </w:r>
          </w:p>
        </w:tc>
        <w:tc>
          <w:tcPr>
            <w:tcW w:w="2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(24.6 )%</w:t>
            </w:r>
          </w:p>
        </w:tc>
        <w:tc>
          <w:tcPr>
            <w:tcW w:w="13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100.0 %</w:t>
            </w:r>
          </w:p>
        </w:tc>
        <w:tc>
          <w:tcPr>
            <w:tcW w:w="1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16"/>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product revenue</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12,302</w:t>
            </w:r>
          </w:p>
        </w:tc>
        <w:tc>
          <w:tcPr>
            <w:tcW w:w="22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(24.0 )%</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47.7 %</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47.4 %</w:t>
            </w:r>
          </w:p>
        </w:tc>
        <w:tc>
          <w:tcPr>
            <w:tcW w:w="0" w:type="dxa"/>
            <w:vAlign w:val="bottom"/>
          </w:tcPr>
          <w:p>
            <w:pPr>
              <w:spacing w:after="0"/>
              <w:rPr>
                <w:sz w:val="1"/>
                <w:szCs w:val="1"/>
                <w:color w:val="auto"/>
              </w:rPr>
            </w:pPr>
          </w:p>
        </w:tc>
      </w:tr>
      <w:tr>
        <w:trPr>
          <w:trHeight w:val="216"/>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service revenue</w:t>
            </w: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4,483</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7,302</w:t>
            </w:r>
          </w:p>
        </w:tc>
        <w:tc>
          <w:tcPr>
            <w:tcW w:w="2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(38.6 )%</w:t>
            </w:r>
          </w:p>
        </w:tc>
        <w:tc>
          <w:tcPr>
            <w:tcW w:w="13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22.9 %</w:t>
            </w:r>
          </w:p>
        </w:tc>
        <w:tc>
          <w:tcPr>
            <w:tcW w:w="1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28.1 %</w:t>
            </w:r>
          </w:p>
        </w:tc>
        <w:tc>
          <w:tcPr>
            <w:tcW w:w="0" w:type="dxa"/>
            <w:vAlign w:val="bottom"/>
          </w:tcPr>
          <w:p>
            <w:pPr>
              <w:spacing w:after="0"/>
              <w:rPr>
                <w:sz w:val="1"/>
                <w:szCs w:val="1"/>
                <w:color w:val="auto"/>
              </w:rPr>
            </w:pPr>
          </w:p>
        </w:tc>
      </w:tr>
      <w:tr>
        <w:trPr>
          <w:trHeight w:val="20"/>
        </w:trPr>
        <w:tc>
          <w:tcPr>
            <w:tcW w:w="49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cost of revenue</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19,604</w:t>
            </w:r>
          </w:p>
        </w:tc>
        <w:tc>
          <w:tcPr>
            <w:tcW w:w="22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(29.5 )%</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70.6 %</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75.5 %</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5,754</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6,367</w:t>
            </w:r>
          </w:p>
        </w:tc>
        <w:tc>
          <w:tcPr>
            <w:tcW w:w="2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(9.6 )%</w:t>
            </w:r>
          </w:p>
        </w:tc>
        <w:tc>
          <w:tcPr>
            <w:tcW w:w="13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29.4 %</w:t>
            </w:r>
          </w:p>
        </w:tc>
        <w:tc>
          <w:tcPr>
            <w:tcW w:w="1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24.5 %</w:t>
            </w:r>
          </w:p>
        </w:tc>
        <w:tc>
          <w:tcPr>
            <w:tcW w:w="0" w:type="dxa"/>
            <w:vAlign w:val="bottom"/>
          </w:tcPr>
          <w:p>
            <w:pPr>
              <w:spacing w:after="0"/>
              <w:rPr>
                <w:sz w:val="1"/>
                <w:szCs w:val="1"/>
                <w:color w:val="auto"/>
              </w:rPr>
            </w:pPr>
          </w:p>
        </w:tc>
      </w:tr>
      <w:tr>
        <w:trPr>
          <w:trHeight w:val="216"/>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4,910</w:t>
            </w:r>
          </w:p>
        </w:tc>
        <w:tc>
          <w:tcPr>
            <w:tcW w:w="22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(21.4 )%</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19.7 %</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18.9 %</w:t>
            </w:r>
          </w:p>
        </w:tc>
        <w:tc>
          <w:tcPr>
            <w:tcW w:w="0" w:type="dxa"/>
            <w:vAlign w:val="bottom"/>
          </w:tcPr>
          <w:p>
            <w:pPr>
              <w:spacing w:after="0"/>
              <w:rPr>
                <w:sz w:val="1"/>
                <w:szCs w:val="1"/>
                <w:color w:val="auto"/>
              </w:rPr>
            </w:pPr>
          </w:p>
        </w:tc>
      </w:tr>
      <w:tr>
        <w:trPr>
          <w:trHeight w:val="216"/>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2,859</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3,170</w:t>
            </w:r>
          </w:p>
        </w:tc>
        <w:tc>
          <w:tcPr>
            <w:tcW w:w="2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(9.8 )%</w:t>
            </w:r>
          </w:p>
        </w:tc>
        <w:tc>
          <w:tcPr>
            <w:tcW w:w="13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14.6 %</w:t>
            </w:r>
          </w:p>
        </w:tc>
        <w:tc>
          <w:tcPr>
            <w:tcW w:w="1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12.2 %</w:t>
            </w:r>
          </w:p>
        </w:tc>
        <w:tc>
          <w:tcPr>
            <w:tcW w:w="0" w:type="dxa"/>
            <w:vAlign w:val="bottom"/>
          </w:tcPr>
          <w:p>
            <w:pPr>
              <w:spacing w:after="0"/>
              <w:rPr>
                <w:sz w:val="1"/>
                <w:szCs w:val="1"/>
                <w:color w:val="auto"/>
              </w:rPr>
            </w:pPr>
          </w:p>
        </w:tc>
      </w:tr>
      <w:tr>
        <w:trPr>
          <w:trHeight w:val="216"/>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22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(17.8 )%</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1.5 %</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(1,249 )</w:t>
            </w:r>
          </w:p>
        </w:tc>
        <w:tc>
          <w:tcPr>
            <w:tcW w:w="1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(2,062 )</w:t>
            </w:r>
          </w:p>
        </w:tc>
        <w:tc>
          <w:tcPr>
            <w:tcW w:w="1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(39.4 )%</w:t>
            </w:r>
          </w:p>
        </w:tc>
        <w:tc>
          <w:tcPr>
            <w:tcW w:w="1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(6.4 )%</w:t>
            </w:r>
          </w:p>
        </w:tc>
        <w:tc>
          <w:tcPr>
            <w:tcW w:w="1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(7.9 )%</w:t>
            </w:r>
          </w:p>
        </w:tc>
        <w:tc>
          <w:tcPr>
            <w:tcW w:w="0" w:type="dxa"/>
            <w:vAlign w:val="bottom"/>
          </w:tcPr>
          <w:p>
            <w:pPr>
              <w:spacing w:after="0"/>
              <w:rPr>
                <w:sz w:val="1"/>
                <w:szCs w:val="1"/>
                <w:color w:val="auto"/>
              </w:rPr>
            </w:pPr>
          </w:p>
        </w:tc>
      </w:tr>
      <w:tr>
        <w:trPr>
          <w:trHeight w:val="216"/>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(255 )</w:t>
            </w:r>
          </w:p>
        </w:tc>
        <w:tc>
          <w:tcPr>
            <w:tcW w:w="1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(193 )</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32.1 %</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(1.3 )%</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(0.7 )%</w:t>
            </w:r>
          </w:p>
        </w:tc>
        <w:tc>
          <w:tcPr>
            <w:tcW w:w="0" w:type="dxa"/>
            <w:vAlign w:val="bottom"/>
          </w:tcPr>
          <w:p>
            <w:pPr>
              <w:spacing w:after="0"/>
              <w:rPr>
                <w:sz w:val="1"/>
                <w:szCs w:val="1"/>
                <w:color w:val="auto"/>
              </w:rPr>
            </w:pPr>
          </w:p>
        </w:tc>
      </w:tr>
      <w:tr>
        <w:trPr>
          <w:trHeight w:val="216"/>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 of debt issue costs</w:t>
            </w:r>
          </w:p>
        </w:tc>
        <w:tc>
          <w:tcPr>
            <w:tcW w:w="1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(49 )</w:t>
            </w:r>
          </w:p>
        </w:tc>
        <w:tc>
          <w:tcPr>
            <w:tcW w:w="1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(25 )</w:t>
            </w:r>
          </w:p>
        </w:tc>
        <w:tc>
          <w:tcPr>
            <w:tcW w:w="13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96.0 %</w:t>
            </w:r>
          </w:p>
        </w:tc>
        <w:tc>
          <w:tcPr>
            <w:tcW w:w="1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(0.3 )%</w:t>
            </w:r>
          </w:p>
        </w:tc>
        <w:tc>
          <w:tcPr>
            <w:tcW w:w="1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216"/>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Royalty income</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NM</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0.5 %</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16"/>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1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(100.0 )%</w:t>
            </w:r>
          </w:p>
        </w:tc>
        <w:tc>
          <w:tcPr>
            <w:tcW w:w="13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0.0 %</w:t>
            </w:r>
          </w:p>
        </w:tc>
        <w:tc>
          <w:tcPr>
            <w:tcW w:w="1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216"/>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36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0.0 %</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before income tax</w:t>
            </w:r>
          </w:p>
        </w:tc>
        <w:tc>
          <w:tcPr>
            <w:tcW w:w="1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(1,507 )</w:t>
            </w:r>
          </w:p>
        </w:tc>
        <w:tc>
          <w:tcPr>
            <w:tcW w:w="1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(2,255 )</w:t>
            </w:r>
          </w:p>
        </w:tc>
        <w:tc>
          <w:tcPr>
            <w:tcW w:w="1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(33.2 )%</w:t>
            </w:r>
          </w:p>
        </w:tc>
        <w:tc>
          <w:tcPr>
            <w:tcW w:w="1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(7.7 )%</w:t>
            </w:r>
          </w:p>
        </w:tc>
        <w:tc>
          <w:tcPr>
            <w:tcW w:w="1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(8.7 )%</w:t>
            </w:r>
          </w:p>
        </w:tc>
        <w:tc>
          <w:tcPr>
            <w:tcW w:w="0" w:type="dxa"/>
            <w:vAlign w:val="bottom"/>
          </w:tcPr>
          <w:p>
            <w:pPr>
              <w:spacing w:after="0"/>
              <w:rPr>
                <w:sz w:val="1"/>
                <w:szCs w:val="1"/>
                <w:color w:val="auto"/>
              </w:rPr>
            </w:pPr>
          </w:p>
        </w:tc>
      </w:tr>
      <w:tr>
        <w:trPr>
          <w:trHeight w:val="216"/>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0.0 %</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(1,508 )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(2,256 )</w:t>
            </w:r>
          </w:p>
        </w:tc>
        <w:tc>
          <w:tcPr>
            <w:tcW w:w="1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(33.2 )%</w:t>
            </w:r>
          </w:p>
        </w:tc>
        <w:tc>
          <w:tcPr>
            <w:tcW w:w="1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(7.7 )%</w:t>
            </w:r>
          </w:p>
        </w:tc>
        <w:tc>
          <w:tcPr>
            <w:tcW w:w="1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(8.7 )%</w:t>
            </w:r>
          </w:p>
        </w:tc>
        <w:tc>
          <w:tcPr>
            <w:tcW w:w="0" w:type="dxa"/>
            <w:vAlign w:val="bottom"/>
          </w:tcPr>
          <w:p>
            <w:pPr>
              <w:spacing w:after="0"/>
              <w:rPr>
                <w:sz w:val="1"/>
                <w:szCs w:val="1"/>
                <w:color w:val="auto"/>
              </w:rPr>
            </w:pPr>
          </w:p>
        </w:tc>
      </w:tr>
      <w:tr>
        <w:trPr>
          <w:trHeight w:val="20"/>
        </w:trPr>
        <w:tc>
          <w:tcPr>
            <w:tcW w:w="49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-1988185</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-1988185</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-1988185</wp:posOffset>
            </wp:positionV>
            <wp:extent cx="15430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-1988185</wp:posOffset>
            </wp:positionV>
            <wp:extent cx="15430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-1988185</wp:posOffset>
            </wp:positionV>
            <wp:extent cx="15430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-24765</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-7620</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-24765</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-7620</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-24765</wp:posOffset>
            </wp:positionV>
            <wp:extent cx="15430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-7620</wp:posOffset>
            </wp:positionV>
            <wp:extent cx="15430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-24765</wp:posOffset>
            </wp:positionV>
            <wp:extent cx="15430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-7620</wp:posOffset>
            </wp:positionV>
            <wp:extent cx="15430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-24765</wp:posOffset>
            </wp:positionV>
            <wp:extent cx="15430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-7620</wp:posOffset>
            </wp:positionV>
            <wp:extent cx="15430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 NM - Not Meaningful</w:t>
      </w:r>
    </w:p>
    <w:p>
      <w:pPr>
        <w:spacing w:after="0" w:line="160" w:lineRule="exact"/>
        <w:rPr>
          <w:sz w:val="20"/>
          <w:szCs w:val="20"/>
          <w:color w:val="auto"/>
        </w:rPr>
      </w:pPr>
    </w:p>
    <w:p>
      <w:pPr>
        <w:jc w:val="both"/>
        <w:ind w:firstLine="46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Revenue, Cost of Revenue and Gross Margin. </w:t>
      </w:r>
      <w:r>
        <w:rPr>
          <w:rFonts w:ascii="Times New Roman" w:cs="Times New Roman" w:eastAsia="Times New Roman" w:hAnsi="Times New Roman"/>
          <w:sz w:val="18"/>
          <w:szCs w:val="18"/>
          <w:color w:val="auto"/>
        </w:rPr>
        <w:t>Product revenue decreased 15.9%, or $2.7 million, for the third quarter of fiscal 2025 versus the third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quarter of fiscal 2024. Service revenue decreased 41.1%, or $3.7 million, for the third quarter of fiscal 2025 versus the third quarter of fiscal 2024. The resulting decrease in total revenue was due to decreased revenues in all three segments because of lower volume. Cost of product revenue decreased by 24.0%, or $3.0 million, in the third quarter of fiscal 2025 versus the comparable period in fiscal 2024. Cost of service revenue decreased by 38.6%, or $2.8 million, in the third quarter of fiscal 2025 versus the comparable period in fiscal 2024. Gross margin increased from 24.5% of revenue in the third quarter of fiscal 2024 to 29.4% in the third quarter of fiscal 2025, due primarily to increased margins in the lighting and maintenance segments.</w:t>
      </w:r>
    </w:p>
    <w:p>
      <w:pPr>
        <w:spacing w:after="0" w:line="20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171" w:lineRule="exact"/>
        <w:rPr>
          <w:sz w:val="20"/>
          <w:szCs w:val="20"/>
          <w:color w:val="auto"/>
        </w:rPr>
      </w:pPr>
    </w:p>
    <w:p>
      <w:pPr>
        <w:jc w:val="both"/>
        <w:ind w:firstLine="46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decreased 21.4%, or $1.1 million, in the third quarter of fiscal 2025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third quarter of fiscal 2024. This comparative decrease was primarily due to a decrease in Voltrek acquisition earn out expense to $0.5 million in the third quarter of fiscal 2025 compared to $1.1 million in the third quarter of fiscal 2024, along with decreased wages and benefits as a result of the restructuring that took place in fiscal 2025.</w:t>
      </w:r>
    </w:p>
    <w:p>
      <w:pPr>
        <w:spacing w:after="0" w:line="126" w:lineRule="exact"/>
        <w:rPr>
          <w:sz w:val="20"/>
          <w:szCs w:val="20"/>
          <w:color w:val="auto"/>
        </w:rPr>
      </w:pPr>
    </w:p>
    <w:p>
      <w:pPr>
        <w:jc w:val="both"/>
        <w:ind w:firstLine="46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decreased 9.8%, or $0.3 million, in the third quarter of fiscal 2025 compared to the third quarter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fiscal 2024. This comparative decrease was primarily due to the lower volume of product sales resulting in lower commission expense.</w:t>
      </w:r>
    </w:p>
    <w:p>
      <w:pPr>
        <w:spacing w:after="0" w:line="104" w:lineRule="exact"/>
        <w:rPr>
          <w:sz w:val="20"/>
          <w:szCs w:val="20"/>
          <w:color w:val="auto"/>
        </w:rPr>
      </w:pPr>
    </w:p>
    <w:p>
      <w:pPr>
        <w:jc w:val="both"/>
        <w:ind w:firstLine="46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w:t>
      </w:r>
      <w:r>
        <w:rPr>
          <w:rFonts w:ascii="Times New Roman" w:cs="Times New Roman" w:eastAsia="Times New Roman" w:hAnsi="Times New Roman"/>
          <w:sz w:val="18"/>
          <w:szCs w:val="18"/>
          <w:color w:val="auto"/>
        </w:rPr>
        <w:t>Research and development expenses decreased 17.8%, or $0.1 million, in the third quarter of fiscal 2025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third quarter of fiscal 2024.</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Lighting Segment</w:t>
      </w:r>
    </w:p>
    <w:p>
      <w:pPr>
        <w:spacing w:after="0" w:line="175" w:lineRule="exact"/>
        <w:rPr>
          <w:sz w:val="20"/>
          <w:szCs w:val="20"/>
          <w:color w:val="auto"/>
        </w:rPr>
      </w:pPr>
    </w:p>
    <w:p>
      <w:pPr>
        <w:jc w:val="both"/>
        <w:ind w:firstLine="469"/>
        <w:spacing w:after="0" w:line="261" w:lineRule="auto"/>
        <w:rPr>
          <w:sz w:val="20"/>
          <w:szCs w:val="20"/>
          <w:color w:val="auto"/>
        </w:rPr>
      </w:pPr>
      <w:r>
        <w:rPr>
          <w:rFonts w:ascii="Times New Roman" w:cs="Times New Roman" w:eastAsia="Times New Roman" w:hAnsi="Times New Roman"/>
          <w:sz w:val="18"/>
          <w:szCs w:val="18"/>
          <w:color w:val="auto"/>
        </w:rPr>
        <w:t>Our lighting segment develops and sells lighting products and provides construction and engineering services for our commercial lighting and energy management systems. Our lighting segment provides engineering, design, lighting products and in many cases turnkey solutions for large national accounts, governments, municipalities, schools and other customers mostly through direct sales and also sells lighting products though manufacturer representative agencies and to the wholesale contractor markets through ESCOs and contractors.</w:t>
      </w:r>
    </w:p>
    <w:p>
      <w:pPr>
        <w:spacing w:after="0" w:line="12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summarizes our lighting segment operating results (dollars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200" w:type="dxa"/>
            <w:vAlign w:val="bottom"/>
            <w:tcBorders>
              <w:bottom w:val="single" w:sz="8" w:color="auto"/>
            </w:tcBorders>
            <w:gridSpan w:val="6"/>
          </w:tcPr>
          <w:p>
            <w:pPr>
              <w:ind w:left="88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10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4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vMerge w:val="restart"/>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vMerge w:val="restart"/>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60" w:type="dxa"/>
            <w:vAlign w:val="bottom"/>
          </w:tcPr>
          <w:p>
            <w:pPr>
              <w:jc w:val="right"/>
              <w:ind w:right="52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4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13,214</w:t>
            </w:r>
          </w:p>
        </w:tc>
        <w:tc>
          <w:tcPr>
            <w:tcW w:w="34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18,545</w:t>
            </w: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(28.7 )%</w:t>
            </w:r>
          </w:p>
        </w:tc>
        <w:tc>
          <w:tcPr>
            <w:tcW w:w="0" w:type="dxa"/>
            <w:vAlign w:val="bottom"/>
          </w:tcPr>
          <w:p>
            <w:pPr>
              <w:spacing w:after="0"/>
              <w:rPr>
                <w:sz w:val="1"/>
                <w:szCs w:val="1"/>
                <w:color w:val="auto"/>
              </w:rPr>
            </w:pPr>
          </w:p>
        </w:tc>
      </w:tr>
      <w:tr>
        <w:trPr>
          <w:trHeight w:val="216"/>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340" w:type="dxa"/>
            <w:vAlign w:val="bottom"/>
          </w:tcPr>
          <w:p>
            <w:pPr>
              <w:spacing w:after="0"/>
              <w:rPr>
                <w:sz w:val="18"/>
                <w:szCs w:val="18"/>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54.9 %</w:t>
            </w:r>
          </w:p>
        </w:tc>
        <w:tc>
          <w:tcPr>
            <w:tcW w:w="0" w:type="dxa"/>
            <w:vAlign w:val="bottom"/>
          </w:tcPr>
          <w:p>
            <w:pPr>
              <w:spacing w:after="0"/>
              <w:rPr>
                <w:sz w:val="1"/>
                <w:szCs w:val="1"/>
                <w:color w:val="auto"/>
              </w:rPr>
            </w:pPr>
          </w:p>
        </w:tc>
      </w:tr>
      <w:tr>
        <w:trPr>
          <w:trHeight w:val="216"/>
        </w:trPr>
        <w:tc>
          <w:tcPr>
            <w:tcW w:w="6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3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3.2 %</w:t>
            </w:r>
          </w:p>
        </w:tc>
        <w:tc>
          <w:tcPr>
            <w:tcW w:w="3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5.1 %</w:t>
            </w: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ind w:firstLine="469"/>
        <w:spacing w:after="0" w:line="261" w:lineRule="auto"/>
        <w:rPr>
          <w:sz w:val="20"/>
          <w:szCs w:val="20"/>
          <w:color w:val="auto"/>
        </w:rPr>
      </w:pPr>
      <w:r>
        <w:rPr>
          <w:rFonts w:ascii="Times New Roman" w:cs="Times New Roman" w:eastAsia="Times New Roman" w:hAnsi="Times New Roman"/>
          <w:sz w:val="18"/>
          <w:szCs w:val="18"/>
          <w:color w:val="auto"/>
        </w:rPr>
        <w:t>Lighting segment revenue in the third quarter of fiscal 2025 decreased by 28.7%, or $5.3 million, compared to the third quarter of fiscal 2024. The decrease in lighting segment revenue was primarily due to United States Department of Defense project in Germany boosting the third quarter fiscal 2024 revenue. The project concluded in the second quarter of fiscal 2025. The decrease in operating income in this segment was a result of decreased production volume which was partially offset by increased volumes from sourced goods.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Maintenance Segment</w:t>
      </w:r>
    </w:p>
    <w:p>
      <w:pPr>
        <w:spacing w:after="0" w:line="175" w:lineRule="exact"/>
        <w:rPr>
          <w:sz w:val="20"/>
          <w:szCs w:val="20"/>
          <w:color w:val="auto"/>
        </w:rPr>
      </w:pPr>
    </w:p>
    <w:p>
      <w:pPr>
        <w:jc w:val="both"/>
        <w:ind w:right="20" w:firstLine="469"/>
        <w:spacing w:after="0" w:line="282" w:lineRule="auto"/>
        <w:rPr>
          <w:sz w:val="20"/>
          <w:szCs w:val="20"/>
          <w:color w:val="auto"/>
        </w:rPr>
      </w:pPr>
      <w:r>
        <w:rPr>
          <w:rFonts w:ascii="Times New Roman" w:cs="Times New Roman" w:eastAsia="Times New Roman" w:hAnsi="Times New Roman"/>
          <w:sz w:val="18"/>
          <w:szCs w:val="18"/>
          <w:color w:val="auto"/>
        </w:rPr>
        <w:t>Our maintenance segment provides retailers, distributors and other businesses with maintenance, repair and replacement services for the lighting and related electrical components deployed in their facilities.</w:t>
      </w:r>
    </w:p>
    <w:p>
      <w:pPr>
        <w:spacing w:after="0" w:line="1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summarizes our maintenance segment operating results (dollars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38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740" w:type="dxa"/>
            <w:vAlign w:val="bottom"/>
            <w:tcBorders>
              <w:bottom w:val="single" w:sz="8" w:color="auto"/>
            </w:tcBorders>
            <w:gridSpan w:val="6"/>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10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8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60" w:type="dxa"/>
            <w:vAlign w:val="bottom"/>
          </w:tcPr>
          <w:p>
            <w:pPr>
              <w:jc w:val="right"/>
              <w:ind w:right="52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380" w:type="dxa"/>
            <w:vAlign w:val="bottom"/>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820" w:type="dxa"/>
            <w:vAlign w:val="bottom"/>
            <w:shd w:val="clear" w:color="auto" w:fill="CFF0FC"/>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3,925</w:t>
            </w:r>
          </w:p>
        </w:tc>
        <w:tc>
          <w:tcPr>
            <w:tcW w:w="34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59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4,608</w:t>
            </w:r>
          </w:p>
        </w:tc>
        <w:tc>
          <w:tcPr>
            <w:tcW w:w="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(14.8 )%</w:t>
            </w:r>
          </w:p>
        </w:tc>
        <w:tc>
          <w:tcPr>
            <w:tcW w:w="0" w:type="dxa"/>
            <w:vAlign w:val="bottom"/>
          </w:tcPr>
          <w:p>
            <w:pPr>
              <w:spacing w:after="0"/>
              <w:rPr>
                <w:sz w:val="1"/>
                <w:szCs w:val="1"/>
                <w:color w:val="auto"/>
              </w:rPr>
            </w:pPr>
          </w:p>
        </w:tc>
      </w:tr>
      <w:tr>
        <w:trPr>
          <w:trHeight w:val="216"/>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820" w:type="dxa"/>
            <w:vAlign w:val="bottom"/>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340" w:type="dxa"/>
            <w:vAlign w:val="bottom"/>
          </w:tcPr>
          <w:p>
            <w:pPr>
              <w:spacing w:after="0"/>
              <w:rPr>
                <w:sz w:val="18"/>
                <w:szCs w:val="18"/>
                <w:color w:val="auto"/>
              </w:rPr>
            </w:pPr>
          </w:p>
        </w:tc>
        <w:tc>
          <w:tcPr>
            <w:tcW w:w="780" w:type="dxa"/>
            <w:vAlign w:val="bottom"/>
          </w:tcPr>
          <w:p>
            <w:pPr>
              <w:jc w:val="right"/>
              <w:ind w:right="59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8"/>
              </w:rPr>
              <w:t>(1,060 )</w:t>
            </w:r>
          </w:p>
        </w:tc>
        <w:tc>
          <w:tcPr>
            <w:tcW w:w="28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129.2 %</w:t>
            </w:r>
          </w:p>
        </w:tc>
        <w:tc>
          <w:tcPr>
            <w:tcW w:w="0" w:type="dxa"/>
            <w:vAlign w:val="bottom"/>
          </w:tcPr>
          <w:p>
            <w:pPr>
              <w:spacing w:after="0"/>
              <w:rPr>
                <w:sz w:val="1"/>
                <w:szCs w:val="1"/>
                <w:color w:val="auto"/>
              </w:rPr>
            </w:pPr>
          </w:p>
        </w:tc>
      </w:tr>
      <w:tr>
        <w:trPr>
          <w:trHeight w:val="216"/>
        </w:trPr>
        <w:tc>
          <w:tcPr>
            <w:tcW w:w="6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82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7.9 %</w:t>
            </w:r>
          </w:p>
        </w:tc>
        <w:tc>
          <w:tcPr>
            <w:tcW w:w="7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(23.0 )%</w:t>
            </w: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346" w:lineRule="exact"/>
        <w:rPr>
          <w:sz w:val="20"/>
          <w:szCs w:val="20"/>
          <w:color w:val="auto"/>
        </w:rPr>
      </w:pPr>
    </w:p>
    <w:p>
      <w:pPr>
        <w:jc w:val="both"/>
        <w:ind w:firstLine="464"/>
        <w:spacing w:after="0" w:line="266" w:lineRule="auto"/>
        <w:rPr>
          <w:sz w:val="20"/>
          <w:szCs w:val="20"/>
          <w:color w:val="auto"/>
        </w:rPr>
      </w:pPr>
      <w:r>
        <w:rPr>
          <w:rFonts w:ascii="Times New Roman" w:cs="Times New Roman" w:eastAsia="Times New Roman" w:hAnsi="Times New Roman"/>
          <w:sz w:val="18"/>
          <w:szCs w:val="18"/>
          <w:color w:val="auto"/>
        </w:rPr>
        <w:t>Maintenance segment revenue in the third quarter of fiscal 2025 decreased by 14.8%, or $0.7 million, compared to the third quarter of fiscal 2024 primarily due to decreased work orders from our major customer. Operating income in this segment increased as a result of an increase in gross margins driven by a more favorable revenue mix.</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Electric Vehicle Charging Segment</w:t>
      </w:r>
    </w:p>
    <w:p>
      <w:pPr>
        <w:spacing w:after="0" w:line="175" w:lineRule="exact"/>
        <w:rPr>
          <w:sz w:val="20"/>
          <w:szCs w:val="20"/>
          <w:color w:val="auto"/>
        </w:rPr>
      </w:pPr>
    </w:p>
    <w:p>
      <w:pPr>
        <w:jc w:val="both"/>
        <w:ind w:firstLine="464"/>
        <w:spacing w:after="0" w:line="282" w:lineRule="auto"/>
        <w:rPr>
          <w:sz w:val="20"/>
          <w:szCs w:val="20"/>
          <w:color w:val="auto"/>
        </w:rPr>
      </w:pPr>
      <w:r>
        <w:rPr>
          <w:rFonts w:ascii="Times New Roman" w:cs="Times New Roman" w:eastAsia="Times New Roman" w:hAnsi="Times New Roman"/>
          <w:sz w:val="18"/>
          <w:szCs w:val="18"/>
          <w:color w:val="auto"/>
        </w:rPr>
        <w:t>Our EV segment offers leading electric vehicle charging expertise and provides EV turnkey installation solutions with ongoing support to all commercial verticals.</w:t>
      </w:r>
    </w:p>
    <w:p>
      <w:pPr>
        <w:spacing w:after="0" w:line="1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summarizes our EV segment operations results (dollars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2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gridSpan w:val="6"/>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10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420" w:type="dxa"/>
            <w:vAlign w:val="bottom"/>
          </w:tcPr>
          <w:p>
            <w:pPr>
              <w:spacing w:after="0"/>
              <w:rPr>
                <w:sz w:val="10"/>
                <w:szCs w:val="10"/>
                <w:color w:val="auto"/>
              </w:rPr>
            </w:pPr>
          </w:p>
        </w:tc>
        <w:tc>
          <w:tcPr>
            <w:tcW w:w="2940" w:type="dxa"/>
            <w:vAlign w:val="bottom"/>
            <w:vMerge w:val="restart"/>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tcPr>
          <w:p>
            <w:pPr>
              <w:jc w:val="right"/>
              <w:ind w:right="52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420" w:type="dxa"/>
            <w:vAlign w:val="bottom"/>
          </w:tcPr>
          <w:p>
            <w:pPr>
              <w:spacing w:after="0"/>
              <w:rPr>
                <w:sz w:val="15"/>
                <w:szCs w:val="15"/>
                <w:color w:val="auto"/>
              </w:rPr>
            </w:pPr>
          </w:p>
        </w:tc>
        <w:tc>
          <w:tcPr>
            <w:tcW w:w="2940" w:type="dxa"/>
            <w:vAlign w:val="bottom"/>
            <w:vMerge w:val="continue"/>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740" w:type="dxa"/>
            <w:vAlign w:val="bottom"/>
            <w:gridSpan w:val="2"/>
            <w:shd w:val="clear" w:color="auto" w:fill="CFF0FC"/>
          </w:tcPr>
          <w:p>
            <w:pPr>
              <w:jc w:val="right"/>
              <w:ind w:right="60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2,445</w:t>
            </w:r>
          </w:p>
        </w:tc>
        <w:tc>
          <w:tcPr>
            <w:tcW w:w="40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59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2,818</w:t>
            </w: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(13.2 )%</w:t>
            </w:r>
          </w:p>
        </w:tc>
        <w:tc>
          <w:tcPr>
            <w:tcW w:w="0" w:type="dxa"/>
            <w:vAlign w:val="bottom"/>
          </w:tcPr>
          <w:p>
            <w:pPr>
              <w:spacing w:after="0"/>
              <w:rPr>
                <w:sz w:val="1"/>
                <w:szCs w:val="1"/>
                <w:color w:val="auto"/>
              </w:rPr>
            </w:pPr>
          </w:p>
        </w:tc>
      </w:tr>
      <w:tr>
        <w:trPr>
          <w:trHeight w:val="216"/>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3740" w:type="dxa"/>
            <w:vAlign w:val="bottom"/>
            <w:gridSpan w:val="2"/>
          </w:tcPr>
          <w:p>
            <w:pPr>
              <w:jc w:val="right"/>
              <w:ind w:right="608"/>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4"/>
              </w:rPr>
              <w:t>(1,166 )</w:t>
            </w:r>
          </w:p>
        </w:tc>
        <w:tc>
          <w:tcPr>
            <w:tcW w:w="780" w:type="dxa"/>
            <w:vAlign w:val="bottom"/>
          </w:tcPr>
          <w:p>
            <w:pPr>
              <w:jc w:val="right"/>
              <w:ind w:right="59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8"/>
              </w:rPr>
              <w:t>(1,454 )</w:t>
            </w:r>
          </w:p>
        </w:tc>
        <w:tc>
          <w:tcPr>
            <w:tcW w:w="26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(19.8 )%</w:t>
            </w:r>
          </w:p>
        </w:tc>
        <w:tc>
          <w:tcPr>
            <w:tcW w:w="0" w:type="dxa"/>
            <w:vAlign w:val="bottom"/>
          </w:tcPr>
          <w:p>
            <w:pPr>
              <w:spacing w:after="0"/>
              <w:rPr>
                <w:sz w:val="1"/>
                <w:szCs w:val="1"/>
                <w:color w:val="auto"/>
              </w:rPr>
            </w:pPr>
          </w:p>
        </w:tc>
      </w:tr>
      <w:tr>
        <w:trPr>
          <w:trHeight w:val="216"/>
        </w:trPr>
        <w:tc>
          <w:tcPr>
            <w:tcW w:w="3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29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(47.7 )%</w:t>
            </w:r>
          </w:p>
        </w:tc>
        <w:tc>
          <w:tcPr>
            <w:tcW w:w="7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(51.6 )%</w:t>
            </w: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3420" w:type="dxa"/>
            <w:vAlign w:val="bottom"/>
          </w:tcPr>
          <w:p>
            <w:pPr>
              <w:spacing w:after="0"/>
              <w:rPr>
                <w:sz w:val="24"/>
                <w:szCs w:val="24"/>
                <w:color w:val="auto"/>
              </w:rPr>
            </w:pPr>
          </w:p>
        </w:tc>
        <w:tc>
          <w:tcPr>
            <w:tcW w:w="29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24</w:t>
            </w: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420" w:type="dxa"/>
            <w:vAlign w:val="bottom"/>
            <w:tcBorders>
              <w:bottom w:val="single" w:sz="8" w:color="9A9A9A"/>
            </w:tcBorders>
          </w:tcPr>
          <w:p>
            <w:pPr>
              <w:spacing w:after="0"/>
              <w:rPr>
                <w:sz w:val="24"/>
                <w:szCs w:val="24"/>
                <w:color w:val="auto"/>
              </w:rPr>
            </w:pPr>
          </w:p>
        </w:tc>
        <w:tc>
          <w:tcPr>
            <w:tcW w:w="29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24" w:name="page25"/>
    <w:bookmarkEnd w:id="24"/>
    <w:p>
      <w:pPr>
        <w:jc w:val="both"/>
        <w:ind w:firstLine="464"/>
        <w:spacing w:after="0" w:line="266" w:lineRule="auto"/>
        <w:rPr>
          <w:sz w:val="20"/>
          <w:szCs w:val="20"/>
          <w:color w:val="auto"/>
        </w:rPr>
      </w:pPr>
      <w:r>
        <w:rPr>
          <w:rFonts w:ascii="Times New Roman" w:cs="Times New Roman" w:eastAsia="Times New Roman" w:hAnsi="Times New Roman"/>
          <w:sz w:val="18"/>
          <w:szCs w:val="18"/>
          <w:color w:val="auto"/>
        </w:rPr>
        <w:t>EV segment revenue in the third quarter of fiscal 2025 decreased by 13.2%, or $0.4 million, compared to the third quarter of fiscal 2024. The decrease in revenue compared to the third quarter of fiscal 2024 was due to a lower revenue volume to municipalities. Operating loss decreased $0.3 million in the third quarter of fiscal 2025 due to increased margins from a more favorable sales mix.</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 Nine Months Ended December 31, 2024 versus Nine Months Ended December 31, 2023</w:t>
      </w:r>
    </w:p>
    <w:p>
      <w:pPr>
        <w:spacing w:after="0" w:line="175" w:lineRule="exact"/>
        <w:rPr>
          <w:sz w:val="20"/>
          <w:szCs w:val="20"/>
          <w:color w:val="auto"/>
        </w:rPr>
      </w:pPr>
    </w:p>
    <w:p>
      <w:pPr>
        <w:jc w:val="both"/>
        <w:ind w:right="20" w:firstLine="464"/>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line items of our Condensed Consolidated Statements of Operations and as a relative percentage of our total revenue for each applicable period, together with the relative percentage change in such line item between applicable comparable periods (dollars in thousands, except percentages):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680" w:type="dxa"/>
            <w:vAlign w:val="bottom"/>
            <w:tcBorders>
              <w:bottom w:val="single" w:sz="8" w:color="auto"/>
            </w:tcBorders>
            <w:gridSpan w:val="6"/>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Nine Months Ended December 31,</w:t>
            </w:r>
          </w:p>
        </w:tc>
        <w:tc>
          <w:tcPr>
            <w:tcW w:w="10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2"/>
                <w:szCs w:val="12"/>
                <w:color w:val="auto"/>
              </w:rPr>
            </w:pPr>
          </w:p>
        </w:tc>
        <w:tc>
          <w:tcPr>
            <w:tcW w:w="980" w:type="dxa"/>
            <w:vAlign w:val="bottom"/>
            <w:vMerge w:val="restart"/>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spacing w:after="0"/>
              <w:rPr>
                <w:sz w:val="12"/>
                <w:szCs w:val="12"/>
                <w:color w:val="auto"/>
              </w:rPr>
            </w:pPr>
          </w:p>
        </w:tc>
        <w:tc>
          <w:tcPr>
            <w:tcW w:w="9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360" w:type="dxa"/>
            <w:vAlign w:val="bottom"/>
          </w:tcPr>
          <w:p>
            <w:pPr>
              <w:spacing w:after="0"/>
              <w:rPr>
                <w:sz w:val="12"/>
                <w:szCs w:val="12"/>
                <w:color w:val="auto"/>
              </w:rPr>
            </w:pPr>
          </w:p>
        </w:tc>
        <w:tc>
          <w:tcPr>
            <w:tcW w:w="102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4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vMerge w:val="restart"/>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vMerge w:val="restart"/>
          </w:tcPr>
          <w:p>
            <w:pPr>
              <w:spacing w:after="0"/>
              <w:rPr>
                <w:sz w:val="10"/>
                <w:szCs w:val="10"/>
                <w:color w:val="auto"/>
              </w:rPr>
            </w:pPr>
          </w:p>
        </w:tc>
        <w:tc>
          <w:tcPr>
            <w:tcW w:w="98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9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360" w:type="dxa"/>
            <w:vAlign w:val="bottom"/>
          </w:tcPr>
          <w:p>
            <w:pPr>
              <w:spacing w:after="0"/>
              <w:rPr>
                <w:sz w:val="10"/>
                <w:szCs w:val="10"/>
                <w:color w:val="auto"/>
              </w:rPr>
            </w:pPr>
          </w:p>
        </w:tc>
        <w:tc>
          <w:tcPr>
            <w:tcW w:w="10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9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60" w:type="dxa"/>
            <w:vAlign w:val="bottom"/>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360" w:type="dxa"/>
            <w:vAlign w:val="bottom"/>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9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Product revenue</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39,442</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46,266</w:t>
            </w:r>
          </w:p>
        </w:tc>
        <w:tc>
          <w:tcPr>
            <w:tcW w:w="2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(14.7 )%</w:t>
            </w:r>
          </w:p>
        </w:tc>
        <w:tc>
          <w:tcPr>
            <w:tcW w:w="13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67.0 %</w:t>
            </w:r>
          </w:p>
        </w:tc>
        <w:tc>
          <w:tcPr>
            <w:tcW w:w="1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72.1 %</w:t>
            </w:r>
          </w:p>
        </w:tc>
        <w:tc>
          <w:tcPr>
            <w:tcW w:w="0" w:type="dxa"/>
            <w:vAlign w:val="bottom"/>
          </w:tcPr>
          <w:p>
            <w:pPr>
              <w:spacing w:after="0"/>
              <w:rPr>
                <w:sz w:val="1"/>
                <w:szCs w:val="1"/>
                <w:color w:val="auto"/>
              </w:rPr>
            </w:pPr>
          </w:p>
        </w:tc>
      </w:tr>
      <w:tr>
        <w:trPr>
          <w:trHeight w:val="216"/>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Service revenue</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17,904</w:t>
            </w:r>
          </w:p>
        </w:tc>
        <w:tc>
          <w:tcPr>
            <w:tcW w:w="2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8.4 %</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33.0 %</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27.9 %</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58,851</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64,170</w:t>
            </w:r>
          </w:p>
        </w:tc>
        <w:tc>
          <w:tcPr>
            <w:tcW w:w="2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(8.3 )%</w:t>
            </w:r>
          </w:p>
        </w:tc>
        <w:tc>
          <w:tcPr>
            <w:tcW w:w="13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100.0 %</w:t>
            </w:r>
          </w:p>
        </w:tc>
        <w:tc>
          <w:tcPr>
            <w:tcW w:w="1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16"/>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product revenue</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26,809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33,258</w:t>
            </w:r>
          </w:p>
        </w:tc>
        <w:tc>
          <w:tcPr>
            <w:tcW w:w="22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(19.4 )%</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45.6 %</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51.8 %</w:t>
            </w: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service revenue</w:t>
            </w: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17,541</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16,805</w:t>
            </w:r>
          </w:p>
        </w:tc>
        <w:tc>
          <w:tcPr>
            <w:tcW w:w="2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4.4 %</w:t>
            </w:r>
          </w:p>
        </w:tc>
        <w:tc>
          <w:tcPr>
            <w:tcW w:w="13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29.8 %</w:t>
            </w:r>
          </w:p>
        </w:tc>
        <w:tc>
          <w:tcPr>
            <w:tcW w:w="1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26.2 %</w:t>
            </w:r>
          </w:p>
        </w:tc>
        <w:tc>
          <w:tcPr>
            <w:tcW w:w="0" w:type="dxa"/>
            <w:vAlign w:val="bottom"/>
          </w:tcPr>
          <w:p>
            <w:pPr>
              <w:spacing w:after="0"/>
              <w:rPr>
                <w:sz w:val="1"/>
                <w:szCs w:val="1"/>
                <w:color w:val="auto"/>
              </w:rPr>
            </w:pPr>
          </w:p>
        </w:tc>
      </w:tr>
      <w:tr>
        <w:trPr>
          <w:trHeight w:val="20"/>
        </w:trPr>
        <w:tc>
          <w:tcPr>
            <w:tcW w:w="48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cost of revenue</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44,350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50,063</w:t>
            </w:r>
          </w:p>
        </w:tc>
        <w:tc>
          <w:tcPr>
            <w:tcW w:w="22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(11.4 )%</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75.4 %</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78.0 %</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9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14,501</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14,107</w:t>
            </w:r>
          </w:p>
        </w:tc>
        <w:tc>
          <w:tcPr>
            <w:tcW w:w="2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2.8 %</w:t>
            </w:r>
          </w:p>
        </w:tc>
        <w:tc>
          <w:tcPr>
            <w:tcW w:w="13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24.6 %</w:t>
            </w:r>
          </w:p>
        </w:tc>
        <w:tc>
          <w:tcPr>
            <w:tcW w:w="1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22.0 %</w:t>
            </w:r>
          </w:p>
        </w:tc>
        <w:tc>
          <w:tcPr>
            <w:tcW w:w="0" w:type="dxa"/>
            <w:vAlign w:val="bottom"/>
          </w:tcPr>
          <w:p>
            <w:pPr>
              <w:spacing w:after="0"/>
              <w:rPr>
                <w:sz w:val="1"/>
                <w:szCs w:val="1"/>
                <w:color w:val="auto"/>
              </w:rPr>
            </w:pPr>
          </w:p>
        </w:tc>
      </w:tr>
      <w:tr>
        <w:trPr>
          <w:trHeight w:val="216"/>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15,689</w:t>
            </w:r>
          </w:p>
        </w:tc>
        <w:tc>
          <w:tcPr>
            <w:tcW w:w="22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(17.3 )%</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22.0 %</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24.4 %</w:t>
            </w: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Acquisition related costs</w:t>
            </w:r>
          </w:p>
        </w:tc>
        <w:tc>
          <w:tcPr>
            <w:tcW w:w="1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(100.0 )%</w:t>
            </w:r>
          </w:p>
        </w:tc>
        <w:tc>
          <w:tcPr>
            <w:tcW w:w="13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0.0 %</w:t>
            </w:r>
          </w:p>
        </w:tc>
        <w:tc>
          <w:tcPr>
            <w:tcW w:w="1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0.2 %</w:t>
            </w:r>
          </w:p>
        </w:tc>
        <w:tc>
          <w:tcPr>
            <w:tcW w:w="0" w:type="dxa"/>
            <w:vAlign w:val="bottom"/>
          </w:tcPr>
          <w:p>
            <w:pPr>
              <w:spacing w:after="0"/>
              <w:rPr>
                <w:sz w:val="1"/>
                <w:szCs w:val="1"/>
                <w:color w:val="auto"/>
              </w:rPr>
            </w:pPr>
          </w:p>
        </w:tc>
      </w:tr>
      <w:tr>
        <w:trPr>
          <w:trHeight w:val="216"/>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9,778</w:t>
            </w:r>
          </w:p>
        </w:tc>
        <w:tc>
          <w:tcPr>
            <w:tcW w:w="22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(11.6 )%</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14.7 %</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15.2 %</w:t>
            </w: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2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(30.6 )%</w:t>
            </w:r>
          </w:p>
        </w:tc>
        <w:tc>
          <w:tcPr>
            <w:tcW w:w="13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1.4 %</w:t>
            </w:r>
          </w:p>
        </w:tc>
        <w:tc>
          <w:tcPr>
            <w:tcW w:w="1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0"/>
        </w:trPr>
        <w:tc>
          <w:tcPr>
            <w:tcW w:w="48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1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(7,953 )</w:t>
            </w:r>
          </w:p>
        </w:tc>
        <w:tc>
          <w:tcPr>
            <w:tcW w:w="1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(12,627 )</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(37.0 )%</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(13.5 )%</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(19.7 )%</w:t>
            </w: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(800 )</w:t>
            </w:r>
          </w:p>
        </w:tc>
        <w:tc>
          <w:tcPr>
            <w:tcW w:w="1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(561 )</w:t>
            </w:r>
          </w:p>
        </w:tc>
        <w:tc>
          <w:tcPr>
            <w:tcW w:w="13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42.6 %</w:t>
            </w:r>
          </w:p>
        </w:tc>
        <w:tc>
          <w:tcPr>
            <w:tcW w:w="1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(1.4 )%</w:t>
            </w:r>
          </w:p>
        </w:tc>
        <w:tc>
          <w:tcPr>
            <w:tcW w:w="1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(0.9 )%</w:t>
            </w:r>
          </w:p>
        </w:tc>
        <w:tc>
          <w:tcPr>
            <w:tcW w:w="0" w:type="dxa"/>
            <w:vAlign w:val="bottom"/>
          </w:tcPr>
          <w:p>
            <w:pPr>
              <w:spacing w:after="0"/>
              <w:rPr>
                <w:sz w:val="1"/>
                <w:szCs w:val="1"/>
                <w:color w:val="auto"/>
              </w:rPr>
            </w:pPr>
          </w:p>
        </w:tc>
      </w:tr>
      <w:tr>
        <w:trPr>
          <w:trHeight w:val="216"/>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Amortization of debt issue costs</w:t>
            </w:r>
          </w:p>
        </w:tc>
        <w:tc>
          <w:tcPr>
            <w:tcW w:w="1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(155 )</w:t>
            </w:r>
          </w:p>
        </w:tc>
        <w:tc>
          <w:tcPr>
            <w:tcW w:w="1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(74 )</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109.5 %</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(0.3 )%</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Royalty income</w:t>
            </w: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NM</w:t>
            </w:r>
          </w:p>
        </w:tc>
        <w:tc>
          <w:tcPr>
            <w:tcW w:w="13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0.2 %</w:t>
            </w:r>
          </w:p>
        </w:tc>
        <w:tc>
          <w:tcPr>
            <w:tcW w:w="1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16"/>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16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2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(100.0 )%</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0.0 %</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(50.0 )%</w:t>
            </w:r>
          </w:p>
        </w:tc>
        <w:tc>
          <w:tcPr>
            <w:tcW w:w="13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0.0 %</w:t>
            </w:r>
          </w:p>
        </w:tc>
        <w:tc>
          <w:tcPr>
            <w:tcW w:w="1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0"/>
        </w:trPr>
        <w:tc>
          <w:tcPr>
            <w:tcW w:w="48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income before income tax</w:t>
            </w:r>
          </w:p>
        </w:tc>
        <w:tc>
          <w:tcPr>
            <w:tcW w:w="1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(8,846 )</w:t>
            </w:r>
          </w:p>
        </w:tc>
        <w:tc>
          <w:tcPr>
            <w:tcW w:w="1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(13,223 )</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(33.1 )%</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(15.0 )%</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(20.6 )%</w:t>
            </w: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(24.1 )%</w:t>
            </w:r>
          </w:p>
        </w:tc>
        <w:tc>
          <w:tcPr>
            <w:tcW w:w="13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0.1 %</w:t>
            </w:r>
          </w:p>
        </w:tc>
        <w:tc>
          <w:tcPr>
            <w:tcW w:w="1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20"/>
        </w:trPr>
        <w:tc>
          <w:tcPr>
            <w:tcW w:w="48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(8,890 )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(13,281 )</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(33.1 )%</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(15.1 )%</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(20.7 )%</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NM - Not Meaningful</w:t>
            </w:r>
          </w:p>
        </w:tc>
        <w:tc>
          <w:tcPr>
            <w:tcW w:w="1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-2279650</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-2279650</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-2279650</wp:posOffset>
            </wp:positionV>
            <wp:extent cx="15430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-2279650</wp:posOffset>
            </wp:positionV>
            <wp:extent cx="15430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-2279650</wp:posOffset>
            </wp:positionV>
            <wp:extent cx="15430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-1439545</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-1439545</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-1439545</wp:posOffset>
            </wp:positionV>
            <wp:extent cx="15430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-1439545</wp:posOffset>
            </wp:positionV>
            <wp:extent cx="15430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-1439545</wp:posOffset>
            </wp:positionV>
            <wp:extent cx="15430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-607695</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-607695</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-607695</wp:posOffset>
            </wp:positionV>
            <wp:extent cx="15430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-607695</wp:posOffset>
            </wp:positionV>
            <wp:extent cx="15430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-607695</wp:posOffset>
            </wp:positionV>
            <wp:extent cx="15430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-325120</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-325120</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-325120</wp:posOffset>
            </wp:positionV>
            <wp:extent cx="15430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-325120</wp:posOffset>
            </wp:positionV>
            <wp:extent cx="15430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-325120</wp:posOffset>
            </wp:positionV>
            <wp:extent cx="15430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jc w:val="both"/>
        <w:ind w:firstLine="46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Revenue, Cost of Revenue and Gross Margin. </w:t>
      </w:r>
      <w:r>
        <w:rPr>
          <w:rFonts w:ascii="Times New Roman" w:cs="Times New Roman" w:eastAsia="Times New Roman" w:hAnsi="Times New Roman"/>
          <w:sz w:val="18"/>
          <w:szCs w:val="18"/>
          <w:color w:val="auto"/>
        </w:rPr>
        <w:t>Product revenue decreased 14.7%, or $6.8 million, for the first nine months of fiscal 2025 versus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first nine months of fiscal 2024. Service revenue increased 8.4%, or $1.5 million, for the first nine months of fiscal 2025 versus the first nine months of fiscal 2024. Total revenue decreased due to revenue declines in both the lighting and maintenance segments as a result of decreased volumes, which was partially offset due to a revenue increase in the EV segment, due to increased sales to municipalities. Cost of product revenue decreased by 19.4%, or $6.4 million, in the first nine months of fiscal 2025 versus the comparable period in fiscal 2024. Cost of service revenue increased by 4.4%, or $0.7 million, in the first nine months of fiscal 2025 versus the comparable period in fiscal 2024. Gross margin increased from 22.0% of revenue in the first nine months of fiscal 2024 to 24.6% in the first nine months of fiscal 2025, due primarily to increased margins within the lighting and maintenance segments.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5" w:name="page26"/>
    <w:bookmarkEnd w:id="25"/>
    <w:p>
      <w:pPr>
        <w:ind w:left="480"/>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171" w:lineRule="exact"/>
        <w:rPr>
          <w:sz w:val="20"/>
          <w:szCs w:val="20"/>
          <w:color w:val="auto"/>
        </w:rPr>
      </w:pPr>
    </w:p>
    <w:p>
      <w:pPr>
        <w:jc w:val="both"/>
        <w:ind w:firstLine="46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decreased 17.3%, or $2.7 million, in the first nine months of fiscal 2025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first nine months of fiscal 2024. This comparative decrease was primarily due to the decreased accrual of the expected Voltrek acquisition earn-out payment, along with decreased wages and benefits as a result of the restructuring that took place in fiscal 2025.</w:t>
      </w:r>
    </w:p>
    <w:p>
      <w:pPr>
        <w:spacing w:after="0" w:line="119" w:lineRule="exact"/>
        <w:rPr>
          <w:sz w:val="20"/>
          <w:szCs w:val="20"/>
          <w:color w:val="auto"/>
        </w:rPr>
      </w:pPr>
    </w:p>
    <w:p>
      <w:pPr>
        <w:jc w:val="both"/>
        <w:ind w:firstLine="46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Acquisition Related Costs. </w:t>
      </w:r>
      <w:r>
        <w:rPr>
          <w:rFonts w:ascii="Times New Roman" w:cs="Times New Roman" w:eastAsia="Times New Roman" w:hAnsi="Times New Roman"/>
          <w:sz w:val="18"/>
          <w:szCs w:val="18"/>
          <w:color w:val="auto"/>
        </w:rPr>
        <w:t>There were no acquisition related costs in the first nine months of fiscal 2025 in comparison to the $0.1 million in the first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nine months of fiscal 2024.</w:t>
      </w:r>
    </w:p>
    <w:p>
      <w:pPr>
        <w:spacing w:after="0" w:line="104" w:lineRule="exact"/>
        <w:rPr>
          <w:sz w:val="20"/>
          <w:szCs w:val="20"/>
          <w:color w:val="auto"/>
        </w:rPr>
      </w:pPr>
    </w:p>
    <w:p>
      <w:pPr>
        <w:jc w:val="both"/>
        <w:ind w:firstLine="46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decreased 11.6%, or $1.1 million, in the first nine months of fiscal 2025 compared to the first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nine months of fiscal 2024. This comparative decrease was primarily due to the lower volume of product sales resulting in lower commission expense, along with decreased wages and benefits as a result of the restructuring that took place in fiscal 2025 .</w:t>
      </w:r>
    </w:p>
    <w:p>
      <w:pPr>
        <w:spacing w:after="0" w:line="119" w:lineRule="exact"/>
        <w:rPr>
          <w:sz w:val="20"/>
          <w:szCs w:val="20"/>
          <w:color w:val="auto"/>
        </w:rPr>
      </w:pPr>
    </w:p>
    <w:p>
      <w:pPr>
        <w:jc w:val="both"/>
        <w:ind w:firstLine="46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w:t>
      </w:r>
      <w:r>
        <w:rPr>
          <w:rFonts w:ascii="Times New Roman" w:cs="Times New Roman" w:eastAsia="Times New Roman" w:hAnsi="Times New Roman"/>
          <w:sz w:val="18"/>
          <w:szCs w:val="18"/>
          <w:color w:val="auto"/>
        </w:rPr>
        <w:t>Research and development expenses decreased 30.6%, or $0.4 million, in the first nine months of fiscal 2025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first nine months of fiscal 2024. This comparative decrease was primarily due to the reduction of employee compensation costs.</w:t>
      </w:r>
    </w:p>
    <w:p>
      <w:pPr>
        <w:spacing w:after="0" w:line="104" w:lineRule="exact"/>
        <w:rPr>
          <w:sz w:val="20"/>
          <w:szCs w:val="20"/>
          <w:color w:val="auto"/>
        </w:rPr>
      </w:pPr>
    </w:p>
    <w:p>
      <w:pPr>
        <w:jc w:val="both"/>
        <w:ind w:firstLine="46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expenses increased 42.6%, or $0.2 million, in the first nine months of fiscal 2025 compared to the first nine months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fiscal 2024. This comparative increase was primarily due to the interest on outstanding borrowings and a higher incremental borrowing rate.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Lighting Division</w:t>
      </w:r>
    </w:p>
    <w:p>
      <w:pPr>
        <w:spacing w:after="0" w:line="17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summarizes our lighting division operating results (dollars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3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260" w:type="dxa"/>
            <w:vAlign w:val="bottom"/>
            <w:tcBorders>
              <w:bottom w:val="single" w:sz="8" w:color="auto"/>
            </w:tcBorders>
            <w:gridSpan w:val="6"/>
          </w:tcPr>
          <w:p>
            <w:pPr>
              <w:ind w:left="960"/>
              <w:spacing w:after="0"/>
              <w:rPr>
                <w:sz w:val="20"/>
                <w:szCs w:val="20"/>
                <w:color w:val="auto"/>
              </w:rPr>
            </w:pPr>
            <w:r>
              <w:rPr>
                <w:rFonts w:ascii="Times New Roman" w:cs="Times New Roman" w:eastAsia="Times New Roman" w:hAnsi="Times New Roman"/>
                <w:sz w:val="14"/>
                <w:szCs w:val="14"/>
                <w:b w:val="1"/>
                <w:bCs w:val="1"/>
                <w:color w:val="auto"/>
              </w:rPr>
              <w:t>Nine Months Ended December 31,</w:t>
            </w:r>
          </w:p>
        </w:tc>
        <w:tc>
          <w:tcPr>
            <w:tcW w:w="10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vMerge w:val="restart"/>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vMerge w:val="restart"/>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80" w:type="dxa"/>
            <w:vAlign w:val="bottom"/>
          </w:tcPr>
          <w:p>
            <w:pPr>
              <w:jc w:val="right"/>
              <w:ind w:right="52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3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36,805</w:t>
            </w:r>
          </w:p>
        </w:tc>
        <w:tc>
          <w:tcPr>
            <w:tcW w:w="40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44,739</w:t>
            </w: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(17.7 )%</w:t>
            </w:r>
          </w:p>
        </w:tc>
        <w:tc>
          <w:tcPr>
            <w:tcW w:w="0" w:type="dxa"/>
            <w:vAlign w:val="bottom"/>
          </w:tcPr>
          <w:p>
            <w:pPr>
              <w:spacing w:after="0"/>
              <w:rPr>
                <w:sz w:val="1"/>
                <w:szCs w:val="1"/>
                <w:color w:val="auto"/>
              </w:rPr>
            </w:pPr>
          </w:p>
        </w:tc>
      </w:tr>
      <w:tr>
        <w:trPr>
          <w:trHeight w:val="216"/>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(2,058 )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(1,777 )</w:t>
            </w:r>
          </w:p>
        </w:tc>
        <w:tc>
          <w:tcPr>
            <w:tcW w:w="24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15.8 %</w:t>
            </w:r>
          </w:p>
        </w:tc>
        <w:tc>
          <w:tcPr>
            <w:tcW w:w="0" w:type="dxa"/>
            <w:vAlign w:val="bottom"/>
          </w:tcPr>
          <w:p>
            <w:pPr>
              <w:spacing w:after="0"/>
              <w:rPr>
                <w:sz w:val="1"/>
                <w:szCs w:val="1"/>
                <w:color w:val="auto"/>
              </w:rPr>
            </w:pPr>
          </w:p>
        </w:tc>
      </w:tr>
      <w:tr>
        <w:trPr>
          <w:trHeight w:val="216"/>
        </w:trPr>
        <w:tc>
          <w:tcPr>
            <w:tcW w:w="6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3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(5.6 )%</w:t>
            </w:r>
          </w:p>
        </w:tc>
        <w:tc>
          <w:tcPr>
            <w:tcW w:w="30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(4.0 )%</w:t>
            </w: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ind w:firstLine="469"/>
        <w:spacing w:after="0" w:line="261" w:lineRule="auto"/>
        <w:rPr>
          <w:sz w:val="20"/>
          <w:szCs w:val="20"/>
          <w:color w:val="auto"/>
        </w:rPr>
      </w:pPr>
      <w:r>
        <w:rPr>
          <w:rFonts w:ascii="Times New Roman" w:cs="Times New Roman" w:eastAsia="Times New Roman" w:hAnsi="Times New Roman"/>
          <w:sz w:val="18"/>
          <w:szCs w:val="18"/>
          <w:color w:val="auto"/>
        </w:rPr>
        <w:t>Lighting division revenue in the first nine months of fiscal 2025 decreased by 17.7%, or $7.9 million, compared to the first nine months of fiscal 2024. The decrease in lighting segment revenue was due to variability in the timing of larger lighting projects along with the completion of the United States Department of Defense project in Germany in the second quarter of fiscal 2025. The increase in operating loss in this segment was a result of decreased production volume which was partially offset by increased volumes from sourced goods.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Maintenance Division</w:t>
      </w:r>
    </w:p>
    <w:p>
      <w:pPr>
        <w:spacing w:after="0" w:line="17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summarizes our maintenance division operating results (dollars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3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260" w:type="dxa"/>
            <w:vAlign w:val="bottom"/>
            <w:tcBorders>
              <w:bottom w:val="single" w:sz="8" w:color="auto"/>
            </w:tcBorders>
            <w:gridSpan w:val="6"/>
          </w:tcPr>
          <w:p>
            <w:pPr>
              <w:ind w:left="960"/>
              <w:spacing w:after="0"/>
              <w:rPr>
                <w:sz w:val="20"/>
                <w:szCs w:val="20"/>
                <w:color w:val="auto"/>
              </w:rPr>
            </w:pPr>
            <w:r>
              <w:rPr>
                <w:rFonts w:ascii="Times New Roman" w:cs="Times New Roman" w:eastAsia="Times New Roman" w:hAnsi="Times New Roman"/>
                <w:sz w:val="14"/>
                <w:szCs w:val="14"/>
                <w:b w:val="1"/>
                <w:bCs w:val="1"/>
                <w:color w:val="auto"/>
              </w:rPr>
              <w:t>Nine Months Ended December 31,</w:t>
            </w:r>
          </w:p>
        </w:tc>
        <w:tc>
          <w:tcPr>
            <w:tcW w:w="10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vMerge w:val="restart"/>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vMerge w:val="restart"/>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80" w:type="dxa"/>
            <w:vAlign w:val="bottom"/>
          </w:tcPr>
          <w:p>
            <w:pPr>
              <w:jc w:val="right"/>
              <w:ind w:right="52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3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11,045</w:t>
            </w:r>
          </w:p>
        </w:tc>
        <w:tc>
          <w:tcPr>
            <w:tcW w:w="40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11,996</w:t>
            </w: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(7.9 )%</w:t>
            </w:r>
          </w:p>
        </w:tc>
        <w:tc>
          <w:tcPr>
            <w:tcW w:w="0" w:type="dxa"/>
            <w:vAlign w:val="bottom"/>
          </w:tcPr>
          <w:p>
            <w:pPr>
              <w:spacing w:after="0"/>
              <w:rPr>
                <w:sz w:val="1"/>
                <w:szCs w:val="1"/>
                <w:color w:val="auto"/>
              </w:rPr>
            </w:pPr>
          </w:p>
        </w:tc>
      </w:tr>
      <w:tr>
        <w:trPr>
          <w:trHeight w:val="216"/>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(1,019 )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(4,660 )</w:t>
            </w:r>
          </w:p>
        </w:tc>
        <w:tc>
          <w:tcPr>
            <w:tcW w:w="24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(78.1 )%</w:t>
            </w:r>
          </w:p>
        </w:tc>
        <w:tc>
          <w:tcPr>
            <w:tcW w:w="0" w:type="dxa"/>
            <w:vAlign w:val="bottom"/>
          </w:tcPr>
          <w:p>
            <w:pPr>
              <w:spacing w:after="0"/>
              <w:rPr>
                <w:sz w:val="1"/>
                <w:szCs w:val="1"/>
                <w:color w:val="auto"/>
              </w:rPr>
            </w:pPr>
          </w:p>
        </w:tc>
      </w:tr>
      <w:tr>
        <w:trPr>
          <w:trHeight w:val="216"/>
        </w:trPr>
        <w:tc>
          <w:tcPr>
            <w:tcW w:w="6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3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(9.2 )%</w:t>
            </w:r>
          </w:p>
        </w:tc>
        <w:tc>
          <w:tcPr>
            <w:tcW w:w="30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(38.8 )%</w:t>
            </w: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ind w:firstLine="464"/>
        <w:spacing w:after="0" w:line="261" w:lineRule="auto"/>
        <w:rPr>
          <w:sz w:val="20"/>
          <w:szCs w:val="20"/>
          <w:color w:val="auto"/>
        </w:rPr>
      </w:pPr>
      <w:r>
        <w:rPr>
          <w:rFonts w:ascii="Times New Roman" w:cs="Times New Roman" w:eastAsia="Times New Roman" w:hAnsi="Times New Roman"/>
          <w:sz w:val="18"/>
          <w:szCs w:val="18"/>
          <w:color w:val="auto"/>
        </w:rPr>
        <w:t>Maintenance division revenue in the first nine months of fiscal 2025 decreased by 7.9%, or $1.0 million, compared to the first nine months of fiscal 2024, primarily due to the loss of three large customers who decided not to renew their contracts, due to our decision to substantially increase service pricing, partially offset by increased work orders from our major customer. Operating loss in this segment decreased as a result of an increase in gross margin primarily due to a more favorable revenue mix.</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0"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Electric Vehicle Charging Division</w:t>
      </w:r>
    </w:p>
    <w:p>
      <w:pPr>
        <w:spacing w:after="0" w:line="17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summarizes our EV segment operations results (dollars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3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260" w:type="dxa"/>
            <w:vAlign w:val="bottom"/>
            <w:tcBorders>
              <w:bottom w:val="single" w:sz="8" w:color="auto"/>
            </w:tcBorders>
            <w:gridSpan w:val="6"/>
          </w:tcPr>
          <w:p>
            <w:pPr>
              <w:ind w:left="960"/>
              <w:spacing w:after="0"/>
              <w:rPr>
                <w:sz w:val="20"/>
                <w:szCs w:val="20"/>
                <w:color w:val="auto"/>
              </w:rPr>
            </w:pPr>
            <w:r>
              <w:rPr>
                <w:rFonts w:ascii="Times New Roman" w:cs="Times New Roman" w:eastAsia="Times New Roman" w:hAnsi="Times New Roman"/>
                <w:sz w:val="14"/>
                <w:szCs w:val="14"/>
                <w:b w:val="1"/>
                <w:bCs w:val="1"/>
                <w:color w:val="auto"/>
              </w:rPr>
              <w:t>Nine Months Ended December 31,</w:t>
            </w:r>
          </w:p>
        </w:tc>
        <w:tc>
          <w:tcPr>
            <w:tcW w:w="10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vMerge w:val="restart"/>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vMerge w:val="restart"/>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80" w:type="dxa"/>
            <w:vAlign w:val="bottom"/>
          </w:tcPr>
          <w:p>
            <w:pPr>
              <w:jc w:val="right"/>
              <w:ind w:right="52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3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11,001</w:t>
            </w:r>
          </w:p>
        </w:tc>
        <w:tc>
          <w:tcPr>
            <w:tcW w:w="40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7,435</w:t>
            </w: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48.0 %</w:t>
            </w:r>
          </w:p>
        </w:tc>
        <w:tc>
          <w:tcPr>
            <w:tcW w:w="0" w:type="dxa"/>
            <w:vAlign w:val="bottom"/>
          </w:tcPr>
          <w:p>
            <w:pPr>
              <w:spacing w:after="0"/>
              <w:rPr>
                <w:sz w:val="1"/>
                <w:szCs w:val="1"/>
                <w:color w:val="auto"/>
              </w:rPr>
            </w:pPr>
          </w:p>
        </w:tc>
      </w:tr>
      <w:tr>
        <w:trPr>
          <w:trHeight w:val="216"/>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(2,001 )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(4,417 )</w:t>
            </w:r>
          </w:p>
        </w:tc>
        <w:tc>
          <w:tcPr>
            <w:tcW w:w="24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(54.7 )%</w:t>
            </w:r>
          </w:p>
        </w:tc>
        <w:tc>
          <w:tcPr>
            <w:tcW w:w="0" w:type="dxa"/>
            <w:vAlign w:val="bottom"/>
          </w:tcPr>
          <w:p>
            <w:pPr>
              <w:spacing w:after="0"/>
              <w:rPr>
                <w:sz w:val="1"/>
                <w:szCs w:val="1"/>
                <w:color w:val="auto"/>
              </w:rPr>
            </w:pPr>
          </w:p>
        </w:tc>
      </w:tr>
      <w:tr>
        <w:trPr>
          <w:trHeight w:val="216"/>
        </w:trPr>
        <w:tc>
          <w:tcPr>
            <w:tcW w:w="6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3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(18.2 )%</w:t>
            </w:r>
          </w:p>
        </w:tc>
        <w:tc>
          <w:tcPr>
            <w:tcW w:w="30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(59.4 )%</w:t>
            </w: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ind w:firstLine="464"/>
        <w:spacing w:after="0" w:line="261" w:lineRule="auto"/>
        <w:rPr>
          <w:sz w:val="20"/>
          <w:szCs w:val="20"/>
          <w:color w:val="auto"/>
        </w:rPr>
      </w:pPr>
      <w:r>
        <w:rPr>
          <w:rFonts w:ascii="Times New Roman" w:cs="Times New Roman" w:eastAsia="Times New Roman" w:hAnsi="Times New Roman"/>
          <w:sz w:val="18"/>
          <w:szCs w:val="18"/>
          <w:color w:val="auto"/>
        </w:rPr>
        <w:t>EV segment revenue in the first nine months of fiscal 2025 increased by 48.0%, or $3.6 million, compared to the first nine months of fiscal 2024, primarily due to strong revenue volumes to municipalities in the first two quarters of fiscal 2025. Operating loss in this segment decreased primarily as a result of the Voltrek acquisition earn-out expense decreasing in fiscal 2025 compared to 2024 along with the significant increase in revenue allowing for greater absorption of fixed costs.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75" w:lineRule="exact"/>
        <w:rPr>
          <w:sz w:val="20"/>
          <w:szCs w:val="20"/>
          <w:color w:val="auto"/>
        </w:rPr>
      </w:pPr>
    </w:p>
    <w:p>
      <w:pPr>
        <w:jc w:val="both"/>
        <w:ind w:firstLine="469"/>
        <w:spacing w:after="0" w:line="266" w:lineRule="auto"/>
        <w:rPr>
          <w:sz w:val="20"/>
          <w:szCs w:val="20"/>
          <w:color w:val="auto"/>
        </w:rPr>
      </w:pPr>
      <w:r>
        <w:rPr>
          <w:rFonts w:ascii="Times New Roman" w:cs="Times New Roman" w:eastAsia="Times New Roman" w:hAnsi="Times New Roman"/>
          <w:sz w:val="18"/>
          <w:szCs w:val="18"/>
          <w:color w:val="auto"/>
        </w:rPr>
        <w:t>We believe our existing cash and operating cash flow provide us with the financial flexibility needed to meet our capital requirements, including to fund our budgeted capital expenditures and working capital needs for at least one year from the date of this report, as well as our longer-term capital requirements for periods beyond at least one year from the date of this report.</w:t>
      </w:r>
    </w:p>
    <w:p>
      <w:pPr>
        <w:spacing w:after="0" w:line="122" w:lineRule="exact"/>
        <w:rPr>
          <w:sz w:val="20"/>
          <w:szCs w:val="20"/>
          <w:color w:val="auto"/>
        </w:rPr>
      </w:pPr>
    </w:p>
    <w:p>
      <w:pPr>
        <w:jc w:val="both"/>
        <w:ind w:firstLine="469"/>
        <w:spacing w:after="0" w:line="261" w:lineRule="auto"/>
        <w:rPr>
          <w:sz w:val="20"/>
          <w:szCs w:val="20"/>
          <w:color w:val="auto"/>
        </w:rPr>
      </w:pPr>
      <w:r>
        <w:rPr>
          <w:rFonts w:ascii="Times New Roman" w:cs="Times New Roman" w:eastAsia="Times New Roman" w:hAnsi="Times New Roman"/>
          <w:sz w:val="18"/>
          <w:szCs w:val="18"/>
          <w:color w:val="auto"/>
        </w:rPr>
        <w:t>We had approximately $7.5 million in cash and cash equivalents as of December 31, 2024, compared to $5.2 million at March 31, 2024. Our cash position increased as a result of the proceeds of our $3.525 million mortgage loan, which closed in the second quarter of fiscal 2025, along with strong cash receipts in the third quarter, which were partially offset by an operating loss along with $2.5 million repayment of debt during the third quarter of fiscal 2025.</w:t>
      </w:r>
    </w:p>
    <w:p>
      <w:pPr>
        <w:spacing w:after="0" w:line="126" w:lineRule="exact"/>
        <w:rPr>
          <w:sz w:val="20"/>
          <w:szCs w:val="20"/>
          <w:color w:val="auto"/>
        </w:rPr>
      </w:pPr>
    </w:p>
    <w:p>
      <w:pPr>
        <w:jc w:val="both"/>
        <w:ind w:firstLine="469"/>
        <w:spacing w:after="0" w:line="258" w:lineRule="auto"/>
        <w:rPr>
          <w:sz w:val="20"/>
          <w:szCs w:val="20"/>
          <w:color w:val="auto"/>
        </w:rPr>
      </w:pPr>
      <w:r>
        <w:rPr>
          <w:rFonts w:ascii="Times New Roman" w:cs="Times New Roman" w:eastAsia="Times New Roman" w:hAnsi="Times New Roman"/>
          <w:sz w:val="18"/>
          <w:szCs w:val="18"/>
          <w:color w:val="auto"/>
        </w:rPr>
        <w:t>Our future liquidity needs and forecasted cash flows are dependent upon many factors, including our relative revenue, gross margins, cash management practices, cost containment, working capital management and capital expenditures. While we believe that we will likely have adequate available cash and equivalents and credit availability under our Credit Agreement to satisfy our currently anticipated working capital and liquidity requirements for at least the next 12 months based on our current cash flow forecast, if we experience significant liquidity constraints, we may be required to issue equity or debt securities, reduce our sales efforts, implement additional cost savings initiatives or undertake other efforts to conserve our cash.</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7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summarizes our cash flows for the nine months ended December 31, 2024 and 2023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28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December 31,</w:t>
            </w: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720" w:type="dxa"/>
            <w:vAlign w:val="bottom"/>
          </w:tcPr>
          <w:p>
            <w:pPr>
              <w:spacing w:after="0"/>
              <w:rPr>
                <w:sz w:val="12"/>
                <w:szCs w:val="12"/>
                <w:color w:val="auto"/>
              </w:rPr>
            </w:pPr>
          </w:p>
        </w:tc>
        <w:tc>
          <w:tcPr>
            <w:tcW w:w="1020" w:type="dxa"/>
            <w:vAlign w:val="bottom"/>
            <w:tcBorders>
              <w:bottom w:val="single" w:sz="8" w:color="auto"/>
            </w:tcBorders>
          </w:tcPr>
          <w:p>
            <w:pPr>
              <w:jc w:val="right"/>
              <w:ind w:right="1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1020" w:type="dxa"/>
            <w:vAlign w:val="bottom"/>
            <w:shd w:val="clear" w:color="auto" w:fill="CFF0FC"/>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1240" w:type="dxa"/>
            <w:vAlign w:val="bottom"/>
            <w:gridSpan w:val="2"/>
            <w:shd w:val="clear" w:color="auto" w:fill="CFF0FC"/>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w w:val="99"/>
              </w:rPr>
              <w:t>(10,267 )</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10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(750 )</w:t>
            </w: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10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(8 )</w:t>
            </w:r>
          </w:p>
        </w:tc>
      </w:tr>
      <w:tr>
        <w:trPr>
          <w:trHeight w:val="20"/>
        </w:trPr>
        <w:tc>
          <w:tcPr>
            <w:tcW w:w="772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1020" w:type="dxa"/>
            <w:vAlign w:val="bottom"/>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2,342</w:t>
            </w:r>
          </w:p>
        </w:tc>
        <w:tc>
          <w:tcPr>
            <w:tcW w:w="280" w:type="dxa"/>
            <w:vAlign w:val="bottom"/>
          </w:tcPr>
          <w:p>
            <w:pPr>
              <w:spacing w:after="0"/>
              <w:rPr>
                <w:sz w:val="18"/>
                <w:szCs w:val="18"/>
                <w:color w:val="auto"/>
              </w:rPr>
            </w:pPr>
          </w:p>
        </w:tc>
        <w:tc>
          <w:tcPr>
            <w:tcW w:w="960" w:type="dxa"/>
            <w:vAlign w:val="bottom"/>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(11,025 )</w:t>
            </w:r>
          </w:p>
        </w:tc>
      </w:tr>
      <w:tr>
        <w:trPr>
          <w:trHeight w:val="20"/>
        </w:trPr>
        <w:tc>
          <w:tcPr>
            <w:tcW w:w="77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-170815</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both"/>
        <w:ind w:firstLine="46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Cash Flows Related to Operating Activities. </w:t>
      </w:r>
      <w:r>
        <w:rPr>
          <w:rFonts w:ascii="Times New Roman" w:cs="Times New Roman" w:eastAsia="Times New Roman" w:hAnsi="Times New Roman"/>
          <w:sz w:val="18"/>
          <w:szCs w:val="18"/>
          <w:color w:val="auto"/>
        </w:rPr>
        <w:t>Cash used in operating activities primarily consisted of net loss adjusted for certain non-cash items,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depreciation, amortization of intangible assets, stock-based compensation, amortization of debt issue costs, provisions for reserves, and the effect of changes in working capital and other activities.</w:t>
      </w:r>
    </w:p>
    <w:p>
      <w:pPr>
        <w:spacing w:after="0" w:line="121" w:lineRule="exact"/>
        <w:rPr>
          <w:sz w:val="20"/>
          <w:szCs w:val="20"/>
          <w:color w:val="auto"/>
        </w:rPr>
      </w:pPr>
    </w:p>
    <w:p>
      <w:pPr>
        <w:jc w:val="both"/>
        <w:ind w:firstLine="464"/>
        <w:spacing w:after="0" w:line="266" w:lineRule="auto"/>
        <w:rPr>
          <w:sz w:val="20"/>
          <w:szCs w:val="20"/>
          <w:color w:val="auto"/>
        </w:rPr>
      </w:pPr>
      <w:r>
        <w:rPr>
          <w:rFonts w:ascii="Times New Roman" w:cs="Times New Roman" w:eastAsia="Times New Roman" w:hAnsi="Times New Roman"/>
          <w:sz w:val="18"/>
          <w:szCs w:val="18"/>
          <w:color w:val="auto"/>
        </w:rPr>
        <w:t>Cash provided by operating activities for the first nine months of fiscal 2025 was $1.3 million and consisted of our net loss of $8.9 million adjusted for non-cash expense items and net cash provided in changes in operating assets of $10.2 million, the largest of which were accounts receivable, revenue earned but not billed, and inventories totaling $8.5 million. These increases were partially offset by a $4.9 million decrease in accounts payable.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27" w:name="page28"/>
    <w:bookmarkEnd w:id="27"/>
    <w:p>
      <w:pPr>
        <w:jc w:val="both"/>
        <w:ind w:firstLine="464"/>
        <w:spacing w:after="0" w:line="266" w:lineRule="auto"/>
        <w:rPr>
          <w:sz w:val="20"/>
          <w:szCs w:val="20"/>
          <w:color w:val="auto"/>
        </w:rPr>
      </w:pPr>
      <w:r>
        <w:rPr>
          <w:rFonts w:ascii="Times New Roman" w:cs="Times New Roman" w:eastAsia="Times New Roman" w:hAnsi="Times New Roman"/>
          <w:sz w:val="18"/>
          <w:szCs w:val="18"/>
          <w:color w:val="auto"/>
        </w:rPr>
        <w:t>Cash used in operating activities for the first nine months of fiscal 2024 was $10.3 million and consisted of our net loss of $13.3 million adjusted for non-cash expense items and net cash used in changes in operating assets of $3.0 million, the largest of which was a benefit from a $5.5 million accounts payable.</w:t>
      </w:r>
    </w:p>
    <w:p>
      <w:pPr>
        <w:spacing w:after="0" w:line="120" w:lineRule="exact"/>
        <w:rPr>
          <w:sz w:val="20"/>
          <w:szCs w:val="20"/>
          <w:color w:val="auto"/>
        </w:rPr>
      </w:pPr>
    </w:p>
    <w:p>
      <w:pPr>
        <w:jc w:val="both"/>
        <w:ind w:firstLine="464"/>
        <w:spacing w:after="0" w:line="284" w:lineRule="auto"/>
        <w:rPr>
          <w:sz w:val="20"/>
          <w:szCs w:val="20"/>
          <w:color w:val="auto"/>
        </w:rPr>
      </w:pPr>
      <w:r>
        <w:rPr>
          <w:rFonts w:ascii="Times New Roman" w:cs="Times New Roman" w:eastAsia="Times New Roman" w:hAnsi="Times New Roman"/>
          <w:sz w:val="18"/>
          <w:szCs w:val="18"/>
          <w:i w:val="1"/>
          <w:iCs w:val="1"/>
          <w:color w:val="auto"/>
        </w:rPr>
        <w:t>Cash Flows Related to Investing Activities</w:t>
      </w:r>
      <w:r>
        <w:rPr>
          <w:rFonts w:ascii="Times New Roman" w:cs="Times New Roman" w:eastAsia="Times New Roman" w:hAnsi="Times New Roman"/>
          <w:sz w:val="18"/>
          <w:szCs w:val="18"/>
          <w:color w:val="auto"/>
        </w:rPr>
        <w:t>. Cash provided by investing activities of $134 thousand in the first nine months of fiscal 2025 consisted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of sales of property and equipment.</w:t>
      </w:r>
    </w:p>
    <w:p>
      <w:pPr>
        <w:spacing w:after="0" w:line="106" w:lineRule="exact"/>
        <w:rPr>
          <w:sz w:val="20"/>
          <w:szCs w:val="20"/>
          <w:color w:val="auto"/>
        </w:rPr>
      </w:pPr>
    </w:p>
    <w:p>
      <w:pPr>
        <w:jc w:val="both"/>
        <w:ind w:firstLine="464"/>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of $0.8 million in the first nine months of fiscal 2024 consisted primarily of purchases of property and equipment, partially offset by proceeds from the sale of property and equipment.</w:t>
      </w:r>
    </w:p>
    <w:p>
      <w:pPr>
        <w:spacing w:after="0" w:line="106" w:lineRule="exact"/>
        <w:rPr>
          <w:sz w:val="20"/>
          <w:szCs w:val="20"/>
          <w:color w:val="auto"/>
        </w:rPr>
      </w:pPr>
    </w:p>
    <w:p>
      <w:pPr>
        <w:jc w:val="both"/>
        <w:ind w:firstLine="46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Cash Flows Related to Financing Activities. </w:t>
      </w:r>
      <w:r>
        <w:rPr>
          <w:rFonts w:ascii="Times New Roman" w:cs="Times New Roman" w:eastAsia="Times New Roman" w:hAnsi="Times New Roman"/>
          <w:sz w:val="18"/>
          <w:szCs w:val="18"/>
          <w:color w:val="auto"/>
        </w:rPr>
        <w:t>Cash provided by financing activities of $910 thousand in the first nine months of fiscal 2025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due to the mortgage term loan discussed in Note 12 above, which was partially offset by payments on our revolving credit facility and long-term debt.</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Cash used in financing activities of $8 thousand in the first nine months of fiscal 2024 consisted primarily of payment of long-term debt.</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Working Capital</w:t>
      </w:r>
    </w:p>
    <w:p>
      <w:pPr>
        <w:spacing w:after="0" w:line="175" w:lineRule="exact"/>
        <w:rPr>
          <w:sz w:val="20"/>
          <w:szCs w:val="20"/>
          <w:color w:val="auto"/>
        </w:rPr>
      </w:pPr>
    </w:p>
    <w:p>
      <w:pPr>
        <w:jc w:val="both"/>
        <w:ind w:firstLine="464"/>
        <w:spacing w:after="0" w:line="266" w:lineRule="auto"/>
        <w:rPr>
          <w:sz w:val="20"/>
          <w:szCs w:val="20"/>
          <w:color w:val="auto"/>
        </w:rPr>
      </w:pPr>
      <w:r>
        <w:rPr>
          <w:rFonts w:ascii="Times New Roman" w:cs="Times New Roman" w:eastAsia="Times New Roman" w:hAnsi="Times New Roman"/>
          <w:sz w:val="18"/>
          <w:szCs w:val="18"/>
          <w:color w:val="auto"/>
        </w:rPr>
        <w:t>Our net working capital as of December 31, 2024 was $10.5 million, consisting of $37.1 million in current assets and $26.6 million in current liabilities. Our net working capital as of March 31, 2024 was $16.7 million, consisting of $44.8 million in current assets and $28.1 million in current liabilities.</w:t>
      </w:r>
    </w:p>
    <w:p>
      <w:pPr>
        <w:spacing w:after="0" w:line="122" w:lineRule="exact"/>
        <w:rPr>
          <w:sz w:val="20"/>
          <w:szCs w:val="20"/>
          <w:color w:val="auto"/>
        </w:rPr>
      </w:pPr>
    </w:p>
    <w:p>
      <w:pPr>
        <w:jc w:val="both"/>
        <w:ind w:firstLine="464"/>
        <w:spacing w:after="0" w:line="266" w:lineRule="auto"/>
        <w:rPr>
          <w:sz w:val="20"/>
          <w:szCs w:val="20"/>
          <w:color w:val="auto"/>
        </w:rPr>
      </w:pPr>
      <w:r>
        <w:rPr>
          <w:rFonts w:ascii="Times New Roman" w:cs="Times New Roman" w:eastAsia="Times New Roman" w:hAnsi="Times New Roman"/>
          <w:sz w:val="18"/>
          <w:szCs w:val="18"/>
          <w:color w:val="auto"/>
        </w:rPr>
        <w:t>We generally attempt to maintain at least a three-month supply of on-hand inventory of purchased components and raw materials to meet anticipated demand, as well as to reduce our risk of unexpected raw material or component shortages or supply interruptions. Our accounts receivables, inventory, payables and unbilled revenue may increase to the extent our revenue and order levels increase.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Indebtedness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Agreement</w:t>
      </w:r>
    </w:p>
    <w:p>
      <w:pPr>
        <w:spacing w:after="0" w:line="229"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Our credit agreement provides for a five-year $25.0 million revolving credit facility (the “Credit Facility”) that matures on June 30, 2027. Borrowings under the Credit Facility are subject to a borrowing base requirement based on eligible receivables, inventory and cash. As of December 31, 2024, the borrowing base supported approximately $15.6 million of availability under the Credit Facility, with $7.5 million drawn against that availability. As of December 31, 2023, the borrowing base supported approximately $22.5 million of availability under the Credit Facility, with $10.0 million drawn against that availability.</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credit agreement is secured by a first lien security interest in substantially all of our assets.</w:t>
      </w:r>
    </w:p>
    <w:p>
      <w:pPr>
        <w:spacing w:after="0" w:line="225"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Borrowings under the credit agreement are permitted in the form of SOFR or prime rate-based loans and generally bear interest at floating rates plus an applicable margin determined by reference to our availability under the Credit Agreement. Among other fees, we are required to pay an annual facility fee of $15,000 and a fee of 25 basis points on the unused portion of the Credit Facility.</w:t>
      </w:r>
    </w:p>
    <w:p>
      <w:pPr>
        <w:spacing w:after="0" w:line="176"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The credit agreement includes a springing minimum fixed cost coverage ratio of 1.0 to 1.0 when excess availability under the Credit Facility falls below the greater of $3.0 million or 15% of the committed facility. Currently, the required springing minimum fixed cost coverage ratio is not required.</w:t>
      </w:r>
    </w:p>
    <w:p>
      <w:pPr>
        <w:spacing w:after="0" w:line="162"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The credit agreement also contains customary events of default and other covenants, including certain restrictions on our ability to incur additional indebtedness, consolidate or merge, enter into acquisitions, pay any dividend or distribution on our stock, redeem, retire or purchase shares of our stock, make investments or pledge or transfer assets. If an event of default under the credit agreement occurs and is continuing, then the lender may cease making advances under the credit agreement and declare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8" w:name="page29"/>
    <w:bookmarkEnd w:id="28"/>
    <w:p>
      <w:pPr>
        <w:jc w:val="both"/>
        <w:spacing w:after="0" w:line="266" w:lineRule="auto"/>
        <w:rPr>
          <w:sz w:val="20"/>
          <w:szCs w:val="20"/>
          <w:color w:val="auto"/>
        </w:rPr>
      </w:pPr>
      <w:r>
        <w:rPr>
          <w:rFonts w:ascii="Times New Roman" w:cs="Times New Roman" w:eastAsia="Times New Roman" w:hAnsi="Times New Roman"/>
          <w:sz w:val="18"/>
          <w:szCs w:val="18"/>
          <w:color w:val="auto"/>
        </w:rPr>
        <w:t>any outstanding obligations under the credit agreement to be immediately due and payable. In addition, if we become the subject of voluntary or involuntary proceedings under any bankruptcy or similar law, then any outstanding obligations under the credit agreement will automatically become immediately due and payable.</w:t>
      </w:r>
    </w:p>
    <w:p>
      <w:pPr>
        <w:spacing w:after="0" w:line="68"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Effective April 22, 2024, we, along with our lender, executed Amendment No. 2 (“Amendment No. 2”) to the credit agreement. The primary purpose of Amendment No. 2 was to add a $3.525 million mortgage loan facility to the credit agreement secured by our office headquarters property in Manitowoc, Wisconsin. Amendment No. 2 also broadened the definition of receivables to encompass government receivables as being eligible to be included in our borrowing base calculation for the purpose of establishing our monthly borrowing availability under the credit agreement. Quarterly installments of $88,125 are due on the first day of each fiscal quarter beginning October 1, 2024.</w:t>
      </w:r>
    </w:p>
    <w:p>
      <w:pPr>
        <w:spacing w:after="0" w:line="75"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Effective October 30, 2024, we and our lender, executed Amendment No. 3 ("Amendment No. 3") to our Credit Agreement. The primary purpose of Amendment No. 3 was to extend the maturity date of the Credit Facility from December 29, 2025 to June 30, 2027.</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175" w:lineRule="exact"/>
        <w:rPr>
          <w:sz w:val="20"/>
          <w:szCs w:val="20"/>
          <w:color w:val="auto"/>
        </w:rPr>
      </w:pPr>
    </w:p>
    <w:p>
      <w:pPr>
        <w:jc w:val="both"/>
        <w:ind w:firstLine="464"/>
        <w:spacing w:after="0" w:line="266" w:lineRule="auto"/>
        <w:rPr>
          <w:sz w:val="20"/>
          <w:szCs w:val="20"/>
          <w:color w:val="auto"/>
        </w:rPr>
      </w:pPr>
      <w:r>
        <w:rPr>
          <w:rFonts w:ascii="Times New Roman" w:cs="Times New Roman" w:eastAsia="Times New Roman" w:hAnsi="Times New Roman"/>
          <w:sz w:val="18"/>
          <w:szCs w:val="18"/>
          <w:color w:val="auto"/>
        </w:rPr>
        <w:t>Backlog represents the amount of revenue that we expect to realize in the future as a result of firm, committed purchase orders. Backlog totaled $14.4 million and $22.0 million as of December 31, 2024 and March 31, 2024, respectively. We generally expect our backlog to be recognized as revenue within one year. Backlog does not include any amounts for contracted maintenance services.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7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We have no off-balance sheet arrangements.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5" w:lineRule="exact"/>
        <w:rPr>
          <w:sz w:val="20"/>
          <w:szCs w:val="20"/>
          <w:color w:val="auto"/>
        </w:rPr>
      </w:pPr>
    </w:p>
    <w:p>
      <w:pPr>
        <w:jc w:val="both"/>
        <w:ind w:firstLine="469"/>
        <w:spacing w:after="0" w:line="253" w:lineRule="auto"/>
        <w:rPr>
          <w:sz w:val="20"/>
          <w:szCs w:val="20"/>
          <w:color w:val="auto"/>
        </w:rPr>
      </w:pPr>
      <w:r>
        <w:rPr>
          <w:rFonts w:ascii="Times New Roman" w:cs="Times New Roman" w:eastAsia="Times New Roman" w:hAnsi="Times New Roman"/>
          <w:sz w:val="18"/>
          <w:szCs w:val="18"/>
          <w:color w:val="auto"/>
        </w:rPr>
        <w:t>The discussion and analysis of our financial condition and results of operations is based upon our consolidated financial statements, which have been prepared in accordance with accounting principles generally accepted in the United States. The preparation of our consolidated financial statements requires us to make certain estimates and judgments that affect our reported assets, liabilities, revenue and expenses, and our related disclosure of contingent assets and liabilities. We re-evaluate our estimates on an ongoing basis, including those related to revenue recognition, inventory valuation, stock-based compensation and income taxes. The estimates of forecasted cash flows are used in the assessment for impairment of long-lived assets and the realizability of deferred tax assets. We base our estimates on historical experience and on various assumptions that we believe to be reasonable under the circumstances. Actual results may differ from these estimates. A summary of our critical accounting policies is set forth in the “Critical Accounting Policies and Estimates” section of our Management’s Discussion and Analysis of Financial Condition and Results of Operations contained in our Annual Report on Form 10-K for the year ended March 31, 2024. For the quarter ended December 31, 2024, there were no material changes in our accounting policies.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75" w:lineRule="exact"/>
        <w:rPr>
          <w:sz w:val="20"/>
          <w:szCs w:val="20"/>
          <w:color w:val="auto"/>
        </w:rPr>
      </w:pPr>
    </w:p>
    <w:p>
      <w:pPr>
        <w:jc w:val="both"/>
        <w:ind w:firstLine="469"/>
        <w:spacing w:after="0" w:line="282" w:lineRule="auto"/>
        <w:rPr>
          <w:sz w:val="20"/>
          <w:szCs w:val="20"/>
          <w:color w:val="auto"/>
        </w:rPr>
      </w:pPr>
      <w:r>
        <w:rPr>
          <w:rFonts w:ascii="Times New Roman" w:cs="Times New Roman" w:eastAsia="Times New Roman" w:hAnsi="Times New Roman"/>
          <w:sz w:val="18"/>
          <w:szCs w:val="18"/>
          <w:color w:val="auto"/>
        </w:rPr>
        <w:t>For a complete discussion of recent accounting pronouncements, refer to Note 2 in the Condensed Consolidated Financial Statements included elsewhere in this report.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75" w:lineRule="exact"/>
        <w:rPr>
          <w:sz w:val="20"/>
          <w:szCs w:val="20"/>
          <w:color w:val="auto"/>
        </w:rPr>
      </w:pPr>
    </w:p>
    <w:p>
      <w:pPr>
        <w:jc w:val="both"/>
        <w:ind w:firstLine="469"/>
        <w:spacing w:after="0" w:line="282" w:lineRule="auto"/>
        <w:rPr>
          <w:sz w:val="20"/>
          <w:szCs w:val="20"/>
          <w:color w:val="auto"/>
        </w:rPr>
      </w:pPr>
      <w:r>
        <w:rPr>
          <w:rFonts w:ascii="Times New Roman" w:cs="Times New Roman" w:eastAsia="Times New Roman" w:hAnsi="Times New Roman"/>
          <w:sz w:val="18"/>
          <w:szCs w:val="18"/>
          <w:color w:val="auto"/>
        </w:rPr>
        <w:t>Our exposure to market risk was discussed in the “Quantitative and Qualitative Disclosures About Market Risk” section contained in our Annual Report on Form 10-K for the year ended March 31, 2024. There have been no material changes to such exposures since March 31,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75" w:lineRule="exact"/>
        <w:rPr>
          <w:sz w:val="20"/>
          <w:szCs w:val="20"/>
          <w:color w:val="auto"/>
        </w:rPr>
      </w:pPr>
    </w:p>
    <w:p>
      <w:pPr>
        <w:jc w:val="both"/>
        <w:ind w:firstLine="469"/>
        <w:spacing w:after="0" w:line="266" w:lineRule="auto"/>
        <w:rPr>
          <w:sz w:val="20"/>
          <w:szCs w:val="20"/>
          <w:color w:val="auto"/>
        </w:rPr>
      </w:pPr>
      <w:r>
        <w:rPr>
          <w:rFonts w:ascii="Times New Roman" w:cs="Times New Roman" w:eastAsia="Times New Roman" w:hAnsi="Times New Roman"/>
          <w:sz w:val="18"/>
          <w:szCs w:val="18"/>
          <w:color w:val="auto"/>
        </w:rPr>
        <w:t>Our disclosure controls and procedures are designed to ensure that information required to be disclosed by us in the reports that we file or submit under the Exchange Act is accumulated and communicated to our management, including our Chief Executive Officer and Chief Financial Officer, as appropriate, to allow timely decisions regarding required disclosure.</w:t>
      </w:r>
    </w:p>
    <w:p>
      <w:pPr>
        <w:spacing w:after="0" w:line="122" w:lineRule="exact"/>
        <w:rPr>
          <w:sz w:val="20"/>
          <w:szCs w:val="20"/>
          <w:color w:val="auto"/>
        </w:rPr>
      </w:pPr>
    </w:p>
    <w:p>
      <w:pPr>
        <w:jc w:val="both"/>
        <w:ind w:firstLine="469"/>
        <w:spacing w:after="0" w:line="261" w:lineRule="auto"/>
        <w:rPr>
          <w:sz w:val="20"/>
          <w:szCs w:val="20"/>
          <w:color w:val="auto"/>
        </w:rPr>
      </w:pPr>
      <w:r>
        <w:rPr>
          <w:rFonts w:ascii="Times New Roman" w:cs="Times New Roman" w:eastAsia="Times New Roman" w:hAnsi="Times New Roman"/>
          <w:sz w:val="18"/>
          <w:szCs w:val="18"/>
          <w:color w:val="auto"/>
        </w:rPr>
        <w:t>As of December 31, 2024, an evaluation was conducted under the supervision and with the participation of our management, including our Chief Executive Officer and Chief Financial Officer, of the effectiveness of our disclosure controls and procedures (as defined in Rule 13a-15(e) and Rule 15d-15(e) of the Exchange Act). Based on this evaluation, such officers have concluded that our disclosure controls and procedures were effective as of December 31, 2024.</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75" w:lineRule="exact"/>
        <w:rPr>
          <w:sz w:val="20"/>
          <w:szCs w:val="20"/>
          <w:color w:val="auto"/>
        </w:rPr>
      </w:pPr>
    </w:p>
    <w:p>
      <w:pPr>
        <w:jc w:val="both"/>
        <w:ind w:firstLine="469"/>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 13a-15(e) and Rule 15d-15(e) of the Exchange Act) for the quarter ended December 31, 2024, that materially affected, or are reasonably likely to materially affect, our internal control over financial reporting.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75" w:lineRule="exact"/>
        <w:rPr>
          <w:sz w:val="20"/>
          <w:szCs w:val="20"/>
          <w:color w:val="auto"/>
        </w:rPr>
      </w:pPr>
    </w:p>
    <w:p>
      <w:pPr>
        <w:jc w:val="both"/>
        <w:ind w:firstLine="469"/>
        <w:spacing w:after="0" w:line="282" w:lineRule="auto"/>
        <w:rPr>
          <w:sz w:val="20"/>
          <w:szCs w:val="20"/>
          <w:color w:val="auto"/>
        </w:rPr>
      </w:pPr>
      <w:r>
        <w:rPr>
          <w:rFonts w:ascii="Times New Roman" w:cs="Times New Roman" w:eastAsia="Times New Roman" w:hAnsi="Times New Roman"/>
          <w:sz w:val="18"/>
          <w:szCs w:val="18"/>
          <w:color w:val="auto"/>
        </w:rPr>
        <w:t>We are subject to various claims and legal proceedings arising in the ordinary course of business. As of the date of this report, we do not believe that the final resolution of any of such claims or legal proceedings will have a material adverse effect on our future results of operations.</w:t>
      </w:r>
    </w:p>
    <w:p>
      <w:pPr>
        <w:spacing w:after="0" w:line="1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See Note 14 – Commitments and Contingencies, to the Condensed Consolidated Financial Statements in Item 1 of this Quarterly Report on Form 10-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w:t>
      </w:r>
    </w:p>
    <w:p>
      <w:pPr>
        <w:spacing w:after="0" w:line="243"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175" w:lineRule="exact"/>
        <w:rPr>
          <w:sz w:val="20"/>
          <w:szCs w:val="20"/>
          <w:color w:val="auto"/>
        </w:rPr>
      </w:pPr>
    </w:p>
    <w:p>
      <w:pPr>
        <w:jc w:val="both"/>
        <w:ind w:firstLine="469"/>
        <w:spacing w:after="0" w:line="258" w:lineRule="auto"/>
        <w:rPr>
          <w:sz w:val="20"/>
          <w:szCs w:val="20"/>
          <w:color w:val="auto"/>
        </w:rPr>
      </w:pPr>
      <w:r>
        <w:rPr>
          <w:rFonts w:ascii="Times New Roman" w:cs="Times New Roman" w:eastAsia="Times New Roman" w:hAnsi="Times New Roman"/>
          <w:sz w:val="18"/>
          <w:szCs w:val="18"/>
          <w:color w:val="auto"/>
        </w:rPr>
        <w:t>We operate in a rapidly changing environment that involves a number of risks that could materially affect our business, financial condition or future results, some of which are beyond our control. In addition to the other information set forth in this Quarterly Report on Form 10-Q, the risks and uncertainties that we believe are most important for you to consider are discussed in Part I - Item 1A under the heading “Risk Factors” in our Annual Report on Form 10-K for the fiscal year ended March 31, 2024, which we filed with the SEC on June 12, 2024 and in Part 1 - Item 2 under the heading "Management's Discussion and Analysis of Financial Condition and Results of Operations" in this Form 10-Q.</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7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None.</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7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Rule 10b5-1 Trading Plans</w:t>
      </w:r>
    </w:p>
    <w:p>
      <w:pPr>
        <w:spacing w:after="0" w:line="175" w:lineRule="exact"/>
        <w:rPr>
          <w:sz w:val="20"/>
          <w:szCs w:val="20"/>
          <w:color w:val="auto"/>
        </w:rPr>
      </w:pPr>
    </w:p>
    <w:p>
      <w:pPr>
        <w:ind w:right="120" w:firstLine="469"/>
        <w:spacing w:after="0" w:line="282" w:lineRule="auto"/>
        <w:rPr>
          <w:sz w:val="20"/>
          <w:szCs w:val="20"/>
          <w:color w:val="auto"/>
        </w:rPr>
      </w:pPr>
      <w:r>
        <w:rPr>
          <w:rFonts w:ascii="Times New Roman" w:cs="Times New Roman" w:eastAsia="Times New Roman" w:hAnsi="Times New Roman"/>
          <w:sz w:val="18"/>
          <w:szCs w:val="18"/>
          <w:color w:val="auto"/>
        </w:rPr>
        <w:t>During the three months ended December 31, 2024, none of our directors or officers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71"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(a)</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0080" w:type="dxa"/>
            <w:vAlign w:val="bottom"/>
            <w:gridSpan w:val="6"/>
          </w:tcPr>
          <w:p>
            <w:pPr>
              <w:spacing w:after="0"/>
              <w:rPr>
                <w:rFonts w:ascii="Times New Roman" w:cs="Times New Roman" w:eastAsia="Times New Roman" w:hAnsi="Times New Roman"/>
                <w:sz w:val="18"/>
                <w:szCs w:val="18"/>
                <w:color w:val="0000FF"/>
              </w:rPr>
            </w:pPr>
            <w:hyperlink r:id="rId286">
              <w:r>
                <w:rPr>
                  <w:rFonts w:ascii="Times New Roman" w:cs="Times New Roman" w:eastAsia="Times New Roman" w:hAnsi="Times New Roman"/>
                  <w:sz w:val="18"/>
                  <w:szCs w:val="18"/>
                  <w:color w:val="0000FF"/>
                </w:rPr>
                <w:t>Amendment No. 3 to Loan and Security Agreement, dated effective as of October 30, 2024, among Orion Energy Systems, Inc., Bank of</w:t>
              </w:r>
            </w:hyperlink>
          </w:p>
        </w:tc>
      </w:tr>
      <w:tr>
        <w:trPr>
          <w:trHeight w:val="20"/>
        </w:trPr>
        <w:tc>
          <w:tcPr>
            <w:tcW w:w="1100" w:type="dxa"/>
            <w:vAlign w:val="bottom"/>
          </w:tcPr>
          <w:p>
            <w:pPr>
              <w:spacing w:after="0" w:line="20" w:lineRule="exact"/>
              <w:rPr>
                <w:sz w:val="1"/>
                <w:szCs w:val="1"/>
                <w:color w:val="auto"/>
              </w:rPr>
            </w:pPr>
          </w:p>
        </w:tc>
        <w:tc>
          <w:tcPr>
            <w:tcW w:w="346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534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10080" w:type="dxa"/>
            <w:vAlign w:val="bottom"/>
            <w:gridSpan w:val="6"/>
          </w:tcPr>
          <w:p>
            <w:pPr>
              <w:spacing w:after="0" w:line="196" w:lineRule="exact"/>
              <w:rPr>
                <w:rFonts w:ascii="Times New Roman" w:cs="Times New Roman" w:eastAsia="Times New Roman" w:hAnsi="Times New Roman"/>
                <w:sz w:val="18"/>
                <w:szCs w:val="18"/>
                <w:color w:val="0000FF"/>
              </w:rPr>
            </w:pPr>
            <w:hyperlink r:id="rId286">
              <w:r>
                <w:rPr>
                  <w:rFonts w:ascii="Times New Roman" w:cs="Times New Roman" w:eastAsia="Times New Roman" w:hAnsi="Times New Roman"/>
                  <w:sz w:val="18"/>
                  <w:szCs w:val="18"/>
                  <w:color w:val="0000FF"/>
                </w:rPr>
                <w:t>America, N.A., as lender, and the subsidiary borrowers party thereto, file as Exhibit 10.1 to Registrant's Current Report on Form 8-K filed</w:t>
              </w:r>
            </w:hyperlink>
          </w:p>
        </w:tc>
      </w:tr>
      <w:tr>
        <w:trPr>
          <w:trHeight w:val="20"/>
        </w:trPr>
        <w:tc>
          <w:tcPr>
            <w:tcW w:w="1100" w:type="dxa"/>
            <w:vAlign w:val="bottom"/>
          </w:tcPr>
          <w:p>
            <w:pPr>
              <w:spacing w:after="0" w:line="20" w:lineRule="exact"/>
              <w:rPr>
                <w:sz w:val="1"/>
                <w:szCs w:val="1"/>
                <w:color w:val="auto"/>
              </w:rPr>
            </w:pPr>
          </w:p>
        </w:tc>
        <w:tc>
          <w:tcPr>
            <w:tcW w:w="346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53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10080" w:type="dxa"/>
            <w:vAlign w:val="bottom"/>
            <w:gridSpan w:val="6"/>
          </w:tcPr>
          <w:p>
            <w:pPr>
              <w:spacing w:after="0" w:line="196" w:lineRule="exact"/>
              <w:rPr>
                <w:rFonts w:ascii="Times New Roman" w:cs="Times New Roman" w:eastAsia="Times New Roman" w:hAnsi="Times New Roman"/>
                <w:sz w:val="18"/>
                <w:szCs w:val="18"/>
                <w:color w:val="0000FF"/>
              </w:rPr>
            </w:pPr>
            <w:hyperlink r:id="rId286">
              <w:r>
                <w:rPr>
                  <w:rFonts w:ascii="Times New Roman" w:cs="Times New Roman" w:eastAsia="Times New Roman" w:hAnsi="Times New Roman"/>
                  <w:sz w:val="18"/>
                  <w:szCs w:val="18"/>
                  <w:color w:val="0000FF"/>
                </w:rPr>
                <w:t>on October 31, 2024, is hereby incorporated by reference.</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346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EE"/>
            </w:tcBorders>
            <w:shd w:val="clear" w:color="auto" w:fill="0000FF"/>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110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100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Certification of Chief Executive Officer of Orion Energy Systems, Inc. pursuant to Rule 13a-14(a) or Rule 15d-14(a) promulgated under the</w:t>
            </w:r>
          </w:p>
        </w:tc>
      </w:tr>
      <w:tr>
        <w:trPr>
          <w:trHeight w:val="20"/>
        </w:trPr>
        <w:tc>
          <w:tcPr>
            <w:tcW w:w="1100" w:type="dxa"/>
            <w:vAlign w:val="bottom"/>
          </w:tcPr>
          <w:p>
            <w:pPr>
              <w:spacing w:after="0" w:line="20" w:lineRule="exact"/>
              <w:rPr>
                <w:sz w:val="1"/>
                <w:szCs w:val="1"/>
                <w:color w:val="auto"/>
              </w:rPr>
            </w:pPr>
          </w:p>
        </w:tc>
        <w:tc>
          <w:tcPr>
            <w:tcW w:w="3460" w:type="dxa"/>
            <w:vAlign w:val="bottom"/>
            <w:tcBorders>
              <w:right w:val="single" w:sz="8" w:color="0000FF"/>
            </w:tcBorders>
            <w:shd w:val="clear" w:color="auto" w:fill="0000FF"/>
          </w:tcPr>
          <w:p>
            <w:pPr>
              <w:spacing w:after="0" w:line="20" w:lineRule="exact"/>
              <w:rPr>
                <w:sz w:val="1"/>
                <w:szCs w:val="1"/>
                <w:color w:val="auto"/>
              </w:rPr>
            </w:pPr>
          </w:p>
        </w:tc>
        <w:tc>
          <w:tcPr>
            <w:tcW w:w="604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100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Securities Exchange Act of 1934, as amended.+</w:t>
            </w: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3460" w:type="dxa"/>
            <w:vAlign w:val="bottom"/>
            <w:tcBorders>
              <w:right w:val="single" w:sz="8" w:color="0000EE"/>
            </w:tcBorders>
            <w:shd w:val="clear" w:color="auto" w:fill="0000FF"/>
          </w:tcPr>
          <w:p>
            <w:pPr>
              <w:spacing w:after="0" w:line="20" w:lineRule="exact"/>
              <w:rPr>
                <w:sz w:val="1"/>
                <w:szCs w:val="1"/>
                <w:color w:val="auto"/>
              </w:rPr>
            </w:pPr>
          </w:p>
        </w:tc>
        <w:tc>
          <w:tcPr>
            <w:tcW w:w="604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18"/>
        </w:trPr>
        <w:tc>
          <w:tcPr>
            <w:tcW w:w="1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31.2</w:t>
            </w:r>
          </w:p>
        </w:tc>
        <w:tc>
          <w:tcPr>
            <w:tcW w:w="100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of Orion Energy Systems, Inc. pursuant to Rule 13a-14(a) or Rule 15d-14(a) promulgated under the</w:t>
            </w:r>
          </w:p>
        </w:tc>
      </w:tr>
      <w:tr>
        <w:trPr>
          <w:trHeight w:val="20"/>
        </w:trPr>
        <w:tc>
          <w:tcPr>
            <w:tcW w:w="1100" w:type="dxa"/>
            <w:vAlign w:val="bottom"/>
          </w:tcPr>
          <w:p>
            <w:pPr>
              <w:spacing w:after="0" w:line="20" w:lineRule="exact"/>
              <w:rPr>
                <w:sz w:val="1"/>
                <w:szCs w:val="1"/>
                <w:color w:val="auto"/>
              </w:rPr>
            </w:pPr>
          </w:p>
        </w:tc>
        <w:tc>
          <w:tcPr>
            <w:tcW w:w="9500" w:type="dxa"/>
            <w:vAlign w:val="bottom"/>
            <w:gridSpan w:val="3"/>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100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Securities Exchange Act of 1934, as amended.+</w:t>
            </w: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3460" w:type="dxa"/>
            <w:vAlign w:val="bottom"/>
            <w:tcBorders>
              <w:right w:val="single" w:sz="8" w:color="0000EE"/>
            </w:tcBorders>
            <w:shd w:val="clear" w:color="auto" w:fill="0000FF"/>
          </w:tcPr>
          <w:p>
            <w:pPr>
              <w:spacing w:after="0" w:line="20" w:lineRule="exact"/>
              <w:rPr>
                <w:sz w:val="1"/>
                <w:szCs w:val="1"/>
                <w:color w:val="auto"/>
              </w:rPr>
            </w:pPr>
          </w:p>
        </w:tc>
        <w:tc>
          <w:tcPr>
            <w:tcW w:w="604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18"/>
        </w:trPr>
        <w:tc>
          <w:tcPr>
            <w:tcW w:w="1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32.1</w:t>
            </w:r>
          </w:p>
        </w:tc>
        <w:tc>
          <w:tcPr>
            <w:tcW w:w="100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of Orion Energy Systems, Inc. pursuant to Rule 13a-14(b) promulgated under the Securities</w:t>
            </w:r>
          </w:p>
        </w:tc>
      </w:tr>
      <w:tr>
        <w:trPr>
          <w:trHeight w:val="20"/>
        </w:trPr>
        <w:tc>
          <w:tcPr>
            <w:tcW w:w="1100" w:type="dxa"/>
            <w:vAlign w:val="bottom"/>
          </w:tcPr>
          <w:p>
            <w:pPr>
              <w:spacing w:after="0" w:line="20" w:lineRule="exact"/>
              <w:rPr>
                <w:sz w:val="1"/>
                <w:szCs w:val="1"/>
                <w:color w:val="auto"/>
              </w:rPr>
            </w:pPr>
          </w:p>
        </w:tc>
        <w:tc>
          <w:tcPr>
            <w:tcW w:w="9500" w:type="dxa"/>
            <w:vAlign w:val="bottom"/>
            <w:gridSpan w:val="3"/>
            <w:shd w:val="clear" w:color="auto" w:fill="0000FF"/>
          </w:tcPr>
          <w:p>
            <w:pPr>
              <w:spacing w:after="0" w:line="20" w:lineRule="exact"/>
              <w:rPr>
                <w:sz w:val="1"/>
                <w:szCs w:val="1"/>
                <w:color w:val="auto"/>
              </w:rPr>
            </w:pPr>
          </w:p>
        </w:tc>
        <w:tc>
          <w:tcPr>
            <w:tcW w:w="440" w:type="dxa"/>
            <w:vAlign w:val="bottom"/>
            <w:tcBorders>
              <w:left w:val="single" w:sz="8" w:color="0000FF"/>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100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Exchange Act of 1934, as amended, and 18 U.S.C. Section 1350, as adopted pursuant to Section 906 of the Sarbanes-Oxley Act of 2002.+</w:t>
            </w: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9500" w:type="dxa"/>
            <w:vAlign w:val="bottom"/>
            <w:gridSpan w:val="3"/>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18"/>
        </w:trPr>
        <w:tc>
          <w:tcPr>
            <w:tcW w:w="1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32.2</w:t>
            </w:r>
          </w:p>
        </w:tc>
        <w:tc>
          <w:tcPr>
            <w:tcW w:w="100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of Orion Energy Systems, Inc. pursuant to Rule 13a-14(b) promulgated under the Securities</w:t>
            </w:r>
          </w:p>
        </w:tc>
      </w:tr>
      <w:tr>
        <w:trPr>
          <w:trHeight w:val="20"/>
        </w:trPr>
        <w:tc>
          <w:tcPr>
            <w:tcW w:w="1100" w:type="dxa"/>
            <w:vAlign w:val="bottom"/>
          </w:tcPr>
          <w:p>
            <w:pPr>
              <w:spacing w:after="0" w:line="20" w:lineRule="exact"/>
              <w:rPr>
                <w:sz w:val="1"/>
                <w:szCs w:val="1"/>
                <w:color w:val="auto"/>
              </w:rPr>
            </w:pPr>
          </w:p>
        </w:tc>
        <w:tc>
          <w:tcPr>
            <w:tcW w:w="9500" w:type="dxa"/>
            <w:vAlign w:val="bottom"/>
            <w:gridSpan w:val="3"/>
            <w:shd w:val="clear" w:color="auto" w:fill="0000FF"/>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100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Exchange Act of 1934, as amended, and 18 U.S.C. Section 1350, as adopted pursuant to Section 906 of the Sarbanes-Oxley Act of 2002.+</w:t>
            </w: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9940" w:type="dxa"/>
            <w:vAlign w:val="bottom"/>
            <w:gridSpan w:val="5"/>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58"/>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0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338"/>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0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338"/>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0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338"/>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0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338"/>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0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338"/>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0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103" w:lineRule="exact"/>
        <w:rPr>
          <w:sz w:val="20"/>
          <w:szCs w:val="20"/>
          <w:color w:val="auto"/>
        </w:rPr>
      </w:pPr>
    </w:p>
    <w:p>
      <w:pPr>
        <w:ind w:left="1100" w:right="460" w:hanging="1079"/>
        <w:spacing w:after="0" w:line="282" w:lineRule="auto"/>
        <w:tabs>
          <w:tab w:leader="none" w:pos="11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the Company’s Quarterly Report on Form 10-Q for the quarter ended December 31, 2024, has been formatted in Inline XBRL and is contained in Exhibit 101.</w:t>
      </w:r>
    </w:p>
    <w:p>
      <w:pPr>
        <w:spacing w:after="0" w:line="161"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75" w:lineRule="exact"/>
        <w:rPr>
          <w:sz w:val="20"/>
          <w:szCs w:val="20"/>
          <w:color w:val="auto"/>
        </w:rPr>
      </w:pPr>
    </w:p>
    <w:p>
      <w:pPr>
        <w:ind w:firstLine="46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 on February 11, 2025.</w:t>
      </w:r>
    </w:p>
    <w:p>
      <w:pPr>
        <w:spacing w:after="0" w:line="162"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ORION ENERGY SYSTEMS, INC.</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20" w:type="dxa"/>
            <w:vAlign w:val="bottom"/>
          </w:tcPr>
          <w:p>
            <w:pPr>
              <w:ind w:left="5080"/>
              <w:spacing w:after="0"/>
              <w:rPr>
                <w:sz w:val="20"/>
                <w:szCs w:val="20"/>
                <w:color w:val="auto"/>
              </w:rPr>
            </w:pPr>
            <w:r>
              <w:rPr>
                <w:rFonts w:ascii="Times New Roman" w:cs="Times New Roman" w:eastAsia="Times New Roman" w:hAnsi="Times New Roman"/>
                <w:sz w:val="18"/>
                <w:szCs w:val="18"/>
                <w:color w:val="auto"/>
              </w:rPr>
              <w:t>By</w:t>
            </w:r>
          </w:p>
        </w:tc>
        <w:tc>
          <w:tcPr>
            <w:tcW w:w="220" w:type="dxa"/>
            <w:vAlign w:val="bottom"/>
          </w:tcPr>
          <w:p>
            <w:pPr>
              <w:spacing w:after="0"/>
              <w:rPr>
                <w:sz w:val="20"/>
                <w:szCs w:val="20"/>
                <w:color w:val="auto"/>
              </w:rPr>
            </w:pPr>
          </w:p>
        </w:tc>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 Per Brodin</w:t>
            </w:r>
          </w:p>
        </w:tc>
      </w:tr>
      <w:tr>
        <w:trPr>
          <w:trHeight w:val="191"/>
        </w:trPr>
        <w:tc>
          <w:tcPr>
            <w:tcW w:w="5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J. Per Brodin</w:t>
            </w:r>
          </w:p>
        </w:tc>
      </w:tr>
      <w:tr>
        <w:trPr>
          <w:trHeight w:val="216"/>
        </w:trPr>
        <w:tc>
          <w:tcPr>
            <w:tcW w:w="5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5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 and Authorized Signatory)</w:t>
            </w:r>
          </w:p>
        </w:tc>
      </w:tr>
      <w:tr>
        <w:trPr>
          <w:trHeight w:val="648"/>
        </w:trPr>
        <w:tc>
          <w:tcPr>
            <w:tcW w:w="5420" w:type="dxa"/>
            <w:vAlign w:val="bottom"/>
          </w:tcPr>
          <w:p>
            <w:pPr>
              <w:spacing w:after="0"/>
              <w:rPr>
                <w:sz w:val="24"/>
                <w:szCs w:val="24"/>
                <w:color w:val="auto"/>
              </w:rPr>
            </w:pPr>
          </w:p>
        </w:tc>
        <w:tc>
          <w:tcPr>
            <w:tcW w:w="5820" w:type="dxa"/>
            <w:vAlign w:val="bottom"/>
            <w:gridSpan w:val="2"/>
          </w:tcPr>
          <w:p>
            <w:pPr>
              <w:jc w:val="right"/>
              <w:ind w:right="5430"/>
              <w:spacing w:after="0"/>
              <w:rPr>
                <w:sz w:val="20"/>
                <w:szCs w:val="20"/>
                <w:color w:val="auto"/>
              </w:rPr>
            </w:pPr>
            <w:r>
              <w:rPr>
                <w:rFonts w:ascii="Times New Roman" w:cs="Times New Roman" w:eastAsia="Times New Roman" w:hAnsi="Times New Roman"/>
                <w:sz w:val="18"/>
                <w:szCs w:val="18"/>
                <w:color w:val="auto"/>
              </w:rPr>
              <w:t>33</w:t>
            </w:r>
          </w:p>
        </w:tc>
      </w:tr>
      <w:tr>
        <w:trPr>
          <w:trHeight w:val="763"/>
        </w:trPr>
        <w:tc>
          <w:tcPr>
            <w:tcW w:w="54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Certification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H. Jenkins, certify that:</w:t>
      </w:r>
    </w:p>
    <w:p>
      <w:pPr>
        <w:spacing w:after="0" w:line="225" w:lineRule="exact"/>
        <w:rPr>
          <w:sz w:val="20"/>
          <w:szCs w:val="20"/>
          <w:color w:val="auto"/>
        </w:rPr>
      </w:pPr>
    </w:p>
    <w:p>
      <w:pPr>
        <w:ind w:left="520" w:hanging="512"/>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Orion Energy Systems,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11, 2025</w:t>
      </w:r>
    </w:p>
    <w:p>
      <w:pPr>
        <w:spacing w:after="0" w:line="252"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color w:val="auto"/>
        </w:rPr>
        <w:t>/s/ Michael H. Jenkins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0">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7"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color w:val="auto"/>
        </w:rPr>
        <w:t>Michael H. Jenkins</w:t>
      </w:r>
    </w:p>
    <w:p>
      <w:pPr>
        <w:spacing w:after="0" w:line="23"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970280</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Certification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 Per Brodin, certify that:</w:t>
      </w:r>
    </w:p>
    <w:p>
      <w:pPr>
        <w:spacing w:after="0" w:line="225" w:lineRule="exact"/>
        <w:rPr>
          <w:sz w:val="20"/>
          <w:szCs w:val="20"/>
          <w:color w:val="auto"/>
        </w:rPr>
      </w:pPr>
    </w:p>
    <w:p>
      <w:pPr>
        <w:ind w:left="520" w:hanging="512"/>
        <w:spacing w:after="0"/>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Orion Energy Systems,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11, 2025</w:t>
      </w:r>
    </w:p>
    <w:p>
      <w:pPr>
        <w:spacing w:after="0" w:line="252"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color w:val="auto"/>
        </w:rPr>
        <w:t>/s/ J. Per Brodin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2">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7"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color w:val="auto"/>
        </w:rPr>
        <w:t>J. Per Brodin</w:t>
      </w:r>
    </w:p>
    <w:p>
      <w:pPr>
        <w:spacing w:after="0" w:line="23"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404495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35" w:name="page36"/>
    <w:bookmarkEnd w:id="35"/>
    <w:p>
      <w:pPr>
        <w:ind w:left="1032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CEO Pursuant To</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Orion Energy Systems, Inc., a Wisconsin corporation (the “Company”), on Form 10-Q for the period ended December 31, 2024, as filed with the Securities and Exchange Commission on the date hereof (the “Report”), I, Michael H. Jenkins, Chief Executive Officer of the Company, certify, pursuant to 18 U.S.C. 1350, as adopted pursuant to Section 906 of the Sarbanes-Oxley Act of 2002, that, based on my knowledge:</w:t>
      </w:r>
    </w:p>
    <w:p>
      <w:pPr>
        <w:spacing w:after="0" w:line="72" w:lineRule="exact"/>
        <w:rPr>
          <w:sz w:val="20"/>
          <w:szCs w:val="20"/>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Date: February 11, 2025</w:t>
      </w:r>
    </w:p>
    <w:p>
      <w:pPr>
        <w:spacing w:after="0" w:line="225"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/s/ Michael H. Jenkins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4">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Michael H. Jenkins</w:t>
      </w:r>
    </w:p>
    <w:p>
      <w:pPr>
        <w:spacing w:after="0" w:line="23"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375920</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CFO Pursuant To</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Orion Energy Systems, Inc., a Wisconsin corporation (the “Company”), on Form 10-Q for the period ended December 31, 2024, as filed with the Securities and Exchange Commission on the date hereof (the “Report”), I, J. Per Brodin, Chief Financial Officer of the Company, certify, pursuant to 18 U.S.C. 1350, as adopted pursuant to Section 906 of the Sarbanes-Oxley Act of 2002, that, based on my knowledge:</w:t>
      </w:r>
    </w:p>
    <w:p>
      <w:pPr>
        <w:spacing w:after="0" w:line="68" w:lineRule="exact"/>
        <w:rPr>
          <w:sz w:val="20"/>
          <w:szCs w:val="20"/>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Date: February 11, 2025</w:t>
      </w:r>
    </w:p>
    <w:p>
      <w:pPr>
        <w:spacing w:after="0" w:line="225"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/s/ J. Per Brodin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6">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J. Per Brodin</w:t>
      </w:r>
    </w:p>
    <w:p>
      <w:pPr>
        <w:spacing w:after="0" w:line="23"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375920</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37" w:name="page38"/>
    <w:bookmarkEnd w:id="3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
      <w:numFmt w:val="bullet"/>
      <w:start w:val="1"/>
    </w:lvl>
    <w:lvl w:ilvl="1">
      <w:lvlJc w:val="left"/>
      <w:lvlText w:val="%2"/>
      <w:numFmt w:val="decimal"/>
      <w:start w:val="104"/>
    </w:lvl>
  </w:abstractNum>
  <w:abstractNum w:abstractNumId="4">
    <w:nsid w:val="2EB141F2"/>
    <w:multiLevelType w:val="hybridMultilevel"/>
    <w:lvl w:ilvl="0">
      <w:lvlJc w:val="left"/>
      <w:lvlText w:val="%1."/>
      <w:numFmt w:val="decimal"/>
      <w:start w:val="1"/>
    </w:lvl>
    <w:lvl w:ilvl="1">
      <w:lvlJc w:val="left"/>
      <w:lvlText w:val="%2."/>
      <w:numFmt w:val="lowerLetter"/>
      <w:start w:val="1"/>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7" Type="http://schemas.openxmlformats.org/officeDocument/2006/relationships/image" Target="media/image279.png"/><Relationship Id="rId288" Type="http://schemas.openxmlformats.org/officeDocument/2006/relationships/image" Target="media/image280.png"/><Relationship Id="rId289" Type="http://schemas.openxmlformats.org/officeDocument/2006/relationships/image" Target="media/image281.png"/><Relationship Id="rId290" Type="http://schemas.openxmlformats.org/officeDocument/2006/relationships/image" Target="media/image282.png"/><Relationship Id="rId291" Type="http://schemas.openxmlformats.org/officeDocument/2006/relationships/image" Target="media/image283.png"/><Relationship Id="rId292" Type="http://schemas.openxmlformats.org/officeDocument/2006/relationships/image" Target="media/image284.png"/><Relationship Id="rId293" Type="http://schemas.openxmlformats.org/officeDocument/2006/relationships/image" Target="media/image285.png"/><Relationship Id="rId294" Type="http://schemas.openxmlformats.org/officeDocument/2006/relationships/image" Target="media/image286.png"/><Relationship Id="rId295" Type="http://schemas.openxmlformats.org/officeDocument/2006/relationships/image" Target="media/image287.png"/><Relationship Id="rId296" Type="http://schemas.openxmlformats.org/officeDocument/2006/relationships/image" Target="media/image288.png"/><Relationship Id="rId297" Type="http://schemas.openxmlformats.org/officeDocument/2006/relationships/image" Target="media/image289.png"/><Relationship Id="rId286" Type="http://schemas.openxmlformats.org/officeDocument/2006/relationships/hyperlink" Target="https://www.sec.gov/ix?doc=/Archives/edgar/data/0001409375/000095017024119241/oesx-2024103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2025-02-11T15:40:30Z</dcterms:created>
  <dcterms:modified xsi:type="dcterms:W3CDTF">2025-02-11T15:40:30Z</dcterms:modified>
</cp:coreProperties>
</file>