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90170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109855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7" w:lineRule="exact"/>
        <w:rPr>
          <w:sz w:val="24"/>
          <w:szCs w:val="24"/>
          <w:color w:val="auto"/>
        </w:rPr>
      </w:pPr>
    </w:p>
    <w:p>
      <w:pPr>
        <w:ind w:left="540" w:right="20" w:hanging="532"/>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40" w:hanging="532"/>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102870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99060</wp:posOffset>
            </wp:positionV>
            <wp:extent cx="157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800" w:type="dxa"/>
            <w:vAlign w:val="bottom"/>
            <w:gridSpan w:val="3"/>
          </w:tcPr>
          <w:p>
            <w:pPr>
              <w:jc w:val="center"/>
              <w:ind w:left="641"/>
              <w:spacing w:after="0"/>
              <w:rPr>
                <w:sz w:val="20"/>
                <w:szCs w:val="20"/>
                <w:color w:val="auto"/>
              </w:rPr>
            </w:pPr>
            <w:r>
              <w:rPr>
                <w:rFonts w:ascii="Arial" w:cs="Arial" w:eastAsia="Arial" w:hAnsi="Arial"/>
                <w:sz w:val="18"/>
                <w:szCs w:val="18"/>
                <w:b w:val="1"/>
                <w:bCs w:val="1"/>
                <w:color w:val="auto"/>
                <w:w w:val="88"/>
              </w:rPr>
              <w:t>Wisconsin</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right"/>
              <w:ind w:right="2244"/>
              <w:spacing w:after="0"/>
              <w:rPr>
                <w:sz w:val="20"/>
                <w:szCs w:val="20"/>
                <w:color w:val="auto"/>
              </w:rPr>
            </w:pPr>
            <w:r>
              <w:rPr>
                <w:rFonts w:ascii="Arial" w:cs="Arial" w:eastAsia="Arial" w:hAnsi="Arial"/>
                <w:sz w:val="18"/>
                <w:szCs w:val="18"/>
                <w:b w:val="1"/>
                <w:bCs w:val="1"/>
                <w:color w:val="auto"/>
              </w:rPr>
              <w:t>39-1847269</w:t>
            </w:r>
          </w:p>
        </w:tc>
        <w:tc>
          <w:tcPr>
            <w:tcW w:w="0" w:type="dxa"/>
            <w:vAlign w:val="bottom"/>
          </w:tcPr>
          <w:p>
            <w:pPr>
              <w:spacing w:after="0"/>
              <w:rPr>
                <w:sz w:val="1"/>
                <w:szCs w:val="1"/>
                <w:color w:val="auto"/>
              </w:rPr>
            </w:pPr>
          </w:p>
        </w:tc>
      </w:tr>
      <w:tr>
        <w:trPr>
          <w:trHeight w:val="148"/>
        </w:trPr>
        <w:tc>
          <w:tcPr>
            <w:tcW w:w="4800" w:type="dxa"/>
            <w:vAlign w:val="bottom"/>
            <w:gridSpan w:val="3"/>
          </w:tcPr>
          <w:p>
            <w:pPr>
              <w:jc w:val="center"/>
              <w:ind w:left="64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tcPr>
          <w:p>
            <w:pPr>
              <w:jc w:val="center"/>
              <w:ind w:right="180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800" w:type="dxa"/>
            <w:vAlign w:val="bottom"/>
            <w:gridSpan w:val="3"/>
          </w:tcPr>
          <w:p>
            <w:pPr>
              <w:jc w:val="center"/>
              <w:ind w:left="641"/>
              <w:spacing w:after="0"/>
              <w:rPr>
                <w:sz w:val="20"/>
                <w:szCs w:val="20"/>
                <w:color w:val="auto"/>
              </w:rPr>
            </w:pPr>
            <w:r>
              <w:rPr>
                <w:rFonts w:ascii="Arial" w:cs="Arial" w:eastAsia="Arial" w:hAnsi="Arial"/>
                <w:sz w:val="14"/>
                <w:szCs w:val="14"/>
                <w:b w:val="1"/>
                <w:bCs w:val="1"/>
                <w:color w:val="auto"/>
                <w:w w:val="94"/>
              </w:rPr>
              <w:t>incorporation or organization)</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ind w:right="1804"/>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323"/>
        </w:trPr>
        <w:tc>
          <w:tcPr>
            <w:tcW w:w="4800" w:type="dxa"/>
            <w:vAlign w:val="bottom"/>
            <w:gridSpan w:val="3"/>
          </w:tcPr>
          <w:p>
            <w:pPr>
              <w:jc w:val="center"/>
              <w:ind w:left="64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right"/>
              <w:ind w:right="2444"/>
              <w:spacing w:after="0"/>
              <w:rPr>
                <w:sz w:val="20"/>
                <w:szCs w:val="20"/>
                <w:color w:val="auto"/>
              </w:rPr>
            </w:pPr>
            <w:r>
              <w:rPr>
                <w:rFonts w:ascii="Arial" w:cs="Arial" w:eastAsia="Arial" w:hAnsi="Arial"/>
                <w:sz w:val="18"/>
                <w:szCs w:val="18"/>
                <w:b w:val="1"/>
                <w:bCs w:val="1"/>
                <w:color w:val="auto"/>
              </w:rPr>
              <w:t>54220</w:t>
            </w:r>
          </w:p>
        </w:tc>
        <w:tc>
          <w:tcPr>
            <w:tcW w:w="0" w:type="dxa"/>
            <w:vAlign w:val="bottom"/>
          </w:tcPr>
          <w:p>
            <w:pPr>
              <w:spacing w:after="0"/>
              <w:rPr>
                <w:sz w:val="1"/>
                <w:szCs w:val="1"/>
                <w:color w:val="auto"/>
              </w:rPr>
            </w:pPr>
          </w:p>
        </w:tc>
      </w:tr>
      <w:tr>
        <w:trPr>
          <w:trHeight w:val="190"/>
        </w:trPr>
        <w:tc>
          <w:tcPr>
            <w:tcW w:w="4800" w:type="dxa"/>
            <w:vAlign w:val="bottom"/>
            <w:gridSpan w:val="3"/>
          </w:tcPr>
          <w:p>
            <w:pPr>
              <w:jc w:val="center"/>
              <w:ind w:left="6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ind w:right="1824"/>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350"/>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(920) 892-9340</w:t>
            </w:r>
          </w:p>
        </w:tc>
        <w:tc>
          <w:tcPr>
            <w:tcW w:w="0" w:type="dxa"/>
            <w:vAlign w:val="bottom"/>
          </w:tcPr>
          <w:p>
            <w:pPr>
              <w:spacing w:after="0"/>
              <w:rPr>
                <w:sz w:val="1"/>
                <w:szCs w:val="1"/>
                <w:color w:val="auto"/>
              </w:rPr>
            </w:pPr>
          </w:p>
        </w:tc>
      </w:tr>
      <w:tr>
        <w:trPr>
          <w:trHeight w:val="500"/>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center"/>
              <w:ind w:right="928"/>
              <w:spacing w:after="0"/>
              <w:rPr>
                <w:sz w:val="20"/>
                <w:szCs w:val="20"/>
                <w:color w:val="auto"/>
              </w:rPr>
            </w:pPr>
            <w:r>
              <w:rPr>
                <w:rFonts w:ascii="Arial" w:cs="Arial" w:eastAsia="Arial" w:hAnsi="Arial"/>
                <w:sz w:val="14"/>
                <w:szCs w:val="14"/>
                <w:b w:val="1"/>
                <w:bCs w:val="1"/>
                <w:color w:val="auto"/>
                <w:w w:val="93"/>
              </w:rPr>
              <w:t>Trading Symbol (s)</w:t>
            </w:r>
          </w:p>
        </w:tc>
        <w:tc>
          <w:tcPr>
            <w:tcW w:w="10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40" w:type="dxa"/>
            <w:vAlign w:val="bottom"/>
            <w:gridSpan w:val="2"/>
            <w:vMerge w:val="restart"/>
          </w:tcPr>
          <w:p>
            <w:pPr>
              <w:jc w:val="center"/>
              <w:ind w:right="1120"/>
              <w:spacing w:after="0"/>
              <w:rPr>
                <w:sz w:val="20"/>
                <w:szCs w:val="20"/>
                <w:color w:val="auto"/>
              </w:rPr>
            </w:pPr>
            <w:r>
              <w:rPr>
                <w:rFonts w:ascii="Arial" w:cs="Arial" w:eastAsia="Arial" w:hAnsi="Arial"/>
                <w:sz w:val="14"/>
                <w:szCs w:val="14"/>
                <w:b w:val="1"/>
                <w:bCs w:val="1"/>
                <w:color w:val="auto"/>
              </w:rPr>
              <w:t>OESX</w:t>
            </w:r>
          </w:p>
        </w:tc>
        <w:tc>
          <w:tcPr>
            <w:tcW w:w="3600" w:type="dxa"/>
            <w:vAlign w:val="bottom"/>
          </w:tcPr>
          <w:p>
            <w:pPr>
              <w:jc w:val="center"/>
              <w:spacing w:after="0" w:line="123"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4800" w:type="dxa"/>
            <w:vAlign w:val="bottom"/>
            <w:gridSpan w:val="3"/>
          </w:tcPr>
          <w:p>
            <w:pPr>
              <w:jc w:val="center"/>
              <w:ind w:right="1180"/>
              <w:spacing w:after="0"/>
              <w:rPr>
                <w:sz w:val="20"/>
                <w:szCs w:val="20"/>
                <w:color w:val="auto"/>
              </w:rPr>
            </w:pPr>
            <w:r>
              <w:rPr>
                <w:rFonts w:ascii="Arial" w:cs="Arial" w:eastAsia="Arial" w:hAnsi="Arial"/>
                <w:sz w:val="14"/>
                <w:szCs w:val="14"/>
                <w:color w:val="auto"/>
                <w:w w:val="93"/>
              </w:rPr>
              <w:t>Common stock, no par value</w:t>
            </w:r>
          </w:p>
        </w:tc>
        <w:tc>
          <w:tcPr>
            <w:tcW w:w="2840" w:type="dxa"/>
            <w:vAlign w:val="bottom"/>
            <w:gridSpan w:val="2"/>
            <w:vMerge w:val="continue"/>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0" w:type="dxa"/>
            <w:vAlign w:val="bottom"/>
          </w:tcPr>
          <w:p>
            <w:pPr>
              <w:jc w:val="center"/>
              <w:spacing w:after="0" w:line="155"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4800" w:type="dxa"/>
            <w:vAlign w:val="bottom"/>
            <w:gridSpan w:val="3"/>
          </w:tcPr>
          <w:p>
            <w:pPr>
              <w:jc w:val="center"/>
              <w:ind w:right="1180"/>
              <w:spacing w:after="0"/>
              <w:rPr>
                <w:sz w:val="20"/>
                <w:szCs w:val="20"/>
                <w:color w:val="auto"/>
              </w:rPr>
            </w:pPr>
            <w:r>
              <w:rPr>
                <w:rFonts w:ascii="Arial" w:cs="Arial" w:eastAsia="Arial" w:hAnsi="Arial"/>
                <w:sz w:val="14"/>
                <w:szCs w:val="14"/>
                <w:color w:val="auto"/>
                <w:w w:val="92"/>
              </w:rPr>
              <w:t>Common stock purchase rights</w:t>
            </w: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bl>
    <w:p>
      <w:pPr>
        <w:spacing w:after="0" w:line="290"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2320"/>
              <w:spacing w:after="0"/>
              <w:rPr>
                <w:sz w:val="20"/>
                <w:szCs w:val="20"/>
                <w:color w:val="auto"/>
              </w:rPr>
            </w:pPr>
            <w:r>
              <w:rPr>
                <w:rFonts w:ascii="Arial" w:cs="Arial" w:eastAsia="Arial" w:hAnsi="Arial"/>
                <w:sz w:val="14"/>
                <w:szCs w:val="14"/>
                <w:color w:val="auto"/>
              </w:rPr>
              <w:t>Accelerated filer</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2320"/>
              <w:spacing w:after="0"/>
              <w:rPr>
                <w:sz w:val="20"/>
                <w:szCs w:val="20"/>
                <w:color w:val="auto"/>
              </w:rPr>
            </w:pPr>
            <w:r>
              <w:rPr>
                <w:rFonts w:ascii="Arial" w:cs="Arial" w:eastAsia="Arial" w:hAnsi="Arial"/>
                <w:sz w:val="14"/>
                <w:szCs w:val="14"/>
                <w:color w:val="auto"/>
              </w:rPr>
              <w:t>Smaller reporting company</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120" w:type="dxa"/>
            <w:vAlign w:val="bottom"/>
          </w:tcPr>
          <w:p>
            <w:pPr>
              <w:ind w:left="2320"/>
              <w:spacing w:after="0"/>
              <w:rPr>
                <w:sz w:val="20"/>
                <w:szCs w:val="20"/>
                <w:color w:val="auto"/>
              </w:rPr>
            </w:pPr>
            <w:r>
              <w:rPr>
                <w:rFonts w:ascii="Arial" w:cs="Arial" w:eastAsia="Arial" w:hAnsi="Arial"/>
                <w:sz w:val="14"/>
                <w:szCs w:val="14"/>
                <w:color w:val="auto"/>
              </w:rPr>
              <w:t>Emerging growth company</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right="3580"/>
        <w:spacing w:after="0" w:line="24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There were 30,715,810 shares of the Registrant’s common stock outstanding on October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 w:name="page2"/>
    <w:bookmarkEnd w:id="1"/>
    <w:p>
      <w:pPr>
        <w:jc w:val="center"/>
        <w:ind w:left="940"/>
        <w:spacing w:after="0"/>
        <w:rPr>
          <w:sz w:val="20"/>
          <w:szCs w:val="20"/>
          <w:color w:val="auto"/>
        </w:rPr>
      </w:pPr>
      <w:r>
        <w:rPr>
          <w:rFonts w:ascii="Arial" w:cs="Arial" w:eastAsia="Arial" w:hAnsi="Arial"/>
          <w:sz w:val="18"/>
          <w:szCs w:val="18"/>
          <w:b w:val="1"/>
          <w:bCs w:val="1"/>
          <w:color w:val="auto"/>
        </w:rPr>
        <w:t>ORION ENERGY SYSTEMS, INC.</w:t>
      </w:r>
    </w:p>
    <w:p>
      <w:pPr>
        <w:spacing w:after="0" w:line="104"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FOR THE QUARTER ENDED SEPTEMBER 30, 2020</w:t>
      </w:r>
    </w:p>
    <w:p>
      <w:pPr>
        <w:spacing w:after="0" w:line="104"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r>
      <w:tr>
        <w:trPr>
          <w:trHeight w:val="283"/>
        </w:trPr>
        <w:tc>
          <w:tcPr>
            <w:tcW w:w="1080" w:type="dxa"/>
            <w:vAlign w:val="bottom"/>
          </w:tcPr>
          <w:p>
            <w:pPr>
              <w:spacing w:after="0"/>
              <w:rPr>
                <w:sz w:val="24"/>
                <w:szCs w:val="24"/>
                <w:color w:val="auto"/>
              </w:rPr>
            </w:pPr>
          </w:p>
        </w:tc>
        <w:tc>
          <w:tcPr>
            <w:tcW w:w="922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September 30, 2020 and March 31, 2020</w:t>
              </w:r>
            </w:hyperlink>
          </w:p>
        </w:tc>
      </w:tr>
      <w:tr>
        <w:trPr>
          <w:trHeight w:val="243"/>
        </w:trPr>
        <w:tc>
          <w:tcPr>
            <w:tcW w:w="1080" w:type="dxa"/>
            <w:vAlign w:val="bottom"/>
          </w:tcPr>
          <w:p>
            <w:pPr>
              <w:spacing w:after="0"/>
              <w:rPr>
                <w:sz w:val="21"/>
                <w:szCs w:val="21"/>
                <w:color w:val="auto"/>
              </w:rPr>
            </w:pPr>
          </w:p>
        </w:tc>
        <w:tc>
          <w:tcPr>
            <w:tcW w:w="92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September 30, 2020 and September 30,</w:t>
              </w:r>
            </w:hyperlink>
          </w:p>
        </w:tc>
      </w:tr>
      <w:tr>
        <w:trPr>
          <w:trHeight w:val="196"/>
        </w:trPr>
        <w:tc>
          <w:tcPr>
            <w:tcW w:w="10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2019</w:t>
              </w:r>
            </w:hyperlink>
          </w:p>
        </w:tc>
        <w:tc>
          <w:tcPr>
            <w:tcW w:w="110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63"/>
        </w:trPr>
        <w:tc>
          <w:tcPr>
            <w:tcW w:w="1080" w:type="dxa"/>
            <w:vAlign w:val="bottom"/>
          </w:tcPr>
          <w:p>
            <w:pPr>
              <w:spacing w:after="0"/>
              <w:rPr>
                <w:sz w:val="22"/>
                <w:szCs w:val="22"/>
                <w:color w:val="auto"/>
              </w:rPr>
            </w:pPr>
          </w:p>
        </w:tc>
        <w:tc>
          <w:tcPr>
            <w:tcW w:w="9220" w:type="dxa"/>
            <w:vAlign w:val="bottom"/>
            <w:gridSpan w:val="4"/>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Shareholders’ Equity for the Three and Six Months Ended September 30, 2020 and</w:t>
              </w:r>
            </w:hyperlink>
          </w:p>
        </w:tc>
      </w:tr>
      <w:tr>
        <w:trPr>
          <w:trHeight w:val="196"/>
        </w:trPr>
        <w:tc>
          <w:tcPr>
            <w:tcW w:w="108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September 30, 2019</w:t>
              </w:r>
            </w:hyperlink>
          </w:p>
        </w:tc>
        <w:tc>
          <w:tcPr>
            <w:tcW w:w="74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r>
      <w:tr>
        <w:trPr>
          <w:trHeight w:val="304"/>
        </w:trPr>
        <w:tc>
          <w:tcPr>
            <w:tcW w:w="1080" w:type="dxa"/>
            <w:vAlign w:val="bottom"/>
          </w:tcPr>
          <w:p>
            <w:pPr>
              <w:spacing w:after="0"/>
              <w:rPr>
                <w:sz w:val="24"/>
                <w:szCs w:val="24"/>
                <w:color w:val="auto"/>
              </w:rPr>
            </w:pPr>
          </w:p>
        </w:tc>
        <w:tc>
          <w:tcPr>
            <w:tcW w:w="9220" w:type="dxa"/>
            <w:vAlign w:val="bottom"/>
            <w:gridSpan w:val="4"/>
          </w:tcPr>
          <w:p>
            <w:pPr>
              <w:spacing w:after="0"/>
              <w:rPr>
                <w:rFonts w:ascii="Arial" w:cs="Arial" w:eastAsia="Arial" w:hAnsi="Arial"/>
                <w:sz w:val="18"/>
                <w:szCs w:val="18"/>
                <w:u w:val="single" w:color="auto"/>
                <w:color w:val="0000EE"/>
                <w:w w:val="92"/>
              </w:rPr>
            </w:pPr>
            <w:hyperlink w:anchor="page6">
              <w:r>
                <w:rPr>
                  <w:rFonts w:ascii="Arial" w:cs="Arial" w:eastAsia="Arial" w:hAnsi="Arial"/>
                  <w:sz w:val="18"/>
                  <w:szCs w:val="18"/>
                  <w:u w:val="single" w:color="auto"/>
                  <w:color w:val="0000EE"/>
                  <w:w w:val="92"/>
                </w:rPr>
                <w:t>Condensed Consolidated Statements of Cash Flows for the six months ended September 30, 2020 and September 30, 2019</w:t>
              </w:r>
            </w:hyperlink>
          </w:p>
        </w:tc>
      </w:tr>
      <w:tr>
        <w:trPr>
          <w:trHeight w:val="283"/>
        </w:trPr>
        <w:tc>
          <w:tcPr>
            <w:tcW w:w="1080" w:type="dxa"/>
            <w:vAlign w:val="bottom"/>
          </w:tcPr>
          <w:p>
            <w:pPr>
              <w:spacing w:after="0"/>
              <w:rPr>
                <w:sz w:val="24"/>
                <w:szCs w:val="24"/>
                <w:color w:val="auto"/>
              </w:rPr>
            </w:pPr>
          </w:p>
        </w:tc>
        <w:tc>
          <w:tcPr>
            <w:tcW w:w="922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the Condensed Consolidated Financial Statements</w:t>
              </w:r>
            </w:hyperlink>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4"/>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9220" w:type="dxa"/>
            <w:vAlign w:val="bottom"/>
            <w:gridSpan w:val="4"/>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Quantitative and Qualitative Disclosures about Market Risk</w:t>
              </w:r>
            </w:hyperlink>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9220" w:type="dxa"/>
            <w:vAlign w:val="bottom"/>
            <w:gridSpan w:val="4"/>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Controls and Procedures</w:t>
              </w:r>
            </w:hyperlink>
          </w:p>
        </w:tc>
      </w:tr>
      <w:tr>
        <w:trPr>
          <w:trHeight w:val="284"/>
        </w:trPr>
        <w:tc>
          <w:tcPr>
            <w:tcW w:w="10300" w:type="dxa"/>
            <w:vAlign w:val="bottom"/>
            <w:gridSpan w:val="5"/>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PART II OTHER INFORMATION</w:t>
              </w:r>
            </w:hyperlink>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Legal Proceedings</w:t>
              </w:r>
            </w:hyperlink>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922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Risk Factors</w:t>
              </w:r>
            </w:hyperlink>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Unregistered Sale of Equity Securities and Use of Proceeds</w:t>
              </w:r>
            </w:hyperlink>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ITEM 5.</w:t>
            </w:r>
          </w:p>
        </w:tc>
        <w:tc>
          <w:tcPr>
            <w:tcW w:w="922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Other Information</w:t>
              </w:r>
            </w:hyperlink>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922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Exhibits</w:t>
              </w:r>
            </w:hyperlink>
          </w:p>
        </w:tc>
      </w:tr>
      <w:tr>
        <w:trPr>
          <w:trHeight w:val="284"/>
        </w:trPr>
        <w:tc>
          <w:tcPr>
            <w:tcW w:w="108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SIGNATURE</w:t>
              </w:r>
            </w:hyperlink>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23495</wp:posOffset>
            </wp:positionV>
            <wp:extent cx="4629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ectPr>
          <w:pgSz w:w="11900" w:h="16838" w:orient="portrait"/>
          <w:cols w:equalWidth="0" w:num="2">
            <w:col w:w="10300" w:space="360"/>
            <w:col w:w="58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September 30, 2020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2020</w:t>
            </w:r>
          </w:p>
        </w:tc>
      </w:tr>
      <w:tr>
        <w:trPr>
          <w:trHeight w:val="223"/>
        </w:trPr>
        <w:tc>
          <w:tcPr>
            <w:tcW w:w="6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12,124</w:t>
            </w:r>
          </w:p>
        </w:tc>
        <w:tc>
          <w:tcPr>
            <w:tcW w:w="300" w:type="dxa"/>
            <w:vAlign w:val="bottom"/>
          </w:tcPr>
          <w:p>
            <w:pPr>
              <w:spacing w:after="0"/>
              <w:rPr>
                <w:sz w:val="19"/>
                <w:szCs w:val="19"/>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28,751</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10,427</w:t>
            </w:r>
          </w:p>
        </w:tc>
        <w:tc>
          <w:tcPr>
            <w:tcW w:w="120" w:type="dxa"/>
            <w:vAlign w:val="bottom"/>
            <w:shd w:val="clear" w:color="auto" w:fill="CFF0FC"/>
          </w:tcPr>
          <w:p>
            <w:pPr>
              <w:spacing w:after="0"/>
              <w:rPr>
                <w:sz w:val="19"/>
                <w:szCs w:val="19"/>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Revenue earned but not billed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3,234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Inventories, net</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14,507</w:t>
            </w:r>
          </w:p>
        </w:tc>
        <w:tc>
          <w:tcPr>
            <w:tcW w:w="120" w:type="dxa"/>
            <w:vAlign w:val="bottom"/>
            <w:shd w:val="clear" w:color="auto" w:fill="CFF0FC"/>
          </w:tcPr>
          <w:p>
            <w:pPr>
              <w:spacing w:after="0"/>
              <w:rPr>
                <w:sz w:val="19"/>
                <w:szCs w:val="19"/>
                <w:color w:val="auto"/>
              </w:rPr>
            </w:pPr>
          </w:p>
        </w:tc>
      </w:tr>
      <w:tr>
        <w:trPr>
          <w:trHeight w:val="229"/>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current assets</w:t>
            </w:r>
          </w:p>
        </w:tc>
        <w:tc>
          <w:tcPr>
            <w:tcW w:w="8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54,968</w:t>
            </w:r>
          </w:p>
        </w:tc>
        <w:tc>
          <w:tcPr>
            <w:tcW w:w="120" w:type="dxa"/>
            <w:vAlign w:val="bottom"/>
            <w:shd w:val="clear" w:color="auto" w:fill="CFF0FC"/>
          </w:tcPr>
          <w:p>
            <w:pPr>
              <w:spacing w:after="0"/>
              <w:rPr>
                <w:sz w:val="19"/>
                <w:szCs w:val="19"/>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11,472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11,817</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 net</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Long-term accounts receivable</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8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2,802</w:t>
            </w:r>
          </w:p>
        </w:tc>
        <w:tc>
          <w:tcPr>
            <w:tcW w:w="120" w:type="dxa"/>
            <w:vAlign w:val="bottom"/>
            <w:shd w:val="clear" w:color="auto" w:fill="CFF0FC"/>
          </w:tcPr>
          <w:p>
            <w:pPr>
              <w:spacing w:after="0"/>
              <w:rPr>
                <w:sz w:val="19"/>
                <w:szCs w:val="19"/>
                <w:color w:val="auto"/>
              </w:rPr>
            </w:pPr>
          </w:p>
        </w:tc>
      </w:tr>
      <w:tr>
        <w:trPr>
          <w:trHeight w:val="263"/>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8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67,684</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72,563</w:t>
            </w:r>
          </w:p>
        </w:tc>
        <w:tc>
          <w:tcPr>
            <w:tcW w:w="120" w:type="dxa"/>
            <w:vAlign w:val="bottom"/>
            <w:tcBorders>
              <w:bottom w:val="single" w:sz="8" w:color="CFF0FC"/>
            </w:tcBorders>
          </w:tcPr>
          <w:p>
            <w:pPr>
              <w:spacing w:after="0"/>
              <w:rPr>
                <w:sz w:val="22"/>
                <w:szCs w:val="22"/>
                <w:color w:val="auto"/>
              </w:rPr>
            </w:pPr>
          </w:p>
        </w:tc>
      </w:tr>
      <w:tr>
        <w:trPr>
          <w:trHeight w:val="210"/>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Accounts payable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13,379</w:t>
            </w:r>
          </w:p>
        </w:tc>
        <w:tc>
          <w:tcPr>
            <w:tcW w:w="300" w:type="dxa"/>
            <w:vAlign w:val="bottom"/>
          </w:tcPr>
          <w:p>
            <w:pPr>
              <w:spacing w:after="0"/>
              <w:rPr>
                <w:sz w:val="19"/>
                <w:szCs w:val="19"/>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19,834</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7,228</w:t>
            </w:r>
          </w:p>
        </w:tc>
        <w:tc>
          <w:tcPr>
            <w:tcW w:w="120" w:type="dxa"/>
            <w:vAlign w:val="bottom"/>
            <w:shd w:val="clear" w:color="auto" w:fill="CFF0FC"/>
          </w:tcPr>
          <w:p>
            <w:pPr>
              <w:spacing w:after="0"/>
              <w:rPr>
                <w:sz w:val="19"/>
                <w:szCs w:val="19"/>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Deferred revenue, current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Current maturities of long-term debt</w:t>
            </w:r>
          </w:p>
        </w:tc>
        <w:tc>
          <w:tcPr>
            <w:tcW w:w="8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23,803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27,204</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10,013</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long-term</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8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8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36,444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41,528</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920" w:type="dxa"/>
            <w:vAlign w:val="bottom"/>
          </w:tcPr>
          <w:p>
            <w:pPr>
              <w:spacing w:after="0"/>
              <w:rPr>
                <w:sz w:val="20"/>
                <w:szCs w:val="20"/>
                <w:color w:val="auto"/>
              </w:rPr>
            </w:pPr>
            <w:r>
              <w:rPr>
                <w:rFonts w:ascii="Arial" w:cs="Arial" w:eastAsia="Arial" w:hAnsi="Arial"/>
                <w:sz w:val="18"/>
                <w:szCs w:val="18"/>
                <w:color w:val="auto"/>
              </w:rPr>
              <w:t>Preferred stock, $0.01 par value: Shares authorized: 30,000,000 at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Arial" w:cs="Arial" w:eastAsia="Arial" w:hAnsi="Arial"/>
                <w:sz w:val="18"/>
                <w:szCs w:val="18"/>
                <w:color w:val="auto"/>
              </w:rPr>
              <w:t>September 30, 2020 and March 31, 2020; no shares issued and outstanding at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September 30, 2020 and March 31, 2020</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Common stock, no par value: Shares authorized: 200,000,000 at September 30, 2020</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March 31, 2020; shares issued: 40,177,700 at September 30, 2020 and</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39,729,569 at March 31, 2020; shares outstanding: 30,709,810 at</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September 30, 2020 and 30,265,997 at March 31, 2020</w:t>
            </w: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157,031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156,503</w:t>
            </w:r>
          </w:p>
        </w:tc>
        <w:tc>
          <w:tcPr>
            <w:tcW w:w="120" w:type="dxa"/>
            <w:vAlign w:val="bottom"/>
          </w:tcPr>
          <w:p>
            <w:pPr>
              <w:spacing w:after="0"/>
              <w:rPr>
                <w:sz w:val="19"/>
                <w:szCs w:val="19"/>
                <w:color w:val="auto"/>
              </w:rPr>
            </w:pPr>
          </w:p>
        </w:tc>
      </w:tr>
      <w:tr>
        <w:trPr>
          <w:trHeight w:val="215"/>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common shares: 9,467,890 at September 30, 2020 and 9,463,572 at</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March 31, 2020</w:t>
            </w: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(36,181)</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(36,163)</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Retained deficit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(89,610)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(89,305)</w:t>
            </w:r>
          </w:p>
        </w:tc>
      </w:tr>
      <w:tr>
        <w:trPr>
          <w:trHeight w:val="223"/>
        </w:trPr>
        <w:tc>
          <w:tcPr>
            <w:tcW w:w="69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shareholders’ equity</w:t>
            </w:r>
          </w:p>
        </w:tc>
        <w:tc>
          <w:tcPr>
            <w:tcW w:w="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31,240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20" w:type="dxa"/>
            <w:vAlign w:val="bottom"/>
          </w:tcPr>
          <w:p>
            <w:pPr>
              <w:ind w:left="260"/>
              <w:spacing w:after="0"/>
              <w:rPr>
                <w:sz w:val="20"/>
                <w:szCs w:val="20"/>
                <w:color w:val="auto"/>
              </w:rPr>
            </w:pPr>
            <w:r>
              <w:rPr>
                <w:rFonts w:ascii="Arial" w:cs="Arial" w:eastAsia="Arial" w:hAnsi="Arial"/>
                <w:sz w:val="18"/>
                <w:szCs w:val="18"/>
                <w:color w:val="auto"/>
              </w:rPr>
              <w:t>Total liabilities and shareholders’ equity</w:t>
            </w:r>
          </w:p>
        </w:tc>
        <w:tc>
          <w:tcPr>
            <w:tcW w:w="8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67,684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72,563</w:t>
            </w:r>
          </w:p>
        </w:tc>
        <w:tc>
          <w:tcPr>
            <w:tcW w:w="12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7"/>
              </w:rPr>
              <w:t>Three Months Ended September 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9"/>
              </w:rPr>
              <w:t>Six Months Ended September 30,</w:t>
            </w:r>
          </w:p>
        </w:tc>
      </w:tr>
      <w:tr>
        <w:trPr>
          <w:trHeight w:val="155"/>
        </w:trPr>
        <w:tc>
          <w:tcPr>
            <w:tcW w:w="426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29,961</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67,911</w:t>
            </w:r>
          </w:p>
        </w:tc>
        <w:tc>
          <w:tcPr>
            <w:tcW w:w="120" w:type="dxa"/>
            <w:vAlign w:val="bottom"/>
            <w:shd w:val="clear" w:color="auto" w:fill="CFF0FC"/>
          </w:tcPr>
          <w:p>
            <w:pPr>
              <w:spacing w:after="0"/>
              <w:rPr>
                <w:sz w:val="19"/>
                <w:szCs w:val="19"/>
                <w:color w:val="auto"/>
              </w:rPr>
            </w:pPr>
          </w:p>
        </w:tc>
      </w:tr>
      <w:tr>
        <w:trPr>
          <w:trHeight w:val="229"/>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w:t>
            </w: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22,789</w:t>
            </w:r>
          </w:p>
        </w:tc>
        <w:tc>
          <w:tcPr>
            <w:tcW w:w="120" w:type="dxa"/>
            <w:vAlign w:val="bottom"/>
            <w:tcBorders>
              <w:bottom w:val="single" w:sz="8" w:color="CFF0FC"/>
            </w:tcBorders>
          </w:tcPr>
          <w:p>
            <w:pPr>
              <w:spacing w:after="0"/>
              <w:rPr>
                <w:sz w:val="19"/>
                <w:szCs w:val="19"/>
                <w:color w:val="auto"/>
              </w:rPr>
            </w:pPr>
          </w:p>
        </w:tc>
      </w:tr>
      <w:tr>
        <w:trPr>
          <w:trHeight w:val="223"/>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90,700</w:t>
            </w:r>
          </w:p>
        </w:tc>
        <w:tc>
          <w:tcPr>
            <w:tcW w:w="120" w:type="dxa"/>
            <w:vAlign w:val="bottom"/>
            <w:shd w:val="clear" w:color="auto" w:fill="CFF0FC"/>
          </w:tcPr>
          <w:p>
            <w:pPr>
              <w:spacing w:after="0"/>
              <w:rPr>
                <w:sz w:val="19"/>
                <w:szCs w:val="19"/>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49,703</w:t>
            </w:r>
          </w:p>
        </w:tc>
        <w:tc>
          <w:tcPr>
            <w:tcW w:w="12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17,923</w:t>
            </w:r>
          </w:p>
        </w:tc>
        <w:tc>
          <w:tcPr>
            <w:tcW w:w="120" w:type="dxa"/>
            <w:vAlign w:val="bottom"/>
            <w:shd w:val="clear" w:color="auto" w:fill="CFF0FC"/>
          </w:tcPr>
          <w:p>
            <w:pPr>
              <w:spacing w:after="0"/>
              <w:rPr>
                <w:sz w:val="19"/>
                <w:szCs w:val="19"/>
                <w:color w:val="auto"/>
              </w:rPr>
            </w:pPr>
          </w:p>
        </w:tc>
      </w:tr>
      <w:tr>
        <w:trPr>
          <w:trHeight w:val="223"/>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 of revenue</w:t>
            </w: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27,194</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67,626</w:t>
            </w:r>
          </w:p>
        </w:tc>
        <w:tc>
          <w:tcPr>
            <w:tcW w:w="120" w:type="dxa"/>
            <w:vAlign w:val="bottom"/>
            <w:tcBorders>
              <w:bottom w:val="single" w:sz="8" w:color="CFF0FC"/>
            </w:tcBorders>
          </w:tcPr>
          <w:p>
            <w:pPr>
              <w:spacing w:after="0"/>
              <w:rPr>
                <w:sz w:val="19"/>
                <w:szCs w:val="19"/>
                <w:color w:val="auto"/>
              </w:rPr>
            </w:pPr>
          </w:p>
        </w:tc>
      </w:tr>
      <w:tr>
        <w:trPr>
          <w:trHeight w:val="223"/>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23,074</w:t>
            </w:r>
          </w:p>
        </w:tc>
        <w:tc>
          <w:tcPr>
            <w:tcW w:w="120" w:type="dxa"/>
            <w:vAlign w:val="bottom"/>
            <w:shd w:val="clear" w:color="auto" w:fill="CFF0FC"/>
          </w:tcPr>
          <w:p>
            <w:pPr>
              <w:spacing w:after="0"/>
              <w:rPr>
                <w:sz w:val="19"/>
                <w:szCs w:val="19"/>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5,612</w:t>
            </w:r>
          </w:p>
        </w:tc>
        <w:tc>
          <w:tcPr>
            <w:tcW w:w="12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5,624</w:t>
            </w:r>
          </w:p>
        </w:tc>
        <w:tc>
          <w:tcPr>
            <w:tcW w:w="120" w:type="dxa"/>
            <w:vAlign w:val="bottom"/>
          </w:tcPr>
          <w:p>
            <w:pPr>
              <w:spacing w:after="0"/>
              <w:rPr>
                <w:sz w:val="19"/>
                <w:szCs w:val="19"/>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FF0FC"/>
          </w:tcPr>
          <w:p>
            <w:pPr>
              <w:spacing w:after="0"/>
              <w:rPr>
                <w:sz w:val="19"/>
                <w:szCs w:val="19"/>
                <w:color w:val="auto"/>
              </w:rPr>
            </w:pPr>
          </w:p>
        </w:tc>
      </w:tr>
      <w:tr>
        <w:trPr>
          <w:trHeight w:val="223"/>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10,074</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12,037</w:t>
            </w:r>
          </w:p>
        </w:tc>
        <w:tc>
          <w:tcPr>
            <w:tcW w:w="120" w:type="dxa"/>
            <w:vAlign w:val="bottom"/>
            <w:tcBorders>
              <w:bottom w:val="single" w:sz="8" w:color="CFF0FC"/>
            </w:tcBorders>
          </w:tcPr>
          <w:p>
            <w:pPr>
              <w:spacing w:after="0"/>
              <w:rPr>
                <w:sz w:val="19"/>
                <w:szCs w:val="19"/>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11,037</w:t>
            </w:r>
          </w:p>
        </w:tc>
        <w:tc>
          <w:tcPr>
            <w:tcW w:w="12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issue costs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(121)</w:t>
            </w: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3"/>
        </w:trPr>
        <w:tc>
          <w:tcPr>
            <w:tcW w:w="42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expense</w:t>
            </w:r>
          </w:p>
        </w:tc>
        <w:tc>
          <w:tcPr>
            <w:tcW w:w="8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10,716</w:t>
            </w:r>
          </w:p>
        </w:tc>
        <w:tc>
          <w:tcPr>
            <w:tcW w:w="12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r>
      <w:tr>
        <w:trPr>
          <w:trHeight w:val="263"/>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 (loss)</w:t>
            </w:r>
          </w:p>
        </w:tc>
        <w:tc>
          <w:tcPr>
            <w:tcW w:w="8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10,689</w:t>
            </w:r>
          </w:p>
        </w:tc>
        <w:tc>
          <w:tcPr>
            <w:tcW w:w="120" w:type="dxa"/>
            <w:vAlign w:val="bottom"/>
            <w:tcBorders>
              <w:bottom w:val="single" w:sz="8" w:color="CFF0FC"/>
            </w:tcBorders>
          </w:tcPr>
          <w:p>
            <w:pPr>
              <w:spacing w:after="0"/>
              <w:rPr>
                <w:sz w:val="22"/>
                <w:szCs w:val="22"/>
                <w:color w:val="auto"/>
              </w:rPr>
            </w:pPr>
          </w:p>
        </w:tc>
      </w:tr>
      <w:tr>
        <w:trPr>
          <w:trHeight w:val="196"/>
        </w:trPr>
        <w:tc>
          <w:tcPr>
            <w:tcW w:w="42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Basic net income (loss) per share attributable to</w:t>
            </w: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0"/>
        </w:trPr>
        <w:tc>
          <w:tcPr>
            <w:tcW w:w="4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10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(0.01)</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FF0FC"/>
          </w:tcPr>
          <w:p>
            <w:pPr>
              <w:spacing w:after="0"/>
              <w:rPr>
                <w:sz w:val="20"/>
                <w:szCs w:val="20"/>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30,669,272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30,189,067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30,511,611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29,957,541</w:t>
            </w:r>
          </w:p>
        </w:tc>
        <w:tc>
          <w:tcPr>
            <w:tcW w:w="12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10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(0.01)</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FF0FC"/>
          </w:tcPr>
          <w:p>
            <w:pPr>
              <w:spacing w:after="0"/>
              <w:rPr>
                <w:sz w:val="19"/>
                <w:szCs w:val="19"/>
                <w:color w:val="auto"/>
              </w:rPr>
            </w:pPr>
          </w:p>
        </w:tc>
      </w:tr>
      <w:tr>
        <w:trPr>
          <w:trHeight w:val="215"/>
        </w:trPr>
        <w:tc>
          <w:tcPr>
            <w:tcW w:w="4260" w:type="dxa"/>
            <w:vAlign w:val="bottom"/>
          </w:tcPr>
          <w:p>
            <w:pPr>
              <w:spacing w:after="0"/>
              <w:rPr>
                <w:sz w:val="20"/>
                <w:szCs w:val="20"/>
                <w:color w:val="auto"/>
              </w:rPr>
            </w:pPr>
            <w:r>
              <w:rPr>
                <w:rFonts w:ascii="Arial" w:cs="Arial" w:eastAsia="Arial" w:hAnsi="Arial"/>
                <w:sz w:val="18"/>
                <w:szCs w:val="18"/>
                <w:color w:val="auto"/>
              </w:rPr>
              <w:t>Weighted-average common shares and share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equivalents outstanding</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31,170,139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30,830,381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30,511,611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30,757,863</w:t>
            </w:r>
          </w:p>
        </w:tc>
        <w:tc>
          <w:tcPr>
            <w:tcW w:w="12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left="340" w:right="178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SHAREHOLDERS’ EQUITY (in thousands,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Shareholders’ Equity</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634"/>
              <w:spacing w:after="0" w:line="155" w:lineRule="exact"/>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1"/>
                <w:szCs w:val="11"/>
                <w:color w:val="auto"/>
              </w:rPr>
            </w:pPr>
          </w:p>
        </w:tc>
        <w:tc>
          <w:tcPr>
            <w:tcW w:w="114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2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4"/>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14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2020</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30,265,997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156,503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(36,163)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(89,305)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Exercise of stock options for cash</w:t>
            </w:r>
          </w:p>
        </w:tc>
        <w:tc>
          <w:tcPr>
            <w:tcW w:w="108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342,780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(4,346)</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2020</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30,624,889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156,752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(36,179)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(91,524)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29,049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Exercise of stock options for cash</w:t>
            </w:r>
          </w:p>
        </w:tc>
        <w:tc>
          <w:tcPr>
            <w:tcW w:w="1080" w:type="dxa"/>
            <w:vAlign w:val="bottom"/>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76,351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2020</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30,709,810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(36,181</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(89,610</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7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Shareholders’ Equity</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634"/>
              <w:spacing w:after="0" w:line="155" w:lineRule="exact"/>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1"/>
                <w:szCs w:val="11"/>
                <w:color w:val="auto"/>
              </w:rPr>
            </w:pPr>
          </w:p>
        </w:tc>
        <w:tc>
          <w:tcPr>
            <w:tcW w:w="114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2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780" w:type="dxa"/>
            <w:vAlign w:val="bottom"/>
            <w:vMerge w:val="restart"/>
          </w:tcPr>
          <w:p>
            <w:pPr>
              <w:spacing w:after="0"/>
              <w:rPr>
                <w:sz w:val="20"/>
                <w:szCs w:val="20"/>
                <w:color w:val="auto"/>
              </w:rPr>
            </w:pPr>
            <w:r>
              <w:rPr>
                <w:rFonts w:ascii="Arial" w:cs="Arial" w:eastAsia="Arial" w:hAnsi="Arial"/>
                <w:sz w:val="18"/>
                <w:szCs w:val="18"/>
                <w:color w:val="auto"/>
              </w:rPr>
              <w:t>Balance, March 31, 2019</w:t>
            </w: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4"/>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14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780" w:type="dxa"/>
            <w:vAlign w:val="bottom"/>
            <w:vMerge w:val="continue"/>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29,600,158</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155,828</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(36,091)</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(101,767)</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 for cash</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tcPr>
          <w:p>
            <w:pPr>
              <w:jc w:val="right"/>
              <w:spacing w:after="0"/>
              <w:rPr>
                <w:sz w:val="20"/>
                <w:szCs w:val="20"/>
                <w:color w:val="auto"/>
              </w:rPr>
            </w:pPr>
            <w:r>
              <w:rPr>
                <w:rFonts w:ascii="Arial" w:cs="Arial" w:eastAsia="Arial" w:hAnsi="Arial"/>
                <w:sz w:val="18"/>
                <w:szCs w:val="18"/>
                <w:color w:val="auto"/>
              </w:rPr>
              <w:t>613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535,344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(24,628)</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June 30, 2019</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30,121,487</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156,015</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(36,153)</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(97,799)</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111,848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(2,828)</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30,231,077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(36,164</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(91,078</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left="340" w:right="23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7"/>
              <w:spacing w:after="0"/>
              <w:rPr>
                <w:sz w:val="20"/>
                <w:szCs w:val="20"/>
                <w:color w:val="auto"/>
              </w:rPr>
            </w:pPr>
            <w:r>
              <w:rPr>
                <w:rFonts w:ascii="Arial" w:cs="Arial" w:eastAsia="Arial" w:hAnsi="Arial"/>
                <w:sz w:val="14"/>
                <w:szCs w:val="14"/>
                <w:b w:val="1"/>
                <w:bCs w:val="1"/>
                <w:color w:val="auto"/>
              </w:rPr>
              <w:t>Six Months Ended 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Net (loss) income</w:t>
            </w:r>
          </w:p>
        </w:tc>
        <w:tc>
          <w:tcPr>
            <w:tcW w:w="18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10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10,689</w:t>
            </w:r>
          </w:p>
        </w:tc>
        <w:tc>
          <w:tcPr>
            <w:tcW w:w="120" w:type="dxa"/>
            <w:vAlign w:val="bottom"/>
          </w:tcPr>
          <w:p>
            <w:pPr>
              <w:spacing w:after="0"/>
              <w:rPr>
                <w:sz w:val="19"/>
                <w:szCs w:val="19"/>
                <w:color w:val="auto"/>
              </w:rPr>
            </w:pPr>
          </w:p>
        </w:tc>
      </w:tr>
      <w:tr>
        <w:trPr>
          <w:trHeight w:val="215"/>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income to net cash (used in) provided by</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activities:</w:t>
            </w:r>
          </w:p>
        </w:tc>
        <w:tc>
          <w:tcPr>
            <w:tcW w:w="9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67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r>
      <w:tr>
        <w:trPr>
          <w:trHeight w:val="229"/>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issue costs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Impairment of intangible assets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9"/>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sale of property and equipment</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tcPr>
          <w:p>
            <w:pPr>
              <w:ind w:left="500"/>
              <w:spacing w:after="0"/>
              <w:rPr>
                <w:sz w:val="20"/>
                <w:szCs w:val="20"/>
                <w:color w:val="auto"/>
              </w:rPr>
            </w:pPr>
            <w:r>
              <w:rPr>
                <w:rFonts w:ascii="Arial" w:cs="Arial" w:eastAsia="Arial" w:hAnsi="Arial"/>
                <w:sz w:val="18"/>
                <w:szCs w:val="18"/>
                <w:color w:val="auto"/>
              </w:rPr>
              <w:t>Provision for inventory reserves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current and long-term</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(5,909)</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(12,192)</w:t>
            </w:r>
          </w:p>
        </w:tc>
      </w:tr>
      <w:tr>
        <w:trPr>
          <w:trHeight w:val="229"/>
        </w:trPr>
        <w:tc>
          <w:tcPr>
            <w:tcW w:w="6780" w:type="dxa"/>
            <w:vAlign w:val="bottom"/>
          </w:tcPr>
          <w:p>
            <w:pPr>
              <w:ind w:left="500"/>
              <w:spacing w:after="0"/>
              <w:rPr>
                <w:sz w:val="20"/>
                <w:szCs w:val="20"/>
                <w:color w:val="auto"/>
              </w:rPr>
            </w:pPr>
            <w:r>
              <w:rPr>
                <w:rFonts w:ascii="Arial" w:cs="Arial" w:eastAsia="Arial" w:hAnsi="Arial"/>
                <w:sz w:val="18"/>
                <w:szCs w:val="18"/>
                <w:color w:val="auto"/>
              </w:rPr>
              <w:t>Revenue earned but not billed</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(454)</w:t>
            </w:r>
          </w:p>
        </w:tc>
      </w:tr>
      <w:tr>
        <w:trPr>
          <w:trHeight w:val="229"/>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(3,723)</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(4,354)</w:t>
            </w: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29"/>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(6,305)</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12,654</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Accrued expenses and other</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19"/>
                <w:szCs w:val="19"/>
                <w:color w:val="auto"/>
              </w:rPr>
            </w:pPr>
          </w:p>
        </w:tc>
      </w:tr>
      <w:tr>
        <w:trPr>
          <w:trHeight w:val="229"/>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current and long-term</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w:t>
            </w:r>
          </w:p>
        </w:tc>
      </w:tr>
      <w:tr>
        <w:trPr>
          <w:trHeight w:val="223"/>
        </w:trPr>
        <w:tc>
          <w:tcPr>
            <w:tcW w:w="6780" w:type="dxa"/>
            <w:vAlign w:val="bottom"/>
          </w:tcPr>
          <w:p>
            <w:pPr>
              <w:ind w:left="26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9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(14,138)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(461)</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patents and licenses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w:t>
            </w:r>
          </w:p>
        </w:tc>
      </w:tr>
      <w:tr>
        <w:trPr>
          <w:trHeight w:val="223"/>
        </w:trPr>
        <w:tc>
          <w:tcPr>
            <w:tcW w:w="6780" w:type="dxa"/>
            <w:vAlign w:val="bottom"/>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9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Payment of long-term debt</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revolving credit facility</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62,200</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ind w:left="260"/>
              <w:spacing w:after="0"/>
              <w:rPr>
                <w:sz w:val="20"/>
                <w:szCs w:val="20"/>
                <w:color w:val="auto"/>
              </w:rPr>
            </w:pPr>
            <w:r>
              <w:rPr>
                <w:rFonts w:ascii="Arial" w:cs="Arial" w:eastAsia="Arial" w:hAnsi="Arial"/>
                <w:sz w:val="18"/>
                <w:szCs w:val="18"/>
                <w:color w:val="auto"/>
              </w:rPr>
              <w:t>Payments of revolving credit facility</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(10,085)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(67,646)</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w:t>
            </w:r>
          </w:p>
        </w:tc>
      </w:tr>
      <w:tr>
        <w:trPr>
          <w:trHeight w:val="230"/>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proceeds from employee equity exercises</w:t>
            </w:r>
          </w:p>
        </w:tc>
        <w:tc>
          <w:tcPr>
            <w:tcW w:w="9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financing activities</w:t>
            </w:r>
          </w:p>
        </w:tc>
        <w:tc>
          <w:tcPr>
            <w:tcW w:w="9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(5,546)</w:t>
            </w:r>
          </w:p>
        </w:tc>
        <w:tc>
          <w:tcPr>
            <w:tcW w:w="12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(16,627)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8,729</w:t>
            </w:r>
          </w:p>
        </w:tc>
        <w:tc>
          <w:tcPr>
            <w:tcW w:w="120" w:type="dxa"/>
            <w:vAlign w:val="bottom"/>
            <w:shd w:val="clear" w:color="auto" w:fill="CFF0FC"/>
          </w:tcPr>
          <w:p>
            <w:pPr>
              <w:spacing w:after="0"/>
              <w:rPr>
                <w:sz w:val="19"/>
                <w:szCs w:val="19"/>
                <w:color w:val="auto"/>
              </w:rPr>
            </w:pPr>
          </w:p>
        </w:tc>
      </w:tr>
      <w:tr>
        <w:trPr>
          <w:trHeight w:val="263"/>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12,124</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11,098</w:t>
            </w:r>
          </w:p>
        </w:tc>
        <w:tc>
          <w:tcPr>
            <w:tcW w:w="120" w:type="dxa"/>
            <w:vAlign w:val="bottom"/>
            <w:tcBorders>
              <w:bottom w:val="single" w:sz="8" w:color="CFF0FC"/>
            </w:tcBorders>
          </w:tcPr>
          <w:p>
            <w:pPr>
              <w:spacing w:after="0"/>
              <w:rPr>
                <w:sz w:val="22"/>
                <w:szCs w:val="22"/>
                <w:color w:val="auto"/>
              </w:rPr>
            </w:pPr>
          </w:p>
        </w:tc>
      </w:tr>
      <w:tr>
        <w:trPr>
          <w:trHeight w:val="210"/>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Operating lease assets obtained in exchange for new operating lease liabilities</w:t>
            </w:r>
          </w:p>
        </w:tc>
        <w:tc>
          <w:tcPr>
            <w:tcW w:w="18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20"/>
                <w:szCs w:val="20"/>
                <w:color w:val="auto"/>
              </w:rPr>
            </w:pPr>
          </w:p>
        </w:tc>
        <w:tc>
          <w:tcPr>
            <w:tcW w:w="10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jc w:val="both"/>
        <w:ind w:right="20" w:firstLine="493"/>
        <w:spacing w:after="0" w:line="342" w:lineRule="auto"/>
        <w:rPr>
          <w:sz w:val="20"/>
          <w:szCs w:val="20"/>
          <w:color w:val="auto"/>
        </w:rPr>
      </w:pPr>
      <w:r>
        <w:rPr>
          <w:rFonts w:ascii="Arial" w:cs="Arial" w:eastAsia="Arial" w:hAnsi="Arial"/>
          <w:sz w:val="16"/>
          <w:szCs w:val="16"/>
          <w:color w:val="auto"/>
        </w:rPr>
        <w:t>Orion includes Orion Energy Systems, Inc., a Wisconsin corporation, and all consolidated subsidiaries. Orion is a developer, manufacturer and seller of lighting and energy management systems to commercial and industrial businesses, and federal and local governments, predominantly in North America</w:t>
      </w:r>
    </w:p>
    <w:p>
      <w:pPr>
        <w:spacing w:after="0" w:line="70"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Orion’s corporate offices and leased primary manufacturing operations are located in Manitowoc, Wisconsin. Orion also leases office space in Jacksonville, Florida.</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IMPACT OF COVID-19</w:t>
      </w:r>
    </w:p>
    <w:p>
      <w:pPr>
        <w:spacing w:after="0" w:line="175" w:lineRule="exact"/>
        <w:rPr>
          <w:sz w:val="20"/>
          <w:szCs w:val="20"/>
          <w:color w:val="auto"/>
        </w:rPr>
      </w:pPr>
    </w:p>
    <w:p>
      <w:pPr>
        <w:jc w:val="both"/>
        <w:ind w:firstLine="493"/>
        <w:spacing w:after="0" w:line="254" w:lineRule="auto"/>
        <w:rPr>
          <w:sz w:val="20"/>
          <w:szCs w:val="20"/>
          <w:color w:val="auto"/>
        </w:rPr>
      </w:pPr>
      <w:r>
        <w:rPr>
          <w:rFonts w:ascii="Arial" w:cs="Arial" w:eastAsia="Arial" w:hAnsi="Arial"/>
          <w:sz w:val="18"/>
          <w:szCs w:val="18"/>
          <w:color w:val="auto"/>
        </w:rPr>
        <w:t>The COVID-19 pandemic has disrupted business, trade, commerce, and financial and credit markets in the U.S. and globally. Orion’s business has been adversely impacted by measures taken by government entities and others to control the spread of the virus beginning in March 2020, the last month of its fiscal 2020 year. As a deemed essential business, Orion provides products and services to ensure energy and lighting infrastructure and Orion therefore continues to operate throughout the pandemic. Orion has implemented a number of safety protocols, including limiting travel, restricting access to our facilities along with monitoring processes, physical distancing, physical barriers, enhanced cleaning procedures, and requiring face coverings. Nonetheless, Orion did experience a material adverse effect from the COVID-19 pandemic due to the curtailment of activity in the last few weeks of the 2020 fiscal year and during the first half of fiscal 2021, including the delay of project installations for a major national account customer. This project resumed during the second quarter of fiscal 2021.</w:t>
      </w:r>
    </w:p>
    <w:p>
      <w:pPr>
        <w:spacing w:after="0" w:line="138"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As part of Orion’s response to the impacts of the COVID-19 pandemic, during the fourth quarter of fiscal 2020, Orion implemented a number of cost reduction and cash conservation measures, including reducing headcount. Orion recognized $0.4 million in restructuring expense during the fourth quarter of fiscal 2020. As of September 30, 2020, all of the restructuring accrual had been paid.</w:t>
      </w:r>
    </w:p>
    <w:p>
      <w:pPr>
        <w:spacing w:after="0" w:line="130" w:lineRule="exact"/>
        <w:rPr>
          <w:sz w:val="20"/>
          <w:szCs w:val="20"/>
          <w:color w:val="auto"/>
        </w:rPr>
      </w:pPr>
    </w:p>
    <w:p>
      <w:pPr>
        <w:jc w:val="both"/>
        <w:ind w:firstLine="493"/>
        <w:spacing w:after="0" w:line="270" w:lineRule="auto"/>
        <w:rPr>
          <w:sz w:val="20"/>
          <w:szCs w:val="20"/>
          <w:color w:val="auto"/>
        </w:rPr>
      </w:pPr>
      <w:r>
        <w:rPr>
          <w:rFonts w:ascii="Arial" w:cs="Arial" w:eastAsia="Arial" w:hAnsi="Arial"/>
          <w:sz w:val="17"/>
          <w:szCs w:val="17"/>
          <w:color w:val="auto"/>
        </w:rPr>
        <w:t>While certain restrictions began to initially lessen in certain jurisdictions during the first half of Orion’s fiscal 2021, stay-at-home, face mask or lockdown orders remain in effect in others, with employees asked to work remotely if possible. Certain areas of the country have seen a spike of COVID-19 cases (including in Manitowoc, Wisconsin), which could result in renewed restrictions and lockdown orders. Some customers and projects are in areas where travel restrictions have been imposed, certain customers have either closed or reduced on-site activities, and timelines for the completion of multiple projects have been extended. At this time, it is not possible to predict the overall impact the COVID-19 pandemic will have on Orion’s business, liquidity, capital resources or financial results. However, Orion does expect that the economic and regulatory impacts of COVID-19 will materially and adversely impact revenue and profitability in fiscal 2021. If there is prolonged adverse impact, Orion’s business, liquidity, capital resources, financial results, and the carrying values of Orion’s property, plant and equipment and intangible assets may be impacted negatively. Orion will continue to actively monitor the situation and may take further actions that alter business operations.</w:t>
      </w:r>
    </w:p>
    <w:p>
      <w:pPr>
        <w:spacing w:after="0" w:line="127" w:lineRule="exact"/>
        <w:rPr>
          <w:sz w:val="20"/>
          <w:szCs w:val="20"/>
          <w:color w:val="auto"/>
        </w:rPr>
      </w:pPr>
    </w:p>
    <w:p>
      <w:pPr>
        <w:jc w:val="both"/>
        <w:ind w:firstLine="493"/>
        <w:spacing w:after="0" w:line="279" w:lineRule="auto"/>
        <w:rPr>
          <w:sz w:val="20"/>
          <w:szCs w:val="20"/>
          <w:color w:val="auto"/>
        </w:rPr>
      </w:pPr>
      <w:r>
        <w:rPr>
          <w:rFonts w:ascii="Arial" w:cs="Arial" w:eastAsia="Arial" w:hAnsi="Arial"/>
          <w:sz w:val="17"/>
          <w:szCs w:val="17"/>
          <w:color w:val="auto"/>
        </w:rPr>
        <w:t>On March 27, 2020, the Coronavirus Aid, Relief, and Economic Security (CARES) Act was signed into law and includes certain income tax provisions relevant to businesses. Orion is required to recognize the effect on the consolidated financial statements in the period the law was enacted, which is the period ended March 31, 2020. For the fiscal year ended March 31, 2020, and three and six months ended September 30, 2020, the CARES Act did not have a material impact on Orion’s consolidated financial statements. See Note 14 – Income Taxes.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Condensed Consolidated Financial Statements include the accounts of Orion Energy Systems, Inc. and its wholly owned subsidiaries.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93"/>
        <w:spacing w:after="0" w:line="296" w:lineRule="auto"/>
        <w:rPr>
          <w:sz w:val="20"/>
          <w:szCs w:val="20"/>
          <w:color w:val="auto"/>
        </w:rPr>
      </w:pPr>
      <w:r>
        <w:rPr>
          <w:rFonts w:ascii="Arial" w:cs="Arial" w:eastAsia="Arial" w:hAnsi="Arial"/>
          <w:sz w:val="16"/>
          <w:szCs w:val="16"/>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fiscal year ending March 31, 2021 or other interim periods.</w:t>
      </w:r>
    </w:p>
    <w:p>
      <w:pPr>
        <w:spacing w:after="0" w:line="107"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Condensed Consolidated Balance Sheet at March 31, 2020 has been derived from the audited consolidated financial statements at that date but does not include all of the information required by GAAP for complete financial statements.</w:t>
      </w:r>
    </w:p>
    <w:p>
      <w:pPr>
        <w:spacing w:after="0" w:line="116" w:lineRule="exact"/>
        <w:rPr>
          <w:sz w:val="20"/>
          <w:szCs w:val="20"/>
          <w:color w:val="auto"/>
        </w:rPr>
      </w:pPr>
    </w:p>
    <w:p>
      <w:pPr>
        <w:jc w:val="both"/>
        <w:ind w:right="20" w:firstLine="493"/>
        <w:spacing w:after="0" w:line="263"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2020 filed with the SEC on June 5,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allowance for doubtful accounts, accruals for warranty and loss contingencies, income taxes, impairment analyses, and certain equity transactions. Accordingly, actual results could differ from those estimates.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Orion's cash is deposited with two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30" w:lineRule="exact"/>
        <w:rPr>
          <w:sz w:val="20"/>
          <w:szCs w:val="20"/>
          <w:color w:val="auto"/>
        </w:rPr>
      </w:pPr>
    </w:p>
    <w:p>
      <w:pPr>
        <w:jc w:val="both"/>
        <w:ind w:firstLine="493"/>
        <w:spacing w:after="0" w:line="301" w:lineRule="auto"/>
        <w:rPr>
          <w:sz w:val="20"/>
          <w:szCs w:val="20"/>
          <w:color w:val="auto"/>
        </w:rPr>
      </w:pPr>
      <w:r>
        <w:rPr>
          <w:rFonts w:ascii="Arial" w:cs="Arial" w:eastAsia="Arial" w:hAnsi="Arial"/>
          <w:sz w:val="16"/>
          <w:szCs w:val="16"/>
          <w:color w:val="auto"/>
        </w:rPr>
        <w:t>Orion purchases components necessary for its lighting products, including ballasts, lamps and LED components, from multiple suppliers. For the three months ended September 30, 2020, one supplier accounted for 10.3% of total cost of revenue. For the six months ended September 30, 2020, no supplier accounted for more than 10% of total cost of revenue. For the three months ended September 30, 2019, two suppliers accounted for 17.2% and 10.0% of total cost of revenue, respectively. For the six months ended September 30, 2019, one supplier accounted for 15.5% of total cost of revenue</w:t>
      </w:r>
    </w:p>
    <w:p>
      <w:pPr>
        <w:spacing w:after="0" w:line="103" w:lineRule="exact"/>
        <w:rPr>
          <w:sz w:val="20"/>
          <w:szCs w:val="20"/>
          <w:color w:val="auto"/>
        </w:rPr>
      </w:pPr>
    </w:p>
    <w:p>
      <w:pPr>
        <w:jc w:val="both"/>
        <w:ind w:firstLine="493"/>
        <w:spacing w:after="0" w:line="286" w:lineRule="auto"/>
        <w:rPr>
          <w:sz w:val="20"/>
          <w:szCs w:val="20"/>
          <w:color w:val="auto"/>
        </w:rPr>
      </w:pPr>
      <w:r>
        <w:rPr>
          <w:rFonts w:ascii="Arial" w:cs="Arial" w:eastAsia="Arial" w:hAnsi="Arial"/>
          <w:sz w:val="17"/>
          <w:szCs w:val="17"/>
          <w:color w:val="auto"/>
        </w:rPr>
        <w:t>For the three months ended September 30, 2020, one customer accounted for 60.7% of total revenue. For the six months ended September 30, 2020, two customers accounted for 44.4% and 14.9% of total revenue, respectively. For the three months ended September 30, 2019, one customer accounted for 81.1% of total revenue. For the six months ended September 30, 2019, one customer accounted for 79.2% of total revenue.</w:t>
      </w:r>
    </w:p>
    <w:p>
      <w:pPr>
        <w:spacing w:after="0" w:line="111" w:lineRule="exact"/>
        <w:rPr>
          <w:sz w:val="20"/>
          <w:szCs w:val="20"/>
          <w:color w:val="auto"/>
        </w:rPr>
      </w:pPr>
    </w:p>
    <w:p>
      <w:pPr>
        <w:jc w:val="both"/>
        <w:ind w:firstLine="490"/>
        <w:spacing w:after="0" w:line="277" w:lineRule="auto"/>
        <w:rPr>
          <w:sz w:val="20"/>
          <w:szCs w:val="20"/>
          <w:color w:val="auto"/>
        </w:rPr>
      </w:pPr>
      <w:r>
        <w:rPr>
          <w:rFonts w:ascii="Arial" w:cs="Arial" w:eastAsia="Arial" w:hAnsi="Arial"/>
          <w:sz w:val="18"/>
          <w:szCs w:val="18"/>
          <w:color w:val="auto"/>
        </w:rPr>
        <w:t>As of September 30, 2020, one customer accounted for 70.9 % of accounts receivable. As of March 31, 2020, two customers accounted for 37.3% and 13.0% of accounts receivable,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Not Yet Adopted</w:t>
      </w:r>
    </w:p>
    <w:p>
      <w:pPr>
        <w:spacing w:after="0" w:line="175" w:lineRule="exact"/>
        <w:rPr>
          <w:sz w:val="20"/>
          <w:szCs w:val="20"/>
          <w:color w:val="auto"/>
        </w:rPr>
      </w:pPr>
    </w:p>
    <w:p>
      <w:pPr>
        <w:jc w:val="both"/>
        <w:ind w:firstLine="490"/>
        <w:spacing w:after="0" w:line="272"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(“ASU 2016-13”), which requires an entity to assess impairment of its financial instruments based on its estimate of expected credit losses. Since the issuance of ASU 2016-13, the FASB released several amendments to improve and clarify the implementation guidance. The provisions of ASU 2016-13 and the related amendments are effective for Orion for fiscal years (and interim reporting periods within those years) beginning after December 15, 2022. Entities are required to apply these changes through a cumulative-effect adjustment to retained earnings as of the beginning of the first reporting period in which the guidance is effective. Orion is currently evaluating the impact of adoption of this standard on its consolidated statements of operations, cash flows, and the related footnote disclosures.</w:t>
      </w:r>
    </w:p>
    <w:p>
      <w:pPr>
        <w:spacing w:after="0" w:line="123" w:lineRule="exact"/>
        <w:rPr>
          <w:sz w:val="20"/>
          <w:szCs w:val="20"/>
          <w:color w:val="auto"/>
        </w:rPr>
      </w:pPr>
    </w:p>
    <w:p>
      <w:pPr>
        <w:jc w:val="both"/>
        <w:ind w:firstLine="490"/>
        <w:spacing w:after="0" w:line="279"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simplifies the accounting for income taxes by removing certain exceptions to the general rules of Topic 740. The provisions of ASU 2019-12 are effective for Orion for fiscal years, and interim periods within those fiscal years, beginning after December 15, 2020. Orion is currently evaluating the impact of adoption on this standard on its consolidated statements of operations, cash flows, and the related footnote disclosures.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171" w:lineRule="exact"/>
        <w:rPr>
          <w:sz w:val="20"/>
          <w:szCs w:val="20"/>
          <w:color w:val="auto"/>
        </w:rPr>
      </w:pPr>
    </w:p>
    <w:p>
      <w:pPr>
        <w:jc w:val="both"/>
        <w:ind w:firstLine="490"/>
        <w:spacing w:after="0" w:line="272" w:lineRule="auto"/>
        <w:rPr>
          <w:sz w:val="20"/>
          <w:szCs w:val="20"/>
          <w:color w:val="auto"/>
        </w:rPr>
      </w:pPr>
      <w:r>
        <w:rPr>
          <w:rFonts w:ascii="Arial" w:cs="Arial" w:eastAsia="Arial" w:hAnsi="Arial"/>
          <w:sz w:val="17"/>
          <w:szCs w:val="17"/>
          <w:color w:val="auto"/>
        </w:rPr>
        <w:t>Orion generates revenues primarily by selling commercial LED lighting fixtures and components, including controls and integrated IoT capabilities, and by installing these fixtures in its customer’s facilities on a turnkey basis via a dedicated installation and support team. Orion recognizes revenue in accordance with the guidance in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23"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If there are multiple performance obligations in a contract, the contract’s total sales price is allocated to each individual performance obligation based on their relative standalone selling price. A performance obligation’s standalone selling price is the price at which Orion would sell such promised good or service separately to a customer. Orion uses an observable price to determine the stand-alone selling price for separate performance obligations or a cost-plus margin approach when one is not available. The cost-plus margin approach is used to determine the stand-alone selling price for the installation performance obligation and is based on average historical installation margin.</w:t>
      </w:r>
    </w:p>
    <w:p>
      <w:pPr>
        <w:spacing w:after="0" w:line="134"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Revenue derived from customer contracts which include only performance obligation(s) for the sale of lighting fixtures and components is classified as Product revenue in the Condensed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34"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Revenue from a customer contract which includes both the sale of fixtures and the installation of such fixtures (which Orion refers to as a turnkey project) is allocated between each lighting fixture and the installation performance obligation based on relative standalone selling prices.</w:t>
      </w:r>
    </w:p>
    <w:p>
      <w:pPr>
        <w:spacing w:after="0" w:line="92"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Orion’s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 w:name="page10"/>
    <w:bookmarkEnd w:id="9"/>
    <w:p>
      <w:pPr>
        <w:jc w:val="both"/>
        <w:spacing w:after="0" w:line="285" w:lineRule="auto"/>
        <w:rPr>
          <w:sz w:val="20"/>
          <w:szCs w:val="20"/>
          <w:color w:val="auto"/>
        </w:rPr>
      </w:pPr>
      <w:r>
        <w:rPr>
          <w:rFonts w:ascii="Arial" w:cs="Arial" w:eastAsia="Arial" w:hAnsi="Arial"/>
          <w:sz w:val="16"/>
          <w:szCs w:val="16"/>
          <w:color w:val="auto"/>
        </w:rPr>
        <w:t>control of the light fixtures during the installation. Product revenue associated with turnkey projects can be recorded (a) upon shipment or delivery, (b) subsequent to shipment or delivery and upon customer payments for the light fixtures, (c) when an individual light fixture is installed and working correctly, or (d) when the customer acknowledges that the entire installation project is substantially complete. Determining the point in time when a customer obtains control of the lighting fixtures in a turnkey project can be a complex judgment and is applied separately for each individual light fixture included in a contract. In making this judgment, management considers the timing of various factors, including, but not limited to, those detailed below:</w:t>
      </w:r>
    </w:p>
    <w:p>
      <w:pPr>
        <w:spacing w:after="0" w:line="2" w:lineRule="exact"/>
        <w:rPr>
          <w:sz w:val="20"/>
          <w:szCs w:val="20"/>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there is a legal transfer of ownership;</w:t>
      </w:r>
    </w:p>
    <w:p>
      <w:pPr>
        <w:spacing w:after="0" w:line="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the customer obtains physical possession of the products;</w:t>
      </w:r>
    </w:p>
    <w:p>
      <w:pPr>
        <w:spacing w:after="0" w:line="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the customer starts to receive the benefit of the products;</w:t>
      </w:r>
    </w:p>
    <w:p>
      <w:pPr>
        <w:spacing w:after="0" w:line="9" w:lineRule="exact"/>
        <w:rPr>
          <w:rFonts w:ascii="Arial" w:cs="Arial" w:eastAsia="Arial" w:hAnsi="Arial"/>
          <w:sz w:val="18"/>
          <w:szCs w:val="18"/>
          <w:color w:val="auto"/>
        </w:rPr>
      </w:pPr>
    </w:p>
    <w:p>
      <w:pPr>
        <w:ind w:left="880" w:hanging="386"/>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duration of physical control that Orion maintains on the products after they are shipped to, and received at, the customer’s facility;</w:t>
      </w:r>
    </w:p>
    <w:p>
      <w:pPr>
        <w:ind w:left="880" w:hanging="386"/>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Orion is required to maintain insurance on the lighting fixtures when they are in transit and after they are delivered to the customer’s facility;</w:t>
      </w: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each light fixture is physically installed and working correctly;</w:t>
      </w:r>
    </w:p>
    <w:p>
      <w:pPr>
        <w:spacing w:after="0" w:line="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the customer formally accepts the product; and</w:t>
      </w:r>
    </w:p>
    <w:p>
      <w:pPr>
        <w:spacing w:after="0" w:line="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Orion receives payment from the customer for the light fixtures.</w:t>
      </w:r>
    </w:p>
    <w:p>
      <w:pPr>
        <w:spacing w:after="0" w:line="157"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8"/>
          <w:szCs w:val="18"/>
          <w:color w:val="auto"/>
        </w:rPr>
        <w:t>Revenue from turnkey projects that is allocated to the single installation performance obligation is reflected in Service revenue. Service revenue is recorded over-time as Orion fulfills its obligation to install the light fixtures. Orion measures its performance toward fulfilling its performance obligations for installations using an output method that calculates the number of light fixtures removed and installed as of the measurement date in comparison to the total number of light fixtures to be removed or installed under the contract.</w:t>
      </w:r>
    </w:p>
    <w:p>
      <w:pPr>
        <w:spacing w:after="0" w:line="133" w:lineRule="exact"/>
        <w:rPr>
          <w:sz w:val="20"/>
          <w:szCs w:val="20"/>
          <w:color w:val="auto"/>
        </w:rPr>
      </w:pPr>
    </w:p>
    <w:p>
      <w:pPr>
        <w:jc w:val="both"/>
        <w:ind w:firstLine="490"/>
        <w:spacing w:after="0" w:line="301" w:lineRule="auto"/>
        <w:rPr>
          <w:sz w:val="20"/>
          <w:szCs w:val="20"/>
          <w:color w:val="auto"/>
        </w:rPr>
      </w:pPr>
      <w:r>
        <w:rPr>
          <w:rFonts w:ascii="Arial" w:cs="Arial" w:eastAsia="Arial" w:hAnsi="Arial"/>
          <w:sz w:val="16"/>
          <w:szCs w:val="16"/>
          <w:color w:val="auto"/>
        </w:rPr>
        <w:t>Most products are manufactured in accordance with Orion’s standard specifications. However, some products are manufactured to a customer’s specific requirements with no alternative use to Orion. In such cases, and when Orion has an enforceable right to payment, Product revenue is recorded on an over-time basis measured using an input methodology that calculates the costs incurred to date as compared to total expected costs. There was no over-time revenue related to custom products recognized in the three and six months ended September 30, 2020 and September 30, 2019.</w:t>
      </w:r>
    </w:p>
    <w:p>
      <w:pPr>
        <w:spacing w:after="0" w:line="103" w:lineRule="exact"/>
        <w:rPr>
          <w:sz w:val="20"/>
          <w:szCs w:val="20"/>
          <w:color w:val="auto"/>
        </w:rPr>
      </w:pPr>
    </w:p>
    <w:p>
      <w:pPr>
        <w:jc w:val="both"/>
        <w:ind w:firstLine="493"/>
        <w:spacing w:after="0" w:line="254" w:lineRule="auto"/>
        <w:rPr>
          <w:sz w:val="20"/>
          <w:szCs w:val="20"/>
          <w:color w:val="auto"/>
        </w:rPr>
      </w:pPr>
      <w:r>
        <w:rPr>
          <w:rFonts w:ascii="Arial" w:cs="Arial" w:eastAsia="Arial" w:hAnsi="Arial"/>
          <w:sz w:val="18"/>
          <w:szCs w:val="18"/>
          <w:color w:val="auto"/>
        </w:rPr>
        <w:t>Orion also records revenue in conjunction with several limited power purchase agreements (“PPAs”) still outstanding. Those PPAs are supply-side agreements for the generation of electricity. Orion’s last PPA expires in 2031. Revenue associated with the sale of energy generated by the solar facilities under these PPAs is within the scope of ASC 606. Revenues are recognized over-time and are equal to the amount billed to the customer, which is calculated by applying the fixed rate designated in the PPAs to the variable amount of electricity generated each month. This approach is in accordance with the “right to invoice” practical expedient provided for in ASC 606. 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38"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When shipping and handling activities are performed after a customer obtains control of the product, Orion has elected to treat shipping and handling costs as an activity necessary to fulfill the performance obligation to transfer product to the customer and not as a separate performance obligation. Any shipping and handling costs charged to customers are recorded in Product revenue. Shipping and handling costs are accrued and included in Cost of product revenue.</w:t>
      </w:r>
    </w:p>
    <w:p>
      <w:pPr>
        <w:spacing w:after="0" w:line="133"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See Note 11 – Accrued Expenses and Other for a discussion of Orion’s accounting for the warranty it provides to customers for its products and services.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Sales taxes collected from customers and remitted to governmental authorities are accounted for on a net (excluded from revenues) basis.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171"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Costs associated with product sales are accumulated in inventory as the fixtures are manufactured and are transferred to Cost of product revenue at the time revenue is recorded. See Note 6 – Inventories, Net. Costs associated with installation sales are expensed as incurred.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71" w:lineRule="exact"/>
        <w:rPr>
          <w:sz w:val="20"/>
          <w:szCs w:val="20"/>
          <w:color w:val="auto"/>
        </w:rPr>
      </w:pPr>
    </w:p>
    <w:p>
      <w:pPr>
        <w:jc w:val="both"/>
        <w:ind w:firstLine="493"/>
        <w:spacing w:after="0" w:line="296" w:lineRule="auto"/>
        <w:rPr>
          <w:sz w:val="20"/>
          <w:szCs w:val="20"/>
          <w:color w:val="auto"/>
        </w:rPr>
      </w:pPr>
      <w:r>
        <w:rPr>
          <w:rFonts w:ascii="Arial" w:cs="Arial" w:eastAsia="Arial" w:hAnsi="Arial"/>
          <w:sz w:val="16"/>
          <w:szCs w:val="16"/>
          <w:color w:val="auto"/>
        </w:rPr>
        <w:t>Orion’s Product revenue includes revenue from contracts with customers accounted for under the scope of ASC 606 and revenue which is accounted for under other guidance. For the three and six months ended September 30, 2020, Product revenue included $0.9 million and $1.4 million, respectively, derived from sales-type leases for light fixtures, $0.1 million and $0.1 million, respectively, derived from the sale of tax credits generated from Orion’s legacy operation for distributing solar energy, and $19 thousand and $38 thousand, respectively, derived from the amortization of federal grants received in 2010 and 2011 as reimbursement for a portion of the costs to construct the legacy solar facilities which are not under the scope of ASC 606.</w:t>
      </w:r>
    </w:p>
    <w:p>
      <w:pPr>
        <w:spacing w:after="0" w:line="107"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For the three and six months ended September 30, 2019, Product revenue included $0.6 million and $1.0 million, respectively, derived from sales-type leases for light fixtures, $0.1 million derived from the sale of tax credits generated from Orion’s legacy operation for distributing solar energy, and $19 thousand and $38 thousand, respectively, derived from the amortization of federal grants received in 2010 and 2011 as reimbursement for a portion of the costs to construct the legacy solar facilities which are not under the scope of ASC 606. All remaining Product revenue, and all Service revenue, are derived from contracts with customers as defined in ASC 606.</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primary end-users of Orion’s lighting products and services are (a) commercial or industrial companies and (b) the federal government.</w:t>
      </w:r>
    </w:p>
    <w:p>
      <w:pPr>
        <w:spacing w:after="0" w:line="183"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Commercial or industrial end-users obtain Orion products and services through turnkey project sales or by purchasing products either direct from Orion or through distributors or energy service companies ("ESCOs"). Revenues associated with commercial and industrial end-users are included within each of Orion’s segments, dependent on the sales channel.</w:t>
      </w:r>
    </w:p>
    <w:p>
      <w:pPr>
        <w:spacing w:after="0" w:line="130"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federal government obtains Orion products and services primarily through turnkey project sales that Orion makes to a select group of contractors who focus on the federal government. Revenues associated with government end-users are primarily included in the Orion Engineered Systems Division segment.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1" w:name="page12"/>
    <w:bookmarkEnd w:id="11"/>
    <w:p>
      <w:pPr>
        <w:ind w:left="500"/>
        <w:spacing w:after="0"/>
        <w:rPr>
          <w:sz w:val="20"/>
          <w:szCs w:val="20"/>
          <w:color w:val="auto"/>
        </w:rPr>
      </w:pPr>
      <w:r>
        <w:rPr>
          <w:rFonts w:ascii="Arial" w:cs="Arial" w:eastAsia="Arial" w:hAnsi="Arial"/>
          <w:sz w:val="18"/>
          <w:szCs w:val="18"/>
          <w:color w:val="auto"/>
        </w:rPr>
        <w:t>See Note 18 – Segments, for additional discussion concerning Orion’s reportable segments.</w:t>
      </w:r>
    </w:p>
    <w:p>
      <w:pPr>
        <w:spacing w:after="0" w:line="171" w:lineRule="exact"/>
        <w:rPr>
          <w:sz w:val="20"/>
          <w:szCs w:val="20"/>
          <w:color w:val="auto"/>
        </w:rPr>
      </w:pPr>
    </w:p>
    <w:p>
      <w:pPr>
        <w:ind w:right="20" w:firstLine="493"/>
        <w:spacing w:after="0" w:line="277" w:lineRule="auto"/>
        <w:rPr>
          <w:sz w:val="20"/>
          <w:szCs w:val="20"/>
          <w:color w:val="auto"/>
        </w:rPr>
      </w:pPr>
      <w:r>
        <w:rPr>
          <w:rFonts w:ascii="Arial" w:cs="Arial" w:eastAsia="Arial" w:hAnsi="Arial"/>
          <w:sz w:val="18"/>
          <w:szCs w:val="18"/>
          <w:color w:val="auto"/>
        </w:rPr>
        <w:t>The following tables provide detail of Orion’s total revenues for the three and six months ended September 30, 2020 and September 30,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7"/>
          </w:tcPr>
          <w:p>
            <w:pPr>
              <w:jc w:val="center"/>
              <w:ind w:right="94"/>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Six Months Ended September 30, 2020</w:t>
            </w:r>
          </w:p>
        </w:tc>
      </w:tr>
      <w:tr>
        <w:trPr>
          <w:trHeight w:val="156"/>
        </w:trPr>
        <w:tc>
          <w:tcPr>
            <w:tcW w:w="3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Product</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center"/>
              <w:ind w:right="74"/>
              <w:spacing w:after="0" w:line="155" w:lineRule="exact"/>
              <w:rPr>
                <w:sz w:val="20"/>
                <w:szCs w:val="20"/>
                <w:color w:val="auto"/>
              </w:rPr>
            </w:pPr>
            <w:r>
              <w:rPr>
                <w:rFonts w:ascii="Arial" w:cs="Arial" w:eastAsia="Arial" w:hAnsi="Arial"/>
                <w:sz w:val="14"/>
                <w:szCs w:val="14"/>
                <w:b w:val="1"/>
                <w:bCs w:val="1"/>
                <w:color w:val="auto"/>
                <w:w w:val="90"/>
              </w:rPr>
              <w:t>Services</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Product</w:t>
            </w: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center"/>
              <w:ind w:right="74"/>
              <w:spacing w:after="0" w:line="155" w:lineRule="exact"/>
              <w:rPr>
                <w:sz w:val="20"/>
                <w:szCs w:val="20"/>
                <w:color w:val="auto"/>
              </w:rPr>
            </w:pPr>
            <w:r>
              <w:rPr>
                <w:rFonts w:ascii="Arial" w:cs="Arial" w:eastAsia="Arial" w:hAnsi="Arial"/>
                <w:sz w:val="14"/>
                <w:szCs w:val="14"/>
                <w:b w:val="1"/>
                <w:bCs w:val="1"/>
                <w:color w:val="auto"/>
                <w:w w:val="86"/>
              </w:rPr>
              <w:t>Services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contracts with customers:</w:t>
            </w:r>
          </w:p>
        </w:tc>
        <w:tc>
          <w:tcPr>
            <w:tcW w:w="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Lighting revenues, by end user</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government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and industrial</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18,816</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34,630</w:t>
            </w:r>
          </w:p>
        </w:tc>
        <w:tc>
          <w:tcPr>
            <w:tcW w:w="100" w:type="dxa"/>
            <w:vAlign w:val="bottom"/>
            <w:tcBorders>
              <w:bottom w:val="single" w:sz="8" w:color="CFF0FC"/>
            </w:tcBorders>
          </w:tcPr>
          <w:p>
            <w:pPr>
              <w:spacing w:after="0"/>
              <w:rPr>
                <w:sz w:val="19"/>
                <w:szCs w:val="19"/>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lighting</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27,660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34,791</w:t>
            </w:r>
          </w:p>
        </w:tc>
        <w:tc>
          <w:tcPr>
            <w:tcW w:w="10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Solar energy related revenues</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FF0FC"/>
            </w:tcBorders>
          </w:tcPr>
          <w:p>
            <w:pPr>
              <w:spacing w:after="0"/>
              <w:rPr>
                <w:sz w:val="19"/>
                <w:szCs w:val="19"/>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revenues from contracts with customers</w:t>
            </w:r>
          </w:p>
        </w:tc>
        <w:tc>
          <w:tcPr>
            <w:tcW w:w="6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18,921</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24,942</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27,702</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34,833</w:t>
            </w:r>
          </w:p>
        </w:tc>
        <w:tc>
          <w:tcPr>
            <w:tcW w:w="100" w:type="dxa"/>
            <w:vAlign w:val="bottom"/>
            <w:shd w:val="clear" w:color="auto" w:fill="CFF0FC"/>
          </w:tcPr>
          <w:p>
            <w:pPr>
              <w:spacing w:after="0"/>
              <w:rPr>
                <w:sz w:val="19"/>
                <w:szCs w:val="19"/>
                <w:color w:val="auto"/>
              </w:rPr>
            </w:pPr>
          </w:p>
        </w:tc>
      </w:tr>
      <w:tr>
        <w:trPr>
          <w:trHeight w:val="223"/>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other guidance</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6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20,260</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26,281</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29,961</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37,092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3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7"/>
          </w:tcPr>
          <w:p>
            <w:pPr>
              <w:jc w:val="center"/>
              <w:ind w:right="94"/>
              <w:spacing w:after="0"/>
              <w:rPr>
                <w:sz w:val="20"/>
                <w:szCs w:val="20"/>
                <w:color w:val="auto"/>
              </w:rPr>
            </w:pPr>
            <w:r>
              <w:rPr>
                <w:rFonts w:ascii="Arial" w:cs="Arial" w:eastAsia="Arial" w:hAnsi="Arial"/>
                <w:sz w:val="14"/>
                <w:szCs w:val="14"/>
                <w:b w:val="1"/>
                <w:bCs w:val="1"/>
                <w:color w:val="auto"/>
                <w:w w:val="92"/>
              </w:rPr>
              <w:t>Three Months Ended September 30, 2019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Six Months Ended September 30, 2019</w:t>
            </w:r>
          </w:p>
        </w:tc>
      </w:tr>
      <w:tr>
        <w:trPr>
          <w:trHeight w:val="156"/>
        </w:trPr>
        <w:tc>
          <w:tcPr>
            <w:tcW w:w="3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Product</w:t>
            </w: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ind w:right="74"/>
              <w:spacing w:after="0" w:line="155" w:lineRule="exact"/>
              <w:rPr>
                <w:sz w:val="20"/>
                <w:szCs w:val="20"/>
                <w:color w:val="auto"/>
              </w:rPr>
            </w:pPr>
            <w:r>
              <w:rPr>
                <w:rFonts w:ascii="Arial" w:cs="Arial" w:eastAsia="Arial" w:hAnsi="Arial"/>
                <w:sz w:val="14"/>
                <w:szCs w:val="14"/>
                <w:b w:val="1"/>
                <w:bCs w:val="1"/>
                <w:color w:val="auto"/>
                <w:w w:val="90"/>
              </w:rPr>
              <w:t>Services</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Product</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center"/>
              <w:ind w:right="74"/>
              <w:spacing w:after="0" w:line="155" w:lineRule="exact"/>
              <w:rPr>
                <w:sz w:val="20"/>
                <w:szCs w:val="20"/>
                <w:color w:val="auto"/>
              </w:rPr>
            </w:pPr>
            <w:r>
              <w:rPr>
                <w:rFonts w:ascii="Arial" w:cs="Arial" w:eastAsia="Arial" w:hAnsi="Arial"/>
                <w:sz w:val="14"/>
                <w:szCs w:val="14"/>
                <w:b w:val="1"/>
                <w:bCs w:val="1"/>
                <w:color w:val="auto"/>
                <w:w w:val="86"/>
              </w:rPr>
              <w:t>Services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p>
      <w:pPr>
        <w:spacing w:after="0"/>
        <w:rPr>
          <w:sz w:val="20"/>
          <w:szCs w:val="20"/>
          <w:color w:val="auto"/>
        </w:rPr>
      </w:pPr>
      <w:r>
        <w:rPr>
          <w:rFonts w:ascii="Arial" w:cs="Arial" w:eastAsia="Arial" w:hAnsi="Arial"/>
          <w:sz w:val="16"/>
          <w:szCs w:val="16"/>
          <w:color w:val="auto"/>
        </w:rPr>
        <w:t>Revenue from contracts with customers: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Lighting revenues, by end user</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Federal government</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Commercial and industrial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824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41"/>
        </w:trPr>
        <w:tc>
          <w:tcPr>
            <w:tcW w:w="2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34,758</w:t>
            </w:r>
          </w:p>
        </w:tc>
        <w:tc>
          <w:tcPr>
            <w:tcW w:w="3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12,698</w:t>
            </w:r>
          </w:p>
        </w:tc>
        <w:tc>
          <w:tcPr>
            <w:tcW w:w="3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47,456</w:t>
            </w:r>
          </w:p>
        </w:tc>
        <w:tc>
          <w:tcPr>
            <w:tcW w:w="3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65,942</w:t>
            </w:r>
          </w:p>
        </w:tc>
        <w:tc>
          <w:tcPr>
            <w:tcW w:w="36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22,491</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88,433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-306705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40" w:space="720"/>
            <w:col w:w="6580"/>
          </w:cols>
          <w:pgMar w:left="320" w:top="503"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lighting</w:t>
            </w:r>
          </w:p>
        </w:tc>
        <w:tc>
          <w:tcPr>
            <w:tcW w:w="6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34,924</w:t>
            </w:r>
          </w:p>
        </w:tc>
        <w:tc>
          <w:tcPr>
            <w:tcW w:w="2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12,750</w:t>
            </w:r>
          </w:p>
        </w:tc>
        <w:tc>
          <w:tcPr>
            <w:tcW w:w="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47,674</w:t>
            </w:r>
          </w:p>
        </w:tc>
        <w:tc>
          <w:tcPr>
            <w:tcW w:w="2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66,766</w:t>
            </w:r>
          </w:p>
        </w:tc>
        <w:tc>
          <w:tcPr>
            <w:tcW w:w="2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22,789</w:t>
            </w:r>
          </w:p>
        </w:tc>
        <w:tc>
          <w:tcPr>
            <w:tcW w:w="2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89,555</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3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Solar energy related revenues</w:t>
            </w:r>
          </w:p>
        </w:tc>
        <w:tc>
          <w:tcPr>
            <w:tcW w:w="6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FF0FC"/>
            </w:tcBorders>
          </w:tcPr>
          <w:p>
            <w:pPr>
              <w:spacing w:after="0"/>
              <w:rPr>
                <w:sz w:val="21"/>
                <w:szCs w:val="21"/>
                <w:color w:val="auto"/>
              </w:rPr>
            </w:pPr>
          </w:p>
        </w:tc>
      </w:tr>
      <w:tr>
        <w:trPr>
          <w:trHeight w:val="237"/>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revenues from contracts with customers</w:t>
            </w:r>
          </w:p>
        </w:tc>
        <w:tc>
          <w:tcPr>
            <w:tcW w:w="6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34,946</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12,750</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47,696</w:t>
            </w:r>
          </w:p>
        </w:tc>
        <w:tc>
          <w:tcPr>
            <w:tcW w:w="2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66,807</w:t>
            </w:r>
          </w:p>
        </w:tc>
        <w:tc>
          <w:tcPr>
            <w:tcW w:w="2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22,789</w:t>
            </w:r>
          </w:p>
        </w:tc>
        <w:tc>
          <w:tcPr>
            <w:tcW w:w="2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89,596</w:t>
            </w:r>
          </w:p>
        </w:tc>
        <w:tc>
          <w:tcPr>
            <w:tcW w:w="100" w:type="dxa"/>
            <w:vAlign w:val="bottom"/>
            <w:shd w:val="clear" w:color="auto" w:fill="CFF0FC"/>
          </w:tcPr>
          <w:p>
            <w:pPr>
              <w:spacing w:after="0"/>
              <w:rPr>
                <w:sz w:val="20"/>
                <w:szCs w:val="20"/>
                <w:color w:val="auto"/>
              </w:rPr>
            </w:pPr>
          </w:p>
        </w:tc>
      </w:tr>
      <w:tr>
        <w:trPr>
          <w:trHeight w:val="237"/>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other guidance</w:t>
            </w:r>
          </w:p>
        </w:tc>
        <w:tc>
          <w:tcPr>
            <w:tcW w:w="6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FF0FC"/>
            </w:tcBorders>
          </w:tcPr>
          <w:p>
            <w:pPr>
              <w:spacing w:after="0"/>
              <w:rPr>
                <w:sz w:val="20"/>
                <w:szCs w:val="20"/>
                <w:color w:val="auto"/>
              </w:rPr>
            </w:pPr>
          </w:p>
        </w:tc>
      </w:tr>
      <w:tr>
        <w:trPr>
          <w:trHeight w:val="237"/>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35,572</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12,750</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48,322</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67,911</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22,789</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90,700</w:t>
            </w:r>
          </w:p>
        </w:tc>
        <w:tc>
          <w:tcPr>
            <w:tcW w:w="100" w:type="dxa"/>
            <w:vAlign w:val="bottom"/>
            <w:shd w:val="clear" w:color="auto" w:fill="CFF0FC"/>
          </w:tcPr>
          <w:p>
            <w:pPr>
              <w:spacing w:after="0"/>
              <w:rPr>
                <w:sz w:val="20"/>
                <w:szCs w:val="20"/>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Considerations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Customer payments for material-only orders are due shortly after shipment.</w:t>
      </w:r>
    </w:p>
    <w:p>
      <w:pPr>
        <w:spacing w:after="0" w:line="171" w:lineRule="exact"/>
        <w:rPr>
          <w:sz w:val="20"/>
          <w:szCs w:val="20"/>
          <w:color w:val="auto"/>
        </w:rPr>
      </w:pPr>
    </w:p>
    <w:p>
      <w:pPr>
        <w:jc w:val="both"/>
        <w:ind w:firstLine="493"/>
        <w:spacing w:after="0" w:line="286" w:lineRule="auto"/>
        <w:rPr>
          <w:sz w:val="20"/>
          <w:szCs w:val="20"/>
          <w:color w:val="auto"/>
        </w:rPr>
      </w:pPr>
      <w:r>
        <w:rPr>
          <w:rFonts w:ascii="Arial" w:cs="Arial" w:eastAsia="Arial" w:hAnsi="Arial"/>
          <w:sz w:val="17"/>
          <w:szCs w:val="17"/>
          <w:color w:val="auto"/>
        </w:rPr>
        <w:t>Turnkey projects where the end-user is a commercial or industrial company typically span between one week to three months. Customer payment requirements for these projects vary by contract. Some contracts provide for customer payments for products and services as they are delivered, other contracts specify that the customer will pay for the project in its entirety upon completion of the installation.</w:t>
      </w:r>
    </w:p>
    <w:p>
      <w:pPr>
        <w:spacing w:after="0" w:line="11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Turnkey projects where the end-user is the federal government typically span a three to six-month period. The contracts for these sales often provide for monthly progress payments equal to ninety percent (90%) of the value provided by Orion during the month.</w:t>
      </w:r>
    </w:p>
    <w:p>
      <w:pPr>
        <w:spacing w:after="0" w:line="116" w:lineRule="exact"/>
        <w:rPr>
          <w:sz w:val="20"/>
          <w:szCs w:val="20"/>
          <w:color w:val="auto"/>
        </w:rPr>
      </w:pPr>
    </w:p>
    <w:p>
      <w:pPr>
        <w:jc w:val="both"/>
        <w:ind w:firstLine="493"/>
        <w:spacing w:after="0" w:line="272" w:lineRule="auto"/>
        <w:rPr>
          <w:sz w:val="20"/>
          <w:szCs w:val="20"/>
          <w:color w:val="auto"/>
        </w:rPr>
      </w:pPr>
      <w:r>
        <w:rPr>
          <w:rFonts w:ascii="Arial" w:cs="Arial" w:eastAsia="Arial" w:hAnsi="Arial"/>
          <w:sz w:val="17"/>
          <w:szCs w:val="17"/>
          <w:color w:val="auto"/>
        </w:rPr>
        <w:t>Orion provides long-term financing to one customer who frequently engages Orion in large turnkey projects that span between three and nine months. The customer executes an agreement providing for monthly payments of the contract price, plus interest, over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The portion of the transaction associated with the sale of the multiple individual light fixtures is accounted for as sales-type leases in accordance with the guidance for leases. Revenues associated with the sales-type leases are included in Product revenue and recorded for each fixture separately based on the customer’s monthly acknowledgment that specified fixtures have been installed and are operating as specified.</w:t>
      </w:r>
    </w:p>
    <w:p>
      <w:pPr>
        <w:spacing w:after="0" w:line="123"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payments associated with these transactions that are due during the twelve months subsequent to September 30, 2020 are included in Accounts receivable, net in Orion’s Condensed Consolidated Balance Sheets. The remaining amounts due that are associated with these transactions are included in Other long-term assets in Orion’s Condensed Consolidated Balance Sheets.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2" w:name="page13"/>
    <w:bookmarkEnd w:id="12"/>
    <w:p>
      <w:pPr>
        <w:jc w:val="both"/>
        <w:ind w:firstLine="493"/>
        <w:spacing w:after="0" w:line="296" w:lineRule="auto"/>
        <w:rPr>
          <w:sz w:val="20"/>
          <w:szCs w:val="20"/>
          <w:color w:val="auto"/>
        </w:rPr>
      </w:pPr>
      <w:r>
        <w:rPr>
          <w:rFonts w:ascii="Arial" w:cs="Arial" w:eastAsia="Arial" w:hAnsi="Arial"/>
          <w:sz w:val="16"/>
          <w:szCs w:val="16"/>
          <w:color w:val="auto"/>
        </w:rPr>
        <w:t>The customer’s monthly payment obligation commences after completion of the turnkey project. Orion generally sells the receivable from the customer to an independent financial institution either during, or shortly after completion of, the installation period. Upon execution of the receivables purchase / sales agreement, all amounts due from the customer are included in Revenues earned but not billed on Orion’s Condensed Consolidated Balance Sheets until cash is received from the financial institution. The financial institution releases funds to Orion based on the customer’s monthly acknowledgment of the progress Orion has achieved in fulfilling its installation obligation. Orion provides the progress certifications to the financial institution one month in arrears.</w:t>
      </w:r>
    </w:p>
    <w:p>
      <w:pPr>
        <w:spacing w:after="0" w:line="107"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total amount received from the sales of these receivables during the three and six months ended September 30, 2020, was $2.1 million and $2.3 million, respectively. Orion’s losses on these sales were $9 thousand for the three and six months ended September 30, 2020 and are included in Interest expense in the Condensed Consolidated Statements of Operations.</w:t>
      </w:r>
    </w:p>
    <w:p>
      <w:pPr>
        <w:spacing w:after="0" w:line="130" w:lineRule="exact"/>
        <w:rPr>
          <w:sz w:val="20"/>
          <w:szCs w:val="20"/>
          <w:color w:val="auto"/>
        </w:rPr>
      </w:pPr>
    </w:p>
    <w:p>
      <w:pPr>
        <w:jc w:val="both"/>
        <w:ind w:firstLine="493"/>
        <w:spacing w:after="0" w:line="286" w:lineRule="auto"/>
        <w:rPr>
          <w:sz w:val="20"/>
          <w:szCs w:val="20"/>
          <w:color w:val="auto"/>
        </w:rPr>
      </w:pPr>
      <w:r>
        <w:rPr>
          <w:rFonts w:ascii="Arial" w:cs="Arial" w:eastAsia="Arial" w:hAnsi="Arial"/>
          <w:sz w:val="17"/>
          <w:szCs w:val="17"/>
          <w:color w:val="auto"/>
        </w:rPr>
        <w:t>The total amount received from the sales of these receivables during the three months ended three and six months ended September 30, 2019 was $0.9 million and $3.7 million, respectively. Orion’s losses on these sales were $23 thousand and $70 thousand for the three and six months ended September 30, 2019, respectively and are included in Interest expense in the Condensed Consolidated Statement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Exemptions</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Orion expenses sales commissions when incurred because the amortization period is one year or less. These costs are recorded within Sales and marketing expense. There are no other capitalizable costs associated with obtaining contracts with customers.</w:t>
      </w:r>
    </w:p>
    <w:p>
      <w:pPr>
        <w:spacing w:after="0" w:line="116"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Orion’s performance obligations related to lighting fixtures typically do not exceed nine months in duration. As a result, Orion has elected the practical expedient that provides an exemption to the disclosure requirements regarding information about value assigned to remaining performance obligations on contracts that have original expected durations of one year or less.</w:t>
      </w:r>
    </w:p>
    <w:p>
      <w:pPr>
        <w:spacing w:after="0" w:line="130"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Orion also elected the practical expedient that permits companies to not disclose quantitative information about the future revenue when revenue is recognized as invoices are issued to customers for services performed.</w:t>
      </w:r>
    </w:p>
    <w:p>
      <w:pPr>
        <w:spacing w:after="0" w:line="116"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Other than the turnkey projects which result in sales-type leases discussed above, Orion generally receives full payment for satisfied performance obligations in less than one year. Accordingly, Orion does not adjust revenues for the impact of any potential significant financing component as permitted by the practical expedients provided in ASC 606.</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A receivable is recognized when Orion has an enforceable right to payment in accordance with contract terms and an invoice has been issued to the customer. Payment terms on invoiced amounts are typically 30 days from the invoice date.</w:t>
      </w:r>
    </w:p>
    <w:p>
      <w:pPr>
        <w:spacing w:after="0" w:line="116"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Revenue earned but not billed represents revenue that has been recognized in advance of billing the customer, which is a common practice in Orion turnkey contracts. Once Orion has an unconditional right to consideration under a turnkey contract, Orion typically bills the customer accordingly and reclassifies the amount to Accounts receivable, net. Revenue earned but not billed as of September 30, 2020, and March 31, 2020, includes $21 thousand and $39 thousand, respectively, which was not derived from contracts with customers and therefore not classified as a contract asset as defined by ASC 606.</w:t>
      </w:r>
    </w:p>
    <w:p>
      <w:pPr>
        <w:spacing w:after="0" w:line="134" w:lineRule="exact"/>
        <w:rPr>
          <w:sz w:val="20"/>
          <w:szCs w:val="20"/>
          <w:color w:val="auto"/>
        </w:rPr>
      </w:pPr>
    </w:p>
    <w:p>
      <w:pPr>
        <w:jc w:val="both"/>
        <w:ind w:right="20" w:firstLine="493"/>
        <w:spacing w:after="0" w:line="263" w:lineRule="auto"/>
        <w:rPr>
          <w:sz w:val="20"/>
          <w:szCs w:val="20"/>
          <w:color w:val="auto"/>
        </w:rPr>
      </w:pPr>
      <w:r>
        <w:rPr>
          <w:rFonts w:ascii="Arial" w:cs="Arial" w:eastAsia="Arial" w:hAnsi="Arial"/>
          <w:sz w:val="18"/>
          <w:szCs w:val="18"/>
          <w:color w:val="auto"/>
        </w:rPr>
        <w:t>Deferred revenue, current as of September 30, 2020, and March 31, 2020, includes $0.1 million and $31 thousand, respectively, of contract liabilities which represent consideration received from customers prior to the point that Orion has fulfilled the promises included in a performance obligation and recorded revenue.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3" w:name="page14"/>
    <w:bookmarkEnd w:id="13"/>
    <w:p>
      <w:pPr>
        <w:jc w:val="both"/>
        <w:ind w:firstLine="493"/>
        <w:spacing w:after="0" w:line="263" w:lineRule="auto"/>
        <w:rPr>
          <w:sz w:val="20"/>
          <w:szCs w:val="20"/>
          <w:color w:val="auto"/>
        </w:rPr>
      </w:pPr>
      <w:r>
        <w:rPr>
          <w:rFonts w:ascii="Arial" w:cs="Arial" w:eastAsia="Arial" w:hAnsi="Arial"/>
          <w:sz w:val="18"/>
          <w:szCs w:val="18"/>
          <w:color w:val="auto"/>
        </w:rPr>
        <w:t>Deferred revenue, long-term consists of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ASC 606.</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chart shows the balance of Orion’s receivables arising from contracts with customers, contract assets and contract liabilities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March 31, 2020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257"/>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740" w:type="dxa"/>
            <w:vAlign w:val="bottom"/>
            <w:tcBorders>
              <w:bottom w:val="single" w:sz="8" w:color="CFF0FC"/>
            </w:tcBorders>
          </w:tcPr>
          <w:p>
            <w:pPr>
              <w:spacing w:after="0"/>
              <w:rPr>
                <w:sz w:val="14"/>
                <w:szCs w:val="14"/>
                <w:color w:val="auto"/>
              </w:rPr>
            </w:pPr>
          </w:p>
        </w:tc>
        <w:tc>
          <w:tcPr>
            <w:tcW w:w="29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9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10,427</w:t>
            </w:r>
          </w:p>
        </w:tc>
        <w:tc>
          <w:tcPr>
            <w:tcW w:w="12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Contract assets</w:t>
            </w:r>
          </w:p>
        </w:tc>
        <w:tc>
          <w:tcPr>
            <w:tcW w:w="31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3,260</w:t>
            </w:r>
          </w:p>
        </w:tc>
        <w:tc>
          <w:tcPr>
            <w:tcW w:w="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31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5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There were no significant changes in the contract assets outside of standard reclassifications to Accounts receivable, net upon billing. There were no significant changes to contract liabilities.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ACCOUNTS RECEIVABLE, NET</w:t>
      </w:r>
    </w:p>
    <w:p>
      <w:pPr>
        <w:spacing w:after="0" w:line="175"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As of September 30, 2020, and March 31, 2020, Orion's Accounts receivable and Allowance for doubtful accounts balances were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7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2020, and March 31, 2020, Orion's Inventory balances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Excess and</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Obsolescence</w:t>
            </w:r>
          </w:p>
        </w:tc>
        <w:tc>
          <w:tcPr>
            <w:tcW w:w="320" w:type="dxa"/>
            <w:vAlign w:val="bottom"/>
          </w:tcPr>
          <w:p>
            <w:pPr>
              <w:spacing w:after="0"/>
              <w:rPr>
                <w:sz w:val="12"/>
                <w:szCs w:val="12"/>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Reserve</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 of September 30, 2020</w:t>
            </w:r>
          </w:p>
        </w:tc>
        <w:tc>
          <w:tcPr>
            <w:tcW w:w="2080" w:type="dxa"/>
            <w:vAlign w:val="bottom"/>
            <w:tcBorders>
              <w:top w:val="single" w:sz="8" w:color="CFF0FC"/>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Raw materials and components</w:t>
            </w:r>
          </w:p>
        </w:tc>
        <w:tc>
          <w:tcPr>
            <w:tcW w:w="2880" w:type="dxa"/>
            <w:vAlign w:val="bottom"/>
            <w:gridSpan w:val="2"/>
          </w:tcPr>
          <w:p>
            <w:pPr>
              <w:jc w:val="right"/>
              <w:ind w:right="61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11,002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(1,106)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 in process</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(435)</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Finished goods</w:t>
            </w:r>
          </w:p>
        </w:tc>
        <w:tc>
          <w:tcPr>
            <w:tcW w:w="2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(840)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20,500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As of March 31, 2020</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Raw materials and components</w:t>
            </w:r>
          </w:p>
        </w:tc>
        <w:tc>
          <w:tcPr>
            <w:tcW w:w="2880" w:type="dxa"/>
            <w:vAlign w:val="bottom"/>
            <w:gridSpan w:val="2"/>
          </w:tcPr>
          <w:p>
            <w:pPr>
              <w:jc w:val="right"/>
              <w:ind w:right="61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9,639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(1,244)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 in process</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(305)</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Finished goods</w:t>
            </w:r>
          </w:p>
        </w:tc>
        <w:tc>
          <w:tcPr>
            <w:tcW w:w="2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(880)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16,936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PREPAID EXPENSES AND OTHER CURRENT ASSETS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Prepaid expenses and other current assets consist primarily of prepaid insurance premiums, debt issue costs, and sales tax receivable.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8 — PROPERTY AND EQUIPMENT,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2020, and March 31, 2020, Property and equipment, net, included the following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300" w:type="dxa"/>
            <w:vAlign w:val="bottom"/>
            <w:tcBorders>
              <w:bottom w:val="single" w:sz="8" w:color="CFF0FC"/>
            </w:tcBorders>
          </w:tcPr>
          <w:p>
            <w:pPr>
              <w:spacing w:after="0"/>
              <w:rPr>
                <w:sz w:val="14"/>
                <w:szCs w:val="14"/>
                <w:color w:val="auto"/>
              </w:rPr>
            </w:pPr>
          </w:p>
        </w:tc>
        <w:tc>
          <w:tcPr>
            <w:tcW w:w="24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Land and land improvements</w:t>
            </w: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9,474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9,470</w:t>
            </w:r>
          </w:p>
        </w:tc>
        <w:tc>
          <w:tcPr>
            <w:tcW w:w="12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7,270</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Equipment leased to customers</w:t>
            </w: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12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Plant equipment</w:t>
            </w: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12,021</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Gross property and equipment</w:t>
            </w: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34,701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34,530</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(23,229)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(22,713)</w:t>
            </w: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Total property and equipment, net</w:t>
            </w:r>
          </w:p>
        </w:tc>
        <w:tc>
          <w:tcPr>
            <w:tcW w:w="24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11,817</w:t>
            </w:r>
          </w:p>
        </w:tc>
        <w:tc>
          <w:tcPr>
            <w:tcW w:w="12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0"/>
        <w:spacing w:after="0" w:line="277" w:lineRule="auto"/>
        <w:rPr>
          <w:sz w:val="20"/>
          <w:szCs w:val="20"/>
          <w:color w:val="auto"/>
        </w:rPr>
      </w:pPr>
      <w:r>
        <w:rPr>
          <w:rFonts w:ascii="Arial" w:cs="Arial" w:eastAsia="Arial" w:hAnsi="Arial"/>
          <w:sz w:val="18"/>
          <w:szCs w:val="18"/>
          <w:color w:val="auto"/>
        </w:rPr>
        <w:t>Orion recorded depreciation expense of $0.3 million and $0.6 million for the three and six months ended September 30, 2020 and September 30, 2019,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From time to time, Orion leases assets from third parties. Orion also leases certain assets to third parties.</w:t>
      </w:r>
    </w:p>
    <w:p>
      <w:pPr>
        <w:spacing w:after="0" w:line="171" w:lineRule="exact"/>
        <w:rPr>
          <w:sz w:val="20"/>
          <w:szCs w:val="20"/>
          <w:color w:val="auto"/>
        </w:rPr>
      </w:pPr>
    </w:p>
    <w:p>
      <w:pPr>
        <w:jc w:val="both"/>
        <w:ind w:firstLine="490"/>
        <w:spacing w:after="0" w:line="293" w:lineRule="auto"/>
        <w:rPr>
          <w:sz w:val="20"/>
          <w:szCs w:val="20"/>
          <w:color w:val="auto"/>
        </w:rPr>
      </w:pPr>
      <w:r>
        <w:rPr>
          <w:rFonts w:ascii="Arial" w:cs="Arial" w:eastAsia="Arial" w:hAnsi="Arial"/>
          <w:sz w:val="16"/>
          <w:szCs w:val="16"/>
          <w:color w:val="auto"/>
        </w:rPr>
        <w:t>Whether it is the lessee or the lessor, Orion’s determination of whether a contract includes a lease, and assessing how the lease should be accounted for, is a matter of judgment based on whether the risks and rewards, as well as substantive control of the assets specified in the contract, have been transferred from the lessor to the lessee. The judgment considers matters such as whether the assets are transferred from the lessor to the lessee at the end of the contract, the term of the agreement in relation to the asset’s remaining economic useful life, and whether the assets are of such a specialized nature that the lessor will not have an alternative use for such assets at the termination of the agreement. Other matters requiring judgment are the lease term when the agreement includes renewal or termination options and the interest rate used when initially determining the right of use (“ROU”) asset and lease liability.</w:t>
      </w:r>
    </w:p>
    <w:p>
      <w:pPr>
        <w:spacing w:after="0" w:line="110"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7"/>
          <w:szCs w:val="17"/>
          <w:color w:val="auto"/>
        </w:rPr>
        <w:t>ROU assets represent Orion’s right to use an underlying asset for the lease term and lease liabilities represent Orion’s obligation to make lease payments arising from the lease. Under ASC 842, both finance and operating lease ROU assets and lease liabilities for leases with initial terms in excess of 12 months are recognized at the commencement date based on the present value of lease payments over the lease term. When available, Orion uses the implicit interest rate in the lease when completing this calculation. However, as most of Orion’s operating lease agreements generating ROU assets do not provide the implicit rate, Orion’s incremental borrowing rate under its line of credit, adjusted for differences in duration and the relative collateral value in relation to the payment obligation, at the commencement of the lease is generally used in this calculation. The lease term includes options to extend or renew the agreement, or for early termination of the agreement, when it is reasonably certain that Orion will exercise such option. ROU assets are depreciated using the straight-line method over the lease term.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5" w:name="page16"/>
    <w:bookmarkEnd w:id="15"/>
    <w:p>
      <w:pPr>
        <w:jc w:val="both"/>
        <w:ind w:firstLine="490"/>
        <w:spacing w:after="0" w:line="277" w:lineRule="auto"/>
        <w:rPr>
          <w:sz w:val="20"/>
          <w:szCs w:val="20"/>
          <w:color w:val="auto"/>
        </w:rPr>
      </w:pPr>
      <w:r>
        <w:rPr>
          <w:rFonts w:ascii="Arial" w:cs="Arial" w:eastAsia="Arial" w:hAnsi="Arial"/>
          <w:sz w:val="18"/>
          <w:szCs w:val="18"/>
          <w:color w:val="auto"/>
        </w:rPr>
        <w:t>Orion recognizes lease expense for leases with an initial term of 12 months or less, referred to as short term leases, on a straight-line basis over the lease term.</w:t>
      </w:r>
    </w:p>
    <w:p>
      <w:pPr>
        <w:spacing w:after="0" w:line="116" w:lineRule="exact"/>
        <w:rPr>
          <w:sz w:val="20"/>
          <w:szCs w:val="20"/>
          <w:color w:val="auto"/>
        </w:rPr>
      </w:pPr>
    </w:p>
    <w:p>
      <w:pPr>
        <w:jc w:val="both"/>
        <w:ind w:firstLine="490"/>
        <w:spacing w:after="0" w:line="273" w:lineRule="auto"/>
        <w:rPr>
          <w:sz w:val="20"/>
          <w:szCs w:val="20"/>
          <w:color w:val="auto"/>
        </w:rPr>
      </w:pPr>
      <w:r>
        <w:rPr>
          <w:rFonts w:ascii="Arial" w:cs="Arial" w:eastAsia="Arial" w:hAnsi="Arial"/>
          <w:sz w:val="17"/>
          <w:szCs w:val="17"/>
          <w:color w:val="auto"/>
        </w:rPr>
        <w:t>One of Orion’s frequent customers purchases products and installation services under agreements that provide for monthly payments, at a fixed monthly amount, of the contract price, plus interest, typically over a five-year period. 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 portions of the transaction associated with the sale of the light fixtures is accounted for as a sales-type lease. The total transaction price in these contracts is allocated between the lease and non-lease components in the same manner as the total transaction price of other turnkey projects containing lighting fixtures and installation services.</w:t>
      </w:r>
    </w:p>
    <w:p>
      <w:pPr>
        <w:spacing w:after="0" w:line="124" w:lineRule="exact"/>
        <w:rPr>
          <w:sz w:val="20"/>
          <w:szCs w:val="20"/>
          <w:color w:val="auto"/>
        </w:rPr>
      </w:pPr>
    </w:p>
    <w:p>
      <w:pPr>
        <w:jc w:val="both"/>
        <w:ind w:firstLine="490"/>
        <w:spacing w:after="0" w:line="263" w:lineRule="auto"/>
        <w:rPr>
          <w:sz w:val="20"/>
          <w:szCs w:val="20"/>
          <w:color w:val="auto"/>
        </w:rPr>
      </w:pPr>
      <w:r>
        <w:rPr>
          <w:rFonts w:ascii="Arial" w:cs="Arial" w:eastAsia="Arial" w:hAnsi="Arial"/>
          <w:sz w:val="18"/>
          <w:szCs w:val="18"/>
          <w:color w:val="auto"/>
        </w:rPr>
        <w:t>Orion leases portions of its corporate headquarters to third parties; all such agreements have been, and continue to be, classified as operating leases under the applicable authoritative accounting guidance. The assets being leased continue to be included in Property and equipment, net. Lease payments earned are recorded as a reduction in administrative expenses.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Orion Leases from Other Parties</w:t>
      </w:r>
    </w:p>
    <w:p>
      <w:pPr>
        <w:spacing w:after="0" w:line="171"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color w:val="auto"/>
        </w:rPr>
        <w:t>On January 31, 2020, Orion entered into the current lease for its approximately 266,000 square foot primary manufacturing and distribution facility in Manitowoc, WI. The lease has a 10-year term, with the option to terminate after six years. Orion is responsible for the costs of insurance and utilities for the facility. These costs are considered variable lease costs. The agreement is classified as an operating lease.</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prior lease agreement for this facility provided the lessor the right to terminate the lease agreement at any time with 12 months’ notice to Orion.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agreement was previously classified as a short-term lease.</w:t>
      </w:r>
    </w:p>
    <w:p>
      <w:pPr>
        <w:spacing w:after="0" w:line="157" w:lineRule="exact"/>
        <w:rPr>
          <w:sz w:val="20"/>
          <w:szCs w:val="20"/>
          <w:color w:val="auto"/>
        </w:rPr>
      </w:pPr>
    </w:p>
    <w:p>
      <w:pPr>
        <w:jc w:val="both"/>
        <w:ind w:firstLine="490"/>
        <w:spacing w:after="0" w:line="263" w:lineRule="auto"/>
        <w:rPr>
          <w:sz w:val="20"/>
          <w:szCs w:val="20"/>
          <w:color w:val="auto"/>
        </w:rPr>
      </w:pPr>
      <w:r>
        <w:rPr>
          <w:rFonts w:ascii="Arial" w:cs="Arial" w:eastAsia="Arial" w:hAnsi="Arial"/>
          <w:sz w:val="18"/>
          <w:szCs w:val="18"/>
          <w:color w:val="auto"/>
        </w:rPr>
        <w:t>In February 2014, Orion entered into a multi-year lease agreement for use of approximately 10,500 square feet of office space in a multi-use office building in Jacksonville Florida. The lease has since been extended, most recently during the first quarter of fiscal 2021, and presently terminates on June 30, 2023. The agreement is classified as an operating lease.</w:t>
      </w:r>
    </w:p>
    <w:p>
      <w:pPr>
        <w:spacing w:after="0" w:line="130" w:lineRule="exact"/>
        <w:rPr>
          <w:sz w:val="20"/>
          <w:szCs w:val="20"/>
          <w:color w:val="auto"/>
        </w:rPr>
      </w:pPr>
    </w:p>
    <w:p>
      <w:pPr>
        <w:jc w:val="both"/>
        <w:ind w:firstLine="490"/>
        <w:spacing w:after="0" w:line="277" w:lineRule="auto"/>
        <w:rPr>
          <w:sz w:val="20"/>
          <w:szCs w:val="20"/>
          <w:color w:val="auto"/>
        </w:rPr>
      </w:pPr>
      <w:r>
        <w:rPr>
          <w:rFonts w:ascii="Arial" w:cs="Arial" w:eastAsia="Arial" w:hAnsi="Arial"/>
          <w:sz w:val="18"/>
          <w:szCs w:val="18"/>
          <w:color w:val="auto"/>
        </w:rPr>
        <w:t>Orion has leased other assets from third parties, principally office and production equipment. The terms of our other leases vary from contract to contract and expire at various dates throughout 2020.</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Orion’s assets leased from third parties follows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Balance sheet classification</w:t>
            </w:r>
          </w:p>
        </w:tc>
        <w:tc>
          <w:tcPr>
            <w:tcW w:w="200" w:type="dxa"/>
            <w:vAlign w:val="bottom"/>
          </w:tcPr>
          <w:p>
            <w:pPr>
              <w:spacing w:after="0"/>
              <w:rPr>
                <w:sz w:val="14"/>
                <w:szCs w:val="14"/>
                <w:color w:val="auto"/>
              </w:rPr>
            </w:pPr>
          </w:p>
        </w:tc>
        <w:tc>
          <w:tcPr>
            <w:tcW w:w="19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2020</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3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Operating lease assets</w:t>
            </w:r>
          </w:p>
        </w:tc>
        <w:tc>
          <w:tcPr>
            <w:tcW w:w="358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2,830</w:t>
            </w:r>
          </w:p>
        </w:tc>
        <w:tc>
          <w:tcPr>
            <w:tcW w:w="3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19"/>
                <w:szCs w:val="19"/>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Current liabilities</w:t>
            </w: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expenses and other</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FF0FC"/>
          </w:tcPr>
          <w:p>
            <w:pPr>
              <w:spacing w:after="0"/>
              <w:rPr>
                <w:sz w:val="19"/>
                <w:szCs w:val="19"/>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2,966</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100" w:type="dxa"/>
            <w:vAlign w:val="bottom"/>
            <w:shd w:val="clear" w:color="auto" w:fill="CFF0FC"/>
          </w:tcPr>
          <w:p>
            <w:pPr>
              <w:spacing w:after="0"/>
              <w:rPr>
                <w:sz w:val="19"/>
                <w:szCs w:val="19"/>
                <w:color w:val="auto"/>
              </w:rPr>
            </w:pPr>
          </w:p>
        </w:tc>
      </w:tr>
      <w:tr>
        <w:trPr>
          <w:trHeight w:val="223"/>
        </w:trPr>
        <w:tc>
          <w:tcPr>
            <w:tcW w:w="3500" w:type="dxa"/>
            <w:vAlign w:val="bottom"/>
          </w:tcPr>
          <w:p>
            <w:pPr>
              <w:ind w:left="500"/>
              <w:spacing w:after="0"/>
              <w:rPr>
                <w:sz w:val="20"/>
                <w:szCs w:val="20"/>
                <w:color w:val="auto"/>
              </w:rPr>
            </w:pPr>
            <w:r>
              <w:rPr>
                <w:rFonts w:ascii="Arial" w:cs="Arial" w:eastAsia="Arial" w:hAnsi="Arial"/>
                <w:sz w:val="18"/>
                <w:szCs w:val="18"/>
                <w:color w:val="auto"/>
              </w:rPr>
              <w:t>Total lease liabilities</w:t>
            </w: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Orion had operating lease costs of $0.2 million and $0.4 million for the three and six months ended September 30, 2020. Orion had operating lease costs of $0.1 million and $0.3 million for the three and six months ended September 30, 2019.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9240" w:type="dxa"/>
            <w:vAlign w:val="bottom"/>
          </w:tcPr>
          <w:p>
            <w:pPr>
              <w:ind w:left="500"/>
              <w:spacing w:after="0"/>
              <w:rPr>
                <w:sz w:val="20"/>
                <w:szCs w:val="20"/>
                <w:color w:val="auto"/>
              </w:rPr>
            </w:pPr>
            <w:r>
              <w:rPr>
                <w:rFonts w:ascii="Arial" w:cs="Arial" w:eastAsia="Arial" w:hAnsi="Arial"/>
                <w:sz w:val="18"/>
                <w:szCs w:val="18"/>
                <w:color w:val="auto"/>
                <w:w w:val="99"/>
              </w:rPr>
              <w:t>The estimated maturity of lease liabilities for each of the next five years is shown below (dollars in thousands):</w:t>
            </w:r>
          </w:p>
        </w:tc>
        <w:tc>
          <w:tcPr>
            <w:tcW w:w="1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9240" w:type="dxa"/>
            <w:vAlign w:val="bottom"/>
          </w:tcPr>
          <w:p>
            <w:pPr>
              <w:spacing w:after="0"/>
              <w:rPr>
                <w:sz w:val="20"/>
                <w:szCs w:val="20"/>
                <w:color w:val="auto"/>
              </w:rPr>
            </w:pPr>
            <w:r>
              <w:rPr>
                <w:rFonts w:ascii="Arial" w:cs="Arial" w:eastAsia="Arial" w:hAnsi="Arial"/>
                <w:sz w:val="18"/>
                <w:szCs w:val="18"/>
                <w:b w:val="1"/>
                <w:bCs w:val="1"/>
                <w:color w:val="auto"/>
              </w:rPr>
              <w:t>Maturity of Lease Liabilities</w:t>
            </w:r>
          </w:p>
        </w:tc>
        <w:tc>
          <w:tcPr>
            <w:tcW w:w="1400" w:type="dxa"/>
            <w:vAlign w:val="bottom"/>
          </w:tcPr>
          <w:p>
            <w:pPr>
              <w:spacing w:after="0"/>
              <w:rPr>
                <w:sz w:val="20"/>
                <w:szCs w:val="20"/>
                <w:color w:val="auto"/>
              </w:rPr>
            </w:pPr>
            <w:r>
              <w:rPr>
                <w:rFonts w:ascii="Arial" w:cs="Arial" w:eastAsia="Arial" w:hAnsi="Arial"/>
                <w:sz w:val="18"/>
                <w:szCs w:val="18"/>
                <w:b w:val="1"/>
                <w:bCs w:val="1"/>
                <w:color w:val="auto"/>
                <w:w w:val="91"/>
              </w:rPr>
              <w:t>Operating Leases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Fiscal 2021 (period remaining)</w:t>
            </w:r>
          </w:p>
        </w:tc>
        <w:tc>
          <w:tcPr>
            <w:tcW w:w="1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FF0FC"/>
          </w:tcPr>
          <w:p>
            <w:pPr>
              <w:spacing w:after="0"/>
              <w:rPr>
                <w:sz w:val="19"/>
                <w:szCs w:val="19"/>
                <w:color w:val="auto"/>
              </w:rPr>
            </w:pP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Fiscal 2022</w:t>
            </w: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9"/>
                <w:szCs w:val="19"/>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Fiscal 2023</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FF0FC"/>
          </w:tcPr>
          <w:p>
            <w:pPr>
              <w:spacing w:after="0"/>
              <w:rPr>
                <w:sz w:val="19"/>
                <w:szCs w:val="19"/>
                <w:color w:val="auto"/>
              </w:rPr>
            </w:pP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Fiscal 2024</w:t>
            </w: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19"/>
                <w:szCs w:val="19"/>
                <w:color w:val="auto"/>
              </w:rPr>
            </w:pP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Fiscal 2025</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FF0FC"/>
          </w:tcPr>
          <w:p>
            <w:pPr>
              <w:spacing w:after="0"/>
              <w:rPr>
                <w:sz w:val="19"/>
                <w:szCs w:val="19"/>
                <w:color w:val="auto"/>
              </w:rPr>
            </w:pPr>
          </w:p>
        </w:tc>
      </w:tr>
      <w:tr>
        <w:trPr>
          <w:trHeight w:val="230"/>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FF0FC"/>
            </w:tcBorders>
          </w:tcPr>
          <w:p>
            <w:pPr>
              <w:spacing w:after="0"/>
              <w:rPr>
                <w:sz w:val="19"/>
                <w:szCs w:val="19"/>
                <w:color w:val="auto"/>
              </w:rPr>
            </w:pPr>
          </w:p>
        </w:tc>
      </w:tr>
      <w:tr>
        <w:trPr>
          <w:trHeight w:val="223"/>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4,120</w:t>
            </w:r>
          </w:p>
        </w:tc>
        <w:tc>
          <w:tcPr>
            <w:tcW w:w="120" w:type="dxa"/>
            <w:vAlign w:val="bottom"/>
            <w:shd w:val="clear" w:color="auto" w:fill="CFF0FC"/>
          </w:tcPr>
          <w:p>
            <w:pPr>
              <w:spacing w:after="0"/>
              <w:rPr>
                <w:sz w:val="19"/>
                <w:szCs w:val="19"/>
                <w:color w:val="auto"/>
              </w:rPr>
            </w:pPr>
          </w:p>
        </w:tc>
      </w:tr>
      <w:tr>
        <w:trPr>
          <w:trHeight w:val="223"/>
        </w:trPr>
        <w:tc>
          <w:tcPr>
            <w:tcW w:w="92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Less: Interest</w:t>
            </w:r>
          </w:p>
        </w:tc>
        <w:tc>
          <w:tcPr>
            <w:tcW w:w="1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FF0FC"/>
            </w:tcBorders>
          </w:tcPr>
          <w:p>
            <w:pPr>
              <w:spacing w:after="0"/>
              <w:rPr>
                <w:sz w:val="19"/>
                <w:szCs w:val="19"/>
                <w:color w:val="auto"/>
              </w:rPr>
            </w:pPr>
          </w:p>
        </w:tc>
      </w:tr>
      <w:tr>
        <w:trPr>
          <w:trHeight w:val="223"/>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1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3,577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Orion Leases to Other Parties</w:t>
      </w:r>
    </w:p>
    <w:p>
      <w:pPr>
        <w:spacing w:after="0" w:line="171"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8"/>
          <w:szCs w:val="18"/>
          <w:color w:val="auto"/>
        </w:rPr>
        <w:t>Orion provides long-term financing to one customer who frequently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w:t>
      </w:r>
    </w:p>
    <w:p>
      <w:pPr>
        <w:spacing w:after="0" w:line="134" w:lineRule="exact"/>
        <w:rPr>
          <w:sz w:val="20"/>
          <w:szCs w:val="20"/>
          <w:color w:val="auto"/>
        </w:rPr>
      </w:pPr>
    </w:p>
    <w:p>
      <w:pPr>
        <w:jc w:val="both"/>
        <w:ind w:firstLine="490"/>
        <w:spacing w:after="0" w:line="311" w:lineRule="auto"/>
        <w:rPr>
          <w:sz w:val="20"/>
          <w:szCs w:val="20"/>
          <w:color w:val="auto"/>
        </w:rPr>
      </w:pPr>
      <w:r>
        <w:rPr>
          <w:rFonts w:ascii="Arial" w:cs="Arial" w:eastAsia="Arial" w:hAnsi="Arial"/>
          <w:sz w:val="16"/>
          <w:szCs w:val="16"/>
          <w:color w:val="auto"/>
        </w:rPr>
        <w:t>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w:t>
      </w:r>
    </w:p>
    <w:p>
      <w:pPr>
        <w:spacing w:after="0" w:line="95"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8"/>
          <w:szCs w:val="18"/>
          <w:color w:val="auto"/>
        </w:rPr>
        <w:t>Revenues, and production and acquisition costs, associated with sales-type leases are included in Product revenue and Costs of product revenues in the Condensed Consolidated Statement of Operations. These amounts are recorded for each fixture separately based on the customer’s monthly acknowledgment that specified fixtures have been installed and are operating as specified. The execution of the acknowledgement is considered the commencement date as defined in ASC 842.</w:t>
      </w:r>
    </w:p>
    <w:p>
      <w:pPr>
        <w:spacing w:after="0" w:line="133"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following chart shows the amount of revenue and cost of sales arising from sales-type leases during the three and six months ended September 30, 2020 and September 30,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8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September 30,</w:t>
            </w:r>
          </w:p>
        </w:tc>
      </w:tr>
      <w:tr>
        <w:trPr>
          <w:trHeight w:val="156"/>
        </w:trPr>
        <w:tc>
          <w:tcPr>
            <w:tcW w:w="448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3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134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FF0FC"/>
          </w:tcPr>
          <w:p>
            <w:pPr>
              <w:spacing w:after="0"/>
              <w:rPr>
                <w:sz w:val="20"/>
                <w:szCs w:val="20"/>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813</w:t>
            </w:r>
          </w:p>
        </w:tc>
        <w:tc>
          <w:tcPr>
            <w:tcW w:w="134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541</w:t>
            </w:r>
          </w:p>
        </w:tc>
        <w:tc>
          <w:tcPr>
            <w:tcW w:w="240" w:type="dxa"/>
            <w:vAlign w:val="bottom"/>
          </w:tcPr>
          <w:p>
            <w:pPr>
              <w:spacing w:after="0"/>
              <w:rPr>
                <w:sz w:val="21"/>
                <w:szCs w:val="21"/>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1,251</w:t>
            </w:r>
          </w:p>
        </w:tc>
        <w:tc>
          <w:tcPr>
            <w:tcW w:w="2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r>
    </w:tbl>
    <w:p>
      <w:pPr>
        <w:spacing w:after="0" w:line="202"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Condensed Consolidated Balance Sheets as of September 30, 2020 and March 31, 2020 includes an immaterial amount related to the net investment in sales-type leases as amounts due from the customer associated with lighting fixtures that were acknowledged to be installed and working correctly prior to period end were not transferred to the financing institution prior to the respective balance sheet dates.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Agreements where Orion is the Lessor</w:t>
      </w:r>
    </w:p>
    <w:p>
      <w:pPr>
        <w:spacing w:after="0" w:line="171"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Orion has leased unused portions of its corporate headquarters to third parties. The length and payment terms of the leases vary from contract to contract and, in some cases, include options for the tenants to extend the lease terms. Annual lease payments are recorded as a reduction in administrative operating expenses and were not material in the three and six months ended September 30, 2020 or September 30, 2019. Orion accounts for these transactions as operating leases.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10 — OTHER INTANGIBLE ASSETS, NET</w:t>
      </w:r>
    </w:p>
    <w:p>
      <w:pPr>
        <w:spacing w:after="0" w:line="175"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As of September 30, 2020, and March 31, 2020, the components of, and changes in, the carrying amount of Other intangible assets, net, were as follows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w w:val="91"/>
              </w:rPr>
              <w:t>September 30, 2020</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220" w:type="dxa"/>
            <w:vAlign w:val="bottom"/>
          </w:tcPr>
          <w:p>
            <w:pPr>
              <w:spacing w:after="0"/>
              <w:rPr>
                <w:sz w:val="11"/>
                <w:szCs w:val="11"/>
                <w:color w:val="auto"/>
              </w:rPr>
            </w:pPr>
          </w:p>
        </w:tc>
        <w:tc>
          <w:tcPr>
            <w:tcW w:w="1100" w:type="dxa"/>
            <w:vAlign w:val="bottom"/>
            <w:gridSpan w:val="3"/>
          </w:tcPr>
          <w:p>
            <w:pPr>
              <w:jc w:val="right"/>
              <w:ind w:right="181"/>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220" w:type="dxa"/>
            <w:vAlign w:val="bottom"/>
          </w:tcPr>
          <w:p>
            <w:pPr>
              <w:spacing w:after="0"/>
              <w:rPr>
                <w:sz w:val="11"/>
                <w:szCs w:val="11"/>
                <w:color w:val="auto"/>
              </w:rPr>
            </w:pPr>
          </w:p>
        </w:tc>
        <w:tc>
          <w:tcPr>
            <w:tcW w:w="1100" w:type="dxa"/>
            <w:vAlign w:val="bottom"/>
            <w:gridSpan w:val="3"/>
          </w:tcPr>
          <w:p>
            <w:pPr>
              <w:jc w:val="right"/>
              <w:ind w:right="181"/>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0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0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Patents</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Licenses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Trade name and trademarks (indefinite lived)</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(3,571)</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(3,545)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(857)</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(819)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8,367</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Amortization expense on intangible assets was $0.1 million and $0.2 million for the three and six months ended September 30, 2020 and 2019, respectively.</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2020, the weighted average remaining useful life of intangible assets was 4.5 years.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estimated amortization expense for the remainder of fiscal 2021, the next five fiscal years and beyond is shown below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Fiscal 2021 (period remaining)</w:t>
            </w:r>
          </w:p>
        </w:tc>
        <w:tc>
          <w:tcPr>
            <w:tcW w:w="760" w:type="dxa"/>
            <w:vAlign w:val="bottom"/>
            <w:gridSpan w:val="2"/>
            <w:shd w:val="clear" w:color="auto" w:fill="CFF0FC"/>
          </w:tcPr>
          <w:p>
            <w:pPr>
              <w:jc w:val="right"/>
              <w:ind w:right="629"/>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Fiscal 2022</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Fiscal 2023</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Fiscal 2024</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Fiscal 2025</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Fiscal 2026</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FF0FC"/>
          </w:tcPr>
          <w:p>
            <w:pPr>
              <w:spacing w:after="0"/>
              <w:rPr>
                <w:sz w:val="19"/>
                <w:szCs w:val="19"/>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ACCRUED EXPENSES AND OTHER</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2020, and March 31, 2020, Accrued expenses and other included the following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253"/>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7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benefits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Sales tax</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project costs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Sales returns reserve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Credits due to customers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accruals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10,194</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ballasts, LED modules, chips and drivers, control devices, and other fixture related items, which are significant components in Orion's lighting products.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left="50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58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07"/>
              <w:spacing w:after="0"/>
              <w:rPr>
                <w:sz w:val="20"/>
                <w:szCs w:val="20"/>
                <w:color w:val="auto"/>
              </w:rPr>
            </w:pPr>
            <w:r>
              <w:rPr>
                <w:rFonts w:ascii="Arial" w:cs="Arial" w:eastAsia="Arial" w:hAnsi="Arial"/>
                <w:sz w:val="14"/>
                <w:szCs w:val="14"/>
                <w:b w:val="1"/>
                <w:bCs w:val="1"/>
                <w:color w:val="auto"/>
                <w:w w:val="96"/>
              </w:rPr>
              <w:t>September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Beginning of period</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Accruals</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Warranty claims (net of vendor reimbursements)</w:t>
            </w:r>
          </w:p>
        </w:tc>
        <w:tc>
          <w:tcPr>
            <w:tcW w:w="7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(158)</w:t>
            </w:r>
          </w:p>
        </w:tc>
        <w:tc>
          <w:tcPr>
            <w:tcW w:w="7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5"/>
              </w:rPr>
              <w:t>(115)</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(331)</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(200)</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End of period</w:t>
            </w: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NET INCOME (LOSS) PER COMMON SHARE</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For the six months ended September 30, 2020, Orion was in a net loss position; therefore, the Basic and Diluted weighted-average shares outstanding are equal because any increase to the basic shares would be anti-dilutive. Basic and Diluted net income (loss) per common share was calculated based upon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440" w:type="dxa"/>
            <w:vAlign w:val="bottom"/>
            <w:gridSpan w:val="6"/>
          </w:tcPr>
          <w:p>
            <w:pPr>
              <w:ind w:left="24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Net income (loss) (in thousands)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1,914</w:t>
            </w:r>
          </w:p>
        </w:tc>
        <w:tc>
          <w:tcPr>
            <w:tcW w:w="2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6,721</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30,669,272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30,189,067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30,511,611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29,957,541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and common share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equivalents outstanding</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31,170,139</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30,830,381</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30,511,611</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30,757,863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20"/>
                <w:szCs w:val="20"/>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0.22</w:t>
            </w:r>
          </w:p>
        </w:tc>
        <w:tc>
          <w:tcPr>
            <w:tcW w:w="24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790"/>
        <w:spacing w:after="0" w:line="293" w:lineRule="auto"/>
        <w:rPr>
          <w:sz w:val="20"/>
          <w:szCs w:val="20"/>
          <w:color w:val="auto"/>
        </w:rPr>
      </w:pPr>
      <w:r>
        <w:rPr>
          <w:rFonts w:ascii="Arial" w:cs="Arial" w:eastAsia="Arial" w:hAnsi="Arial"/>
          <w:sz w:val="16"/>
          <w:szCs w:val="16"/>
          <w:color w:val="212529"/>
        </w:rPr>
        <w:t xml:space="preserve">Orion uses the treasury stock method to calculate the effect of outstanding dilutive equity incentive instruments, which requires Orion to compute total proceeds as the sum of the amount the employee must pay upon exercise of the award and the amount of unearned stock-based compensation costs attributable to future services. </w:t>
      </w:r>
      <w:r>
        <w:rPr>
          <w:rFonts w:ascii="Arial" w:cs="Arial" w:eastAsia="Arial" w:hAnsi="Arial"/>
          <w:sz w:val="16"/>
          <w:szCs w:val="16"/>
          <w:color w:val="000000"/>
        </w:rPr>
        <w:t>Equity incentive instruments for which the total employee proceeds from exercise exceed the average fair value of the</w:t>
      </w:r>
      <w:r>
        <w:rPr>
          <w:rFonts w:ascii="Arial" w:cs="Arial" w:eastAsia="Arial" w:hAnsi="Arial"/>
          <w:sz w:val="16"/>
          <w:szCs w:val="16"/>
          <w:color w:val="212529"/>
        </w:rPr>
        <w:t xml:space="preserve"> </w:t>
      </w:r>
      <w:r>
        <w:rPr>
          <w:rFonts w:ascii="Arial" w:cs="Arial" w:eastAsia="Arial" w:hAnsi="Arial"/>
          <w:sz w:val="16"/>
          <w:szCs w:val="16"/>
          <w:color w:val="000000"/>
        </w:rPr>
        <w:t>same equity incentive instrument over the period have an anti-dilutive effect on net income per common share during periods with net income, and accordingly, Orion excludes them from the calculation. Due to the net loss incurred during the six months ended September 30, 2020, the assumed exercise of all equity incentive instruments was anti-dilutive and, therefore, was not included in the diluted loss per common share calculation for those periods.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LONG-TERM DEBT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260" w:type="dxa"/>
            <w:vAlign w:val="bottom"/>
            <w:tcBorders>
              <w:bottom w:val="single" w:sz="8" w:color="CFF0FC"/>
            </w:tcBorders>
          </w:tcPr>
          <w:p>
            <w:pPr>
              <w:spacing w:after="0"/>
              <w:rPr>
                <w:sz w:val="14"/>
                <w:szCs w:val="14"/>
                <w:color w:val="auto"/>
              </w:rPr>
            </w:pPr>
          </w:p>
        </w:tc>
        <w:tc>
          <w:tcPr>
            <w:tcW w:w="24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4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10,013</w:t>
            </w:r>
          </w:p>
        </w:tc>
        <w:tc>
          <w:tcPr>
            <w:tcW w:w="120" w:type="dxa"/>
            <w:vAlign w:val="bottom"/>
            <w:shd w:val="clear" w:color="auto" w:fill="CFF0FC"/>
          </w:tcPr>
          <w:p>
            <w:pPr>
              <w:spacing w:after="0"/>
              <w:rPr>
                <w:sz w:val="19"/>
                <w:szCs w:val="19"/>
                <w:color w:val="auto"/>
              </w:rPr>
            </w:pPr>
          </w:p>
        </w:tc>
      </w:tr>
      <w:tr>
        <w:trPr>
          <w:trHeight w:val="230"/>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Equipment debt obligations</w:t>
            </w:r>
          </w:p>
        </w:tc>
        <w:tc>
          <w:tcPr>
            <w:tcW w:w="24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FF0FC"/>
            </w:tcBorders>
          </w:tcPr>
          <w:p>
            <w:pPr>
              <w:spacing w:after="0"/>
              <w:rPr>
                <w:sz w:val="19"/>
                <w:szCs w:val="19"/>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2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10,098</w:t>
            </w:r>
          </w:p>
        </w:tc>
        <w:tc>
          <w:tcPr>
            <w:tcW w:w="12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less current maturities</w:t>
            </w:r>
          </w:p>
        </w:tc>
        <w:tc>
          <w:tcPr>
            <w:tcW w:w="24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90"/>
        <w:spacing w:after="0" w:line="263" w:lineRule="auto"/>
        <w:rPr>
          <w:sz w:val="20"/>
          <w:szCs w:val="20"/>
          <w:color w:val="auto"/>
        </w:rPr>
      </w:pPr>
      <w:r>
        <w:rPr>
          <w:rFonts w:ascii="Arial" w:cs="Arial" w:eastAsia="Arial" w:hAnsi="Arial"/>
          <w:sz w:val="18"/>
          <w:szCs w:val="18"/>
          <w:color w:val="auto"/>
        </w:rPr>
        <w:t>On October 26, 2018, Orion and its subsidiaries entered into a new secured revolving Business Financing Agreement with Western Alliance Bank, as lender (the “Credit Agreement”). On June 3, 2019, Orion and certain of its subsidiaries entered into an amendment to the Credit Agreement, which increased the maximum borrowing base credit available for certain of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9" w:name="page20"/>
    <w:bookmarkEnd w:id="19"/>
    <w:p>
      <w:pPr>
        <w:jc w:val="both"/>
        <w:spacing w:after="0" w:line="269" w:lineRule="auto"/>
        <w:rPr>
          <w:sz w:val="20"/>
          <w:szCs w:val="20"/>
          <w:color w:val="auto"/>
        </w:rPr>
      </w:pPr>
      <w:r>
        <w:rPr>
          <w:rFonts w:ascii="Arial" w:cs="Arial" w:eastAsia="Arial" w:hAnsi="Arial"/>
          <w:sz w:val="17"/>
          <w:szCs w:val="17"/>
          <w:color w:val="auto"/>
        </w:rPr>
        <w:t>customer receivables included in Orion’s borrowing base and provided for a borrowing base credit of up to $3.0 million based on inventory, in each case, subject to certain conditions. On August 2, 2019, Orion and certain of its subsidiaries entered into a second amendment to the Credit Agreement, which established a rent reserve in an amount equal to three months’ rent payable at any leased location where Orion maintains inventory included in its borrowing base and provided for a reduction of the borrowing base credit that Orion may receive for inventory if Orion defaults under the lease for any such location. On November 21, 2019, Orion and certain of its subsidiaries entered into a third amendment to the Credit Agreement, which extended the maturity date from October 26, 2020 to October 26, 2021; increased the sublimit under the Credit Agreement for advances under business credit cards from $1.5 million to $3 million; created a new $2 million sublimit permitting entry into foreign currency forward contracts with the lender; expanded Orion’s ability to make capital expenditures and incur other debt from time to time; and permitted the lender to amend the financial covenant included in the Credit Agreement (which requires the maintenance of a certain amount of unrestricted cash on deposit with the lender at the end of each month) upon receipt of Orion’s annual projections.</w:t>
      </w:r>
    </w:p>
    <w:p>
      <w:pPr>
        <w:spacing w:after="0" w:line="131" w:lineRule="exact"/>
        <w:rPr>
          <w:sz w:val="20"/>
          <w:szCs w:val="20"/>
          <w:color w:val="auto"/>
        </w:rPr>
      </w:pPr>
    </w:p>
    <w:p>
      <w:pPr>
        <w:jc w:val="both"/>
        <w:ind w:firstLine="490"/>
        <w:spacing w:after="0" w:line="293" w:lineRule="auto"/>
        <w:rPr>
          <w:sz w:val="20"/>
          <w:szCs w:val="20"/>
          <w:color w:val="auto"/>
        </w:rPr>
      </w:pPr>
      <w:r>
        <w:rPr>
          <w:rFonts w:ascii="Arial" w:cs="Arial" w:eastAsia="Arial" w:hAnsi="Arial"/>
          <w:sz w:val="16"/>
          <w:szCs w:val="16"/>
          <w:color w:val="auto"/>
        </w:rPr>
        <w:t>The Credit Agreement, as amended, provides for a revolving credit facility (the “Credit Facility”) maturing on October 26, 2021. Borrowings under the Credit Facility are currently limited to $20.15 million, subject to a borrowing base requirement based on eligible receivables and inventory. The Credit Agreement, as amended, includes a $2.0 million sublimit for the issuance of letters of credit. As of September 30, 2020, Orion’s borrowing base was $16.4 million, and Orion had $7.9 million borrowings outstanding. Orion had no outstanding letters of credit leaving total borrowing availability of $8.5 million. While Orion’s borrowings under the Credit Agreement are currently recorded as a long-term liability on our balance sheet, Orion expects this characterization to change to a current liability during the third quarter as the Credit Agreement will then mature in less than 12 months.</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is secured by a security interest in substantially all of Orion's and its subsidiaries’ personal property.</w:t>
      </w:r>
    </w:p>
    <w:p>
      <w:pPr>
        <w:spacing w:after="0" w:line="171" w:lineRule="exact"/>
        <w:rPr>
          <w:sz w:val="20"/>
          <w:szCs w:val="20"/>
          <w:color w:val="auto"/>
        </w:rPr>
      </w:pPr>
    </w:p>
    <w:p>
      <w:pPr>
        <w:jc w:val="both"/>
        <w:ind w:firstLine="490"/>
        <w:spacing w:after="0" w:line="296" w:lineRule="auto"/>
        <w:rPr>
          <w:sz w:val="20"/>
          <w:szCs w:val="20"/>
          <w:color w:val="auto"/>
        </w:rPr>
      </w:pPr>
      <w:r>
        <w:rPr>
          <w:rFonts w:ascii="Arial" w:cs="Arial" w:eastAsia="Arial" w:hAnsi="Arial"/>
          <w:sz w:val="16"/>
          <w:szCs w:val="16"/>
          <w:color w:val="auto"/>
        </w:rPr>
        <w:t>Borrowings under the Credit Agreement generally bear interest at floating rates based upon the prime rate (but not less than 5.00% per year) plus an applicable margin determined by reference to Orion’s quick ratio (defined as the aggregate amount of unrestricted cash, unrestricted marketable securities and, with certain adjustments, receivables convertible into cash divided by total current liabilities, including the obligations under the Credit Agreement). As of September 30, 2020, the applicable interest rate was 5.25%. Among other fees, Orion is required to pay an annual facility fee equal to 0.45% of the credit limit under the Credit Agreement, which was paid at commencement (October 26, 2018) and is due on each anniversary thereof.</w:t>
      </w:r>
    </w:p>
    <w:p>
      <w:pPr>
        <w:spacing w:after="0" w:line="107"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8"/>
          <w:szCs w:val="18"/>
          <w:color w:val="auto"/>
        </w:rPr>
        <w:t>The Credit Agreement requires Orion to maintain nine months’ of “RML” as of the end of each month. For purposes of the Credit Agreement, RML is defined as, as of the applicable determination date, unrestricted cash on deposit with the lender plus availability under the Credit Agreement divided by an amount equal to, for the applicable trailing three-month period, consolidated net profit before tax, plus depreciation expense, amortization expense and stock-based compensation, minus capital lease principal payments, tested as of the end of each month. As of September 30, 2020, Orion was in compliance with this RML requirement.</w:t>
      </w:r>
    </w:p>
    <w:p>
      <w:pPr>
        <w:spacing w:after="0" w:line="134" w:lineRule="exact"/>
        <w:rPr>
          <w:sz w:val="20"/>
          <w:szCs w:val="20"/>
          <w:color w:val="auto"/>
        </w:rPr>
      </w:pPr>
    </w:p>
    <w:p>
      <w:pPr>
        <w:jc w:val="both"/>
        <w:ind w:firstLine="490"/>
        <w:spacing w:after="0" w:line="273" w:lineRule="auto"/>
        <w:rPr>
          <w:sz w:val="20"/>
          <w:szCs w:val="20"/>
          <w:color w:val="auto"/>
        </w:rPr>
      </w:pPr>
      <w:r>
        <w:rPr>
          <w:rFonts w:ascii="Arial" w:cs="Arial" w:eastAsia="Arial" w:hAnsi="Arial"/>
          <w:sz w:val="17"/>
          <w:szCs w:val="17"/>
          <w:color w:val="auto"/>
        </w:rPr>
        <w:t>The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Orion becomes the subject of voluntary or involuntary proceedings under any bankruptcy or similar law, then any outstanding obligations under the Credit Agreement will automatically become immediately due and payable.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Debt Obligations</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In June 2015, Orion entered into an agreement with a financing company in the principal amount of $0.4 million to fund the purchase of certain equipment. The debt was secured by the related equipment. The debt incurred interest at a rate of 5.94% and matured in June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0" w:name="page21"/>
    <w:bookmarkEnd w:id="20"/>
    <w:p>
      <w:pPr>
        <w:jc w:val="both"/>
        <w:ind w:firstLine="493"/>
        <w:spacing w:after="0" w:line="263" w:lineRule="auto"/>
        <w:rPr>
          <w:sz w:val="20"/>
          <w:szCs w:val="20"/>
          <w:color w:val="auto"/>
        </w:rPr>
      </w:pPr>
      <w:r>
        <w:rPr>
          <w:rFonts w:ascii="Arial" w:cs="Arial" w:eastAsia="Arial" w:hAnsi="Arial"/>
          <w:sz w:val="18"/>
          <w:szCs w:val="18"/>
          <w:color w:val="auto"/>
        </w:rPr>
        <w:t>In February 2019, Orion entered into additional debt agreements with a financing company in the principal amount of $44 thousand and $30 thousand to fund the purchase of certain equipment. The debts are secured by the related equipment. The debts bear interest at a rate of 6.43% and 8.77%, respectively, and both debts mature in January 2024.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75" w:lineRule="exact"/>
        <w:rPr>
          <w:sz w:val="20"/>
          <w:szCs w:val="20"/>
          <w:color w:val="auto"/>
        </w:rPr>
      </w:pPr>
    </w:p>
    <w:p>
      <w:pPr>
        <w:jc w:val="both"/>
        <w:ind w:firstLine="493"/>
        <w:spacing w:after="0" w:line="275" w:lineRule="auto"/>
        <w:rPr>
          <w:sz w:val="20"/>
          <w:szCs w:val="20"/>
          <w:color w:val="auto"/>
        </w:rPr>
      </w:pPr>
      <w:r>
        <w:rPr>
          <w:rFonts w:ascii="Arial" w:cs="Arial" w:eastAsia="Arial" w:hAnsi="Arial"/>
          <w:sz w:val="17"/>
          <w:szCs w:val="17"/>
          <w:color w:val="auto"/>
        </w:rPr>
        <w:t>Orion’s income tax provision was determined by applying an estimated annual effective tax rate based upon the facts and circumstances known to book income (loss) before income tax, adjusting for discrete items. Orion’s actual effective tax rate is adjusted each interim period, as appropriate, for changes in facts and circumstances. For the three month period ended September 30, 2020 and 2019, Orion recorded income tax expense (benefit) of $(72) thousand and $19 thousand, respectively, using this methodology. For the six month period ended September 30, 2020 and 2019, Orion recorded income tax expense of $1 thousand and $27 thousand, respectively, using this methodology.</w:t>
      </w:r>
    </w:p>
    <w:p>
      <w:pPr>
        <w:spacing w:after="0" w:line="122"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8"/>
          <w:szCs w:val="18"/>
          <w:color w:val="auto"/>
        </w:rPr>
        <w:t>As of September 30, 2020 and March 31, 2020, Orion had a full valuation allowance recorded against its deferred tax assets. Orion considers future taxable income and ongoing prudent and feasible tax planning strategies in assessing the need for the valuation allowance. In the event that Orion determines that the deferred tax assets are able to be realized, an adjustment to the valuation allowance would increase income in the period such determination is made.</w:t>
      </w:r>
    </w:p>
    <w:p>
      <w:pPr>
        <w:spacing w:after="0" w:line="133"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8"/>
          <w:szCs w:val="18"/>
          <w:color w:val="auto"/>
        </w:rPr>
        <w:t>The CARES Act includes significant business tax provisions that, among other things, temporarily eliminate the taxable income limit for certain NOLs, allow businesses to carry back tax year 2018-2020 NOLs to the five prior tax years, accelerate refunds of corporate AMT credits, and generally decrease the amount of disallowed business interest expense. Because of Orion’s loss carryforwards, Orion does not anticipate the income tax provisions of the CARES Act to result in a material cash or financial statement impact during fiscal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As of September 30, 2020, Orion’s balance of gross unrecognized tax benefits was approximately $0.3 million, $0.2 million of which would reduce Orion’s effective tax rate if recognized.</w:t>
      </w:r>
    </w:p>
    <w:p>
      <w:pPr>
        <w:spacing w:after="0" w:line="116"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expense. Penalties and interest are included in the unrecognized tax benefits.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right="20" w:firstLine="493"/>
        <w:spacing w:after="0" w:line="308" w:lineRule="auto"/>
        <w:rPr>
          <w:sz w:val="20"/>
          <w:szCs w:val="20"/>
          <w:color w:val="auto"/>
        </w:rPr>
      </w:pPr>
      <w:r>
        <w:rPr>
          <w:rFonts w:ascii="Arial" w:cs="Arial" w:eastAsia="Arial" w:hAnsi="Arial"/>
          <w:sz w:val="17"/>
          <w:szCs w:val="17"/>
          <w:color w:val="auto"/>
        </w:rPr>
        <w:t>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During fiscal 2018, Orion was notified of a pending sales and use tax audit by the Wisconsin Department of Revenue for the period covering April 1, 2013 through March 31, 2017. Although the final resolution of Orion's sales and use tax audit is uncertain, the ultimate disposition of this matter is not expected to have a material adverse effect on Orion's future results of operations or financial conditions.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SHAREHOLDERS’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171" w:lineRule="exact"/>
        <w:rPr>
          <w:sz w:val="20"/>
          <w:szCs w:val="20"/>
          <w:color w:val="auto"/>
        </w:rPr>
      </w:pPr>
    </w:p>
    <w:p>
      <w:pPr>
        <w:jc w:val="both"/>
        <w:ind w:firstLine="490"/>
        <w:spacing w:after="0" w:line="277" w:lineRule="auto"/>
        <w:rPr>
          <w:sz w:val="20"/>
          <w:szCs w:val="20"/>
          <w:color w:val="auto"/>
        </w:rPr>
      </w:pPr>
      <w:r>
        <w:rPr>
          <w:rFonts w:ascii="Arial" w:cs="Arial" w:eastAsia="Arial" w:hAnsi="Arial"/>
          <w:sz w:val="18"/>
          <w:szCs w:val="18"/>
          <w:color w:val="auto"/>
        </w:rPr>
        <w:t>On January 3, 2019, Orion entered into Amendment No. 1 to the Rights Agreement, which amended the Rights Agreement dated as of January 7, 2009 and extended its terms by three years to January 7, 2022. Under the amendment, each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common share purchase right (a “Right”), if exercisable, will initially represent the right to purchase from Orion, one share of Orion’s common stock, no par value per share, for a purchase price of $7.00 per share.</w:t>
      </w:r>
    </w:p>
    <w:p>
      <w:pPr>
        <w:spacing w:after="0" w:line="116"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8"/>
          <w:szCs w:val="18"/>
          <w:color w:val="auto"/>
        </w:rPr>
        <w:t>The Rights will not be exercisable (and will be transferable only with Orion’s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Orion’s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34" w:lineRule="exact"/>
        <w:rPr>
          <w:sz w:val="20"/>
          <w:szCs w:val="20"/>
          <w:color w:val="auto"/>
        </w:rPr>
      </w:pPr>
    </w:p>
    <w:p>
      <w:pPr>
        <w:jc w:val="both"/>
        <w:ind w:firstLine="493"/>
        <w:spacing w:after="0" w:line="254" w:lineRule="auto"/>
        <w:rPr>
          <w:sz w:val="20"/>
          <w:szCs w:val="20"/>
          <w:color w:val="auto"/>
        </w:rPr>
      </w:pPr>
      <w:r>
        <w:rPr>
          <w:rFonts w:ascii="Arial" w:cs="Arial" w:eastAsia="Arial" w:hAnsi="Arial"/>
          <w:sz w:val="18"/>
          <w:szCs w:val="18"/>
          <w:color w:val="auto"/>
        </w:rPr>
        <w:t>If a person becomes an Acquiring Person, holders of Rights (except as otherwise provided in the Rights Agreement) will have the right to receive upon exercise that number of shares of Orion’s common stock having a market value of two times the then-current purchase price, and all Rights beneficially owned by an Acquiring Person, or by certain related parties or transferees, will be null and void. If, after a Shares Acquisition Date, Orion is acquired in a merger or other business combination transaction or 50% or more of its consolidated assets or earning power are sold, proper provision will be made so that each holder of a Right (except as otherwise provided in the Rights Agreement) will thereafter have the right to receive upon exercise that number of shares of the acquiring company’s common stock which at the time of such transaction will have a market value of two times the then-current purchase price.</w:t>
      </w:r>
    </w:p>
    <w:p>
      <w:pPr>
        <w:spacing w:after="0" w:line="14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Until a Right is exercised, the holder thereof, as such, will have no rights as a shareholder of Orion. At any time prior to a person becoming an Acquiring Person, the Board of Directors of Orion may redeem the Rights in whole, but not in part, at a price of $0.001 per Right. Unless they are extended or earlier redeemed or exchanged, the Rights will expire on January 7, 2022.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right="20" w:firstLine="493"/>
        <w:spacing w:after="0" w:line="258" w:lineRule="auto"/>
        <w:rPr>
          <w:sz w:val="20"/>
          <w:szCs w:val="20"/>
          <w:color w:val="auto"/>
        </w:rPr>
      </w:pPr>
      <w:r>
        <w:rPr>
          <w:rFonts w:ascii="Arial" w:cs="Arial" w:eastAsia="Arial" w:hAnsi="Arial"/>
          <w:sz w:val="18"/>
          <w:szCs w:val="18"/>
          <w:color w:val="auto"/>
        </w:rPr>
        <w:t>In August 2010, Orion’s Board of Directors approved a non-compensatory employee stock purchase plan, or “ESPP”. In the three months ended September 30, 2020, Orion issued 151 shares under the ESPP plan at a closing market price of $7.57.</w:t>
      </w:r>
    </w:p>
    <w:tbl>
      <w:tblPr>
        <w:tblLayout w:type="fixed"/>
        <w:tblInd w:w="0" w:type="dxa"/>
        <w:tblCellMar>
          <w:top w:w="0" w:type="dxa"/>
          <w:left w:w="0" w:type="dxa"/>
          <w:bottom w:w="0" w:type="dxa"/>
          <w:right w:w="0" w:type="dxa"/>
        </w:tblCellMar>
      </w:tblPr>
      <w:tr>
        <w:trPr>
          <w:trHeight w:val="141"/>
        </w:trPr>
        <w:tc>
          <w:tcPr>
            <w:tcW w:w="7720" w:type="dxa"/>
            <w:vAlign w:val="bottom"/>
          </w:tcPr>
          <w:p>
            <w:pPr>
              <w:spacing w:after="0"/>
              <w:rPr>
                <w:sz w:val="12"/>
                <w:szCs w:val="12"/>
                <w:color w:val="auto"/>
              </w:rPr>
            </w:pPr>
          </w:p>
        </w:tc>
        <w:tc>
          <w:tcPr>
            <w:tcW w:w="1220" w:type="dxa"/>
            <w:vAlign w:val="bottom"/>
          </w:tcPr>
          <w:p>
            <w:pPr>
              <w:jc w:val="center"/>
              <w:ind w:left="228"/>
              <w:spacing w:after="0" w:line="141" w:lineRule="exact"/>
              <w:rPr>
                <w:sz w:val="20"/>
                <w:szCs w:val="20"/>
                <w:color w:val="auto"/>
              </w:rPr>
            </w:pPr>
            <w:r>
              <w:rPr>
                <w:rFonts w:ascii="Arial" w:cs="Arial" w:eastAsia="Arial" w:hAnsi="Arial"/>
                <w:sz w:val="14"/>
                <w:szCs w:val="14"/>
                <w:b w:val="1"/>
                <w:bCs w:val="1"/>
                <w:color w:val="auto"/>
                <w:w w:val="88"/>
              </w:rPr>
              <w:t>Shares Issued</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Closing Market</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22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5"/>
              </w:rPr>
              <w:t>Under ESPP</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4"/>
              </w:rPr>
              <w:t>Plan</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Quarter Ended June 30, 2020</w:t>
            </w: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458</w:t>
            </w: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3.46</w:t>
            </w:r>
          </w:p>
        </w:tc>
        <w:tc>
          <w:tcPr>
            <w:tcW w:w="0" w:type="dxa"/>
            <w:vAlign w:val="bottom"/>
          </w:tcPr>
          <w:p>
            <w:pPr>
              <w:spacing w:after="0"/>
              <w:rPr>
                <w:sz w:val="1"/>
                <w:szCs w:val="1"/>
                <w:color w:val="auto"/>
              </w:rPr>
            </w:pPr>
          </w:p>
        </w:tc>
      </w:tr>
      <w:tr>
        <w:trPr>
          <w:trHeight w:val="229"/>
        </w:trPr>
        <w:tc>
          <w:tcPr>
            <w:tcW w:w="8940" w:type="dxa"/>
            <w:vAlign w:val="bottom"/>
            <w:gridSpan w:val="2"/>
          </w:tcPr>
          <w:p>
            <w:pPr>
              <w:spacing w:after="0"/>
              <w:rPr>
                <w:sz w:val="20"/>
                <w:szCs w:val="20"/>
                <w:color w:val="auto"/>
              </w:rPr>
            </w:pPr>
            <w:r>
              <w:rPr>
                <w:rFonts w:ascii="Arial" w:cs="Arial" w:eastAsia="Arial" w:hAnsi="Arial"/>
                <w:sz w:val="18"/>
                <w:szCs w:val="18"/>
                <w:color w:val="auto"/>
              </w:rPr>
              <w:t>Quarter Ended September 30, 2020</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151</w:t>
            </w:r>
          </w:p>
        </w:tc>
        <w:tc>
          <w:tcPr>
            <w:tcW w:w="1980" w:type="dxa"/>
            <w:vAlign w:val="bottom"/>
            <w:gridSpan w:val="2"/>
          </w:tcPr>
          <w:p>
            <w:pPr>
              <w:jc w:val="center"/>
              <w:ind w:left="190"/>
              <w:spacing w:after="0"/>
              <w:rPr>
                <w:sz w:val="20"/>
                <w:szCs w:val="20"/>
                <w:color w:val="auto"/>
              </w:rPr>
            </w:pPr>
            <w:r>
              <w:rPr>
                <w:rFonts w:ascii="Arial" w:cs="Arial" w:eastAsia="Arial" w:hAnsi="Arial"/>
                <w:sz w:val="18"/>
                <w:szCs w:val="18"/>
                <w:color w:val="auto"/>
                <w:w w:val="85"/>
              </w:rPr>
              <w:t>7.57</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issued in fiscal 2021</w:t>
            </w:r>
          </w:p>
        </w:tc>
        <w:tc>
          <w:tcPr>
            <w:tcW w:w="122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609</w:t>
            </w:r>
          </w:p>
        </w:tc>
        <w:tc>
          <w:tcPr>
            <w:tcW w:w="1980" w:type="dxa"/>
            <w:vAlign w:val="bottom"/>
            <w:tcBorders>
              <w:top w:val="single" w:sz="8" w:color="CFF0FC"/>
              <w:bottom w:val="single" w:sz="8" w:color="CFF0FC"/>
            </w:tcBorders>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88"/>
              </w:rPr>
              <w:t>$ 3.46 - 7.57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 OPTIONS AND RESTRICTED SHARES</w:t>
      </w:r>
    </w:p>
    <w:p>
      <w:pPr>
        <w:spacing w:after="0" w:line="175"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At Orion’s 2019 annual meeting of shareholders held on August 7, 2019, Orion’s shareholders approved the Orion Energy Systems, Inc. 2016 Omnibus Incentive Plan, as amended and restated (the “Amended 2016 Plan”). Approval of the Amended 2016 Plan increased the number of shares of Orion’s common stock available for issuance under the Amended 2016 Plan from 1,750,000 shares to 3,500,000 shares (an increase of 1,750,000 shares); added a minimum vesting period for all awards granted under the Amended 2016 Plan (with limited exceptions); and added a specific prohibition on the payment of dividends and dividend equivalents on unvested awards.</w:t>
      </w:r>
    </w:p>
    <w:p>
      <w:pPr>
        <w:spacing w:after="0" w:line="134"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30"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Prior to the 2016 Omnibus Incentive Plan, Orion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the 2004 Plan or under the Amended 2016 Plan. The Amended 2016 Plan and the 2004 Plan also permit accelerated vesting in the event of certain changes of control of Orion as well as under other special circumstances.</w:t>
      </w:r>
    </w:p>
    <w:p>
      <w:pPr>
        <w:spacing w:after="0" w:line="116"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Certain non-employee directors have from time to time elected to receive stock awards in lieu of cash compensation pursuant to elections made under Orion’s non-employee director compensation program.</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amounts of stock-based compensation were recorded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58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27"/>
              <w:spacing w:after="0"/>
              <w:rPr>
                <w:sz w:val="20"/>
                <w:szCs w:val="20"/>
                <w:color w:val="auto"/>
              </w:rPr>
            </w:pPr>
            <w:r>
              <w:rPr>
                <w:rFonts w:ascii="Arial" w:cs="Arial" w:eastAsia="Arial" w:hAnsi="Arial"/>
                <w:sz w:val="14"/>
                <w:szCs w:val="14"/>
                <w:b w:val="1"/>
                <w:bCs w:val="1"/>
                <w:color w:val="auto"/>
                <w:w w:val="93"/>
              </w:rPr>
              <w:t>September 30,</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76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Sales and marketing</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159</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first six months of fiscal 2021, Orion had the following activity related to its stock-based compensation: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Restricted Shares</w:t>
            </w: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 Options</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March 31, 2020</w:t>
            </w:r>
          </w:p>
        </w:tc>
        <w:tc>
          <w:tcPr>
            <w:tcW w:w="2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772,720</w:t>
            </w:r>
          </w:p>
        </w:tc>
        <w:tc>
          <w:tcPr>
            <w:tcW w:w="3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Awards granted</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261,793</w:t>
            </w:r>
          </w:p>
        </w:tc>
        <w:tc>
          <w:tcPr>
            <w:tcW w:w="30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Awards vested or exercised</w:t>
            </w:r>
          </w:p>
        </w:tc>
        <w:tc>
          <w:tcPr>
            <w:tcW w:w="2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(419,131)</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(29,000)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Awards forfeited</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(102,982)</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September 30, 2020</w:t>
            </w:r>
          </w:p>
        </w:tc>
        <w:tc>
          <w:tcPr>
            <w:tcW w:w="2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615,382</w:t>
            </w:r>
          </w:p>
        </w:tc>
        <w:tc>
          <w:tcPr>
            <w:tcW w:w="3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264,318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Per share price on grant date</w:t>
            </w:r>
          </w:p>
        </w:tc>
        <w:tc>
          <w:tcPr>
            <w:tcW w:w="2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3.92</w:t>
            </w:r>
          </w:p>
        </w:tc>
        <w:tc>
          <w:tcPr>
            <w:tcW w:w="30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As of September 30, 2020, the amount of deferred stock-based compensation expense to be recognized, over a remaining period of 2.9 years, was approximately $1.1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SEGMENTS</w:t>
      </w:r>
    </w:p>
    <w:p>
      <w:pPr>
        <w:spacing w:after="0" w:line="175"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Orion has the following business segments: Orion Engineered Services Division ("OES"), Orion Distribution Services Division ("ODS"), and Orion U.S. Markets Division ("USM"). The accounting policies are the same for each business segment as they are on a consolidated basis.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Engineered Systems Division</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Orion's commercial lighting and energy management systems. OES provides engineering, design, lighting products and in many cases turnkey solutions for large national accounts, governments, municipalities, schools and other customers.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ODS segment sells lighting products through manufacturer representative agencies and a network of North American broadline electrical distributors and contractors.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ESCOs and contractors.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71" w:lineRule="exact"/>
        <w:rPr>
          <w:sz w:val="20"/>
          <w:szCs w:val="20"/>
          <w:color w:val="auto"/>
        </w:rPr>
      </w:pPr>
    </w:p>
    <w:p>
      <w:pPr>
        <w:ind w:right="20" w:firstLine="490"/>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(dollars in thousands).</w:t>
      </w:r>
    </w:p>
    <w:p>
      <w:pPr>
        <w:sectPr>
          <w:pgSz w:w="11900" w:h="16838" w:orient="portrait"/>
          <w:cols w:equalWidth="0" w:num="1">
            <w:col w:w="11240"/>
          </w:cols>
          <w:pgMar w:left="320" w:top="598" w:right="339" w:bottom="1440" w:gutter="0" w:footer="0" w:header="0"/>
        </w:sectPr>
      </w:pPr>
    </w:p>
    <w:p>
      <w:pPr>
        <w:spacing w:after="0" w:line="243"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6350</wp:posOffset>
            </wp:positionV>
            <wp:extent cx="15944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3"/>
          <w:szCs w:val="13"/>
          <w:b w:val="1"/>
          <w:bCs w:val="1"/>
          <w:color w:val="auto"/>
        </w:rPr>
        <w:t>For the Three Months Ended</w:t>
      </w:r>
    </w:p>
    <w:p>
      <w:pPr>
        <w:spacing w:after="0" w:line="4"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-3175</wp:posOffset>
            </wp:positionV>
            <wp:extent cx="15944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6260"/>
        <w:spacing w:after="0"/>
        <w:tabs>
          <w:tab w:leader="none" w:pos="76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6350</wp:posOffset>
            </wp:positionV>
            <wp:extent cx="16116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Three Months Ended</w:t>
      </w:r>
    </w:p>
    <w:p>
      <w:pPr>
        <w:spacing w:after="0" w:line="4"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-3175</wp:posOffset>
            </wp:positionV>
            <wp:extent cx="16116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60"/>
        <w:spacing w:after="0"/>
        <w:tabs>
          <w:tab w:leader="none" w:pos="14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1" w:lineRule="exact"/>
        <w:rPr>
          <w:sz w:val="20"/>
          <w:szCs w:val="20"/>
          <w:color w:val="auto"/>
        </w:rPr>
      </w:pPr>
    </w:p>
    <w:p>
      <w:pPr>
        <w:sectPr>
          <w:pgSz w:w="11900" w:h="16838" w:orient="portrait"/>
          <w:cols w:equalWidth="0" w:num="2">
            <w:col w:w="8240" w:space="720"/>
            <w:col w:w="2280"/>
          </w:cols>
          <w:pgMar w:left="320" w:top="59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Segments:</w:t>
            </w: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Orion Engineered Systems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18,470</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42,306</w:t>
            </w:r>
          </w:p>
        </w:tc>
        <w:tc>
          <w:tcPr>
            <w:tcW w:w="240" w:type="dxa"/>
            <w:vAlign w:val="bottom"/>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9"/>
                <w:szCs w:val="19"/>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7,831</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Orion Distribution Services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Orion U.S. Markets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(1,125)</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(1,076)</w:t>
            </w:r>
          </w:p>
        </w:tc>
      </w:tr>
      <w:tr>
        <w:trPr>
          <w:trHeight w:val="223"/>
        </w:trPr>
        <w:tc>
          <w:tcPr>
            <w:tcW w:w="58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26,281</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48,322</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6,878</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98" w:right="339" w:bottom="1440" w:gutter="0" w:footer="0" w:header="0"/>
          <w:type w:val="continuous"/>
        </w:sectPr>
      </w:pPr>
    </w:p>
    <w:p>
      <w:pPr>
        <w:spacing w:after="0" w:line="74"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6350</wp:posOffset>
            </wp:positionV>
            <wp:extent cx="15944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5" w:lineRule="exact"/>
        <w:rPr>
          <w:sz w:val="20"/>
          <w:szCs w:val="20"/>
          <w:color w:val="auto"/>
        </w:rPr>
      </w:pPr>
    </w:p>
    <w:p>
      <w:pPr>
        <w:ind w:left="6280"/>
        <w:spacing w:after="0"/>
        <w:rPr>
          <w:sz w:val="20"/>
          <w:szCs w:val="20"/>
          <w:color w:val="auto"/>
        </w:rPr>
      </w:pPr>
      <w:r>
        <w:rPr>
          <w:rFonts w:ascii="Arial" w:cs="Arial" w:eastAsia="Arial" w:hAnsi="Arial"/>
          <w:sz w:val="13"/>
          <w:szCs w:val="13"/>
          <w:b w:val="1"/>
          <w:bCs w:val="1"/>
          <w:color w:val="auto"/>
        </w:rPr>
        <w:t>For the Six Months Ended</w:t>
      </w:r>
    </w:p>
    <w:p>
      <w:pPr>
        <w:spacing w:after="0" w:line="4"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-3175</wp:posOffset>
            </wp:positionV>
            <wp:extent cx="15944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6260"/>
        <w:spacing w:after="0"/>
        <w:tabs>
          <w:tab w:leader="none" w:pos="762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13970</wp:posOffset>
            </wp:positionV>
            <wp:extent cx="16116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For the Six Months Ended</w:t>
      </w:r>
    </w:p>
    <w:p>
      <w:pPr>
        <w:spacing w:after="0" w:line="4"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-3175</wp:posOffset>
            </wp:positionV>
            <wp:extent cx="16116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tabs>
          <w:tab w:leader="none" w:pos="136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11" w:lineRule="exact"/>
        <w:rPr>
          <w:sz w:val="20"/>
          <w:szCs w:val="20"/>
          <w:color w:val="auto"/>
        </w:rPr>
      </w:pPr>
    </w:p>
    <w:p>
      <w:pPr>
        <w:sectPr>
          <w:pgSz w:w="11900" w:h="16838" w:orient="portrait"/>
          <w:cols w:equalWidth="0" w:num="2">
            <w:col w:w="8300" w:space="720"/>
            <w:col w:w="2220"/>
          </w:cols>
          <w:pgMar w:left="320" w:top="59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Segments:</w:t>
            </w: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Orion Engineered Systems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20,726</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77,094</w:t>
            </w:r>
          </w:p>
        </w:tc>
        <w:tc>
          <w:tcPr>
            <w:tcW w:w="240" w:type="dxa"/>
            <w:vAlign w:val="bottom"/>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12,687</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Orion Distribution Services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(485)</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Orion U.S. Markets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6,049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(2,153)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(2,337)</w:t>
            </w:r>
          </w:p>
        </w:tc>
      </w:tr>
      <w:tr>
        <w:trPr>
          <w:trHeight w:val="223"/>
        </w:trPr>
        <w:tc>
          <w:tcPr>
            <w:tcW w:w="58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37,092</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90,700</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11,037</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175"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24" w:name="page25"/>
    <w:bookmarkEnd w:id="24"/>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2020.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8"/>
          <w:szCs w:val="18"/>
          <w:color w:val="auto"/>
        </w:rPr>
        <w:t>We provide state-of-the-art LED lighting, wireless Internet of Things (“IoT”) enabled control solutions, and energy project management. We research, design, develop, manufacture, market, sell, install,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34"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8"/>
          <w:szCs w:val="18"/>
          <w:color w:val="auto"/>
        </w:rPr>
        <w:t>Our lighting products consist primarily of light emitting diode ("LED") lighting fixtures, many of which include IoT enabled control systems. Our principal customers include large national account end-users, federal and state government facilities, large regional account end-users, electrical distributors, electrical contractors and energy service companies ("ESCOs"). Currently, substantially all of our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w:t>
      </w:r>
    </w:p>
    <w:p>
      <w:pPr>
        <w:spacing w:after="0" w:line="134" w:lineRule="exact"/>
        <w:rPr>
          <w:sz w:val="20"/>
          <w:szCs w:val="20"/>
          <w:color w:val="auto"/>
        </w:rPr>
      </w:pPr>
    </w:p>
    <w:p>
      <w:pPr>
        <w:jc w:val="both"/>
        <w:ind w:firstLine="490"/>
        <w:spacing w:after="0" w:line="263" w:lineRule="auto"/>
        <w:rPr>
          <w:sz w:val="20"/>
          <w:szCs w:val="20"/>
          <w:color w:val="auto"/>
        </w:rPr>
      </w:pPr>
      <w:r>
        <w:rPr>
          <w:rFonts w:ascii="Arial" w:cs="Arial" w:eastAsia="Arial" w:hAnsi="Arial"/>
          <w:sz w:val="18"/>
          <w:szCs w:val="18"/>
          <w:color w:val="auto"/>
        </w:rPr>
        <w:t>We have experienced recent success offering our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w:t>
      </w:r>
    </w:p>
    <w:p>
      <w:pPr>
        <w:spacing w:after="0" w:line="130"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color w:val="auto"/>
        </w:rPr>
        <w:t>We believe the market for LED lighting products and related controls continues to grow. Due to their size and flexibility in application, we also believe that LED lighting systems can address opportunities for retrofit applications that cannot be satisfied by other lighting technologies. Our LED lighting technologies have become the primary component of our revenue as we continue to strive to be a leader in the LED market.</w:t>
      </w:r>
    </w:p>
    <w:p>
      <w:pPr>
        <w:spacing w:after="0" w:line="111"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8"/>
          <w:szCs w:val="18"/>
          <w:color w:val="auto"/>
        </w:rPr>
        <w:t>In fiscal 2020, we began to successfully capitalize on our capability of being a full service, turn-key provider of LED lighting and controls systems with design, build, installation and project management services, including being awarded a very large project for a major national account. As a result of this success, we have begun to evolve our business strategy to focus on further expanding the nature and scope of our products and services offered to our customers. This further expansion of our products and services includes pursuing projects to develop recurring revenue streams, including providing lighting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spacing w:after="0" w:line="253" w:lineRule="auto"/>
        <w:rPr>
          <w:sz w:val="20"/>
          <w:szCs w:val="20"/>
          <w:color w:val="auto"/>
        </w:rPr>
      </w:pPr>
      <w:r>
        <w:rPr>
          <w:rFonts w:ascii="Arial" w:cs="Arial" w:eastAsia="Arial" w:hAnsi="Arial"/>
          <w:sz w:val="18"/>
          <w:szCs w:val="18"/>
          <w:color w:val="auto"/>
        </w:rPr>
        <w:t>electrical maintenance services and utilizing control sensor technology to collect data and assisting customers in the digitization of this data, along with other potential services. We also plan to pursue the expansion of our IoT, “smart-building” and “connected ceiling” and other related technology, software and controls products and services that we offer to our customers. We currently plan on investing significant time, resources and capital into expanding our offerings in these areas with no expectation that they will result in us realizing material revenue in the near term and without any assurance they will succeed or be profitable. In fact, it is likely that these efforts will reduce our profitability, at least in the near term, as we invest resources and incur expenses to develop these offerings. While we intend to pursue these expansion strategies organically, we also are actively exploring potential business acquisitions which would more quickly add these types of expanded and different capabilities to our product and services offerings. It is possible that one or more of such potential acquisitions, if successfully completed, could significantly change, and potentially transform, the nature and extent of our business.</w:t>
      </w:r>
    </w:p>
    <w:p>
      <w:pPr>
        <w:spacing w:after="0" w:line="142"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7"/>
          <w:szCs w:val="17"/>
          <w:color w:val="auto"/>
        </w:rPr>
        <w:t>We generally do not have long-term contracts with our customers that provide us with recurring revenue from period to period and we typically generate substantially all of our revenue from sales of lighting and control systems and related services to governmental, commercial and industrial customers on a project-by-project basis. We also perform work under master services or product purchasing agreements with major customers with sales completed on an individual purchase order basis. In addition, in order to provide quality and timely service under our multi-location master retrofit agreements, we are required to make substantial working capital expenditures and advance inventory purchases that we may not be able to recoup if the agreements or a substantial volume of purchase orders under the agreements are delayed or terminated. For example, while we received a master retrofit agreement in January 2020 for approximately $18-20 million in revenue from our largest customer, due to the closure of its facilities to external activities because of the COVID-19 pandemic, this customer deferred retrofit installations related to the project during March 2020, thereby resulting in the deferral of our realization of expected revenue during our fiscal 2020 fourth quarter.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28" w:lineRule="exact"/>
        <w:rPr>
          <w:sz w:val="20"/>
          <w:szCs w:val="20"/>
          <w:color w:val="auto"/>
        </w:rPr>
      </w:pPr>
    </w:p>
    <w:p>
      <w:pPr>
        <w:jc w:val="both"/>
        <w:ind w:firstLine="490"/>
        <w:spacing w:after="0" w:line="263" w:lineRule="auto"/>
        <w:rPr>
          <w:sz w:val="20"/>
          <w:szCs w:val="20"/>
          <w:color w:val="auto"/>
        </w:rPr>
      </w:pPr>
      <w:r>
        <w:rPr>
          <w:rFonts w:ascii="Arial" w:cs="Arial" w:eastAsia="Arial" w:hAnsi="Arial"/>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224" w:lineRule="exact"/>
        <w:rPr>
          <w:sz w:val="20"/>
          <w:szCs w:val="20"/>
          <w:color w:val="auto"/>
        </w:rPr>
      </w:pPr>
    </w:p>
    <w:p>
      <w:pPr>
        <w:ind w:right="220" w:firstLine="490"/>
        <w:spacing w:after="0" w:line="263" w:lineRule="auto"/>
        <w:rPr>
          <w:sz w:val="20"/>
          <w:szCs w:val="20"/>
          <w:color w:val="auto"/>
        </w:rPr>
      </w:pPr>
      <w:r>
        <w:rPr>
          <w:rFonts w:ascii="Arial" w:cs="Arial" w:eastAsia="Arial" w:hAnsi="Arial"/>
          <w:sz w:val="18"/>
          <w:szCs w:val="18"/>
          <w:color w:val="auto"/>
        </w:rPr>
        <w:t>The gross profits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211" w:lineRule="exact"/>
        <w:rPr>
          <w:sz w:val="20"/>
          <w:szCs w:val="20"/>
          <w:color w:val="auto"/>
        </w:rPr>
      </w:pPr>
    </w:p>
    <w:p>
      <w:pPr>
        <w:ind w:right="160" w:firstLine="490"/>
        <w:spacing w:after="0" w:line="263" w:lineRule="auto"/>
        <w:rPr>
          <w:sz w:val="20"/>
          <w:szCs w:val="20"/>
          <w:color w:val="auto"/>
        </w:rPr>
      </w:pPr>
      <w:r>
        <w:rPr>
          <w:rFonts w:ascii="Arial" w:cs="Arial" w:eastAsia="Arial" w:hAnsi="Arial"/>
          <w:sz w:val="18"/>
          <w:szCs w:val="18"/>
          <w:color w:val="auto"/>
        </w:rPr>
        <w:t>Our fiscal year ends on March 31. We refer to our just completed fiscal year, which ended on March 31, 2020, as "fiscal 2020", and our prior fiscal year which ended on March 31, 2019 as "fiscal 2019". Our fiscal first quarter of each fiscal year ends on June 30, our fiscal second quarter ends on September 30, our fiscal third quarter ends on December 31 and our fiscal fourth quarter ends on March 31.</w:t>
      </w:r>
    </w:p>
    <w:p>
      <w:pPr>
        <w:spacing w:after="0" w:line="224" w:lineRule="exact"/>
        <w:rPr>
          <w:sz w:val="20"/>
          <w:szCs w:val="20"/>
          <w:color w:val="auto"/>
        </w:rPr>
      </w:pPr>
    </w:p>
    <w:p>
      <w:pPr>
        <w:ind w:right="300" w:firstLine="490"/>
        <w:spacing w:after="0" w:line="311" w:lineRule="auto"/>
        <w:rPr>
          <w:sz w:val="20"/>
          <w:szCs w:val="20"/>
          <w:color w:val="auto"/>
        </w:rPr>
      </w:pPr>
      <w:r>
        <w:rPr>
          <w:rFonts w:ascii="Arial" w:cs="Arial" w:eastAsia="Arial" w:hAnsi="Arial"/>
          <w:sz w:val="16"/>
          <w:szCs w:val="16"/>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Engineered Systems Division ("OES"), and Orion Distribution Services Division ("ODS"), and Orion U.S. Markets Division (“USM”).</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Developments in First Half of Fiscal 2021</w:t>
      </w:r>
    </w:p>
    <w:p>
      <w:pPr>
        <w:spacing w:after="0" w:line="175"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During fiscal first half of fiscal 2021, we executed a contract extension for a major national account customer with our state-of-the-art LED lighting systems and wireless IoT enabled control solutions at locations nationwide. This one national account customer represented 74.1% of our total revenue in fiscal 2020 and was the primary driver for our growth over the prior year period. During March 2020, this customer suspended our installations at a significant number of locations that were scheduled for installation during our fiscal 2020 fourth quarter and our fiscal 2021 first quarter. These installations resumed during the second quarter of fiscal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6" w:name="page27"/>
    <w:bookmarkEnd w:id="26"/>
    <w:p>
      <w:pPr>
        <w:jc w:val="both"/>
        <w:ind w:firstLine="493"/>
        <w:spacing w:after="0" w:line="263" w:lineRule="auto"/>
        <w:rPr>
          <w:sz w:val="20"/>
          <w:szCs w:val="20"/>
          <w:color w:val="auto"/>
        </w:rPr>
      </w:pPr>
      <w:r>
        <w:rPr>
          <w:rFonts w:ascii="Arial" w:cs="Arial" w:eastAsia="Arial" w:hAnsi="Arial"/>
          <w:sz w:val="18"/>
          <w:szCs w:val="18"/>
          <w:color w:val="auto"/>
        </w:rPr>
        <w:t>We also completed several initial facilities for a new national customer, a major global logistics company, and several more projects are in process. This customer is expected to be a significant source of revenue as we move forward. Orion expects to work with the customer on a project-by-project basis, versus larger-scale multi-site commitments, which limits visibility on the timing of future revenue contributions,</w:t>
      </w:r>
    </w:p>
    <w:p>
      <w:pPr>
        <w:spacing w:after="0" w:line="130"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Additionally, we added a new large specialty retail customer and are providing turnkey LED lighting retrofit solutions for its nationwide chain of stores. The initial phase of the project is expected to generate product and service revenue of at least $8 million during the second half fiscal 2021. Orion expects to retrofit the customer’s remaining stores in late fiscal 2021 and fiscal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and Fiscal 2021 Outlook</w:t>
      </w:r>
    </w:p>
    <w:p>
      <w:pPr>
        <w:spacing w:after="0" w:line="121" w:lineRule="exact"/>
        <w:rPr>
          <w:sz w:val="20"/>
          <w:szCs w:val="20"/>
          <w:color w:val="auto"/>
        </w:rPr>
      </w:pPr>
    </w:p>
    <w:p>
      <w:pPr>
        <w:jc w:val="both"/>
        <w:ind w:firstLine="595"/>
        <w:spacing w:after="0" w:line="280" w:lineRule="auto"/>
        <w:rPr>
          <w:sz w:val="20"/>
          <w:szCs w:val="20"/>
          <w:color w:val="auto"/>
        </w:rPr>
      </w:pPr>
      <w:r>
        <w:rPr>
          <w:rFonts w:ascii="Arial" w:cs="Arial" w:eastAsia="Arial" w:hAnsi="Arial"/>
          <w:sz w:val="17"/>
          <w:szCs w:val="17"/>
          <w:color w:val="auto"/>
        </w:rPr>
        <w:t>The COVID-19 pandemic has disrupted business, trade, commerce, financial and credit markets, in the U.S. and globally. Our business has been adversely impacted by measures taken by government entities and others to control the spread of the virus beginning in March 2020. As a deemed essential business, we provide products and services to ensure energy and lighting infrastructure and we therefore continue to operate throughout the pandemic. We have implemented a number of safety protocols, including limiting travel, restricting access to our facilities along with monitoring processes, physical distancing, physical barriers, enhanced cleaning procedures, and requiring face coverings. Nonetheless, we did experience a curtailment of activity beginning in the last few weeks of our 2020 fiscal year and continuing into fiscal 2021.</w:t>
      </w:r>
    </w:p>
    <w:p>
      <w:pPr>
        <w:spacing w:after="0" w:line="63" w:lineRule="exact"/>
        <w:rPr>
          <w:sz w:val="20"/>
          <w:szCs w:val="20"/>
          <w:color w:val="auto"/>
        </w:rPr>
      </w:pPr>
    </w:p>
    <w:p>
      <w:pPr>
        <w:jc w:val="both"/>
        <w:ind w:firstLine="595"/>
        <w:spacing w:after="0" w:line="289" w:lineRule="auto"/>
        <w:rPr>
          <w:sz w:val="20"/>
          <w:szCs w:val="20"/>
          <w:color w:val="auto"/>
        </w:rPr>
      </w:pPr>
      <w:r>
        <w:rPr>
          <w:rFonts w:ascii="Arial" w:cs="Arial" w:eastAsia="Arial" w:hAnsi="Arial"/>
          <w:sz w:val="16"/>
          <w:szCs w:val="16"/>
          <w:color w:val="auto"/>
        </w:rPr>
        <w:t>As part of our recent response to the impacts of the COVID-19 pandemic, during the fourth quarter of fiscal 2020 we implemented a number of cost reduction and cash conservation measures, including reducing headcount. While certain restrictions began to initially lessen in certain jurisdictions during the first half of our fiscal 2021, stay-at-home, face mask or lockdown orders remain in effect in others, with employees asked to work remotely if possible. Certain areas of the country have seen a spike of COVID-19 cases (including in and around our headquarters in Manitowoc, Wisconsin), which could result in renewed restrictions and lockdown orders. Some customers and projects are in areas where travel restrictions have been imposed, certain customers have either closed or reduced on-site activities, and timelines for the completion of several projects have been delayed, extended or terminated. These modifications to our business practices, including any future actions we take, may cause us to experience reductions in productivity and disruptions to our business routines. In addition, we are required to make substantial working capital expenditures and advance inventory purchases that we may not be able to recoup if the agreements or a substantial volume of purchase orders under the agreements are delayed or terminated as a result of COVID-19. At this time, it is not possible to predict the overall impact the COVID-19 pandemic will have on Orion’s business, liquidity, capital resources or financial results, although the economic and regulatory impacts of COVID-19 significantly reduced our revenue and profitability in the first half of fiscal 2021. If the COVID-19 pandemic becomes more pronounced in our markets or experiences a resurgence in markets recovering from the spread of COVID-19, or if another significant natural disaster or pandemic were to occur in the future, our operations in areas impacted by such events could experience further adverse financial impacts due to market changes and other resulting events and circumstances.</w:t>
      </w:r>
    </w:p>
    <w:p>
      <w:pPr>
        <w:spacing w:after="0" w:line="57" w:lineRule="exact"/>
        <w:rPr>
          <w:sz w:val="20"/>
          <w:szCs w:val="20"/>
          <w:color w:val="auto"/>
        </w:rPr>
      </w:pPr>
    </w:p>
    <w:p>
      <w:pPr>
        <w:jc w:val="both"/>
        <w:ind w:firstLine="595"/>
        <w:spacing w:after="0" w:line="279" w:lineRule="auto"/>
        <w:rPr>
          <w:sz w:val="20"/>
          <w:szCs w:val="20"/>
          <w:color w:val="auto"/>
        </w:rPr>
      </w:pPr>
      <w:r>
        <w:rPr>
          <w:rFonts w:ascii="Arial" w:cs="Arial" w:eastAsia="Arial" w:hAnsi="Arial"/>
          <w:sz w:val="17"/>
          <w:szCs w:val="17"/>
          <w:color w:val="auto"/>
        </w:rPr>
        <w:t>The impact of COVID-19 has caused significant uncertainty and volatility in the credit markets. We rely on the credit markets to provide us with liquidity to operate and grow our businesses beyond the liquidity that operating cash flows provide. If our access to capital were to become significantly constrained or if costs of capital increased significantly due the impact of COVID-19, including volatility in the capital markets, a reduction in our credit ratings or other factors, then our financial condition, results of operations and cash flows could be adversely affected.</w:t>
      </w:r>
    </w:p>
    <w:p>
      <w:pPr>
        <w:spacing w:after="0" w:line="63" w:lineRule="exact"/>
        <w:rPr>
          <w:sz w:val="20"/>
          <w:szCs w:val="20"/>
          <w:color w:val="auto"/>
        </w:rPr>
      </w:pPr>
    </w:p>
    <w:p>
      <w:pPr>
        <w:jc w:val="both"/>
        <w:ind w:firstLine="595"/>
        <w:spacing w:after="0" w:line="263" w:lineRule="auto"/>
        <w:rPr>
          <w:sz w:val="20"/>
          <w:szCs w:val="20"/>
          <w:color w:val="auto"/>
        </w:rPr>
      </w:pPr>
      <w:r>
        <w:rPr>
          <w:rFonts w:ascii="Arial" w:cs="Arial" w:eastAsia="Arial" w:hAnsi="Arial"/>
          <w:sz w:val="18"/>
          <w:szCs w:val="18"/>
          <w:color w:val="auto"/>
        </w:rPr>
        <w:t>In addition to the managing the adverse financial impact of the COVID-19 pandemic, our ability to achieve our desired revenue growth and profitability goals depends on our ability to effectively execute on the following key strategic initiatives. We may identify strategic acquisition candidates that would help support these initiatives.</w:t>
      </w:r>
    </w:p>
    <w:p>
      <w:pPr>
        <w:spacing w:after="0" w:line="184" w:lineRule="exact"/>
        <w:rPr>
          <w:sz w:val="20"/>
          <w:szCs w:val="20"/>
          <w:color w:val="auto"/>
        </w:rPr>
      </w:pPr>
    </w:p>
    <w:p>
      <w:pPr>
        <w:jc w:val="both"/>
        <w:ind w:firstLine="595"/>
        <w:spacing w:after="0" w:line="296" w:lineRule="auto"/>
        <w:rPr>
          <w:sz w:val="20"/>
          <w:szCs w:val="20"/>
          <w:color w:val="auto"/>
        </w:rPr>
      </w:pPr>
      <w:r>
        <w:rPr>
          <w:rFonts w:ascii="Arial" w:cs="Arial" w:eastAsia="Arial" w:hAnsi="Arial"/>
          <w:sz w:val="16"/>
          <w:szCs w:val="16"/>
          <w:i w:val="1"/>
          <w:iCs w:val="1"/>
          <w:color w:val="auto"/>
        </w:rPr>
        <w:t>Focus on executing and marketing our turnkey LED retrofit capabilities to large national account customers</w:t>
      </w:r>
      <w:r>
        <w:rPr>
          <w:rFonts w:ascii="Arial" w:cs="Arial" w:eastAsia="Arial" w:hAnsi="Arial"/>
          <w:sz w:val="16"/>
          <w:szCs w:val="16"/>
          <w:color w:val="auto"/>
        </w:rPr>
        <w:t>. We believe one of our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advantages is our ability to deliver full turnkey LED lighting project capabilities. These turnkey services were the principal reason we achieved significant revenue growth in fiscal 2020 as we executed on our commitment to retrofit multiple locations for a major national account customer. Our success in the national account market segment centers on our turnkey design, engineering, manufacturing and project management capabilities, which represent a very clear competitive advantage for us among large enterprises seeking to benefit from the illumination benefits and energy savings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7" w:name="page28"/>
    <w:bookmarkEnd w:id="27"/>
    <w:p>
      <w:pPr>
        <w:jc w:val="both"/>
        <w:spacing w:after="0" w:line="286" w:lineRule="auto"/>
        <w:rPr>
          <w:sz w:val="20"/>
          <w:szCs w:val="20"/>
          <w:color w:val="auto"/>
        </w:rPr>
      </w:pPr>
      <w:r>
        <w:rPr>
          <w:rFonts w:ascii="Arial" w:cs="Arial" w:eastAsia="Arial" w:hAnsi="Arial"/>
          <w:sz w:val="17"/>
          <w:szCs w:val="17"/>
          <w:color w:val="auto"/>
        </w:rPr>
        <w:t>LED lighting across locations nationwide. Few LED lighting providers are organized to serve every step of a custom retrofit project in a comprehensive, non-disruptive and timely fashion, from custom fixture design and initial site surveys to final installations. Incrementally, we are also able to help customers deploy state-of-the-art control systems that provide even greater long-term value from their lighting system investments.</w:t>
      </w:r>
    </w:p>
    <w:p>
      <w:pPr>
        <w:spacing w:after="0" w:line="165" w:lineRule="exact"/>
        <w:rPr>
          <w:sz w:val="20"/>
          <w:szCs w:val="20"/>
          <w:color w:val="auto"/>
        </w:rPr>
      </w:pPr>
    </w:p>
    <w:p>
      <w:pPr>
        <w:jc w:val="both"/>
        <w:ind w:firstLine="595"/>
        <w:spacing w:after="0" w:line="257" w:lineRule="auto"/>
        <w:rPr>
          <w:sz w:val="20"/>
          <w:szCs w:val="20"/>
          <w:color w:val="auto"/>
        </w:rPr>
      </w:pPr>
      <w:r>
        <w:rPr>
          <w:rFonts w:ascii="Arial" w:cs="Arial" w:eastAsia="Arial" w:hAnsi="Arial"/>
          <w:sz w:val="18"/>
          <w:szCs w:val="18"/>
          <w:color w:val="auto"/>
        </w:rPr>
        <w:t>Looking forward, we are focused on continuing to successfully execute on existing national account opportunities while also actively pursuing new national account opportunities that leverage our customized, comprehensive turnkey project solutions, and expanding our addressable market with high-quality, basic lighting systems to meet the needs of value-oriented customer segments served by our other market channels. Given our unique value proposition, capabilities and focus on customer service, we are optimistic about our business prospects and working to build sales momentum with existing and new customers.</w:t>
      </w:r>
    </w:p>
    <w:p>
      <w:pPr>
        <w:spacing w:after="0" w:line="188" w:lineRule="exact"/>
        <w:rPr>
          <w:sz w:val="20"/>
          <w:szCs w:val="20"/>
          <w:color w:val="auto"/>
        </w:rPr>
      </w:pPr>
    </w:p>
    <w:p>
      <w:pPr>
        <w:jc w:val="both"/>
        <w:ind w:firstLine="595"/>
        <w:spacing w:after="0" w:line="255" w:lineRule="auto"/>
        <w:rPr>
          <w:sz w:val="20"/>
          <w:szCs w:val="20"/>
          <w:color w:val="auto"/>
        </w:rPr>
      </w:pPr>
      <w:r>
        <w:rPr>
          <w:rFonts w:ascii="Arial" w:cs="Arial" w:eastAsia="Arial" w:hAnsi="Arial"/>
          <w:sz w:val="18"/>
          <w:szCs w:val="18"/>
          <w:i w:val="1"/>
          <w:iCs w:val="1"/>
          <w:color w:val="auto"/>
        </w:rPr>
        <w:t xml:space="preserve">Continued Product Innovation. </w:t>
      </w:r>
      <w:r>
        <w:rPr>
          <w:rFonts w:ascii="Arial" w:cs="Arial" w:eastAsia="Arial" w:hAnsi="Arial"/>
          <w:sz w:val="18"/>
          <w:szCs w:val="18"/>
          <w:color w:val="auto"/>
        </w:rPr>
        <w:t>We continue to innovate, developing lighting fixtures and features that address specific customer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while also working to maintain a leadership position in energy efficiency, smart product design and installation benefits. For interior building applications, we have recently launched an antimicrobial troffer fixture which supports the suppression of bacteria, mold, fungi, and mildew, and are currently developing an air circulation troffer to support improved air circulation. We also continue to deepen our capabilities in the integration of smart lighting controls. Our goal is to provide state-of-the-art lighting products with modular plug-and-play designs to enable lighting system customization from basic controls to advanced IoT capabilities.</w:t>
      </w:r>
    </w:p>
    <w:p>
      <w:pPr>
        <w:spacing w:after="0" w:line="192" w:lineRule="exact"/>
        <w:rPr>
          <w:sz w:val="20"/>
          <w:szCs w:val="20"/>
          <w:color w:val="auto"/>
        </w:rPr>
      </w:pPr>
    </w:p>
    <w:p>
      <w:pPr>
        <w:jc w:val="both"/>
        <w:ind w:firstLine="595"/>
        <w:spacing w:after="0" w:line="291" w:lineRule="auto"/>
        <w:rPr>
          <w:sz w:val="20"/>
          <w:szCs w:val="20"/>
          <w:color w:val="auto"/>
        </w:rPr>
      </w:pPr>
      <w:r>
        <w:rPr>
          <w:rFonts w:ascii="Arial" w:cs="Arial" w:eastAsia="Arial" w:hAnsi="Arial"/>
          <w:sz w:val="16"/>
          <w:szCs w:val="16"/>
          <w:i w:val="1"/>
          <w:iCs w:val="1"/>
          <w:color w:val="auto"/>
        </w:rPr>
        <w:t xml:space="preserve">Leverage of Orion’s Smart Lighting Systems to Support Internet of Things Applications. </w:t>
      </w:r>
      <w:r>
        <w:rPr>
          <w:rFonts w:ascii="Arial" w:cs="Arial" w:eastAsia="Arial" w:hAnsi="Arial"/>
          <w:sz w:val="16"/>
          <w:szCs w:val="16"/>
          <w:color w:val="auto"/>
        </w:rPr>
        <w:t>We believe we are ideally positioned to help customers to</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efficiently deploy new IoT controls and applications by leveraging the “Smart Ceiling” capabilities of their Orion solid state lighting system. IoT capabilities can include the management and tracking of facilities, personnel, resources and customer behavior, driving both sales and lowering costs. As a result, these added capabilities provide customers an even greater return on investment from their lighting system and make us an even more attractive partner. We plan to pursue the expansion of our IoT, “smart-building” and “connected ceiling” and other related technology, software and controls products and services that we offer to our customers. While we intend to pursue these expansion strategies organically, we also are actively exploring potential business acquisitions which would more quickly add these types of expanded and different capabilities to our product and services offerings.</w:t>
      </w:r>
    </w:p>
    <w:p>
      <w:pPr>
        <w:spacing w:after="0" w:line="166" w:lineRule="exact"/>
        <w:rPr>
          <w:sz w:val="20"/>
          <w:szCs w:val="20"/>
          <w:color w:val="auto"/>
        </w:rPr>
      </w:pPr>
    </w:p>
    <w:p>
      <w:pPr>
        <w:jc w:val="both"/>
        <w:ind w:firstLine="595"/>
        <w:spacing w:after="0" w:line="259" w:lineRule="auto"/>
        <w:rPr>
          <w:sz w:val="20"/>
          <w:szCs w:val="20"/>
          <w:color w:val="auto"/>
        </w:rPr>
      </w:pPr>
      <w:r>
        <w:rPr>
          <w:rFonts w:ascii="Arial" w:cs="Arial" w:eastAsia="Arial" w:hAnsi="Arial"/>
          <w:sz w:val="18"/>
          <w:szCs w:val="18"/>
          <w:i w:val="1"/>
          <w:iCs w:val="1"/>
          <w:color w:val="auto"/>
        </w:rPr>
        <w:t xml:space="preserve">Develop Maintenance Service Offerings. </w:t>
      </w:r>
      <w:r>
        <w:rPr>
          <w:rFonts w:ascii="Arial" w:cs="Arial" w:eastAsia="Arial" w:hAnsi="Arial"/>
          <w:sz w:val="18"/>
          <w:szCs w:val="18"/>
          <w:color w:val="auto"/>
        </w:rPr>
        <w:t>We believe we can leverage our construction management process expertise to develop a high-quality,</w:t>
      </w:r>
      <w:r>
        <w:rPr>
          <w:rFonts w:ascii="Arial" w:cs="Arial" w:eastAsia="Arial" w:hAnsi="Arial"/>
          <w:sz w:val="18"/>
          <w:szCs w:val="18"/>
          <w:i w:val="1"/>
          <w:iCs w:val="1"/>
          <w:color w:val="auto"/>
        </w:rPr>
        <w:t xml:space="preserve"> </w:t>
      </w:r>
      <w:r>
        <w:rPr>
          <w:rFonts w:ascii="Arial" w:cs="Arial" w:eastAsia="Arial" w:hAnsi="Arial"/>
          <w:sz w:val="18"/>
          <w:szCs w:val="18"/>
          <w:color w:val="auto"/>
        </w:rPr>
        <w:t>quick-response, multi-location maintenance service offering. Our experience with large national customers and our large installed base of fixtures position us well to extend a maintenance offering to historical customers, as well as to new customers. Development of this recurring revenue stream is in the preliminary stage, but we believe there is significant market opportunity.</w:t>
      </w:r>
    </w:p>
    <w:p>
      <w:pPr>
        <w:spacing w:after="0" w:line="187" w:lineRule="exact"/>
        <w:rPr>
          <w:sz w:val="20"/>
          <w:szCs w:val="20"/>
          <w:color w:val="auto"/>
        </w:rPr>
      </w:pPr>
    </w:p>
    <w:p>
      <w:pPr>
        <w:jc w:val="both"/>
        <w:ind w:firstLine="595"/>
        <w:spacing w:after="0" w:line="263" w:lineRule="auto"/>
        <w:rPr>
          <w:sz w:val="20"/>
          <w:szCs w:val="20"/>
          <w:color w:val="auto"/>
        </w:rPr>
      </w:pPr>
      <w:r>
        <w:rPr>
          <w:rFonts w:ascii="Arial" w:cs="Arial" w:eastAsia="Arial" w:hAnsi="Arial"/>
          <w:sz w:val="18"/>
          <w:szCs w:val="18"/>
          <w:i w:val="1"/>
          <w:iCs w:val="1"/>
          <w:color w:val="auto"/>
        </w:rPr>
        <w:t xml:space="preserve">Support success of our ESCO and agent-driven distribution sales channels. </w:t>
      </w:r>
      <w:r>
        <w:rPr>
          <w:rFonts w:ascii="Arial" w:cs="Arial" w:eastAsia="Arial" w:hAnsi="Arial"/>
          <w:sz w:val="18"/>
          <w:szCs w:val="18"/>
          <w:color w:val="auto"/>
        </w:rPr>
        <w:t>We continue to focus on building our relationships and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sales support for our ESCO and agent driven distribution channels. These efforts include an array of product and sales training efforts as well as the development of new products to cater to the unique needs of these sales channels.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Impacts of Tariffs and Trade Policies</w:t>
      </w:r>
    </w:p>
    <w:p>
      <w:pPr>
        <w:spacing w:after="0" w:line="175"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6"/>
          <w:szCs w:val="16"/>
          <w:color w:val="auto"/>
        </w:rPr>
        <w:t>The United States government has been implementing various monetary, regulatory, and trade importation restraints, penalties, and tariffs. Certain sourced finished products and certain of the components used in our products have been impacted by imposed tariffs on China imports. Our efforts to mitigate the impact of added costs resulting from these government actions include a variety of activities, such as sourcing from non-tariff impacted countries and raising prices. If we are unable to successfully mitigate the impacts of these tariffs and other trade policies, our results of operations may be adversely affected. We believe that these mitigation activities will assist to offset added costs, and we currently believe that such tariffs will have a limited adverse financial effect on our results of operations. Any future policy changes that may be implemented could have a positive or negative consequence on our financial performance depending on how the changes would influence many factors, including business and consumer sentiment.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 - Three Months Ended September 30, 2020 versus Three Months Ended September 30, 2019</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 September 30,</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9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3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35,572</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(43.0)%</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77.1%</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Service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12,750</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(52.8)%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22.9%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48,322</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(45.6)%</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25,878</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(44.3)%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54.8%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9,653</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(52.2)%</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17.6%</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35,531</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(46.5)%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72.4%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12,791</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(43.2)%</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27.6%</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2,605</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2,918</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(20.1)%</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8.9%</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6,878</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(72.8)%</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337.5%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(87)</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(98.9)%</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Amortization of debt issue costs</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Income before income tax</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6,740</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(72.7)%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NM</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(0.3)%</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1,914</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6,721</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(71.5)%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54" w:lineRule="exact"/>
        <w:rPr>
          <w:sz w:val="20"/>
          <w:szCs w:val="20"/>
          <w:color w:val="auto"/>
        </w:rPr>
      </w:pPr>
    </w:p>
    <w:p>
      <w:pPr>
        <w:jc w:val="both"/>
        <w:ind w:firstLine="493"/>
        <w:spacing w:after="0" w:line="25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decreased 43.0%, or $15.3 million, for the second quarter of fiscal 2021 versus the second quarter of fiscal 2020.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decreased 52.8%, or $6.7 million, for the second quarter of fiscal 2021 versus the second quarter of fiscal 2020. The decrease in product and service revenue was primarily due to the relative sales to one large national account customer, as the installations for this one customer had been on-hold due to COVID-19, and resumed during the quarter. Sales to this one customer accounted for 60.7% of total revenue in the second quarter of fiscal 2021, and 81.1% in the second quarter of fiscal 2020. Total revenue decreased by 45.6%, or $22.0 million, due to the items discussed above. Compared to the first quarter fiscal 2021, total revenue increased 143.1% or $15.5 million, due to the resumption of customer installations for this one customer and others as businesses reopened during the second quarter.</w:t>
      </w:r>
    </w:p>
    <w:p>
      <w:pPr>
        <w:spacing w:after="0" w:line="141" w:lineRule="exact"/>
        <w:rPr>
          <w:sz w:val="20"/>
          <w:szCs w:val="20"/>
          <w:color w:val="auto"/>
        </w:rPr>
      </w:pPr>
    </w:p>
    <w:p>
      <w:pPr>
        <w:jc w:val="both"/>
        <w:ind w:firstLine="493"/>
        <w:spacing w:after="0" w:line="296" w:lineRule="auto"/>
        <w:rPr>
          <w:sz w:val="20"/>
          <w:szCs w:val="20"/>
          <w:color w:val="auto"/>
        </w:rPr>
      </w:pPr>
      <w:r>
        <w:rPr>
          <w:rFonts w:ascii="Arial" w:cs="Arial" w:eastAsia="Arial" w:hAnsi="Arial"/>
          <w:sz w:val="16"/>
          <w:szCs w:val="16"/>
          <w:i w:val="1"/>
          <w:iCs w:val="1"/>
          <w:color w:val="auto"/>
        </w:rPr>
        <w:t xml:space="preserve">Cost of Revenue and Gross Profit. </w:t>
      </w:r>
      <w:r>
        <w:rPr>
          <w:rFonts w:ascii="Arial" w:cs="Arial" w:eastAsia="Arial" w:hAnsi="Arial"/>
          <w:sz w:val="16"/>
          <w:szCs w:val="16"/>
          <w:color w:val="auto"/>
        </w:rPr>
        <w:t>Cost of product revenue decreased 44.3%, or $11.5 million, in the second quarter of fiscal 2021 versus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fiscal 2020 due to the significant decrease in our sales. Cost of service revenue decreased 52.2% or $5.0 million, in the second quarter of fiscal 2021 versus the second quarter of fiscal 2020 due to the decrease in sales. Gross profit percentage increased from 26.5% of revenue in the second quarter of fiscal 2020 to 27.6% in the second quarter of fiscal 2021, due primarily to the change in customer sales mix. Gross profit percentage in the second quarter of fiscal 2021 also increased compared to 24.4% in the first quarter of fiscal 2021, due primarily to increased revenue covering fixed costs.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90"/>
        <w:spacing w:after="0" w:line="27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 the second quarter of fiscal 2021 remained relatively flat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fiscal 2020, as slightly lower headcounts costs were offset by slightly higher legal costs.</w:t>
      </w:r>
    </w:p>
    <w:p>
      <w:pPr>
        <w:spacing w:after="0" w:line="116" w:lineRule="exact"/>
        <w:rPr>
          <w:sz w:val="20"/>
          <w:szCs w:val="20"/>
          <w:color w:val="auto"/>
        </w:rPr>
      </w:pPr>
    </w:p>
    <w:p>
      <w:pPr>
        <w:jc w:val="both"/>
        <w:ind w:firstLine="490"/>
        <w:spacing w:after="0" w:line="34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decreased 20.1%, or $0.6 million, in the second quarter of fiscal 2021 compared to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fiscal 2020. This comparative decrease was primarily due to a decrease in commission expense on lower sales and lower employment costs.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9" w:name="page30"/>
    <w:bookmarkEnd w:id="29"/>
    <w:p>
      <w:pPr>
        <w:jc w:val="both"/>
        <w:ind w:firstLine="490"/>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8.7%, or $34 thousand, in the second quarter of fiscal 2021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fiscal 2020. This comparative increase was primarily due to timing of testing costs.</w:t>
      </w:r>
    </w:p>
    <w:p>
      <w:pPr>
        <w:spacing w:after="0" w:line="116" w:lineRule="exact"/>
        <w:rPr>
          <w:sz w:val="20"/>
          <w:szCs w:val="20"/>
          <w:color w:val="auto"/>
        </w:rPr>
      </w:pPr>
    </w:p>
    <w:p>
      <w:pPr>
        <w:jc w:val="both"/>
        <w:ind w:firstLine="490"/>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in the second quarter of fiscal 2021 primarily represented product royalties received from licensing agreements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patents.</w:t>
      </w:r>
    </w:p>
    <w:p>
      <w:pPr>
        <w:spacing w:after="0" w:line="116" w:lineRule="exact"/>
        <w:rPr>
          <w:sz w:val="20"/>
          <w:szCs w:val="20"/>
          <w:color w:val="auto"/>
        </w:rPr>
      </w:pPr>
    </w:p>
    <w:p>
      <w:pPr>
        <w:jc w:val="both"/>
        <w:ind w:firstLine="490"/>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the second quarter of fiscal 2021 decreased by 98.9%, or $0.1 million, from the second quarter of fiscal 2020.</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interest expense was primarily due to lower borrowing on our revolving credit facility in the second quarter of fiscal 2021 compared to the second quarter of fiscal 2020.</w:t>
      </w:r>
    </w:p>
    <w:p>
      <w:pPr>
        <w:spacing w:after="0" w:line="130"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i w:val="1"/>
          <w:iCs w:val="1"/>
          <w:color w:val="auto"/>
        </w:rPr>
        <w:t>Amortization of debt issue costs</w:t>
      </w:r>
      <w:r>
        <w:rPr>
          <w:rFonts w:ascii="Arial" w:cs="Arial" w:eastAsia="Arial" w:hAnsi="Arial"/>
          <w:sz w:val="18"/>
          <w:szCs w:val="18"/>
          <w:color w:val="auto"/>
        </w:rPr>
        <w:t>. Amortization of debt issue costs in the second quarter of fiscal 2021 remained flat compared to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2020.</w:t>
      </w:r>
    </w:p>
    <w:p>
      <w:pPr>
        <w:spacing w:after="0" w:line="116"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 the second quarter of fiscal 2021 remained relatively flat compared to the second quarter of fiscal 2020.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relates to interest earned on sweep bank accounts.</w:t>
      </w:r>
    </w:p>
    <w:p>
      <w:pPr>
        <w:spacing w:after="0" w:line="116"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decreased $0.1 million, in the second quarter of fiscal 2021 compared to the second quarter of fiscal 2020. Our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is due primarily to minimum state tax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Our OES segment develops and sells lighting products and provides construction and engineering services for our commercial lighting and energy management systems. OES provides engineering, design, lighting products and in many cases turnkey solutions for large national accounts, governments, municipalities, schools and other customers.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w w:val="98"/>
              </w:rPr>
              <w:t>Three Months Ended September 30,</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260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CFF0FC"/>
            </w:tcBorders>
          </w:tcPr>
          <w:p>
            <w:pPr>
              <w:spacing w:after="0"/>
              <w:rPr>
                <w:sz w:val="14"/>
                <w:szCs w:val="14"/>
                <w:color w:val="auto"/>
              </w:rPr>
            </w:pPr>
          </w:p>
        </w:tc>
        <w:tc>
          <w:tcPr>
            <w:tcW w:w="2600" w:type="dxa"/>
            <w:vAlign w:val="bottom"/>
            <w:tcBorders>
              <w:bottom w:val="single" w:sz="8" w:color="CFF0FC"/>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18,470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42,306</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Operating income</w:t>
            </w:r>
          </w:p>
        </w:tc>
        <w:tc>
          <w:tcPr>
            <w:tcW w:w="338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1,764</w:t>
            </w:r>
          </w:p>
        </w:tc>
        <w:tc>
          <w:tcPr>
            <w:tcW w:w="220" w:type="dxa"/>
            <w:vAlign w:val="bottom"/>
          </w:tcPr>
          <w:p>
            <w:pPr>
              <w:spacing w:after="0"/>
              <w:rPr>
                <w:sz w:val="19"/>
                <w:szCs w:val="19"/>
                <w:color w:val="auto"/>
              </w:rPr>
            </w:pPr>
          </w:p>
        </w:tc>
        <w:tc>
          <w:tcPr>
            <w:tcW w:w="88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7,831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6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18.5%</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OES segment revenue in the second quarter of fiscal 2021 was $18.5 million, a decrease of $23.8 million from the second quarter of fiscal 2020, due primarily to the timing of installations to one large national account customer. The installations for this customer had been put on-hold as a result of COVID-19 during March 2020, and resumed during the second quarter. Due to the resumed installations with the one large national account customer, we expect OES segment revenue in the second half of fiscal 2021 to increase.</w:t>
      </w:r>
    </w:p>
    <w:p>
      <w:pPr>
        <w:spacing w:after="0" w:line="133" w:lineRule="exact"/>
        <w:rPr>
          <w:sz w:val="20"/>
          <w:szCs w:val="20"/>
          <w:color w:val="auto"/>
        </w:rPr>
      </w:pPr>
    </w:p>
    <w:p>
      <w:pPr>
        <w:ind w:firstLine="490"/>
        <w:spacing w:after="0" w:line="277" w:lineRule="auto"/>
        <w:rPr>
          <w:sz w:val="20"/>
          <w:szCs w:val="20"/>
          <w:color w:val="auto"/>
        </w:rPr>
      </w:pPr>
      <w:r>
        <w:rPr>
          <w:rFonts w:ascii="Arial" w:cs="Arial" w:eastAsia="Arial" w:hAnsi="Arial"/>
          <w:sz w:val="18"/>
          <w:szCs w:val="18"/>
          <w:color w:val="auto"/>
        </w:rPr>
        <w:t>OES segment operating income in the second quarter of fiscal 2021 was $1.8 million, a decrease of $6.1 million from the second quarter of fiscal 2020. The decrease in the segment’s operating income was the result of significantly lower sales in this segment.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ind w:firstLine="493"/>
        <w:spacing w:after="0" w:line="277" w:lineRule="auto"/>
        <w:rPr>
          <w:sz w:val="20"/>
          <w:szCs w:val="20"/>
          <w:color w:val="auto"/>
        </w:rPr>
      </w:pPr>
      <w:r>
        <w:rPr>
          <w:rFonts w:ascii="Arial" w:cs="Arial" w:eastAsia="Arial" w:hAnsi="Arial"/>
          <w:sz w:val="18"/>
          <w:szCs w:val="18"/>
          <w:color w:val="auto"/>
        </w:rPr>
        <w:t>Our ODS segment focuses on selling lighting products through manufacturer representative agencies and a network of North American broadline and electrical distributors and contractors.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w w:val="98"/>
              </w:rPr>
              <w:t>Three Months Ended September 30,</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236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20" w:type="dxa"/>
            <w:vAlign w:val="bottom"/>
            <w:tcBorders>
              <w:bottom w:val="single" w:sz="8" w:color="CFF0FC"/>
            </w:tcBorders>
          </w:tcPr>
          <w:p>
            <w:pPr>
              <w:spacing w:after="0"/>
              <w:rPr>
                <w:sz w:val="14"/>
                <w:szCs w:val="14"/>
                <w:color w:val="auto"/>
              </w:rPr>
            </w:pPr>
          </w:p>
        </w:tc>
        <w:tc>
          <w:tcPr>
            <w:tcW w:w="236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5,500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3,853</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Operating income (loss)</w:t>
            </w:r>
          </w:p>
        </w:tc>
        <w:tc>
          <w:tcPr>
            <w:tcW w:w="318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926</w:t>
            </w:r>
          </w:p>
        </w:tc>
        <w:tc>
          <w:tcPr>
            <w:tcW w:w="220" w:type="dxa"/>
            <w:vAlign w:val="bottom"/>
          </w:tcPr>
          <w:p>
            <w:pPr>
              <w:spacing w:after="0"/>
              <w:rPr>
                <w:sz w:val="19"/>
                <w:szCs w:val="19"/>
                <w:color w:val="auto"/>
              </w:rPr>
            </w:pPr>
          </w:p>
        </w:tc>
        <w:tc>
          <w:tcPr>
            <w:tcW w:w="92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208" w:lineRule="exact"/>
        <w:rPr>
          <w:sz w:val="20"/>
          <w:szCs w:val="20"/>
          <w:color w:val="auto"/>
        </w:rPr>
      </w:pPr>
    </w:p>
    <w:p>
      <w:pPr>
        <w:ind w:firstLine="493"/>
        <w:spacing w:after="0" w:line="277" w:lineRule="auto"/>
        <w:rPr>
          <w:sz w:val="20"/>
          <w:szCs w:val="20"/>
          <w:color w:val="auto"/>
        </w:rPr>
      </w:pPr>
      <w:r>
        <w:rPr>
          <w:rFonts w:ascii="Arial" w:cs="Arial" w:eastAsia="Arial" w:hAnsi="Arial"/>
          <w:sz w:val="18"/>
          <w:szCs w:val="18"/>
          <w:color w:val="auto"/>
        </w:rPr>
        <w:t>ODS segment revenue in the second quarter of fiscal 2021 was $5.5 million, an increase of 42.7%, or $1.6 million, compared to the second quarter of fiscal 2020, primarily due to sales to one customer who represented 7.5% of second quarter fiscal 2021 total revenue.</w:t>
      </w:r>
    </w:p>
    <w:p>
      <w:pPr>
        <w:spacing w:after="0" w:line="116" w:lineRule="exact"/>
        <w:rPr>
          <w:sz w:val="20"/>
          <w:szCs w:val="20"/>
          <w:color w:val="auto"/>
        </w:rPr>
      </w:pPr>
    </w:p>
    <w:p>
      <w:pPr>
        <w:ind w:firstLine="493"/>
        <w:spacing w:after="0" w:line="277" w:lineRule="auto"/>
        <w:rPr>
          <w:sz w:val="20"/>
          <w:szCs w:val="20"/>
          <w:color w:val="auto"/>
        </w:rPr>
      </w:pPr>
      <w:r>
        <w:rPr>
          <w:rFonts w:ascii="Arial" w:cs="Arial" w:eastAsia="Arial" w:hAnsi="Arial"/>
          <w:sz w:val="18"/>
          <w:szCs w:val="18"/>
          <w:color w:val="auto"/>
        </w:rPr>
        <w:t>ODS segment operating income in the second quarter of fiscal 2021 was $0.9 million, an increase of $1.1 million, from an operating loss in the second quarter of fiscal 2020, primarily due to higher revenues resulting in improved operating leverage.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ind w:right="20" w:firstLine="493"/>
        <w:spacing w:after="0" w:line="277" w:lineRule="auto"/>
        <w:rPr>
          <w:sz w:val="20"/>
          <w:szCs w:val="20"/>
          <w:color w:val="auto"/>
        </w:rPr>
      </w:pPr>
      <w:r>
        <w:rPr>
          <w:rFonts w:ascii="Arial" w:cs="Arial" w:eastAsia="Arial" w:hAnsi="Arial"/>
          <w:sz w:val="18"/>
          <w:szCs w:val="18"/>
          <w:color w:val="auto"/>
        </w:rPr>
        <w:t>Our USM segment sells commercial lighting systems and energy management systems to the wholesale contractor markets. USM customers include ESCOs and contractors.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w w:val="98"/>
              </w:rPr>
              <w:t>Three Months Ended September 30,</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260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tcPr>
          <w:p>
            <w:pPr>
              <w:spacing w:after="0"/>
              <w:rPr>
                <w:sz w:val="14"/>
                <w:szCs w:val="14"/>
                <w:color w:val="auto"/>
              </w:rPr>
            </w:pPr>
          </w:p>
        </w:tc>
        <w:tc>
          <w:tcPr>
            <w:tcW w:w="260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2,311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2,163</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34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9"/>
                <w:szCs w:val="19"/>
                <w:color w:val="auto"/>
              </w:rPr>
            </w:pPr>
          </w:p>
        </w:tc>
        <w:tc>
          <w:tcPr>
            <w:tcW w:w="92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6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493"/>
        <w:spacing w:after="0" w:line="277" w:lineRule="auto"/>
        <w:rPr>
          <w:sz w:val="20"/>
          <w:szCs w:val="20"/>
          <w:color w:val="auto"/>
        </w:rPr>
      </w:pPr>
      <w:r>
        <w:rPr>
          <w:rFonts w:ascii="Arial" w:cs="Arial" w:eastAsia="Arial" w:hAnsi="Arial"/>
          <w:sz w:val="18"/>
          <w:szCs w:val="18"/>
          <w:color w:val="auto"/>
        </w:rPr>
        <w:t>USM segment revenue in the second quarter of fiscal 2021 was $2.3 million, an increase of 6.8%, or $0.1 million, compared to the second quarter of fiscal 2020, primarily due to improved engagement in this channel.</w:t>
      </w:r>
    </w:p>
    <w:p>
      <w:pPr>
        <w:spacing w:after="0" w:line="170" w:lineRule="exact"/>
        <w:rPr>
          <w:sz w:val="20"/>
          <w:szCs w:val="20"/>
          <w:color w:val="auto"/>
        </w:rPr>
      </w:pPr>
    </w:p>
    <w:p>
      <w:pPr>
        <w:ind w:right="520" w:firstLine="493"/>
        <w:spacing w:after="0" w:line="277" w:lineRule="auto"/>
        <w:rPr>
          <w:sz w:val="20"/>
          <w:szCs w:val="20"/>
          <w:color w:val="auto"/>
        </w:rPr>
      </w:pPr>
      <w:r>
        <w:rPr>
          <w:rFonts w:ascii="Arial" w:cs="Arial" w:eastAsia="Arial" w:hAnsi="Arial"/>
          <w:sz w:val="18"/>
          <w:szCs w:val="18"/>
          <w:color w:val="auto"/>
        </w:rPr>
        <w:t>USM segment operating income in the second quarter of fiscal 2021 was $0.3 million, an increase of 12.2% or $33 thousand, compared to the second quarter of fiscal 2020, primarily due to higher sales volume resulting in improved operating leverage.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 - Six Months Ended September 30, 2020 versus Six Months Ended September 30, 2019</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4"/>
                <w:szCs w:val="14"/>
                <w:b w:val="1"/>
                <w:bCs w:val="1"/>
                <w:color w:val="auto"/>
              </w:rPr>
              <w:t>Six Months Ended September 30,</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9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3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67,911</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(55.9)%</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80.8%</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Service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22,789</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(68.7)%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90,700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(59.1)%</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49,703</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(56.5)%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58.3%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17,923</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(69.0)%</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67,626</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(59.8)%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73.3%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23,074</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(57.1)%</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26.7%</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5,612</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5,624</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(25.6)%</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11.3%</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11,037</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NM</w:t>
            </w:r>
          </w:p>
        </w:tc>
        <w:tc>
          <w:tcPr>
            <w:tcW w:w="340" w:type="dxa"/>
            <w:vAlign w:val="bottom"/>
            <w:vMerge w:val="continue"/>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120.0%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(223)</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77.6%</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Amortization of debt issue costs</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Income (loss) before income tax</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10,716</w:t>
            </w:r>
          </w:p>
        </w:tc>
        <w:tc>
          <w:tcPr>
            <w:tcW w:w="220" w:type="dxa"/>
            <w:vAlign w:val="bottom"/>
          </w:tcPr>
          <w:p>
            <w:pPr>
              <w:spacing w:after="0"/>
              <w:rPr>
                <w:sz w:val="19"/>
                <w:szCs w:val="19"/>
                <w:color w:val="auto"/>
              </w:rPr>
            </w:pPr>
          </w:p>
        </w:tc>
        <w:tc>
          <w:tcPr>
            <w:tcW w:w="980" w:type="dxa"/>
            <w:vAlign w:val="bottom"/>
          </w:tcPr>
          <w:p>
            <w:pPr>
              <w:ind w:left="680"/>
              <w:spacing w:after="0"/>
              <w:rPr>
                <w:sz w:val="20"/>
                <w:szCs w:val="20"/>
                <w:color w:val="auto"/>
              </w:rPr>
            </w:pPr>
            <w:r>
              <w:rPr>
                <w:rFonts w:ascii="Arial" w:cs="Arial" w:eastAsia="Arial" w:hAnsi="Arial"/>
                <w:sz w:val="18"/>
                <w:szCs w:val="18"/>
                <w:color w:val="auto"/>
                <w:w w:val="99"/>
              </w:rPr>
              <w:t>NM</w:t>
            </w:r>
          </w:p>
        </w:tc>
        <w:tc>
          <w:tcPr>
            <w:tcW w:w="340" w:type="dxa"/>
            <w:vAlign w:val="bottom"/>
            <w:vMerge w:val="continue"/>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(96.3)%</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8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(305)</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10,689</w:t>
            </w:r>
          </w:p>
        </w:tc>
        <w:tc>
          <w:tcPr>
            <w:tcW w:w="220" w:type="dxa"/>
            <w:vAlign w:val="bottom"/>
            <w:vMerge w:val="continue"/>
          </w:tcPr>
          <w:p>
            <w:pPr>
              <w:spacing w:after="0"/>
              <w:rPr>
                <w:sz w:val="19"/>
                <w:szCs w:val="19"/>
                <w:color w:val="auto"/>
              </w:rPr>
            </w:pPr>
          </w:p>
        </w:tc>
        <w:tc>
          <w:tcPr>
            <w:tcW w:w="980" w:type="dxa"/>
            <w:vAlign w:val="bottom"/>
          </w:tcPr>
          <w:p>
            <w:pPr>
              <w:ind w:left="680"/>
              <w:spacing w:after="0"/>
              <w:rPr>
                <w:sz w:val="20"/>
                <w:szCs w:val="20"/>
                <w:color w:val="auto"/>
              </w:rPr>
            </w:pPr>
            <w:r>
              <w:rPr>
                <w:rFonts w:ascii="Arial" w:cs="Arial" w:eastAsia="Arial" w:hAnsi="Arial"/>
                <w:sz w:val="18"/>
                <w:szCs w:val="18"/>
                <w:color w:val="auto"/>
                <w:w w:val="99"/>
              </w:rPr>
              <w:t>NM</w:t>
            </w:r>
          </w:p>
        </w:tc>
        <w:tc>
          <w:tcPr>
            <w:tcW w:w="340" w:type="dxa"/>
            <w:vAlign w:val="bottom"/>
            <w:vMerge w:val="continue"/>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0</wp:posOffset>
            </wp:positionV>
            <wp:extent cx="38322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32225" cy="8890"/>
                    </a:xfrm>
                    <a:prstGeom prst="rect">
                      <a:avLst/>
                    </a:prstGeom>
                    <a:noFill/>
                  </pic:spPr>
                </pic:pic>
              </a:graphicData>
            </a:graphic>
          </wp:anchor>
        </w:drawing>
      </w:r>
    </w:p>
    <w:p>
      <w:pPr>
        <w:spacing w:after="0" w:line="1"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-98425</wp:posOffset>
            </wp:positionV>
            <wp:extent cx="3832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32225" cy="8255"/>
                    </a:xfrm>
                    <a:prstGeom prst="rect">
                      <a:avLst/>
                    </a:prstGeom>
                    <a:noFill/>
                  </pic:spPr>
                </pic:pic>
              </a:graphicData>
            </a:graphic>
          </wp:anchor>
        </w:drawing>
      </w:r>
    </w:p>
    <w:p>
      <w:pPr>
        <w:spacing w:after="0" w:line="134" w:lineRule="exact"/>
        <w:rPr>
          <w:sz w:val="20"/>
          <w:szCs w:val="20"/>
          <w:color w:val="auto"/>
        </w:rPr>
      </w:pPr>
    </w:p>
    <w:p>
      <w:pPr>
        <w:jc w:val="both"/>
        <w:ind w:firstLine="493"/>
        <w:spacing w:after="0" w:line="293"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decreased 55.9%, or $38.0 million, for the first six months of fiscal 2021 versus the first six months of fiscal 2020.</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revenue decreased 68.7%, or $15.7 million for the first six months of fiscal 2021 versus the first six months of fiscal 2020. The decrease in product and service revenue was primarily due to multiple projects put on hold as a result of COVID-19, including the projects for one large national account customer which represented 79.2% of revenue in the first six months of fiscal 2020, but only 44.4% of revenue in the first six months of fiscal 2021. The project installations for this large national account customer resumed during the second quarter. Sales to one other customer accounted for 14.9% of total revenue in the first six months of fiscal 2021. Total revenue decreased by 59.1%, or $53.6 million, due to the items discussed above.</w:t>
      </w:r>
    </w:p>
    <w:p>
      <w:pPr>
        <w:spacing w:after="0" w:line="110" w:lineRule="exact"/>
        <w:rPr>
          <w:sz w:val="20"/>
          <w:szCs w:val="20"/>
          <w:color w:val="auto"/>
        </w:rPr>
      </w:pPr>
    </w:p>
    <w:p>
      <w:pPr>
        <w:jc w:val="both"/>
        <w:ind w:right="20" w:firstLine="493"/>
        <w:spacing w:after="0" w:line="301" w:lineRule="auto"/>
        <w:rPr>
          <w:sz w:val="20"/>
          <w:szCs w:val="20"/>
          <w:color w:val="auto"/>
        </w:rPr>
      </w:pPr>
      <w:r>
        <w:rPr>
          <w:rFonts w:ascii="Arial" w:cs="Arial" w:eastAsia="Arial" w:hAnsi="Arial"/>
          <w:sz w:val="16"/>
          <w:szCs w:val="16"/>
          <w:i w:val="1"/>
          <w:iCs w:val="1"/>
          <w:color w:val="auto"/>
        </w:rPr>
        <w:t xml:space="preserve">Cost of Revenue and Gross Profit. </w:t>
      </w:r>
      <w:r>
        <w:rPr>
          <w:rFonts w:ascii="Arial" w:cs="Arial" w:eastAsia="Arial" w:hAnsi="Arial"/>
          <w:sz w:val="16"/>
          <w:szCs w:val="16"/>
          <w:color w:val="auto"/>
        </w:rPr>
        <w:t>Cost of product revenue decreased 56.5%, or $28.1 million, in the first six months of fiscal 2021 versus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of fiscal 2020 due to the significant decrease in our sales. Cost of service revenue decreased 69.0% or $12.4 million, in the first six months of fiscal 2021 versus the first six months of fiscal 2020 due to the decrease in sales. Gross profit percentage increased from 22.1% of revenue in the first six months of fiscal 2020 to 26.7% in fiscal 2021, due primarily to proactive sourcing and cost management and a change in customer sales mix.</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decreased 10.0%, or $0.6 million in the first six months of fiscal 2021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six months of fiscal 2020, primarily due to lower employment costs.</w:t>
      </w:r>
    </w:p>
    <w:p>
      <w:pPr>
        <w:spacing w:after="0" w:line="116" w:lineRule="exact"/>
        <w:rPr>
          <w:sz w:val="20"/>
          <w:szCs w:val="20"/>
          <w:color w:val="auto"/>
        </w:rPr>
      </w:pPr>
    </w:p>
    <w:p>
      <w:pPr>
        <w:jc w:val="both"/>
        <w:ind w:right="20" w:firstLine="490"/>
        <w:spacing w:after="0" w:line="34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decreased 25.6%, or $1.4 million, in the first six months of fiscal 2021 compared to the first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fiscal 2020. This comparative decrease was primarily due to a decrease in commission expense on lower sales and lower employment costs.</w:t>
      </w:r>
    </w:p>
    <w:p>
      <w:pPr>
        <w:spacing w:after="0" w:line="70" w:lineRule="exact"/>
        <w:rPr>
          <w:sz w:val="20"/>
          <w:szCs w:val="20"/>
          <w:color w:val="auto"/>
        </w:rPr>
      </w:pPr>
    </w:p>
    <w:p>
      <w:pPr>
        <w:jc w:val="both"/>
        <w:ind w:firstLine="490"/>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 the first six months of fiscal 2021 remained relatively flat compared to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2" w:name="page33"/>
    <w:bookmarkEnd w:id="32"/>
    <w:p>
      <w:pPr>
        <w:jc w:val="both"/>
        <w:ind w:firstLine="490"/>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in the first six months of fiscal 2021 primarily represented product royalties received from licensing agreements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patents.</w:t>
      </w:r>
    </w:p>
    <w:p>
      <w:pPr>
        <w:spacing w:after="0" w:line="116" w:lineRule="exact"/>
        <w:rPr>
          <w:sz w:val="20"/>
          <w:szCs w:val="20"/>
          <w:color w:val="auto"/>
        </w:rPr>
      </w:pPr>
    </w:p>
    <w:p>
      <w:pPr>
        <w:jc w:val="both"/>
        <w:ind w:firstLine="490"/>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the first six months of fiscal 2021 decreased by 77.6%, or $0.2 million, from the first six months of fiscal 2020.</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interest expense was primarily due to lower borrowing on our revolving credit facility in the first six months of fiscal 2021 compared to the first six months of fiscal 2020.</w:t>
      </w:r>
    </w:p>
    <w:p>
      <w:pPr>
        <w:spacing w:after="0" w:line="130"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i w:val="1"/>
          <w:iCs w:val="1"/>
          <w:color w:val="auto"/>
        </w:rPr>
        <w:t>Amortization of debt issue costs</w:t>
      </w:r>
      <w:r>
        <w:rPr>
          <w:rFonts w:ascii="Arial" w:cs="Arial" w:eastAsia="Arial" w:hAnsi="Arial"/>
          <w:sz w:val="18"/>
          <w:szCs w:val="18"/>
          <w:color w:val="auto"/>
        </w:rPr>
        <w:t>. Amortization of debt issue costs in the first six months of fiscal 2021 remained flat compared to the first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2020.</w:t>
      </w:r>
    </w:p>
    <w:p>
      <w:pPr>
        <w:spacing w:after="0" w:line="116"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 the first six months of fiscal 2021 remained relatively flat compared to the first six months of fiscal 2020.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relates to interest earned on sweep bank accounts.</w:t>
      </w:r>
    </w:p>
    <w:p>
      <w:pPr>
        <w:spacing w:after="0" w:line="116"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decreased $26 thousand, in the first six months of fiscal 2021 compared to the first six months of fiscal 2020. Our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is due primarily to minimum state tax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Our OES segment develops and sells lighting products and provides construction and engineering services for our commercial lighting and energy management systems. OES provides engineering, design, lighting products and in many cases turnkey solutions for large national accounts, governments, municipalities, schools and other customers.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Six Months Ended September 30,</w:t>
            </w:r>
          </w:p>
        </w:tc>
        <w:tc>
          <w:tcPr>
            <w:tcW w:w="1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234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80" w:type="dxa"/>
            <w:vAlign w:val="bottom"/>
            <w:tcBorders>
              <w:bottom w:val="single" w:sz="8" w:color="CFF0FC"/>
            </w:tcBorders>
          </w:tcPr>
          <w:p>
            <w:pPr>
              <w:spacing w:after="0"/>
              <w:rPr>
                <w:sz w:val="14"/>
                <w:szCs w:val="14"/>
                <w:color w:val="auto"/>
              </w:rPr>
            </w:pPr>
          </w:p>
        </w:tc>
        <w:tc>
          <w:tcPr>
            <w:tcW w:w="2340" w:type="dxa"/>
            <w:vAlign w:val="bottom"/>
            <w:tcBorders>
              <w:bottom w:val="single" w:sz="8" w:color="CFF0FC"/>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20,726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77,094</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Operating income (loss)</w:t>
            </w:r>
          </w:p>
        </w:tc>
        <w:tc>
          <w:tcPr>
            <w:tcW w:w="312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86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12,687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4"/>
        </w:trPr>
        <w:tc>
          <w:tcPr>
            <w:tcW w:w="4080" w:type="dxa"/>
            <w:vAlign w:val="bottom"/>
          </w:tcPr>
          <w:p>
            <w:pPr>
              <w:spacing w:after="0"/>
              <w:rPr>
                <w:sz w:val="20"/>
                <w:szCs w:val="20"/>
                <w:color w:val="auto"/>
              </w:rPr>
            </w:pPr>
            <w:r>
              <w:rPr>
                <w:rFonts w:ascii="Arial" w:cs="Arial" w:eastAsia="Arial" w:hAnsi="Arial"/>
                <w:sz w:val="18"/>
                <w:szCs w:val="18"/>
                <w:color w:val="auto"/>
              </w:rPr>
              <w:t>Operating margin</w:t>
            </w:r>
          </w:p>
        </w:tc>
        <w:tc>
          <w:tcPr>
            <w:tcW w:w="2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500" w:hanging="49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82"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OES segment revenue in the first six months of fiscal 2021 was $20.7 million, a decrease of $56.4 million from the first six months of fiscal 2020, due to multiple projects put on hold as a result of COVID-19, including the projects to one large national account customer that represented 79.2% of total revenue in the first six months fiscal 2020, but only 44.4% of revenue in the first six months of fiscal 2021. The project installations for this customer resumed during the second quarter.</w:t>
      </w:r>
    </w:p>
    <w:p>
      <w:pPr>
        <w:spacing w:after="0" w:line="133"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OES segment operating loss in the first six months of fiscal 2021 was $0.1 million, a decrease of $12.8 million from operating income of $12.7 million in the first six months of fiscal 2020. The decrease in the segment’s operating income was the result of significantly lower sales in this segment, resulting in unfavorable operating leverage.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Our ODS segment focuses on selling lighting products through manufacturer representative agencies and a network of North American broadline and electrical distributors and contractors.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Six Months Ended September 30,</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236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20" w:type="dxa"/>
            <w:vAlign w:val="bottom"/>
            <w:tcBorders>
              <w:bottom w:val="single" w:sz="8" w:color="CFF0FC"/>
            </w:tcBorders>
          </w:tcPr>
          <w:p>
            <w:pPr>
              <w:spacing w:after="0"/>
              <w:rPr>
                <w:sz w:val="14"/>
                <w:szCs w:val="14"/>
                <w:color w:val="auto"/>
              </w:rPr>
            </w:pPr>
          </w:p>
        </w:tc>
        <w:tc>
          <w:tcPr>
            <w:tcW w:w="2360" w:type="dxa"/>
            <w:vAlign w:val="bottom"/>
            <w:tcBorders>
              <w:bottom w:val="single" w:sz="8" w:color="CFF0FC"/>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3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12,129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7,557</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(485)</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Operating margin</w:t>
            </w:r>
          </w:p>
        </w:tc>
        <w:tc>
          <w:tcPr>
            <w:tcW w:w="2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500" w:hanging="49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82" w:lineRule="exact"/>
        <w:rPr>
          <w:sz w:val="20"/>
          <w:szCs w:val="20"/>
          <w:color w:val="auto"/>
        </w:rPr>
      </w:pPr>
    </w:p>
    <w:p>
      <w:pPr>
        <w:ind w:firstLine="493"/>
        <w:spacing w:after="0" w:line="277" w:lineRule="auto"/>
        <w:rPr>
          <w:sz w:val="20"/>
          <w:szCs w:val="20"/>
          <w:color w:val="auto"/>
        </w:rPr>
      </w:pPr>
      <w:r>
        <w:rPr>
          <w:rFonts w:ascii="Arial" w:cs="Arial" w:eastAsia="Arial" w:hAnsi="Arial"/>
          <w:sz w:val="18"/>
          <w:szCs w:val="18"/>
          <w:color w:val="auto"/>
        </w:rPr>
        <w:t>ODS segment revenue in the first six months of fiscal 2021 was $12.1 million, an increase of 60.5%, or $4.6 million, compared to the first six months of fiscal 2020, primarily due to sales to one customer who represented 14.9% of first six months fiscal 2021 total revenue.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3" w:name="page34"/>
    <w:bookmarkEnd w:id="33"/>
    <w:p>
      <w:pPr>
        <w:jc w:val="both"/>
        <w:ind w:firstLine="493"/>
        <w:spacing w:after="0" w:line="277" w:lineRule="auto"/>
        <w:rPr>
          <w:sz w:val="20"/>
          <w:szCs w:val="20"/>
          <w:color w:val="auto"/>
        </w:rPr>
      </w:pPr>
      <w:r>
        <w:rPr>
          <w:rFonts w:ascii="Arial" w:cs="Arial" w:eastAsia="Arial" w:hAnsi="Arial"/>
          <w:sz w:val="18"/>
          <w:szCs w:val="18"/>
          <w:color w:val="auto"/>
        </w:rPr>
        <w:t>ODS segment operating income in the first six months of fiscal 2021 was $1.7 million, an increase of $2.2 million, from an operating loss in the first six months of fiscal 2020, primarily due to higher revenues resulting in improved operating leverage.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Our USM segment sells commercial lighting systems and energy management systems to the wholesale contractor markets. USM customers include ESCOs and contractors.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w w:val="99"/>
              </w:rPr>
              <w:t>Six Months Ended September 30,</w:t>
            </w:r>
          </w:p>
        </w:tc>
        <w:tc>
          <w:tcPr>
            <w:tcW w:w="10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ind w:right="459"/>
              <w:spacing w:after="0" w:line="133"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4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4,237</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6,049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385</w:t>
            </w:r>
          </w:p>
        </w:tc>
        <w:tc>
          <w:tcPr>
            <w:tcW w:w="300" w:type="dxa"/>
            <w:vAlign w:val="bottom"/>
          </w:tcPr>
          <w:p>
            <w:pPr>
              <w:spacing w:after="0"/>
              <w:rPr>
                <w:sz w:val="19"/>
                <w:szCs w:val="19"/>
                <w:color w:val="auto"/>
              </w:rPr>
            </w:pP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1,172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8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9.1%</w:t>
            </w:r>
          </w:p>
        </w:tc>
        <w:tc>
          <w:tcPr>
            <w:tcW w:w="8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USM segment revenue in the first six months of fiscal 2021 was $4.2 million, a decrease of 30.0%, or $1.8 million, from the first six months of fiscal 2020, primarily due to the impact of COVID-19.</w:t>
      </w:r>
    </w:p>
    <w:p>
      <w:pPr>
        <w:spacing w:after="0" w:line="157"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USM segment operating income in the first six months of fiscal 2021 was $0.4 million, a decrease of 67.2%, or $0.8 million, from the first six months of fiscal 2020. The decrease in the segment’s operating income was the result of significantly lower sales in this segment, resulting in lower operating leverage.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We had approximately $12.1 million in cash and cash equivalents as of September 30, 2020, compared to $28.8 million at March 31, 2020. Our cash position decreased primarily as a result of the use of cash from operating activities of $14.3 million and net payments of $2.1 million to reduce the principal balance of our Credit Facility.</w:t>
      </w:r>
    </w:p>
    <w:p>
      <w:pPr>
        <w:spacing w:after="0" w:line="130"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Our future liquidity needs and forecasted cash flows are dependent upon many factors, including our relative revenue, gross profits, cash management practices, cost reduction initiatives, working capital management, capital expenditures, pending or future litigation results and cost containment measures. In addition, we tend to experience higher working capital costs when we increase sales from existing levels.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six months ended September 30, 2020 and 2019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69"/>
              <w:spacing w:after="0"/>
              <w:rPr>
                <w:sz w:val="20"/>
                <w:szCs w:val="20"/>
                <w:color w:val="auto"/>
              </w:rPr>
            </w:pPr>
            <w:r>
              <w:rPr>
                <w:rFonts w:ascii="Arial" w:cs="Arial" w:eastAsia="Arial" w:hAnsi="Arial"/>
                <w:sz w:val="14"/>
                <w:szCs w:val="14"/>
                <w:b w:val="1"/>
                <w:bCs w:val="1"/>
                <w:color w:val="auto"/>
              </w:rPr>
              <w:t>Six Months Ended September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6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tcPr>
          <w:p>
            <w:pPr>
              <w:jc w:val="right"/>
              <w:ind w:right="29"/>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(14,138)</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6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Investing activities</w:t>
            </w:r>
          </w:p>
        </w:tc>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(534)</w:t>
            </w: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2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(2,062)</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(5,546)</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2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(16,627)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86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0"/>
        <w:spacing w:after="0" w:line="263"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(used in) provided by operating activities primarily consists of net (loss) income adjusted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non-cash items, including depreciation, amortization of intangible assets, stock-based compensation, amortization of debt issue costs, provisions for reserves, and the effect of changes in working capital and other activities.</w:t>
      </w:r>
    </w:p>
    <w:p>
      <w:pPr>
        <w:spacing w:after="0" w:line="130" w:lineRule="exact"/>
        <w:rPr>
          <w:sz w:val="20"/>
          <w:szCs w:val="20"/>
          <w:color w:val="auto"/>
        </w:rPr>
      </w:pPr>
    </w:p>
    <w:p>
      <w:pPr>
        <w:jc w:val="both"/>
        <w:ind w:firstLine="490"/>
        <w:spacing w:after="0" w:line="263" w:lineRule="auto"/>
        <w:rPr>
          <w:sz w:val="20"/>
          <w:szCs w:val="20"/>
          <w:color w:val="auto"/>
        </w:rPr>
      </w:pPr>
      <w:r>
        <w:rPr>
          <w:rFonts w:ascii="Arial" w:cs="Arial" w:eastAsia="Arial" w:hAnsi="Arial"/>
          <w:sz w:val="18"/>
          <w:szCs w:val="18"/>
          <w:color w:val="auto"/>
        </w:rPr>
        <w:t>Cash used in operating activities for the first six months of fiscal 2021 was $14.1 million and consisted of our net loss adjusted for non-cash expense items of $1.0 million and net cash used in changes in operating assets and liabilities of $15.2 million. Cash used by operating assets and liabilities consisted primarily of a decrease in Accounts payable of $6.3 million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an increase in Accounts receivable of $5.9 million and Inventory of $3.7 million based on increased second quarter and anticipated third quarter sales.</w:t>
      </w:r>
    </w:p>
    <w:p>
      <w:pPr>
        <w:spacing w:after="0" w:line="194" w:lineRule="exact"/>
        <w:rPr>
          <w:sz w:val="20"/>
          <w:szCs w:val="20"/>
          <w:color w:val="auto"/>
        </w:rPr>
      </w:pPr>
    </w:p>
    <w:p>
      <w:pPr>
        <w:jc w:val="both"/>
        <w:ind w:firstLine="490"/>
        <w:spacing w:after="0" w:line="275" w:lineRule="auto"/>
        <w:rPr>
          <w:sz w:val="20"/>
          <w:szCs w:val="20"/>
          <w:color w:val="auto"/>
        </w:rPr>
      </w:pPr>
      <w:r>
        <w:rPr>
          <w:rFonts w:ascii="Arial" w:cs="Arial" w:eastAsia="Arial" w:hAnsi="Arial"/>
          <w:sz w:val="17"/>
          <w:szCs w:val="17"/>
          <w:color w:val="auto"/>
        </w:rPr>
        <w:t>Cash provided by operating activities for the first six months of fiscal 2020 was $8.5 million and consisted of our net income adjusted for non-cash expense items of $12.1 million and net cash used by changes in operating assets and liabilities of $3.6 million. Cash used by changes in operating assets and liabilities consisted primarily of an increase of $12.2 million in Accounts receivable due to higher sales and the timing of collections, and an increase in Inventory of $4.4 million on anticipated third quarter sales. Cash provided by changes in operating assets and liabilities consisted primarily of an increase of $12.7 million in Accounts payable and $0.8 million in Accrued expenses other based on timing of payments.</w:t>
      </w:r>
    </w:p>
    <w:p>
      <w:pPr>
        <w:spacing w:after="0" w:line="122" w:lineRule="exact"/>
        <w:rPr>
          <w:sz w:val="20"/>
          <w:szCs w:val="20"/>
          <w:color w:val="auto"/>
        </w:rPr>
      </w:pPr>
    </w:p>
    <w:p>
      <w:pPr>
        <w:jc w:val="both"/>
        <w:ind w:firstLine="490"/>
        <w:spacing w:after="0" w:line="277" w:lineRule="auto"/>
        <w:rPr>
          <w:sz w:val="20"/>
          <w:szCs w:val="20"/>
          <w:color w:val="auto"/>
        </w:rPr>
      </w:pPr>
      <w:r>
        <w:rPr>
          <w:rFonts w:ascii="Arial" w:cs="Arial" w:eastAsia="Arial" w:hAnsi="Arial"/>
          <w:sz w:val="18"/>
          <w:szCs w:val="18"/>
          <w:i w:val="1"/>
          <w:iCs w:val="1"/>
          <w:color w:val="auto"/>
        </w:rPr>
        <w:t>Cash Flows Related to Investing Activities</w:t>
      </w:r>
      <w:r>
        <w:rPr>
          <w:rFonts w:ascii="Arial" w:cs="Arial" w:eastAsia="Arial" w:hAnsi="Arial"/>
          <w:sz w:val="18"/>
          <w:szCs w:val="18"/>
          <w:color w:val="auto"/>
        </w:rPr>
        <w:t>. Cash used in investing activities of $0.3 million in the first six months of fiscal 2021 consisted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of purchases of property and equipment.</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used in investing activities of $0.5 million in the first six months of fiscal 2020 consisted of purchases of property and equipment.</w:t>
      </w:r>
    </w:p>
    <w:p>
      <w:pPr>
        <w:spacing w:after="0" w:line="171" w:lineRule="exact"/>
        <w:rPr>
          <w:sz w:val="20"/>
          <w:szCs w:val="20"/>
          <w:color w:val="auto"/>
        </w:rPr>
      </w:pPr>
    </w:p>
    <w:p>
      <w:pPr>
        <w:jc w:val="both"/>
        <w:ind w:firstLine="490"/>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used in financing activities of $2.1 million in the first six months of fiscal 2021 consisted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net repayments of $(2.1) million on our Credit Facility.</w:t>
      </w:r>
    </w:p>
    <w:p>
      <w:pPr>
        <w:spacing w:after="0" w:line="116" w:lineRule="exact"/>
        <w:rPr>
          <w:sz w:val="20"/>
          <w:szCs w:val="20"/>
          <w:color w:val="auto"/>
        </w:rPr>
      </w:pPr>
    </w:p>
    <w:p>
      <w:pPr>
        <w:jc w:val="both"/>
        <w:ind w:firstLine="490"/>
        <w:spacing w:after="0" w:line="277" w:lineRule="auto"/>
        <w:rPr>
          <w:sz w:val="20"/>
          <w:szCs w:val="20"/>
          <w:color w:val="auto"/>
        </w:rPr>
      </w:pPr>
      <w:r>
        <w:rPr>
          <w:rFonts w:ascii="Arial" w:cs="Arial" w:eastAsia="Arial" w:hAnsi="Arial"/>
          <w:sz w:val="18"/>
          <w:szCs w:val="18"/>
          <w:color w:val="auto"/>
        </w:rPr>
        <w:t>Cash used in financing activities was $5.5 million for the first six months of fiscal 2020. This use of cash consisted primarily of net repayments of $5.4 million on our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7"/>
          <w:szCs w:val="17"/>
          <w:color w:val="auto"/>
        </w:rPr>
        <w:t>Our net working capital as of September 30, 2020 was $27.4 million, consisting of $51.2 million in current assets and $23.8 million in current liabilities. Our net working capital as of March 31, 2020 was $27.8 million, consisting of $55.0 million in current assets and $27.2 in current liabilities. Our current Accounts receivable, net balance increased by $6.6 million from the fiscal 2020 year-end primarily due to timing of collections on second quarter sales. Our Inventories, net increased from the fiscal 2020 year-end by $2.6 million due primarily to anticipated third quarter sales as the project installations for a large national account customer resumed during the second quarter. Our Accounts payable decreased $6.5 million from our fiscal 2020 year-end due to the timing of purchases and payments during the quarter. Our Accrued expenses increased from our fiscal 2020 year-end by $3.0 million due primarily to an increase in accrued project costs. We expect an increase in our current liabilities, and therefore a decrease in our working capital, as of December 31, 2020 when our borrowings under the Credit Agreement are recorded as a current liability.</w:t>
      </w:r>
    </w:p>
    <w:p>
      <w:pPr>
        <w:spacing w:after="0" w:line="124" w:lineRule="exact"/>
        <w:rPr>
          <w:sz w:val="20"/>
          <w:szCs w:val="20"/>
          <w:color w:val="auto"/>
        </w:rPr>
      </w:pPr>
    </w:p>
    <w:p>
      <w:pPr>
        <w:jc w:val="both"/>
        <w:ind w:firstLine="490"/>
        <w:spacing w:after="0" w:line="263"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 Inventory and payables may increase to the extent our revenue and order levels increase.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7"/>
          <w:szCs w:val="17"/>
          <w:color w:val="auto"/>
        </w:rPr>
        <w:t>On October 26, 2018, we entered into a secured revolving Business Financing Agreement with Western Alliance Bank, as lender (the “Credit Agreement”). On June 3, 2019, we and certain of our subsidiaries entered into an amendment to the Credit Agreement, which increased the maximum borrowing base credit available for certain of the customer receivables included in our borrowing base and provided for a borrowing base credit of up to $3.0 million based on inventory, in each case, subject to certain conditions. On August 2, 2019, we and certain of our subsidiaries entered into a second amendment to the Credit Agreement, which established a rent reserve in an amount equal to three months’ rent payable at any leased location where we maintain inventory included in our borrowing base and provided for a reduction of the borrowing base credit that we may receive for inventory if we default under the lease for any such location. As of the date of the Second Amendment, this rent reserve equaled $0.1 million. On November 21, 2019, we entered into a third amendment to the Credit Agreement, which extended the maturity date from October 26, 2020 to October 26, 2021; increased the sublimit under the Credit Agreement for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advances under business credit cards from $1.5 million to $3 million; created a new $2 million sublimit permitting entry into foreign currency forward contracts with the lender; expanded our ability to make capital expenditures and incur other debt from time to time; and permitted the lender to amend the financial covenant included in the Credit Agreement (which requires the maintenance of a certain amount of unrestricted cash on deposit with the lender at the end of each month) upon receipt of the our annual projections.</w:t>
      </w:r>
    </w:p>
    <w:p>
      <w:pPr>
        <w:spacing w:after="0" w:line="133" w:lineRule="exact"/>
        <w:rPr>
          <w:sz w:val="20"/>
          <w:szCs w:val="20"/>
          <w:color w:val="auto"/>
        </w:rPr>
      </w:pPr>
    </w:p>
    <w:p>
      <w:pPr>
        <w:jc w:val="both"/>
        <w:ind w:firstLine="490"/>
        <w:spacing w:after="0" w:line="293" w:lineRule="auto"/>
        <w:rPr>
          <w:sz w:val="20"/>
          <w:szCs w:val="20"/>
          <w:color w:val="auto"/>
        </w:rPr>
      </w:pPr>
      <w:r>
        <w:rPr>
          <w:rFonts w:ascii="Arial" w:cs="Arial" w:eastAsia="Arial" w:hAnsi="Arial"/>
          <w:sz w:val="16"/>
          <w:szCs w:val="16"/>
          <w:color w:val="auto"/>
        </w:rPr>
        <w:t>The Credit Agreement, as amended, provides for a revolving credit facility (the “Credit Facility”) maturing on October 26, 2021. Borrowings under the Credit Facility are limited to $20.15 million subject to a borrowing base requirement based on eligible receivables and inventory. The Credit Agreement, as amended, includes a $2.0 million sublimit for the issuance of letters of credit. As of September 30, 2020, our borrowing base was $16.4 million, and we had $7.9 borrowings outstanding. As of September 30, 2020, we had no outstanding letters of credit leaving total additional borrowing availability of $8.5 million. While our borrowings under the Credit Agreement are currently recorded as a long-term liability on our balance sheet, we expect this characterization to change to a current liability during the third quarter as the Credit Agreement will then mature in less than 12 months.</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is secured by a security interest in substantially all of our and our subsidiaries’ personal property.</w:t>
      </w:r>
    </w:p>
    <w:p>
      <w:pPr>
        <w:spacing w:after="0" w:line="171"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8"/>
          <w:szCs w:val="18"/>
          <w:color w:val="auto"/>
        </w:rPr>
        <w:t>Borrowings under the Credit Agreement generally bear interest at floating rates based upon the prime rate (but not less than 5.00% per year) plus an applicable margin determined by reference to our quick ratio (defined as the aggregate amount of unrestricted cash, unrestricted marketable securities and, with certain adjustments, receivables convertible into cash divided by the total current liabilities, including the obligations under the Credit Agreement). As of September 30, 2020, the applicable interest rate was 5.25%. Among other fees, we are required to pay an annual facility fee equal to 0.45% of the credit limit under the Credit Agreement due annually October 26.</w:t>
      </w:r>
    </w:p>
    <w:p>
      <w:pPr>
        <w:spacing w:after="0" w:line="134"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8"/>
          <w:szCs w:val="18"/>
          <w:color w:val="auto"/>
        </w:rPr>
        <w:t>The Credit Agreement requires us to maintain nine months’ of “RML” as of the end of each month. For purposes of the Credit Agreement, RML is defined as, as of the applicable determination date, unrestricted cash on deposit with the lender plus availability under the Credit Agreement divided by an amount equal to, for the applicable trailing three-month period, consolidated net profit before tax, plus depreciation expense, amortization expense and stock-based compensation, minus capital lease principal payments, tested as of the end of each month. As of September 30, 2020, we were in compliance with this RML requirement.</w:t>
      </w:r>
    </w:p>
    <w:p>
      <w:pPr>
        <w:spacing w:after="0" w:line="134" w:lineRule="exact"/>
        <w:rPr>
          <w:sz w:val="20"/>
          <w:szCs w:val="20"/>
          <w:color w:val="auto"/>
        </w:rPr>
      </w:pPr>
    </w:p>
    <w:p>
      <w:pPr>
        <w:jc w:val="both"/>
        <w:ind w:firstLine="490"/>
        <w:spacing w:after="0" w:line="273" w:lineRule="auto"/>
        <w:rPr>
          <w:sz w:val="20"/>
          <w:szCs w:val="20"/>
          <w:color w:val="auto"/>
        </w:rPr>
      </w:pPr>
      <w:r>
        <w:rPr>
          <w:rFonts w:ascii="Arial" w:cs="Arial" w:eastAsia="Arial" w:hAnsi="Arial"/>
          <w:sz w:val="17"/>
          <w:szCs w:val="17"/>
          <w:color w:val="auto"/>
        </w:rPr>
        <w:t>The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we become the subject of voluntary or involuntary proceedings under any bankruptcy or similar law, then any outstanding obligations under the Credit Agreement will automatically become immediately due and payable.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Spending</w:t>
      </w:r>
    </w:p>
    <w:p>
      <w:pPr>
        <w:spacing w:after="0" w:line="175" w:lineRule="exact"/>
        <w:rPr>
          <w:sz w:val="20"/>
          <w:szCs w:val="20"/>
          <w:color w:val="auto"/>
        </w:rPr>
      </w:pPr>
    </w:p>
    <w:p>
      <w:pPr>
        <w:jc w:val="both"/>
        <w:ind w:firstLine="490"/>
        <w:spacing w:after="0" w:line="296" w:lineRule="auto"/>
        <w:rPr>
          <w:sz w:val="20"/>
          <w:szCs w:val="20"/>
          <w:color w:val="auto"/>
        </w:rPr>
      </w:pPr>
      <w:r>
        <w:rPr>
          <w:rFonts w:ascii="Arial" w:cs="Arial" w:eastAsia="Arial" w:hAnsi="Arial"/>
          <w:sz w:val="16"/>
          <w:szCs w:val="16"/>
          <w:color w:val="auto"/>
        </w:rPr>
        <w:t>Our capital expenditures are primarily for general corporate purposes for our corporate headquarters and technology center, production equipment and tooling and for information technology systems. Our capital expenditures totaled $0.4 million and $0.5 million for the six month periods ended September 30, 2020, and 2019, respectively. Due to the uncertainty of the COVID-19 impact on our business, we are not currently providing capital expenditure external guidance for fiscal 2021; however, we expect to finance current year capital expenditures primarily through our existing cash, equipment-secured loans and leases, to the extent needed, long-term debt financing, or by using our available capacity under our Credit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ind w:firstLine="490"/>
        <w:spacing w:after="0" w:line="263" w:lineRule="auto"/>
        <w:rPr>
          <w:sz w:val="20"/>
          <w:szCs w:val="20"/>
          <w:color w:val="auto"/>
        </w:rPr>
      </w:pPr>
      <w:r>
        <w:rPr>
          <w:rFonts w:ascii="Arial" w:cs="Arial" w:eastAsia="Arial" w:hAnsi="Arial"/>
          <w:sz w:val="18"/>
          <w:szCs w:val="18"/>
          <w:color w:val="auto"/>
        </w:rPr>
        <w:t>Backlog represents the amount of revenue that we expect to realize in the future as a result of firm, committed purchase orders. Backlog totaled $12.9 million and $18.6 million as of September 30, 2020 and March 31, 2020, respectively. We generally expect our backlog to be recognized as revenue within one year, although the COVID-19 pandemic may extend this time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 off-balance sheet arrangements.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93"/>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2020. For the three months ended September 30, 2020, there were no material changes in our accounting policies.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3 in the Condensed Consolidated Financial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7" w:name="page38"/>
    <w:bookmarkEnd w:id="37"/>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2020. There have been no material changes to such exposures since March 31, 2020.</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Exchange Act is accumulated and communicated to our management, including the Chief Executive Officer and Chief Financial Officer, as appropriate, to allow timely decisions regarding required disclosure.</w:t>
      </w:r>
    </w:p>
    <w:p>
      <w:pPr>
        <w:spacing w:after="0" w:line="130"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As of September 30, 2020,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are effective as of September 30, 2020.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93"/>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13a-15(e) and Rule 15d-15(e) of the Exchange Act) for the three months ended September 30, 2020, that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We are subject to various claims and legal proceedings arising in the ordinary course of business. As of the date of this report, we do not believe that the final resolution of any of such claims or legal proceedings would have a material adverse effect on our future results of operations.</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 15 – Commitments and Contingencies, to the Condensed Consolidated Financial Statements in Item 1 of this Quarterly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4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firstLine="493"/>
        <w:spacing w:after="0" w:line="275" w:lineRule="auto"/>
        <w:rPr>
          <w:sz w:val="20"/>
          <w:szCs w:val="20"/>
          <w:color w:val="auto"/>
        </w:rPr>
      </w:pPr>
      <w:r>
        <w:rPr>
          <w:rFonts w:ascii="Arial" w:cs="Arial" w:eastAsia="Arial" w:hAnsi="Arial"/>
          <w:sz w:val="17"/>
          <w:szCs w:val="17"/>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2020, which we filed with the SEC on June 5, 2020 and in Part 1 - Item 2 under the heading "Management's Discussion and Analysis of Financial Condition and Results of Operations" in this Form 10-Q.</w:t>
      </w:r>
    </w:p>
    <w:p>
      <w:pPr>
        <w:spacing w:after="0" w:line="21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1"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ind w:left="100"/>
              <w:spacing w:after="0"/>
              <w:rPr>
                <w:sz w:val="20"/>
                <w:szCs w:val="20"/>
                <w:color w:val="auto"/>
              </w:rPr>
            </w:pPr>
            <w:r>
              <w:rPr>
                <w:rFonts w:ascii="Arial" w:cs="Arial" w:eastAsia="Arial" w:hAnsi="Arial"/>
                <w:sz w:val="18"/>
                <w:szCs w:val="18"/>
                <w:color w:val="auto"/>
              </w:rPr>
              <w:t>10.1</w:t>
            </w:r>
          </w:p>
        </w:tc>
        <w:tc>
          <w:tcPr>
            <w:tcW w:w="10100" w:type="dxa"/>
            <w:vAlign w:val="bottom"/>
            <w:gridSpan w:val="7"/>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Voluntary Retirement Agreement and Release, dated as of September 21, 2020, between Orion Energy Systems, Inc. and William T. Hull,</w:t>
              </w:r>
            </w:hyperlink>
          </w:p>
        </w:tc>
      </w:tr>
      <w:tr>
        <w:trPr>
          <w:trHeight w:val="196"/>
        </w:trPr>
        <w:tc>
          <w:tcPr>
            <w:tcW w:w="1080" w:type="dxa"/>
            <w:vAlign w:val="bottom"/>
          </w:tcPr>
          <w:p>
            <w:pPr>
              <w:spacing w:after="0"/>
              <w:rPr>
                <w:sz w:val="17"/>
                <w:szCs w:val="17"/>
                <w:color w:val="auto"/>
              </w:rPr>
            </w:pPr>
          </w:p>
        </w:tc>
        <w:tc>
          <w:tcPr>
            <w:tcW w:w="99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filed as Exhibit 10.1 to the Registrant’s Form 8-K filed September 23, 2020, is hereby incorporated by reference.</w:t>
              </w:r>
            </w:hyperlink>
          </w:p>
        </w:tc>
        <w:tc>
          <w:tcPr>
            <w:tcW w:w="180" w:type="dxa"/>
            <w:vAlign w:val="bottom"/>
            <w:gridSpan w:val="2"/>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080" w:type="dxa"/>
            <w:vAlign w:val="bottom"/>
          </w:tcPr>
          <w:p>
            <w:pPr>
              <w:ind w:left="100"/>
              <w:spacing w:after="0"/>
              <w:rPr>
                <w:sz w:val="20"/>
                <w:szCs w:val="20"/>
                <w:color w:val="auto"/>
              </w:rPr>
            </w:pPr>
            <w:r>
              <w:rPr>
                <w:rFonts w:ascii="Arial" w:cs="Arial" w:eastAsia="Arial" w:hAnsi="Arial"/>
                <w:sz w:val="18"/>
                <w:szCs w:val="18"/>
                <w:color w:val="auto"/>
              </w:rPr>
              <w:t>31.1</w:t>
            </w:r>
          </w:p>
        </w:tc>
        <w:tc>
          <w:tcPr>
            <w:tcW w:w="101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Certification of Chief Executive Officer of Orion Energy Systems, Inc. pursuant to Rule 13a-14(a) or Rule 15d-14(a) promulgated under the</w:t>
              </w:r>
            </w:hyperlink>
          </w:p>
        </w:tc>
      </w:tr>
      <w:tr>
        <w:trPr>
          <w:trHeight w:val="196"/>
        </w:trPr>
        <w:tc>
          <w:tcPr>
            <w:tcW w:w="108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Securities Exchange Act of 1934, as amended.+</w:t>
              </w:r>
            </w:hyperlink>
          </w:p>
        </w:tc>
        <w:tc>
          <w:tcPr>
            <w:tcW w:w="6640" w:type="dxa"/>
            <w:vAlign w:val="bottom"/>
            <w:gridSpan w:val="6"/>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31.2</w:t>
            </w:r>
          </w:p>
        </w:tc>
        <w:tc>
          <w:tcPr>
            <w:tcW w:w="10100" w:type="dxa"/>
            <w:vAlign w:val="bottom"/>
            <w:gridSpan w:val="7"/>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Certification of Chief Financial Officer of Orion Energy Systems, Inc. pursuant to Rule 13a-14(a) or Rule 15d-14(a) promulgated under the</w:t>
              </w:r>
            </w:hyperlink>
          </w:p>
        </w:tc>
      </w:tr>
      <w:tr>
        <w:trPr>
          <w:trHeight w:val="196"/>
        </w:trPr>
        <w:tc>
          <w:tcPr>
            <w:tcW w:w="1080" w:type="dxa"/>
            <w:vAlign w:val="bottom"/>
          </w:tcPr>
          <w:p>
            <w:pPr>
              <w:spacing w:after="0"/>
              <w:rPr>
                <w:sz w:val="17"/>
                <w:szCs w:val="17"/>
                <w:color w:val="auto"/>
              </w:rPr>
            </w:pPr>
          </w:p>
        </w:tc>
        <w:tc>
          <w:tcPr>
            <w:tcW w:w="3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Securities Exchange Act of 1934, as amended.+</w:t>
              </w:r>
            </w:hyperlink>
          </w:p>
        </w:tc>
        <w:tc>
          <w:tcPr>
            <w:tcW w:w="6580" w:type="dxa"/>
            <w:vAlign w:val="bottom"/>
            <w:tcBorders>
              <w:top w:val="single" w:sz="8" w:color="0000EE"/>
            </w:tcBorders>
            <w:gridSpan w:val="5"/>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32.1</w:t>
            </w:r>
          </w:p>
        </w:tc>
        <w:tc>
          <w:tcPr>
            <w:tcW w:w="95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Certification of Chief Executive Officer of Orion Energy Systems, Inc. pursuant to Rule 13a-14(b) promulgated under the Securities</w:t>
              </w:r>
            </w:hyperlink>
          </w:p>
        </w:tc>
        <w:tc>
          <w:tcPr>
            <w:tcW w:w="560" w:type="dxa"/>
            <w:vAlign w:val="bottom"/>
            <w:gridSpan w:val="3"/>
          </w:tcPr>
          <w:p>
            <w:pPr>
              <w:spacing w:after="0"/>
              <w:rPr>
                <w:sz w:val="24"/>
                <w:szCs w:val="24"/>
                <w:color w:val="auto"/>
              </w:rPr>
            </w:pPr>
          </w:p>
        </w:tc>
      </w:tr>
      <w:tr>
        <w:trPr>
          <w:trHeight w:val="237"/>
        </w:trPr>
        <w:tc>
          <w:tcPr>
            <w:tcW w:w="1080" w:type="dxa"/>
            <w:vAlign w:val="bottom"/>
          </w:tcPr>
          <w:p>
            <w:pPr>
              <w:spacing w:after="0"/>
              <w:rPr>
                <w:sz w:val="20"/>
                <w:szCs w:val="20"/>
                <w:color w:val="auto"/>
              </w:rPr>
            </w:pPr>
          </w:p>
        </w:tc>
        <w:tc>
          <w:tcPr>
            <w:tcW w:w="10100" w:type="dxa"/>
            <w:vAlign w:val="bottom"/>
            <w:gridSpan w:val="7"/>
          </w:tcPr>
          <w:p>
            <w:pPr>
              <w:spacing w:after="0"/>
              <w:rPr>
                <w:rFonts w:ascii="Arial" w:cs="Arial" w:eastAsia="Arial" w:hAnsi="Arial"/>
                <w:sz w:val="18"/>
                <w:szCs w:val="18"/>
                <w:u w:val="single" w:color="auto"/>
                <w:color w:val="0000EE"/>
                <w:w w:val="90"/>
              </w:rPr>
            </w:pPr>
            <w:hyperlink w:anchor="page44">
              <w:r>
                <w:rPr>
                  <w:rFonts w:ascii="Arial" w:cs="Arial" w:eastAsia="Arial" w:hAnsi="Arial"/>
                  <w:sz w:val="18"/>
                  <w:szCs w:val="18"/>
                  <w:u w:val="single" w:color="auto"/>
                  <w:color w:val="0000EE"/>
                  <w:w w:val="90"/>
                </w:rPr>
                <w:t>Exchange Act of 1934, as amended, and 18 U.S.C. Section 1350, as adopted pursuant to Section 906 of the Sarbanes-Oxley Act of 2002.+</w:t>
              </w:r>
            </w:hyperlink>
          </w:p>
        </w:tc>
      </w:tr>
      <w:tr>
        <w:trPr>
          <w:trHeight w:val="297"/>
        </w:trPr>
        <w:tc>
          <w:tcPr>
            <w:tcW w:w="1080" w:type="dxa"/>
            <w:vAlign w:val="bottom"/>
          </w:tcPr>
          <w:p>
            <w:pPr>
              <w:ind w:left="100"/>
              <w:spacing w:after="0"/>
              <w:rPr>
                <w:sz w:val="20"/>
                <w:szCs w:val="20"/>
                <w:color w:val="auto"/>
              </w:rPr>
            </w:pPr>
            <w:r>
              <w:rPr>
                <w:rFonts w:ascii="Arial" w:cs="Arial" w:eastAsia="Arial" w:hAnsi="Arial"/>
                <w:sz w:val="18"/>
                <w:szCs w:val="18"/>
                <w:color w:val="auto"/>
              </w:rPr>
              <w:t>32.2</w:t>
            </w:r>
          </w:p>
        </w:tc>
        <w:tc>
          <w:tcPr>
            <w:tcW w:w="10100" w:type="dxa"/>
            <w:vAlign w:val="bottom"/>
            <w:gridSpan w:val="7"/>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Certification of Chief Financial Officer of Orion Energy Systems, Inc. pursuant to Rule 13a-14(b) promulgated under the Securities</w:t>
              </w:r>
            </w:hyperlink>
          </w:p>
        </w:tc>
      </w:tr>
      <w:tr>
        <w:trPr>
          <w:trHeight w:val="20"/>
        </w:trPr>
        <w:tc>
          <w:tcPr>
            <w:tcW w:w="1080" w:type="dxa"/>
            <w:vAlign w:val="bottom"/>
          </w:tcPr>
          <w:p>
            <w:pPr>
              <w:spacing w:after="0" w:line="20" w:lineRule="exact"/>
              <w:rPr>
                <w:sz w:val="1"/>
                <w:szCs w:val="1"/>
                <w:color w:val="auto"/>
              </w:rPr>
            </w:pPr>
          </w:p>
        </w:tc>
        <w:tc>
          <w:tcPr>
            <w:tcW w:w="9480" w:type="dxa"/>
            <w:vAlign w:val="bottom"/>
            <w:gridSpan w:val="3"/>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100" w:type="dxa"/>
            <w:vAlign w:val="bottom"/>
            <w:gridSpan w:val="7"/>
          </w:tcPr>
          <w:p>
            <w:pPr>
              <w:spacing w:after="0"/>
              <w:rPr>
                <w:rFonts w:ascii="Arial" w:cs="Arial" w:eastAsia="Arial" w:hAnsi="Arial"/>
                <w:sz w:val="18"/>
                <w:szCs w:val="18"/>
                <w:u w:val="single" w:color="auto"/>
                <w:color w:val="0000EE"/>
                <w:w w:val="90"/>
              </w:rPr>
            </w:pPr>
            <w:hyperlink w:anchor="page45">
              <w:r>
                <w:rPr>
                  <w:rFonts w:ascii="Arial" w:cs="Arial" w:eastAsia="Arial" w:hAnsi="Arial"/>
                  <w:sz w:val="18"/>
                  <w:szCs w:val="18"/>
                  <w:u w:val="single" w:color="auto"/>
                  <w:color w:val="0000EE"/>
                  <w:w w:val="90"/>
                </w:rPr>
                <w:t>Exchange Act of 1934, as amended, and 18 U.S.C. Section 1350, as adopted pursuant to Section 906 of the Sarbanes-Oxley Act of 2002.+</w:t>
              </w:r>
            </w:hyperlink>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7"/>
          </w:tcPr>
          <w:p>
            <w:pPr>
              <w:spacing w:after="0"/>
              <w:rPr>
                <w:sz w:val="20"/>
                <w:szCs w:val="20"/>
                <w:color w:val="auto"/>
              </w:rPr>
            </w:pPr>
            <w:r>
              <w:rPr>
                <w:rFonts w:ascii="Arial" w:cs="Arial" w:eastAsia="Arial" w:hAnsi="Arial"/>
                <w:sz w:val="18"/>
                <w:szCs w:val="18"/>
                <w:color w:val="auto"/>
              </w:rPr>
              <w:t>Taxonomy extension schema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7"/>
          </w:tcPr>
          <w:p>
            <w:pPr>
              <w:spacing w:after="0"/>
              <w:rPr>
                <w:sz w:val="20"/>
                <w:szCs w:val="20"/>
                <w:color w:val="auto"/>
              </w:rPr>
            </w:pPr>
            <w:r>
              <w:rPr>
                <w:rFonts w:ascii="Arial" w:cs="Arial" w:eastAsia="Arial" w:hAnsi="Arial"/>
                <w:sz w:val="18"/>
                <w:szCs w:val="18"/>
                <w:color w:val="auto"/>
              </w:rPr>
              <w:t>Taxonomy extension calculation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7"/>
          </w:tcPr>
          <w:p>
            <w:pPr>
              <w:spacing w:after="0"/>
              <w:rPr>
                <w:sz w:val="20"/>
                <w:szCs w:val="20"/>
                <w:color w:val="auto"/>
              </w:rPr>
            </w:pPr>
            <w:r>
              <w:rPr>
                <w:rFonts w:ascii="Arial" w:cs="Arial" w:eastAsia="Arial" w:hAnsi="Arial"/>
                <w:sz w:val="18"/>
                <w:szCs w:val="18"/>
                <w:color w:val="auto"/>
              </w:rPr>
              <w:t>Taxonomy extension definition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7"/>
          </w:tcPr>
          <w:p>
            <w:pPr>
              <w:spacing w:after="0"/>
              <w:rPr>
                <w:sz w:val="20"/>
                <w:szCs w:val="20"/>
                <w:color w:val="auto"/>
              </w:rPr>
            </w:pPr>
            <w:r>
              <w:rPr>
                <w:rFonts w:ascii="Arial" w:cs="Arial" w:eastAsia="Arial" w:hAnsi="Arial"/>
                <w:sz w:val="18"/>
                <w:szCs w:val="18"/>
                <w:color w:val="auto"/>
              </w:rPr>
              <w:t>Taxonomy extension label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7"/>
          </w:tcPr>
          <w:p>
            <w:pPr>
              <w:spacing w:after="0"/>
              <w:rPr>
                <w:sz w:val="20"/>
                <w:szCs w:val="20"/>
                <w:color w:val="auto"/>
              </w:rPr>
            </w:pPr>
            <w:r>
              <w:rPr>
                <w:rFonts w:ascii="Arial" w:cs="Arial" w:eastAsia="Arial" w:hAnsi="Arial"/>
                <w:sz w:val="18"/>
                <w:szCs w:val="18"/>
                <w:color w:val="auto"/>
              </w:rPr>
              <w:t>Taxonomy extension presentation linkbase document+</w:t>
            </w:r>
          </w:p>
        </w:tc>
      </w:tr>
    </w:tbl>
    <w:p>
      <w:pPr>
        <w:spacing w:after="0" w:line="202"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9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6, 2020.</w:t>
      </w:r>
    </w:p>
    <w:p>
      <w:pPr>
        <w:spacing w:after="0" w:line="17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Registrant</w:t>
      </w:r>
    </w:p>
    <w:p>
      <w:pPr>
        <w:spacing w:after="0" w:line="197"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T. Hull</w:t>
            </w:r>
          </w:p>
        </w:tc>
      </w:tr>
      <w:tr>
        <w:trPr>
          <w:trHeight w:val="195"/>
        </w:trPr>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William T. Hull</w:t>
            </w:r>
          </w:p>
        </w:tc>
      </w:tr>
      <w:tr>
        <w:trPr>
          <w:trHeight w:val="216"/>
        </w:trPr>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Financial Officer and Authorized Signatory)</w:t>
            </w:r>
          </w:p>
        </w:tc>
      </w:tr>
      <w:tr>
        <w:trPr>
          <w:trHeight w:val="648"/>
        </w:trPr>
        <w:tc>
          <w:tcPr>
            <w:tcW w:w="320" w:type="dxa"/>
            <w:vAlign w:val="bottom"/>
          </w:tcPr>
          <w:p>
            <w:pPr>
              <w:spacing w:after="0"/>
              <w:rPr>
                <w:sz w:val="24"/>
                <w:szCs w:val="24"/>
                <w:color w:val="auto"/>
              </w:rPr>
            </w:pPr>
          </w:p>
        </w:tc>
        <w:tc>
          <w:tcPr>
            <w:tcW w:w="5840" w:type="dxa"/>
            <w:vAlign w:val="bottom"/>
            <w:gridSpan w:val="2"/>
          </w:tcPr>
          <w:p>
            <w:pPr>
              <w:jc w:val="right"/>
              <w:ind w:right="543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240"/>
          </w:cols>
          <w:pgMar w:left="320" w:top="33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Michael W. Altschaefl, certify that:</w:t>
      </w:r>
    </w:p>
    <w:p>
      <w:pPr>
        <w:spacing w:after="0" w:line="225"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5" w:lineRule="exact"/>
        <w:rPr>
          <w:rFonts w:ascii="Arial" w:cs="Arial" w:eastAsia="Arial" w:hAnsi="Arial"/>
          <w:sz w:val="18"/>
          <w:szCs w:val="18"/>
          <w:color w:val="auto"/>
        </w:rPr>
      </w:pPr>
    </w:p>
    <w:p>
      <w:pPr>
        <w:jc w:val="both"/>
        <w:ind w:left="480" w:right="300" w:hanging="472"/>
        <w:spacing w:after="0" w:line="263"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right="260" w:hanging="472"/>
        <w:spacing w:after="0" w:line="308"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80" w:right="280" w:hanging="472"/>
        <w:spacing w:after="0" w:line="263"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80" w:hanging="480"/>
        <w:spacing w:after="0" w:line="263"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60" w:right="400" w:hanging="480"/>
        <w:spacing w:after="0" w:line="263"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60" w:right="560" w:hanging="480"/>
        <w:spacing w:after="0" w:line="342" w:lineRule="auto"/>
        <w:tabs>
          <w:tab w:leader="none" w:pos="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80" w:hanging="480"/>
        <w:spacing w:after="0" w:line="263"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right="180" w:hanging="472"/>
        <w:spacing w:after="0" w:line="308"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800" w:hanging="480"/>
        <w:spacing w:after="0" w:line="342" w:lineRule="auto"/>
        <w:tabs>
          <w:tab w:leader="none" w:pos="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500" w:hanging="480"/>
        <w:spacing w:after="0" w:line="277"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52"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Michael W. Altschaefl</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William T. Hull, certify that:</w:t>
      </w:r>
    </w:p>
    <w:p>
      <w:pPr>
        <w:spacing w:after="0" w:line="225"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5" w:lineRule="exact"/>
        <w:rPr>
          <w:rFonts w:ascii="Arial" w:cs="Arial" w:eastAsia="Arial" w:hAnsi="Arial"/>
          <w:sz w:val="18"/>
          <w:szCs w:val="18"/>
          <w:color w:val="auto"/>
        </w:rPr>
      </w:pPr>
    </w:p>
    <w:p>
      <w:pPr>
        <w:jc w:val="both"/>
        <w:ind w:left="480" w:right="300" w:hanging="472"/>
        <w:spacing w:after="0" w:line="263"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right="260" w:hanging="472"/>
        <w:spacing w:after="0" w:line="308"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80" w:right="280" w:hanging="472"/>
        <w:spacing w:after="0" w:line="263"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80" w:hanging="480"/>
        <w:spacing w:after="0" w:line="263"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60" w:right="400" w:hanging="480"/>
        <w:spacing w:after="0" w:line="263"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60" w:right="560" w:hanging="480"/>
        <w:spacing w:after="0" w:line="342"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80" w:hanging="480"/>
        <w:spacing w:after="0" w:line="263"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right="180" w:hanging="472"/>
        <w:spacing w:after="0" w:line="308"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800" w:hanging="480"/>
        <w:spacing w:after="0" w:line="342"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500" w:hanging="480"/>
        <w:spacing w:after="0" w:line="277"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52"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William T. Hull</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September 30, 2020, as filed with the Securities and Exchange Commission on the date hereof (the “Report”), I, Michael W. Altschaefl, Chief Executive Officer of the Company, certify, pursuant to 18 U.S.C. 1350, as adopted pursuant to Section 906 of the Sarbanes-Oxley Act of 2002, that, based on my knowledge:</w:t>
      </w:r>
    </w:p>
    <w:p>
      <w:pPr>
        <w:spacing w:after="0" w:line="79" w:lineRule="exact"/>
        <w:rPr>
          <w:sz w:val="20"/>
          <w:szCs w:val="20"/>
          <w:color w:val="auto"/>
        </w:rPr>
      </w:pPr>
    </w:p>
    <w:p>
      <w:pPr>
        <w:ind w:left="960" w:hanging="48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60" w:right="620" w:hanging="480"/>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Date: November 6, 2020</w:t>
      </w:r>
    </w:p>
    <w:p>
      <w:pPr>
        <w:spacing w:after="0" w:line="22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Michael W. Altschaefl</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September 30, 2020, as filed with the Securities and Exchange Commission on the date hereof (the “Report”), I, William T. Hull, Chief Financial Officer of the Company, certify, pursuant to 18 U.S.C. 1350, as adopted pursuant to Section 906 of the Sarbanes-Oxley Act of 2002, that, based on my knowledge:</w:t>
      </w:r>
    </w:p>
    <w:p>
      <w:pPr>
        <w:spacing w:after="0" w:line="41" w:lineRule="exact"/>
        <w:rPr>
          <w:sz w:val="20"/>
          <w:szCs w:val="20"/>
          <w:color w:val="auto"/>
        </w:rPr>
      </w:pPr>
    </w:p>
    <w:p>
      <w:pPr>
        <w:ind w:left="960" w:hanging="48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60" w:right="620" w:hanging="480"/>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Date: November 6, 2020</w:t>
      </w:r>
    </w:p>
    <w:p>
      <w:pPr>
        <w:spacing w:after="0" w:line="22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William T. Hull</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2" Type="http://schemas.openxmlformats.org/officeDocument/2006/relationships/hyperlink" Target="http://www.sec.gov/Archives/edgar/data/1409375/000119312520252341/d3600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2020-11-06T05:33:48Z</dcterms:created>
  <dcterms:modified xsi:type="dcterms:W3CDTF">2020-11-06T05:33:48Z</dcterms:modified>
</cp:coreProperties>
</file>