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1204 Pilgrim Road, Plymouth,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53073</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jc w:val="center"/>
        <w:spacing w:after="0" w:line="207" w:lineRule="exact"/>
        <w:rPr>
          <w:sz w:val="20"/>
          <w:szCs w:val="20"/>
          <w:color w:val="auto"/>
        </w:rPr>
      </w:pPr>
      <w:r>
        <w:rPr>
          <w:rFonts w:ascii="Arial" w:cs="Arial" w:eastAsia="Arial" w:hAnsi="Arial"/>
          <w:sz w:val="18"/>
          <w:szCs w:val="18"/>
          <w:color w:val="auto"/>
        </w:rPr>
        <w:t xml:space="preserve">Large accelerated filer o  Accelerated filer o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68" w:lineRule="exact"/>
        <w:rPr>
          <w:sz w:val="20"/>
          <w:szCs w:val="20"/>
          <w:color w:val="auto"/>
        </w:rPr>
      </w:pPr>
    </w:p>
    <w:p>
      <w:pPr>
        <w:ind w:right="21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January 31, 2008, 26,942,342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Orion Energy Systems,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 Ended December 31, 2007</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760" w:type="dxa"/>
            <w:vAlign w:val="bottom"/>
            <w:gridSpan w:val="12"/>
            <w:vMerge w:val="restart"/>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7760" w:type="dxa"/>
            <w:vAlign w:val="bottom"/>
            <w:gridSpan w:val="12"/>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3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946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 xml:space="preserve">Financial Statements </w:t>
              </w:r>
              <w:r>
                <w:rPr>
                  <w:rFonts w:ascii="Arial" w:cs="Arial" w:eastAsia="Arial" w:hAnsi="Arial"/>
                  <w:sz w:val="18"/>
                  <w:szCs w:val="18"/>
                  <w:color w:val="0000EE"/>
                </w:rPr>
                <w:t>(Unaudited)</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(Unaudited) as of March 31, 2007 and December 31, 2007</w:t>
              </w:r>
            </w:hyperlink>
          </w:p>
        </w:tc>
        <w:tc>
          <w:tcPr>
            <w:tcW w:w="2260" w:type="dxa"/>
            <w:vAlign w:val="bottom"/>
            <w:gridSpan w:val="3"/>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(Unaudited) for the Three and Nine Months Ended December 31, 2006</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2007</w:t>
              </w:r>
            </w:hyperlink>
          </w:p>
        </w:tc>
        <w:tc>
          <w:tcPr>
            <w:tcW w:w="8140" w:type="dxa"/>
            <w:vAlign w:val="bottom"/>
            <w:tcBorders>
              <w:top w:val="single" w:sz="8" w:color="0000EE"/>
            </w:tcBorders>
            <w:gridSpan w:val="15"/>
          </w:tcPr>
          <w:p>
            <w:pPr>
              <w:spacing w:after="0"/>
              <w:rPr>
                <w:sz w:val="17"/>
                <w:szCs w:val="17"/>
                <w:color w:val="auto"/>
              </w:rPr>
            </w:pPr>
          </w:p>
        </w:tc>
        <w:tc>
          <w:tcPr>
            <w:tcW w:w="640" w:type="dxa"/>
            <w:vAlign w:val="bottom"/>
            <w:gridSpan w:val="2"/>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For the Nine Months Ended December 31, 2006 and 2007</w:t>
              </w:r>
            </w:hyperlink>
          </w:p>
        </w:tc>
        <w:tc>
          <w:tcPr>
            <w:tcW w:w="600" w:type="dxa"/>
            <w:vAlign w:val="bottom"/>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Condensed Consolidated Financial Statements (Unaudited)</w:t>
              </w:r>
            </w:hyperlink>
          </w:p>
        </w:tc>
        <w:tc>
          <w:tcPr>
            <w:tcW w:w="4280" w:type="dxa"/>
            <w:vAlign w:val="bottom"/>
            <w:gridSpan w:val="5"/>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66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w:t>
              </w:r>
            </w:hyperlink>
          </w:p>
        </w:tc>
        <w:tc>
          <w:tcPr>
            <w:tcW w:w="66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w:t>
              </w:r>
            </w:hyperlink>
          </w:p>
        </w:tc>
        <w:tc>
          <w:tcPr>
            <w:tcW w:w="66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0" w:type="dxa"/>
            <w:vAlign w:val="bottom"/>
            <w:gridSpan w:val="2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w:t>
              </w:r>
            </w:hyperlink>
          </w:p>
        </w:tc>
        <w:tc>
          <w:tcPr>
            <w:tcW w:w="660" w:type="dxa"/>
            <w:vAlign w:val="bottom"/>
            <w:tcBorders>
              <w:top w:val="single" w:sz="8" w:color="0000EE"/>
            </w:tcBorders>
            <w:gridSpan w:val="2"/>
          </w:tcPr>
          <w:p>
            <w:pPr>
              <w:spacing w:after="0"/>
              <w:rPr>
                <w:sz w:val="24"/>
                <w:szCs w:val="24"/>
                <w:color w:val="auto"/>
              </w:rPr>
            </w:pPr>
          </w:p>
        </w:tc>
        <w:tc>
          <w:tcPr>
            <w:tcW w:w="1380" w:type="dxa"/>
            <w:vAlign w:val="bottom"/>
            <w:tcBorders>
              <w:top w:val="single" w:sz="8" w:color="0000EE"/>
            </w:tcBorders>
            <w:gridSpan w:val="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Legal Proceedings</w:t>
              </w:r>
            </w:hyperlink>
          </w:p>
        </w:tc>
        <w:tc>
          <w:tcPr>
            <w:tcW w:w="8080" w:type="dxa"/>
            <w:vAlign w:val="bottom"/>
            <w:gridSpan w:val="13"/>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1A.</w:t>
              </w:r>
            </w:hyperlink>
          </w:p>
        </w:tc>
        <w:tc>
          <w:tcPr>
            <w:tcW w:w="5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2.</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3.</w:t>
              </w:r>
            </w:hyperlink>
          </w:p>
        </w:tc>
        <w:tc>
          <w:tcPr>
            <w:tcW w:w="66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4.</w:t>
              </w:r>
            </w:hyperlink>
          </w:p>
        </w:tc>
        <w:tc>
          <w:tcPr>
            <w:tcW w:w="66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20" w:type="dxa"/>
            <w:vAlign w:val="bottom"/>
            <w:tcBorders>
              <w:left w:val="single" w:sz="8" w:color="0000EE"/>
            </w:tcBorders>
            <w:gridSpan w:val="6"/>
            <w:shd w:val="clear" w:color="auto" w:fill="0000EE"/>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5.</w:t>
              </w:r>
            </w:hyperlink>
          </w:p>
        </w:tc>
        <w:tc>
          <w:tcPr>
            <w:tcW w:w="66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4480" w:type="dxa"/>
            <w:vAlign w:val="bottom"/>
            <w:gridSpan w:val="11"/>
          </w:tcPr>
          <w:p>
            <w:pPr>
              <w:jc w:val="right"/>
              <w:ind w:right="76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 2007</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 of $89 and $106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7,588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Patents and licenses, net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33,583</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128,763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Temporary Equity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5,607</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17,523</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F)</w:t>
            </w: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Temporary equity:</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200"/>
              <w:spacing w:after="0" w:line="201" w:lineRule="exact"/>
              <w:rPr>
                <w:sz w:val="20"/>
                <w:szCs w:val="20"/>
                <w:color w:val="auto"/>
              </w:rPr>
            </w:pPr>
            <w:r>
              <w:rPr>
                <w:rFonts w:ascii="Arial" w:cs="Arial" w:eastAsia="Arial" w:hAnsi="Arial"/>
                <w:sz w:val="18"/>
                <w:szCs w:val="18"/>
                <w:color w:val="auto"/>
                <w:w w:val="97"/>
              </w:rPr>
              <w:t>Series C convertible redeemable preferred stock, $0.01 par value: 1,818,182 shares issued and outstanding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at March 31, 2007 and no shares issued and outstanding at December 31, 2007.</w:t>
            </w: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4,953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200"/>
              <w:spacing w:after="0" w:line="201" w:lineRule="exact"/>
              <w:rPr>
                <w:sz w:val="20"/>
                <w:szCs w:val="20"/>
                <w:color w:val="auto"/>
              </w:rPr>
            </w:pPr>
            <w:r>
              <w:rPr>
                <w:rFonts w:ascii="Arial" w:cs="Arial" w:eastAsia="Arial" w:hAnsi="Arial"/>
                <w:sz w:val="18"/>
                <w:szCs w:val="18"/>
                <w:color w:val="auto"/>
              </w:rPr>
              <w:t>Preferred stock, $0.01 par value: Shares authorized including Series C convertible redeemable preferred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stock: 20,000,000 shares at March 31, 2007 and 30,000,000 shares at December 31, 2007.</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Series B convertible preferred stock, $0.01 par value: 2,989,830 shares issued and outstanding at March 31,</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2007 and no shares issued and outstanding at December 31, 2007</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5,959</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200"/>
              <w:spacing w:after="0" w:line="201" w:lineRule="exact"/>
              <w:rPr>
                <w:sz w:val="20"/>
                <w:szCs w:val="20"/>
                <w:color w:val="auto"/>
              </w:rPr>
            </w:pPr>
            <w:r>
              <w:rPr>
                <w:rFonts w:ascii="Arial" w:cs="Arial" w:eastAsia="Arial" w:hAnsi="Arial"/>
                <w:sz w:val="18"/>
                <w:szCs w:val="18"/>
                <w:color w:val="auto"/>
                <w:w w:val="99"/>
              </w:rPr>
              <w:t>Common stock, no par value: Shares authorized: 80,000,000 and 200,000,000 as of March 31, 2007 and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w w:val="97"/>
              </w:rPr>
              <w:t>December 31, 2007; shares issued: 12,107,573 and 27,282,338 as of March 31, 2007 and December 31,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2007; shares outstanding: 12,038,499 and 26,906,332, as of March 31, 2007 and December 31, 2007</w:t>
            </w:r>
          </w:p>
        </w:tc>
        <w:tc>
          <w:tcPr>
            <w:tcW w:w="26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Treasury stock: 69,074 and 376,006 common shares as of March 31, 2007 and December 31, 2007.</w:t>
            </w:r>
          </w:p>
        </w:tc>
        <w:tc>
          <w:tcPr>
            <w:tcW w:w="2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Shareholder notes receivable</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(3,553)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liabilities, temporary equity and shareholders’ equity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47,686</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Service revenue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33,874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58,437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12,224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18,841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31,044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30"/>
        </w:trPr>
        <w:tc>
          <w:tcPr>
            <w:tcW w:w="5460" w:type="dxa"/>
            <w:vAlign w:val="bottom"/>
          </w:tcPr>
          <w:p>
            <w:pPr>
              <w:ind w:left="420"/>
              <w:spacing w:after="0"/>
              <w:rPr>
                <w:sz w:val="20"/>
                <w:szCs w:val="20"/>
                <w:color w:val="auto"/>
              </w:rPr>
            </w:pPr>
            <w:r>
              <w:rPr>
                <w:rFonts w:ascii="Arial" w:cs="Arial" w:eastAsia="Arial" w:hAnsi="Arial"/>
                <w:sz w:val="18"/>
                <w:szCs w:val="18"/>
                <w:color w:val="auto"/>
              </w:rPr>
              <w:t>Total cost of revenue</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22,833</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546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Income before income tax</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54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Accretion of redeemable preferred stock and preferred stock dividends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shareholders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Basic net income per share attributable to common shareholders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9,071,133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13,889,162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9,025,740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11,774,702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Diluted net income per share attributable to common shareholders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common shares and share equivalents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16,875,857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22,858,230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16,012,564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20,752,432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Nine Months Ended</w:t>
      </w:r>
    </w:p>
    <w:p>
      <w:pPr>
        <w:jc w:val="center"/>
        <w:ind w:left="916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565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Deferred income tax benefit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sale of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operating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Additions to patents and licenses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disposal of equipment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Net decrease (increase) in amount due from shareholder</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Payment of long-term debt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activity in revolving line of credit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Excess benefit for deferred taxes on stock-based compensation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shareholder notes receivable,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Deferred financing and offering costs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preferred stock,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Proceeds from initial public offering, net of issuance costs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 and warrants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Net cash provided by financing activities</w:t>
            </w: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4,501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86,946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83,295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Energy Systems, Inc. have been prepared in accordance with accounting principles generally accepted in the United States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2008.</w:t>
      </w:r>
    </w:p>
    <w:p>
      <w:pPr>
        <w:spacing w:after="0" w:line="6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consolidated balance sheet at March 31, 2007 has been derived from the audited financial statements at that date but does not include all of the information and footnotes required by GAAP for complete financial statements.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Registration Statement on Form S-1 (Reg. No. 333-145569) initially filed with the Securities and Exchange Commission on August 20,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includes Orion Energy Systems, Inc., a Wisconsin corporation, and all consolidated subsidiaries. The Company designs, manufacturers and implements energy management systems consisting primarily of high-performance, energy efficient lighting systems, controls and related services. The corporate offices are located in Plymouth, Wisconsin and manufacturing and operations facilities are located in Plymouth and Manitowoc, Wisconsin.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Initial Public Offering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2007, the Company completed its initial public offering of common stock (“IPO”) in which a total of 8,846,154 shares were sold, including 1,997,062 shares sold by selling shareholders, at a price to the public of $13.00 per share. The Company raised a total of $89.0 million in gross proceeds from the IPO, or approximately $78.6 in net proceeds after deducting underwriting discounts and commissions of $6.2 million and other offering costs of approximately $4.2 million. Concurrent with the closing of the IPO on December 24, 2007, all of the Company’s then outstanding Series B and Series C preferred stock converted on a one share to one share basis into common stock. The number of shares converted was 2,989,830 and 1,818,182 of Series B preferred stock and Series C preferred stock, respectively. Concurrent with the closing of the IPO, the Company’s $10.6 million of convertible debt and $0.1 million of accreted interest were automatically converted into 2,360,802 shares of the Company’s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Inventories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consist of raw materials and components, such as ballasts, metal sheet and coil stock and molded parts; work in process inventories, such as frames and reflectors; and finished goods, including completed fixtures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2007 and December 31, 2007 (unaudited), the Company had inventory obsolescence reserves of $448,000 and $629,000.</w:t>
      </w:r>
    </w:p>
    <w:p>
      <w:pPr>
        <w:spacing w:after="0" w:line="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9,496</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w w:val="91"/>
              </w:rPr>
              <w:t>Property and Equipment</w:t>
            </w:r>
          </w:p>
        </w:tc>
        <w:tc>
          <w:tcPr>
            <w:tcW w:w="5440" w:type="dxa"/>
            <w:vAlign w:val="bottom"/>
            <w:vMerge w:val="restart"/>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940" w:type="dxa"/>
            <w:vAlign w:val="bottom"/>
            <w:tcBorders>
              <w:bottom w:val="single" w:sz="8" w:color="auto"/>
            </w:tcBorders>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380" w:type="dxa"/>
            <w:vAlign w:val="bottom"/>
            <w:gridSpan w:val="2"/>
          </w:tcPr>
          <w:p>
            <w:pPr>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4,423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Plant equipment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3,747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10,298</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23"/>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Net property and equipment</w:t>
            </w: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Equipment included above under capital leases was as follows (in thousands):</w:t>
            </w: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equipment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are recorded at cost. Depreciation is provided over the estimated useful lives of the respective assets, using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Depreciable lives by asset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 15 years</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Buildings</w:t>
            </w:r>
          </w:p>
        </w:tc>
        <w:tc>
          <w:tcPr>
            <w:tcW w:w="394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ind w:left="40"/>
              <w:spacing w:after="0"/>
              <w:rPr>
                <w:sz w:val="20"/>
                <w:szCs w:val="20"/>
                <w:color w:val="auto"/>
              </w:rPr>
            </w:pPr>
            <w:r>
              <w:rPr>
                <w:rFonts w:ascii="Arial" w:cs="Arial" w:eastAsia="Arial" w:hAnsi="Arial"/>
                <w:sz w:val="18"/>
                <w:szCs w:val="18"/>
                <w:color w:val="auto"/>
                <w:w w:val="86"/>
              </w:rPr>
              <w:t>— 39 years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 10 years</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Plant equipment</w:t>
            </w:r>
          </w:p>
        </w:tc>
        <w:tc>
          <w:tcPr>
            <w:tcW w:w="3940" w:type="dxa"/>
            <w:vAlign w:val="bottom"/>
          </w:tcPr>
          <w:p>
            <w:pPr>
              <w:jc w:val="right"/>
              <w:spacing w:after="0"/>
              <w:rPr>
                <w:sz w:val="20"/>
                <w:szCs w:val="20"/>
                <w:color w:val="auto"/>
              </w:rPr>
            </w:pPr>
            <w:r>
              <w:rPr>
                <w:rFonts w:ascii="Arial" w:cs="Arial" w:eastAsia="Arial" w:hAnsi="Arial"/>
                <w:sz w:val="18"/>
                <w:szCs w:val="18"/>
                <w:color w:val="auto"/>
              </w:rPr>
              <w:t>3</w:t>
            </w:r>
          </w:p>
        </w:tc>
        <w:tc>
          <w:tcPr>
            <w:tcW w:w="860" w:type="dxa"/>
            <w:vAlign w:val="bottom"/>
          </w:tcPr>
          <w:p>
            <w:pPr>
              <w:ind w:left="40"/>
              <w:spacing w:after="0"/>
              <w:rPr>
                <w:sz w:val="20"/>
                <w:szCs w:val="20"/>
                <w:color w:val="auto"/>
              </w:rPr>
            </w:pPr>
            <w:r>
              <w:rPr>
                <w:rFonts w:ascii="Arial" w:cs="Arial" w:eastAsia="Arial" w:hAnsi="Arial"/>
                <w:sz w:val="18"/>
                <w:szCs w:val="18"/>
                <w:color w:val="auto"/>
                <w:w w:val="86"/>
              </w:rPr>
              <w:t>— 10 years</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 interest has been capitalized for construction in progress, as it was not material for any of the periods presented.</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include warranty accruals, accrued wages, accrued vacations, sales tax payable, income tax payable and other various unpaid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Accrued subcontractor fees amounted to $548,000 and $1.5 million as of March 31, 2007 and December 31, 2007. Accrued bonus costs amounted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$211,000 and $810,000 as of March 31, 2007 and December 31, 2007. Accrued bonus costs and accrued subcontractor fees exceeded 5% of total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as of December 31, 2007. Accrued subcontractor fees exceeded 5% of total current liabilities as of March 31, 2007.</w:t>
      </w:r>
    </w:p>
    <w:p>
      <w:pPr>
        <w:spacing w:after="0" w:line="103"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standard warranties offered by major original equipment component manufacturers. The manufacturers’ warranties cover lamps and ballasts, which are significant components in the Company’s products.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Incentive Compensation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compensation committee approved an Executive Fiscal Year 2008 Annual Cash Incentive Program under the Company’s 2004 Stock and Incentive Awards Plan, which became effective upon the closing of the Company’s IPO. The plan calls for performance and discretionary bonus payments ranging from 23-125% of the fiscal 2008 base salaries of the Company’s named executive officers. The range of fiscal 2008 financial performance-based bonus guidelines under the Incentive Program will begin if the Company achieves a minimum of 1.25 times its fiscal 2007 revenue and/or up to 3.25 times its fiscal 2007 operating income, and will correspondingly increase on a pro rata basis up to a maximum of 1.67 times those initial measures. Accordingly, for the quarter ended December 31, 2007, the Company accrued expense of $522,000 based upon its estimated results for the current fiscal year.</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connection with and effective upon the closing of the Company’s IPO, the compensation committee established an award program for the Company’s chief executive officer consisting of a potential stock price performance bonus of $100,000 per each $1.00 that the price of the Company’s common stock has increased at the one-year anniversary of the IPO over the IPO price of $13.00 per share. The amount of this bonus is capped at $1.5 million. Accordingly, for the quarter ended December 31, 2007, the Company accrued $27,000 of pro-rated expense based upon the increase in the price of its common stock from the December 24, 2007 closing of its IPO to December 31, 2007. The Company will recognize additional expenses over the one-year period from closing of its IPO based upon amortization of the vesting period and any further increase in the price of its common stock from the $13.00 per share IPO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Company recognizes revenue in accordance with Staff Accounting Bulletin, (SAB)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Based upon SAB 104, revenue is recognized when the following four criteria are met: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For sales contracts consisting of multiple elements of revenue, such as a combination of product sales and services, the Company determines revenue by allocating the total contract revenue to each element based upon the relative fair values in accordance with Emerging Issues Task Force (EITF)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subsidy or incentive management, engineering design and project management.</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contracts with third-party vendors for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Costs of products delivered, and services performed, that are subject to additional performance obligations or customer acceptance are deferred and recorded in other current assets on the balance sheet. These deferred costs are expensed at the time the related revenue is recognized. Deferred costs amounted to $298,000 as of March 31, 2007 and $265,000 as of December 31, 2007.</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Deferred revenue of $133,000 as of March 31, 2007 and $181,000 as of December 31, 2007 was included in other long-term liabilities on the balance sheet and represents revenue deferred related to an obligation to provide replacement lamps on certain sales. The fair value of lamps is readily determinable based upon pricing from third-party vendors. Deferred revenue is recognized when the replacement lamps are delivered, which occurs in excess of a year after the original contract.</w:t>
      </w:r>
    </w:p>
    <w:p>
      <w:pPr>
        <w:spacing w:after="0" w:line="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 sales-type financing program is offered to customers where their purchase is financed by the Company. The contracts are one year in duration and, at the completion of the initial one year term, provide for automatic annual renewals of generally up to four years at agreed pricing, an early buyout for cash or for the return of the equipment at the customer’s expense. Upon completion of the installation, the future lease cash flows and residual rights to the related equipment are then sold by the Company, without recourse, to an unrelated third party finance company in exchange for cash and future payments.</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EITF 01-8, </w:t>
      </w:r>
      <w:r>
        <w:rPr>
          <w:rFonts w:ascii="Arial" w:cs="Arial" w:eastAsia="Arial" w:hAnsi="Arial"/>
          <w:sz w:val="18"/>
          <w:szCs w:val="18"/>
          <w:i w:val="1"/>
          <w:iCs w:val="1"/>
          <w:color w:val="auto"/>
        </w:rPr>
        <w:t>Determining whether an Arrangement Contains a Lease</w:t>
      </w:r>
      <w:r>
        <w:rPr>
          <w:rFonts w:ascii="Arial" w:cs="Arial" w:eastAsia="Arial" w:hAnsi="Arial"/>
          <w:sz w:val="18"/>
          <w:szCs w:val="18"/>
          <w:color w:val="auto"/>
        </w:rPr>
        <w:t xml:space="preserve">, SFAS 13, </w:t>
      </w:r>
      <w:r>
        <w:rPr>
          <w:rFonts w:ascii="Arial" w:cs="Arial" w:eastAsia="Arial" w:hAnsi="Arial"/>
          <w:sz w:val="18"/>
          <w:szCs w:val="18"/>
          <w:i w:val="1"/>
          <w:iCs w:val="1"/>
          <w:color w:val="auto"/>
        </w:rPr>
        <w:t>Accounting for Leases</w:t>
      </w:r>
      <w:r>
        <w:rPr>
          <w:rFonts w:ascii="Arial" w:cs="Arial" w:eastAsia="Arial" w:hAnsi="Arial"/>
          <w:sz w:val="18"/>
          <w:szCs w:val="18"/>
          <w:color w:val="auto"/>
        </w:rPr>
        <w:t xml:space="preserve"> and SFAS 140,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Transfers and Servicing of Financial Assets and Extinguishments of Liabilities — a Replacement of FASB Statement No. 125</w:t>
      </w:r>
      <w:r>
        <w:rPr>
          <w:rFonts w:ascii="Arial" w:cs="Arial" w:eastAsia="Arial" w:hAnsi="Arial"/>
          <w:sz w:val="18"/>
          <w:szCs w:val="18"/>
          <w:color w:val="auto"/>
        </w:rPr>
        <w:t>, revenue is recognized for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of the future payments from the third party finance company upon completion of the project. The Company’s contract terms with the third party finance company provide for a non-recourse sale of the customer’s installment contract, with the finance company providing 70% of funding at contract origination, 15% in year two and 15% in year three.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109 requires recognition of deferred tax assets and liabilities for the future tax consequences of temporary differences between financial reporting and income tax basis of assets and liabilities and are measured using the enacted tax rates and laws expected to be in effect when the temporary differences will reverse. Deferred income taxes also arise from the future tax benefits of net operating loss and tax credit carryforwards. A valuation allowance is established when management determines that it is more likely than not that all or a portion of a deferred tax asset will not be realized.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income tax provision for the nine months ended December 31, 2007 was determined by applying an estimated annual effective tax rate of 40.6% to income before taxes. The estimated effective income tax rate was determined by applying statutory tax rates to pretax income adjusted for certain permanent book to tax differences and tax credits.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March 31, 2007</w:t>
            </w:r>
          </w:p>
        </w:tc>
        <w:tc>
          <w:tcPr>
            <w:tcW w:w="5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34.00%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State taxes, net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7.90%</w:t>
            </w:r>
          </w:p>
        </w:tc>
        <w:tc>
          <w:tcPr>
            <w:tcW w:w="1920" w:type="dxa"/>
            <w:vAlign w:val="bottom"/>
            <w:gridSpan w:val="4"/>
          </w:tcPr>
          <w:p>
            <w:pPr>
              <w:jc w:val="right"/>
              <w:ind w:right="3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Federal Tax Credit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(13.30)%</w:t>
            </w:r>
          </w:p>
        </w:tc>
        <w:tc>
          <w:tcPr>
            <w:tcW w:w="1920" w:type="dxa"/>
            <w:vAlign w:val="bottom"/>
            <w:gridSpan w:val="4"/>
          </w:tcPr>
          <w:p>
            <w:pPr>
              <w:jc w:val="right"/>
              <w:ind w:right="2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(16.50)%</w:t>
            </w:r>
          </w:p>
        </w:tc>
        <w:tc>
          <w:tcPr>
            <w:tcW w:w="19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1920" w:type="dxa"/>
            <w:vAlign w:val="bottom"/>
            <w:gridSpan w:val="4"/>
          </w:tcPr>
          <w:p>
            <w:pPr>
              <w:jc w:val="right"/>
              <w:ind w:right="34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19.50%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The current benefit of</w:t>
      </w:r>
    </w:p>
    <w:p>
      <w:pPr>
        <w:ind w:right="80"/>
        <w:spacing w:after="0" w:line="255" w:lineRule="auto"/>
        <w:rPr>
          <w:sz w:val="20"/>
          <w:szCs w:val="20"/>
          <w:color w:val="auto"/>
        </w:rPr>
      </w:pPr>
      <w:r>
        <w:rPr>
          <w:rFonts w:ascii="Arial" w:cs="Arial" w:eastAsia="Arial" w:hAnsi="Arial"/>
          <w:sz w:val="18"/>
          <w:szCs w:val="18"/>
          <w:color w:val="auto"/>
        </w:rPr>
        <w:t>$1.2 million was recorded as a reduction in taxes payable and a credit to additional paid-in capital based on the amount that was utilized in the current year to date. As of December 31, 2007, the Company has approximately $1.8 million of net operating losses that resulted from the exercise of non-qualified stock options in prior years that have not been recognized as a reduction to current income taxes payable.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FIN 48</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July 2006, the FASB issued FASB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(FIN 48), which became effective for the Company on April 1, 2007. FIN 48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adoption of FIN 48 resulted in an increase of the Company’s accumulated deficit of $210,000 at April 1, 2007 (unaudited). As of April 1, 2007, the total amount of unrecognized tax benefits was approximately $370,000, all of which would reduce the Company’s effective tax rate if recognized. The Company does not expect any of these amounts to change in the next twelve months as none of the issues are currently under examination, the statutes of limitations do not expire within the period, and the Company is not aware of any pending legislation. Due to the existence of net operating loss and credit carryforwards, all years since 2000 are open to examination by tax authorities.</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unrecognized tax benefits.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 Plans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Effective April 1, 2006, the Company adopted the provisions of 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for its stock option plans. The Company previously accounted for these plans under the recognition and measurement principles of Accounting Principles Board Opinion No. 25, </w:t>
      </w:r>
      <w:r>
        <w:rPr>
          <w:rFonts w:ascii="Arial" w:cs="Arial" w:eastAsia="Arial" w:hAnsi="Arial"/>
          <w:sz w:val="17"/>
          <w:szCs w:val="17"/>
          <w:i w:val="1"/>
          <w:iCs w:val="1"/>
          <w:color w:val="auto"/>
        </w:rPr>
        <w:t>Accounting for Stock Issued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Employees </w:t>
      </w:r>
      <w:r>
        <w:rPr>
          <w:rFonts w:ascii="Arial" w:cs="Arial" w:eastAsia="Arial" w:hAnsi="Arial"/>
          <w:sz w:val="17"/>
          <w:szCs w:val="17"/>
          <w:color w:val="auto"/>
        </w:rPr>
        <w:t>(APB 25), Financial Accounting Standards Board’s (FASB) Interpretation No. 44,</w:t>
      </w:r>
      <w:r>
        <w:rPr>
          <w:rFonts w:ascii="Arial" w:cs="Arial" w:eastAsia="Arial" w:hAnsi="Arial"/>
          <w:sz w:val="17"/>
          <w:szCs w:val="17"/>
          <w:i w:val="1"/>
          <w:iCs w:val="1"/>
          <w:color w:val="auto"/>
        </w:rPr>
        <w:t xml:space="preserve"> Accounting for Certain Transactions Involving Stock Compensation, an Interpretation of APB 25</w:t>
      </w:r>
      <w:r>
        <w:rPr>
          <w:rFonts w:ascii="Arial" w:cs="Arial" w:eastAsia="Arial" w:hAnsi="Arial"/>
          <w:sz w:val="17"/>
          <w:szCs w:val="17"/>
          <w:color w:val="auto"/>
        </w:rPr>
        <w:t>, and disclosure requirements established by SFAS 123,</w:t>
      </w:r>
      <w:r>
        <w:rPr>
          <w:rFonts w:ascii="Arial" w:cs="Arial" w:eastAsia="Arial" w:hAnsi="Arial"/>
          <w:sz w:val="17"/>
          <w:szCs w:val="17"/>
          <w:i w:val="1"/>
          <w:iCs w:val="1"/>
          <w:color w:val="auto"/>
        </w:rPr>
        <w:t xml:space="preserve"> Accounting for Stock-Based Compensation as amended by SFAS 148 Accounting for Stock-Based Compensation — Transition and Disclosure</w:t>
      </w:r>
      <w:r>
        <w:rPr>
          <w:rFonts w:ascii="Arial" w:cs="Arial" w:eastAsia="Arial" w:hAnsi="Arial"/>
          <w:sz w:val="17"/>
          <w:szCs w:val="17"/>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adopted SFAS 123(R) using the modified prospective method. Under this transition method, compensation cost recognized for the year ended March 31, 2007 included the current period’s cost for all stock options granted prior to, but not yet vested as of, April 1, 2006. This cost was based on the grant date fair value estimated in accordance with the original provisions of SFAS 123. The cost for all options granted subsequent to March 31, 2006, represents the grant date fair value that was estimated in accordance with the provisions of SFAS 123(R). Results for prior periods have not been restated. Compensation cost for options will be recognized in earnings, net of estimated forfeitures, on a straight-line basis over the requisite service period. The Company used the Black-Scholes option-pricing model both prior to and following the adoption of SFAS 123(R). The Company determined volatility based on an analysis of a peer group of public companies which was determined to be more reflective of the expected future volatility. The risk-free interest rate is the rate available as of the option grant date on zero-coupon U.S. government issues with a remaining term equal to the expected term of the option. The expected term is based upon the vesting term of the Company’s options and expected exercise behavior. The Company has not paid dividends on its common stock in the past and does not plan to pay any dividends on its common stock in the foreseeable future. The Company estimates its forfeiture rate of unvested stock options based on historical experience.</w:t>
      </w:r>
    </w:p>
    <w:p>
      <w:pPr>
        <w:spacing w:after="0" w:line="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were no option grants during the three months ended December 31, 2007. The fair value of each option grant for the three months ended December 31, 2006 and the nine months ended December 31, 2006 and December 31, 2007 was determined using the assumptions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272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340" w:type="dxa"/>
            <w:vAlign w:val="bottom"/>
          </w:tcPr>
          <w:p>
            <w:pPr>
              <w:jc w:val="right"/>
              <w:ind w:right="277"/>
              <w:spacing w:after="0" w:line="119" w:lineRule="exact"/>
              <w:rPr>
                <w:sz w:val="20"/>
                <w:szCs w:val="20"/>
                <w:color w:val="auto"/>
              </w:rPr>
            </w:pPr>
            <w:r>
              <w:rPr>
                <w:rFonts w:ascii="Arial" w:cs="Arial" w:eastAsia="Arial" w:hAnsi="Arial"/>
                <w:sz w:val="13"/>
                <w:szCs w:val="13"/>
                <w:b w:val="1"/>
                <w:bCs w:val="1"/>
                <w:color w:val="auto"/>
              </w:rPr>
              <w:t>December 31,</w:t>
            </w:r>
          </w:p>
        </w:tc>
        <w:tc>
          <w:tcPr>
            <w:tcW w:w="1300" w:type="dxa"/>
            <w:vAlign w:val="bottom"/>
          </w:tcPr>
          <w:p>
            <w:pPr>
              <w:jc w:val="center"/>
              <w:ind w:left="17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500" w:type="dxa"/>
            <w:vAlign w:val="bottom"/>
          </w:tcPr>
          <w:p>
            <w:pPr>
              <w:spacing w:after="0"/>
              <w:rPr>
                <w:sz w:val="10"/>
                <w:szCs w:val="10"/>
                <w:color w:val="auto"/>
              </w:rPr>
            </w:pPr>
          </w:p>
        </w:tc>
        <w:tc>
          <w:tcPr>
            <w:tcW w:w="1360" w:type="dxa"/>
            <w:vAlign w:val="bottom"/>
          </w:tcPr>
          <w:p>
            <w:pPr>
              <w:jc w:val="right"/>
              <w:ind w:right="304"/>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2006</w:t>
            </w:r>
          </w:p>
        </w:tc>
        <w:tc>
          <w:tcPr>
            <w:tcW w:w="1300" w:type="dxa"/>
            <w:vAlign w:val="bottom"/>
            <w:tcBorders>
              <w:bottom w:val="single" w:sz="8" w:color="auto"/>
            </w:tcBorders>
          </w:tcPr>
          <w:p>
            <w:pPr>
              <w:jc w:val="center"/>
              <w:ind w:left="176"/>
              <w:spacing w:after="0"/>
              <w:rPr>
                <w:sz w:val="20"/>
                <w:szCs w:val="20"/>
                <w:color w:val="auto"/>
              </w:rPr>
            </w:pPr>
            <w:r>
              <w:rPr>
                <w:rFonts w:ascii="Arial" w:cs="Arial" w:eastAsia="Arial" w:hAnsi="Arial"/>
                <w:sz w:val="14"/>
                <w:szCs w:val="14"/>
                <w:b w:val="1"/>
                <w:bCs w:val="1"/>
                <w:color w:val="auto"/>
                <w:w w:val="89"/>
              </w:rPr>
              <w:t>2007</w:t>
            </w:r>
          </w:p>
        </w:tc>
        <w:tc>
          <w:tcPr>
            <w:tcW w:w="1860" w:type="dxa"/>
            <w:vAlign w:val="bottom"/>
            <w:tcBorders>
              <w:bottom w:val="single" w:sz="8" w:color="auto"/>
            </w:tcBorders>
            <w:gridSpan w:val="2"/>
          </w:tcPr>
          <w:p>
            <w:pPr>
              <w:jc w:val="right"/>
              <w:ind w:right="584"/>
              <w:spacing w:after="0"/>
              <w:rPr>
                <w:sz w:val="20"/>
                <w:szCs w:val="20"/>
                <w:color w:val="auto"/>
              </w:rPr>
            </w:pPr>
            <w:r>
              <w:rPr>
                <w:rFonts w:ascii="Arial" w:cs="Arial" w:eastAsia="Arial" w:hAnsi="Arial"/>
                <w:sz w:val="14"/>
                <w:szCs w:val="14"/>
                <w:b w:val="1"/>
                <w:bCs w:val="1"/>
                <w:color w:val="auto"/>
              </w:rPr>
              <w:t>2006</w:t>
            </w: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4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6.7 years</w:t>
            </w:r>
          </w:p>
        </w:tc>
        <w:tc>
          <w:tcPr>
            <w:tcW w:w="1300" w:type="dxa"/>
            <w:vAlign w:val="bottom"/>
            <w:shd w:val="clear" w:color="auto" w:fill="CCEEFF"/>
          </w:tcPr>
          <w:p>
            <w:pPr>
              <w:jc w:val="center"/>
              <w:ind w:left="196"/>
              <w:spacing w:after="0"/>
              <w:rPr>
                <w:sz w:val="20"/>
                <w:szCs w:val="20"/>
                <w:color w:val="auto"/>
              </w:rPr>
            </w:pPr>
            <w:r>
              <w:rPr>
                <w:rFonts w:ascii="Arial" w:cs="Arial" w:eastAsia="Arial" w:hAnsi="Arial"/>
                <w:sz w:val="18"/>
                <w:szCs w:val="18"/>
                <w:color w:val="auto"/>
                <w:w w:val="99"/>
              </w:rPr>
              <w:t>N/A</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84"/>
              <w:spacing w:after="0"/>
              <w:rPr>
                <w:sz w:val="20"/>
                <w:szCs w:val="20"/>
                <w:color w:val="auto"/>
              </w:rPr>
            </w:pPr>
            <w:r>
              <w:rPr>
                <w:rFonts w:ascii="Arial" w:cs="Arial" w:eastAsia="Arial" w:hAnsi="Arial"/>
                <w:sz w:val="18"/>
                <w:szCs w:val="18"/>
                <w:color w:val="auto"/>
              </w:rPr>
              <w:t>6.6 years</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right"/>
              <w:ind w:right="297"/>
              <w:spacing w:after="0"/>
              <w:rPr>
                <w:sz w:val="20"/>
                <w:szCs w:val="20"/>
                <w:color w:val="auto"/>
              </w:rPr>
            </w:pPr>
            <w:r>
              <w:rPr>
                <w:rFonts w:ascii="Arial" w:cs="Arial" w:eastAsia="Arial" w:hAnsi="Arial"/>
                <w:sz w:val="18"/>
                <w:szCs w:val="18"/>
                <w:color w:val="auto"/>
              </w:rPr>
              <w:t>4.59%</w:t>
            </w:r>
          </w:p>
        </w:tc>
        <w:tc>
          <w:tcPr>
            <w:tcW w:w="1300" w:type="dxa"/>
            <w:vAlign w:val="bottom"/>
          </w:tcPr>
          <w:p>
            <w:pPr>
              <w:jc w:val="center"/>
              <w:ind w:left="196"/>
              <w:spacing w:after="0"/>
              <w:rPr>
                <w:sz w:val="20"/>
                <w:szCs w:val="20"/>
                <w:color w:val="auto"/>
              </w:rPr>
            </w:pPr>
            <w:r>
              <w:rPr>
                <w:rFonts w:ascii="Arial" w:cs="Arial" w:eastAsia="Arial" w:hAnsi="Arial"/>
                <w:sz w:val="18"/>
                <w:szCs w:val="18"/>
                <w:color w:val="auto"/>
                <w:w w:val="99"/>
              </w:rPr>
              <w:t>N/A</w:t>
            </w:r>
          </w:p>
        </w:tc>
        <w:tc>
          <w:tcPr>
            <w:tcW w:w="1860" w:type="dxa"/>
            <w:vAlign w:val="bottom"/>
            <w:gridSpan w:val="2"/>
          </w:tcPr>
          <w:p>
            <w:pPr>
              <w:jc w:val="right"/>
              <w:ind w:right="324"/>
              <w:spacing w:after="0"/>
              <w:rPr>
                <w:sz w:val="20"/>
                <w:szCs w:val="20"/>
                <w:color w:val="auto"/>
              </w:rPr>
            </w:pPr>
            <w:r>
              <w:rPr>
                <w:rFonts w:ascii="Arial" w:cs="Arial" w:eastAsia="Arial" w:hAnsi="Arial"/>
                <w:sz w:val="18"/>
                <w:szCs w:val="18"/>
                <w:color w:val="auto"/>
              </w:rPr>
              <w:t>4.66%</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60%</w:t>
            </w:r>
          </w:p>
        </w:tc>
        <w:tc>
          <w:tcPr>
            <w:tcW w:w="1300" w:type="dxa"/>
            <w:vAlign w:val="bottom"/>
            <w:shd w:val="clear" w:color="auto" w:fill="CCEEFF"/>
          </w:tcPr>
          <w:p>
            <w:pPr>
              <w:jc w:val="center"/>
              <w:ind w:left="196"/>
              <w:spacing w:after="0"/>
              <w:rPr>
                <w:sz w:val="20"/>
                <w:szCs w:val="20"/>
                <w:color w:val="auto"/>
              </w:rPr>
            </w:pPr>
            <w:r>
              <w:rPr>
                <w:rFonts w:ascii="Arial" w:cs="Arial" w:eastAsia="Arial" w:hAnsi="Arial"/>
                <w:sz w:val="18"/>
                <w:szCs w:val="18"/>
                <w:color w:val="auto"/>
                <w:w w:val="99"/>
              </w:rPr>
              <w:t>N/A</w:t>
            </w:r>
          </w:p>
        </w:tc>
        <w:tc>
          <w:tcPr>
            <w:tcW w:w="186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60%</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340" w:type="dxa"/>
            <w:vAlign w:val="bottom"/>
          </w:tcPr>
          <w:p>
            <w:pPr>
              <w:jc w:val="right"/>
              <w:ind w:right="297"/>
              <w:spacing w:after="0"/>
              <w:rPr>
                <w:sz w:val="20"/>
                <w:szCs w:val="20"/>
                <w:color w:val="auto"/>
              </w:rPr>
            </w:pPr>
            <w:r>
              <w:rPr>
                <w:rFonts w:ascii="Arial" w:cs="Arial" w:eastAsia="Arial" w:hAnsi="Arial"/>
                <w:sz w:val="18"/>
                <w:szCs w:val="18"/>
                <w:color w:val="auto"/>
              </w:rPr>
              <w:t>6%</w:t>
            </w:r>
          </w:p>
        </w:tc>
        <w:tc>
          <w:tcPr>
            <w:tcW w:w="1300" w:type="dxa"/>
            <w:vAlign w:val="bottom"/>
          </w:tcPr>
          <w:p>
            <w:pPr>
              <w:jc w:val="center"/>
              <w:ind w:left="196"/>
              <w:spacing w:after="0"/>
              <w:rPr>
                <w:sz w:val="20"/>
                <w:szCs w:val="20"/>
                <w:color w:val="auto"/>
              </w:rPr>
            </w:pPr>
            <w:r>
              <w:rPr>
                <w:rFonts w:ascii="Arial" w:cs="Arial" w:eastAsia="Arial" w:hAnsi="Arial"/>
                <w:sz w:val="18"/>
                <w:szCs w:val="18"/>
                <w:color w:val="auto"/>
                <w:w w:val="99"/>
              </w:rPr>
              <w:t>N/A</w:t>
            </w:r>
          </w:p>
        </w:tc>
        <w:tc>
          <w:tcPr>
            <w:tcW w:w="1860" w:type="dxa"/>
            <w:vAlign w:val="bottom"/>
            <w:gridSpan w:val="2"/>
          </w:tcPr>
          <w:p>
            <w:pPr>
              <w:jc w:val="right"/>
              <w:ind w:right="324"/>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center"/>
              <w:ind w:left="196"/>
              <w:spacing w:after="0"/>
              <w:rPr>
                <w:sz w:val="20"/>
                <w:szCs w:val="20"/>
                <w:color w:val="auto"/>
              </w:rPr>
            </w:pPr>
            <w:r>
              <w:rPr>
                <w:rFonts w:ascii="Arial" w:cs="Arial" w:eastAsia="Arial" w:hAnsi="Arial"/>
                <w:sz w:val="18"/>
                <w:szCs w:val="18"/>
                <w:color w:val="auto"/>
                <w:w w:val="99"/>
              </w:rPr>
              <w:t>N/A</w:t>
            </w:r>
          </w:p>
        </w:tc>
        <w:tc>
          <w:tcPr>
            <w:tcW w:w="186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per Common Share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Basic net income per common share is computed by dividing net income (loss) attributable to common shareholders by the weighted-average number of common shares outstanding for the period and does not consider common stock equivalents.</w:t>
      </w:r>
    </w:p>
    <w:p>
      <w:pPr>
        <w:spacing w:after="0" w:line="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In addition, prior to the closing of the Company’s IPO on December 24, 2007, all series of the Company’s preferred stock participated in all undistributed earnings with the common stock. The Company allocated earnings to the common shareholders and participating preferred shareholders under the two-class method as required by EITF 03-6, </w:t>
      </w:r>
      <w:r>
        <w:rPr>
          <w:rFonts w:ascii="Arial" w:cs="Arial" w:eastAsia="Arial" w:hAnsi="Arial"/>
          <w:sz w:val="17"/>
          <w:szCs w:val="17"/>
          <w:i w:val="1"/>
          <w:iCs w:val="1"/>
          <w:color w:val="auto"/>
        </w:rPr>
        <w:t>Participating Securities and the Two-Class Method under FASB Statement No. 128</w:t>
      </w:r>
      <w:r>
        <w:rPr>
          <w:rFonts w:ascii="Arial" w:cs="Arial" w:eastAsia="Arial" w:hAnsi="Arial"/>
          <w:sz w:val="17"/>
          <w:szCs w:val="17"/>
          <w:color w:val="auto"/>
        </w:rPr>
        <w:t>. The two-class method is an earnings allocation method under which basic net income per share is calculated for the Company’s common stock and 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 All of the Company’s preferred stock was converted automatically into common stock upon the closing of the Company’s IPO.</w:t>
      </w:r>
    </w:p>
    <w:p>
      <w:pPr>
        <w:spacing w:after="0" w:line="7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Diluted net income per common share reflects the dilution that would occur if preferred stock were converted, warrants and 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convertible notes, the numerator is adjusted to add back the after-tax impact of interest recognized in the period.</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net income per share of common stock is as follows for the three and nine months ended December 31, 2007 and 2006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7"/>
          </w:tcPr>
          <w:p>
            <w:pPr>
              <w:jc w:val="right"/>
              <w:ind w:right="1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2,955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preferred stock and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Numerator for basic net income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Adjustment for interest, net of income tax effect</w:t>
            </w:r>
          </w:p>
        </w:tc>
        <w:tc>
          <w:tcPr>
            <w:tcW w:w="10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5800" w:type="dxa"/>
            <w:vAlign w:val="bottom"/>
          </w:tcPr>
          <w:p>
            <w:pPr>
              <w:ind w:left="220"/>
              <w:spacing w:after="0"/>
              <w:rPr>
                <w:sz w:val="20"/>
                <w:szCs w:val="20"/>
                <w:color w:val="auto"/>
              </w:rPr>
            </w:pPr>
            <w:r>
              <w:rPr>
                <w:rFonts w:ascii="Arial" w:cs="Arial" w:eastAsia="Arial" w:hAnsi="Arial"/>
                <w:sz w:val="18"/>
                <w:szCs w:val="18"/>
                <w:color w:val="auto"/>
              </w:rPr>
              <w:t>Numerator for diluted net income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9,071,133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13,889,162</w:t>
            </w: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9,025,740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11,774,702</w:t>
            </w:r>
          </w:p>
        </w:tc>
      </w:tr>
      <w:tr>
        <w:trPr>
          <w:trHeight w:val="202"/>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Weighted-average effect of preferred stock, restricted stock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assumed conversion of stock options and warrants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7,804,724</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8,969,068</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6,986,284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8,977,730</w:t>
            </w:r>
          </w:p>
        </w:tc>
      </w:tr>
      <w:tr>
        <w:trPr>
          <w:trHeight w:val="425"/>
        </w:trPr>
        <w:tc>
          <w:tcPr>
            <w:tcW w:w="5800" w:type="dxa"/>
            <w:vAlign w:val="bottom"/>
          </w:tcPr>
          <w:p>
            <w:pPr>
              <w:ind w:left="220"/>
              <w:spacing w:after="0"/>
              <w:rPr>
                <w:sz w:val="20"/>
                <w:szCs w:val="20"/>
                <w:color w:val="auto"/>
              </w:rPr>
            </w:pPr>
            <w:r>
              <w:rPr>
                <w:rFonts w:ascii="Arial" w:cs="Arial" w:eastAsia="Arial" w:hAnsi="Arial"/>
                <w:sz w:val="18"/>
                <w:szCs w:val="18"/>
                <w:color w:val="auto"/>
              </w:rPr>
              <w:t>Weighted-average common share and common share equivalents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800" w:type="dxa"/>
            <w:vAlign w:val="bottom"/>
          </w:tcPr>
          <w:p>
            <w:pPr>
              <w:ind w:left="4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16,875,857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22,858,230</w:t>
            </w: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16,012,564</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20,752,432</w:t>
            </w: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Credit Risk and Other Risks and Uncertainties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Company’s cash is deposited with one major financial institution. At times, deposits in this institution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17% of total cost of revenue for the three months ended December 31, 2007 and 35% for the nine months ended December 31, 2007.</w:t>
      </w:r>
    </w:p>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the nine months ended December 31, 2006, one customer accounted for 10% of total revenue. For the nine months ended December 31, 2007, one customer accounted for 17% of total revenue.</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Two customers, individually, each accounted for 11% of the accounts receivable balance as of March 31, 2007. One customer accounted for 16% of accounts receivable as of December 31,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 Company has determined that it operates in only one segment in accordance with SFAS 131,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does not disaggregate profit and loss information on a segment basis for internal management reporting purposes to its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maker.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and long-lived assets outside of the United States are insignificant.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During the nine months ended December 31, 2007 and 2006, the Company forgave $37,000 and $28,000 of shareholder advances as part of a contractual employment relationship.</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on a month-to-month basis, an aircraft owned by an entity controlled by an officer and shareholder. Amounts paid for the nine months ended December 31, 2007 and 2006 were $36,000 and $53,000 and amounts paid for the three months ending December 31, 2007 and 2006 were $20,000 and 14,000, respectively.</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the nine months ended December 31, 2007, the Company recorded revenue of $125,000 for products and services sold to an entity for which the Company’s chairman of the board was the executive chairman.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Agreement</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$25 million revolving credit agreement has an interest rate of prime plus 1% (effective rate of 8.25% at December 31, 2007), plus annual fees and minimum monthly interest costs. Borrowings under this agreement are collateralized by accounts receivable and inventory. Borrowings are limited to a percentage of eligible trade accounts receivables and inventories. As of December 31, 2007, remaining availability under the formula borrowing base computation was approximately $14.5 million. The credit agreement contains certain restrictive covenants, principally for minimum net worth, net income and limits on capital expenditures. In addition, the agreement precludes the payment of dividends on our common stock. The Company used proceeds in the amount of $6.0 million from its convertible note placement to pay down the revolving line of credit prior to December 31, 2007.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Block Grant</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November 2007, the Company completed a Wisconsin Community Development Block Grant loan with the local city government to provide financing of up to $750,000 for the purpose of acquiring additional production equipment. The loan has an interest rate of 4.9% and is collateralized by the related equipment. As of December 31, 2007, the Company had borrowed $540,000 against this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of December 31, 2007, the Company had net operating loss carryforwards of approximately $1.8 million for both federal and state tax purposes. The $1.8 million loss carryforwards are associated with the exercise of non-qualified stock options that have not yet been recognized by the Company in its financial statements. The Company also has federal and state tax credit carryforwards of approximately $291,000 and $422,000 as of December 31, 2007. Both the net operating losses and tax credit carryforwards expire between 2016 and 2027.</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fiscal 2007 and prior to its IPO,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For the fiscal year ending March 31, 2008, utilization of the federal loss carryforwards will be limited to $3.0 million. The Company does not believe the ownership change affects the use of the full amount of the net operating loss carryforwards.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valuation allowance against deferred tax assets has not been provided as management believes that it is more likely than not that the Company will realize the benefit of these assets. The factors included in this assessment were (i) the Company’s recognition of income before taxes of $5.0 million in the nine months ended December 31, 2007; and (ii) the anticipated fiscal 2008 revenue growth. Accordingly, a deferred tax asset valuation allowance has not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leases vehicles and equipment under operating leases. Rent expense under operating leases was $212,000 and $635,000 for the nine months ended December 31, 2006 and 2007.</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Total commitments under non-cancellable operating leases as of December 31, 2007 were $2.8 million. In addition, the Company has entered into non-cancellable purchase commitments for certain inventory items and capital expenditure commitments in order to secure better pricing and ensure materials on hand. As of December 31, 2007, the Company had entered into $3.9 million of purchase commitments related to these items.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TEMPORARY EQUITY AND SHAREHOLDERS’ EQUITY</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Prior to the Company’s IPO, the Company issued various classes of preferred stock. Series B and Series C preferred stock carried terms allowing for liquidation preference, voting rights, and conversion into common stock at a one-to-one ratio upon certain qualifying exit events. Series C preferred shares also carried a dividend preference at a non-compounded rate of 6%. The carrying value is being accreted to its redemption value over a period of five years at a non-compounded rate of 6%. Upon completion of the Company’s IPO, all preferred shares were automatically converted into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granted stock options under its 2003 Stock Option and 2004 Stock and Incentive Awards Plans (the Plans). Under the terms of the Plans, the Company initially reserved 9,000,000 shares for issuance to key employees, consultants and directors. In December 2007, upon completion of the Company’s IPO, an additional 1,500,000 option shares were made available under its 2004 Stock and Incentive Awards Plan. The options generally vest and become exercisable ratably over five years, although different vesting periods have been used in certain circumstances. Option vesting is generally contingent on the employees’ continued employment and options are subject to forfeiture if employment terminates for any reason prior to vesting. In the past, the Company has granted both incentive stock options and non-qualified stock options. The Plans also provide to certain employees accelerated vesting in the event of certain changes of control of the Company.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SFAS 123(R) in fiscal 2007, the following amounts of stock-based compensation were recorded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7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2006</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2006</w:t>
            </w: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62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2007, compensation cost related to non-vested common stock-based compensation amounted to $3.2 million, which is currently expected to be expressed over a remaining weighted average expected term of 3.7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the Company’s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Options Outstanding</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Grant</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7"/>
              </w:rPr>
              <w:t>of Shares</w:t>
            </w:r>
          </w:p>
        </w:tc>
        <w:tc>
          <w:tcPr>
            <w:tcW w:w="4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4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670,700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4,714,547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Authorized</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1,500,000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(479,432)</w:t>
            </w:r>
          </w:p>
        </w:tc>
        <w:tc>
          <w:tcPr>
            <w:tcW w:w="1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479,432</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4.25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Cancelled or expired</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51,000</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(51,000)</w:t>
            </w:r>
          </w:p>
        </w:tc>
        <w:tc>
          <w:tcPr>
            <w:tcW w:w="420" w:type="dxa"/>
            <w:vAlign w:val="bottom"/>
          </w:tcPr>
          <w:p>
            <w:pPr>
              <w:spacing w:after="0"/>
              <w:rPr>
                <w:sz w:val="18"/>
                <w:szCs w:val="18"/>
                <w:color w:val="auto"/>
              </w:rPr>
            </w:pPr>
          </w:p>
        </w:tc>
        <w:tc>
          <w:tcPr>
            <w:tcW w:w="940" w:type="dxa"/>
            <w:vAlign w:val="bottom"/>
          </w:tcPr>
          <w:p>
            <w:pPr>
              <w:jc w:val="right"/>
              <w:ind w:right="217"/>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(664,957)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1,742,268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4,478,022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217"/>
              <w:spacing w:after="0"/>
              <w:rPr>
                <w:sz w:val="20"/>
                <w:szCs w:val="20"/>
                <w:color w:val="auto"/>
              </w:rPr>
            </w:pPr>
            <w:r>
              <w:rPr>
                <w:rFonts w:ascii="Arial" w:cs="Arial" w:eastAsia="Arial" w:hAnsi="Arial"/>
                <w:sz w:val="18"/>
                <w:szCs w:val="18"/>
                <w:color w:val="auto"/>
              </w:rPr>
              <w:t>1.89</w:t>
            </w:r>
          </w:p>
        </w:tc>
        <w:tc>
          <w:tcPr>
            <w:tcW w:w="14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6.6</w:t>
            </w:r>
          </w:p>
        </w:tc>
        <w:tc>
          <w:tcPr>
            <w:tcW w:w="1760" w:type="dxa"/>
            <w:vAlign w:val="bottom"/>
            <w:gridSpan w:val="2"/>
          </w:tcPr>
          <w:p>
            <w:pPr>
              <w:jc w:val="right"/>
              <w:ind w:right="188"/>
              <w:spacing w:after="0"/>
              <w:rPr>
                <w:sz w:val="20"/>
                <w:szCs w:val="20"/>
                <w:color w:val="auto"/>
              </w:rPr>
            </w:pPr>
            <w:r>
              <w:rPr>
                <w:rFonts w:ascii="Arial" w:cs="Arial" w:eastAsia="Arial" w:hAnsi="Arial"/>
                <w:sz w:val="18"/>
                <w:szCs w:val="18"/>
                <w:color w:val="auto"/>
              </w:rPr>
              <w:t>$75,827,000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2007</w:t>
            </w:r>
          </w:p>
        </w:tc>
        <w:tc>
          <w:tcPr>
            <w:tcW w:w="2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2,056,190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1.12</w:t>
            </w:r>
          </w:p>
        </w:tc>
        <w:tc>
          <w:tcPr>
            <w:tcW w:w="14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4.3</w:t>
            </w:r>
          </w:p>
        </w:tc>
        <w:tc>
          <w:tcPr>
            <w:tcW w:w="17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$36,416,000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closing sale price of the Company’s common stock of $18.82 per share as of December 31,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outstanding non-vested stock options as of December 31, 2007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2,147,034</w:t>
            </w: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479,432</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(172,434)</w:t>
            </w: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(32,200)</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2,421,832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Prior to the Company’s IPO, the Company issued warrants in connection with various stock offerings and services rendered. The warrants grant the holder the option to purchase common stock at specified prices for a specified period of time. No warrants were issued during the nine months ended December 31, 2007.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1,109,390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Issued</w:t>
            </w:r>
          </w:p>
        </w:tc>
        <w:tc>
          <w:tcPr>
            <w:tcW w:w="50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6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Exercised</w:t>
            </w:r>
          </w:p>
        </w:tc>
        <w:tc>
          <w:tcPr>
            <w:tcW w:w="5020" w:type="dxa"/>
            <w:vAlign w:val="bottom"/>
          </w:tcPr>
          <w:p>
            <w:pPr>
              <w:spacing w:after="0"/>
              <w:rPr>
                <w:sz w:val="19"/>
                <w:szCs w:val="19"/>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(491,902)</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0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613,652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20" w:type="dxa"/>
            <w:vAlign w:val="bottom"/>
            <w:vMerge w:val="restart"/>
          </w:tcPr>
          <w:p>
            <w:pPr>
              <w:jc w:val="right"/>
              <w:ind w:right="3050"/>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warrants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480" w:type="dxa"/>
            <w:vAlign w:val="bottom"/>
          </w:tcPr>
          <w:p>
            <w:pPr>
              <w:spacing w:after="0"/>
              <w:rPr>
                <w:sz w:val="14"/>
                <w:szCs w:val="14"/>
                <w:color w:val="auto"/>
              </w:rPr>
            </w:pP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2007</w:t>
            </w:r>
          </w:p>
        </w:tc>
        <w:tc>
          <w:tcPr>
            <w:tcW w:w="480" w:type="dxa"/>
            <w:vAlign w:val="bottom"/>
          </w:tcPr>
          <w:p>
            <w:pPr>
              <w:spacing w:after="0"/>
              <w:rPr>
                <w:sz w:val="14"/>
                <w:szCs w:val="14"/>
                <w:color w:val="auto"/>
              </w:rPr>
            </w:pPr>
          </w:p>
        </w:tc>
        <w:tc>
          <w:tcPr>
            <w:tcW w:w="1540" w:type="dxa"/>
            <w:vAlign w:val="bottom"/>
            <w:gridSpan w:val="3"/>
          </w:tcPr>
          <w:p>
            <w:pPr>
              <w:ind w:left="300"/>
              <w:spacing w:after="0"/>
              <w:rPr>
                <w:sz w:val="20"/>
                <w:szCs w:val="20"/>
                <w:color w:val="auto"/>
              </w:rPr>
            </w:pPr>
            <w:r>
              <w:rPr>
                <w:rFonts w:ascii="Arial" w:cs="Arial" w:eastAsia="Arial" w:hAnsi="Arial"/>
                <w:sz w:val="14"/>
                <w:szCs w:val="14"/>
                <w:b w:val="1"/>
                <w:bCs w:val="1"/>
                <w:color w:val="auto"/>
              </w:rPr>
              <w:t>March 31, 2007</w:t>
            </w:r>
          </w:p>
        </w:tc>
        <w:tc>
          <w:tcPr>
            <w:tcW w:w="46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Expiration</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540" w:type="dxa"/>
            <w:vAlign w:val="bottom"/>
            <w:tcBorders>
              <w:top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79,236</w:t>
            </w:r>
          </w:p>
        </w:tc>
        <w:tc>
          <w:tcPr>
            <w:tcW w:w="4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Fiscal 2008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$2.25</w:t>
            </w:r>
          </w:p>
        </w:tc>
        <w:tc>
          <w:tcPr>
            <w:tcW w:w="2060" w:type="dxa"/>
            <w:vAlign w:val="bottom"/>
            <w:gridSpan w:val="5"/>
          </w:tcPr>
          <w:p>
            <w:pPr>
              <w:jc w:val="right"/>
              <w:ind w:right="500"/>
              <w:spacing w:after="0"/>
              <w:rPr>
                <w:sz w:val="20"/>
                <w:szCs w:val="20"/>
                <w:color w:val="auto"/>
              </w:rPr>
            </w:pPr>
            <w:r>
              <w:rPr>
                <w:rFonts w:ascii="Arial" w:cs="Arial" w:eastAsia="Arial" w:hAnsi="Arial"/>
                <w:sz w:val="18"/>
                <w:szCs w:val="18"/>
                <w:color w:val="auto"/>
              </w:rPr>
              <w:t>38,980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221,480</w:t>
            </w:r>
          </w:p>
        </w:tc>
        <w:tc>
          <w:tcPr>
            <w:tcW w:w="400" w:type="dxa"/>
            <w:vAlign w:val="bottom"/>
          </w:tcPr>
          <w:p>
            <w:pPr>
              <w:spacing w:after="0"/>
              <w:rPr>
                <w:sz w:val="20"/>
                <w:szCs w:val="20"/>
                <w:color w:val="auto"/>
              </w:rPr>
            </w:pPr>
          </w:p>
        </w:tc>
        <w:tc>
          <w:tcPr>
            <w:tcW w:w="128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$2.30</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529,912</w:t>
            </w:r>
          </w:p>
        </w:tc>
        <w:tc>
          <w:tcPr>
            <w:tcW w:w="48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763,914</w:t>
            </w:r>
          </w:p>
        </w:tc>
        <w:tc>
          <w:tcPr>
            <w:tcW w:w="4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2010</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$2.50</w:t>
            </w:r>
          </w:p>
        </w:tc>
        <w:tc>
          <w:tcPr>
            <w:tcW w:w="2060" w:type="dxa"/>
            <w:vAlign w:val="bottom"/>
            <w:gridSpan w:val="5"/>
          </w:tcPr>
          <w:p>
            <w:pPr>
              <w:jc w:val="right"/>
              <w:ind w:right="500"/>
              <w:spacing w:after="0"/>
              <w:rPr>
                <w:sz w:val="20"/>
                <w:szCs w:val="20"/>
                <w:color w:val="auto"/>
              </w:rPr>
            </w:pPr>
            <w:r>
              <w:rPr>
                <w:rFonts w:ascii="Arial" w:cs="Arial" w:eastAsia="Arial" w:hAnsi="Arial"/>
                <w:sz w:val="18"/>
                <w:szCs w:val="18"/>
                <w:color w:val="auto"/>
              </w:rPr>
              <w:t>37,260</w:t>
            </w:r>
          </w:p>
        </w:tc>
        <w:tc>
          <w:tcPr>
            <w:tcW w:w="2020" w:type="dxa"/>
            <w:vAlign w:val="bottom"/>
            <w:gridSpan w:val="4"/>
          </w:tcPr>
          <w:p>
            <w:pPr>
              <w:jc w:val="right"/>
              <w:ind w:right="400"/>
              <w:spacing w:after="0"/>
              <w:rPr>
                <w:sz w:val="20"/>
                <w:szCs w:val="20"/>
                <w:color w:val="auto"/>
              </w:rPr>
            </w:pPr>
            <w:r>
              <w:rPr>
                <w:rFonts w:ascii="Arial" w:cs="Arial" w:eastAsia="Arial" w:hAnsi="Arial"/>
                <w:sz w:val="18"/>
                <w:szCs w:val="18"/>
                <w:color w:val="auto"/>
              </w:rPr>
              <w:t>37,260</w:t>
            </w:r>
          </w:p>
        </w:tc>
        <w:tc>
          <w:tcPr>
            <w:tcW w:w="128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2011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$2.60</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48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20"/>
                <w:szCs w:val="20"/>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613,652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1,109,390</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SUBSEQUENT EVENTS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January 2008, the Company’s board of directors approved plans for the construction of a new technology center and expansion of the Company’s administrative offices at its Manitowoc facility. Total approved costs are $8.5 million with expected completion in December 2008. The Company intends to finance this capital project through current cash reserves or appropriate long-term debt financing.</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58" w:right="219" w:bottom="1440" w:gutter="0" w:footer="0" w:header="0"/>
        </w:sectPr>
      </w:pPr>
    </w:p>
    <w:bookmarkStart w:id="17" w:name="page18"/>
    <w:bookmarkEnd w:id="17"/>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Note Regarding Forward-Looking Statements</w:t>
      </w:r>
    </w:p>
    <w:p>
      <w:pPr>
        <w:ind w:right="20"/>
        <w:spacing w:after="0" w:line="284" w:lineRule="auto"/>
        <w:rPr>
          <w:sz w:val="20"/>
          <w:szCs w:val="20"/>
          <w:color w:val="auto"/>
        </w:rPr>
      </w:pPr>
      <w:r>
        <w:rPr>
          <w:rFonts w:ascii="Arial" w:cs="Arial" w:eastAsia="Arial" w:hAnsi="Arial"/>
          <w:sz w:val="16"/>
          <w:szCs w:val="16"/>
          <w:i w:val="1"/>
          <w:iCs w:val="1"/>
          <w:color w:val="auto"/>
        </w:rPr>
        <w:t>This discussion contains forward-looking statements that are based on our current expectations, estimates and projections about our business and operations. The cautionary statements made in this Quarterly Report on Form 10-Q should be read as applying to all related forward-looking statements wherever they appear in this Quarterly Report on Form 10-Q. Our actual results may differ materially from those currently anticipated and expressed in such forward-looking statements as a result of a number of factors, including (i) our ability to compete in a highly competitive market and our ability to respond successfully to market competition; (ii) the market acceptance of our products and services; (iii) price fluctuations, shortages or interruptions of component supplies and raw materials used to manufacture our products; (iv) loss of one or more key customers or suppliers; (v) a reduction in the price of electricity;</w:t>
      </w:r>
    </w:p>
    <w:p>
      <w:pPr>
        <w:spacing w:after="0" w:line="5" w:lineRule="exact"/>
        <w:rPr>
          <w:sz w:val="20"/>
          <w:szCs w:val="20"/>
          <w:color w:val="auto"/>
        </w:rPr>
      </w:pPr>
    </w:p>
    <w:p>
      <w:pPr>
        <w:ind w:right="20" w:firstLine="8"/>
        <w:spacing w:after="0" w:line="254" w:lineRule="auto"/>
        <w:tabs>
          <w:tab w:leader="none" w:pos="34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competition from government subsidiaries and utility incentive programs; (viii) dependence on customers’ capital budgets for sales of our products and services; (ix) our ability to effectively manage our anticipated growth; and (x) potential warranty claims, as well as those factors we discuss in our Registration Statement on Form S-1(Reg. No. 333-145569), as amended, initially filed with the Securities and Exchange Commission on August 20, 2007, and under Item 1A in this Quarterly Report on Form 10-Q.</w:t>
      </w:r>
    </w:p>
    <w:p>
      <w:pPr>
        <w:spacing w:after="0" w:line="8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and the notes thereto included elsewhere in this Quarterly Report on Form 10-Q and in our Registration Statement on Form S-1.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sold and installed more than 1,048,000 of our HIF lighting systems in over 3,200 facilities from December 1, 2001 through December 31, 2007. We have sold our products to 90 Fortune 500 companies, many of which have installed our HIF lighting systems in multiple facilities. Our top customers by revenue for the first nine months of fiscal 2008 included Coca-Cola Enterprises Inc., The Kroger Co., Kraft Foods Inc., The Sherwin-Williams Company, SYSCO Corp. and Anheuser-Busch Companies, Inc.</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fiscal year ends on March 31. We call our fiscal years ended March 31, 2006 and 2007 “fiscal 2006” and “fiscal 2007,” respectively. We call our current fiscal year, which will end on March 31, 2008, “fiscal 2008.” Our fiscal first quarter ends on June 30, our fiscal second quarter ends on September 30, our fiscal third quarter ends on December 31 and our fiscal fourth quarter ends on March 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historically have been completed prior to product shipment and revenue from such services was included in product revenue because evidence of fair value for these services did not exist. Wholesale sales to electrical contractors and value-added resellers, which have historically accounted for only a relatively small percentage of our total revenue, are expected to continue to constitute a relatively small percentage of our total revenue.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ind w:right="60"/>
        <w:spacing w:after="0" w:line="269" w:lineRule="auto"/>
        <w:rPr>
          <w:sz w:val="20"/>
          <w:szCs w:val="20"/>
          <w:color w:val="auto"/>
        </w:rPr>
      </w:pPr>
      <w:r>
        <w:rPr>
          <w:rFonts w:ascii="Arial" w:cs="Arial" w:eastAsia="Arial" w:hAnsi="Arial"/>
          <w:sz w:val="17"/>
          <w:szCs w:val="17"/>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 We also offer our products under a sales-type financing program where we finance our customer’s purchase. The contractual future cash flows and residual rights to the related equipment are then sold without recourse to a third party finance company. We recognize revenue for the net present value of the future payments from the finance company upon completion of the project. Revenue recognized from our sales-type financing program has historically been immaterial as a percentage of our total revenue and we do not anticipate that revenue from such program will comprise a material portion of our total revenue in fiscal 2008.</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43% and 48% of our total revenue for the first nine months of fiscal 2007 and fiscal 2008, respectively. One customer accounted for approximately 17% of our total revenue for the first nine months of fiscal 2008. As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quarterly revenue variations.</w:t>
      </w:r>
    </w:p>
    <w:p>
      <w:pPr>
        <w:spacing w:after="0" w:line="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level of total revenue for any given period is dependent upon a number of factors, including (i) the demand for our products and systems; (ii) the number and timing of large retrofit and multi-facility retrofit, or “roll-out,” projects; (iii) the level of our wholesale sales; (iv) our ability to realize revenue from our services and our sales-type financing program; (v) our execution of our sales process; (vi) the selling price of our products and services; (vii) changes in capital investment levels by our customers and prospects; and (viii) customer sales cycles. As a result, our total revenue may be subject to quarterly variations and our total revenue for any particular fiscal quarter may not be indicative of future results.</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 (ii) electrical</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including ballasts, power supplies and lamps; (iii) wages and related personnel expenses, including stock-based compensation charges, for our fabricating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35% of our total cost of revenue for the first nine months of fiscal 2008 and 17% of our total cost of revenue for our fiscal 2008 third quarter. Our production labor force is non-union and, as a result, our production labor costs have been relatively stable. We anticipate adding additional production personnel to support our anticipated increase in sales volumes, although we are attempting to achieve efficiencies in our cost of revenue by implementing more highly systematized production and assembly processes. We are also expanding our network of qualified third-party installers to realize efficiencies in the installation process.</w:t>
      </w:r>
    </w:p>
    <w:p>
      <w:pPr>
        <w:spacing w:after="0" w:line="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has been, and will continue to be, affected by the relative levels of our total revenue and our total cost of revenue, and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(which generally have recently resulted in higher relative gross margins than product revenue); (iv) our project pricing; (v) our level of warranty claims; (vi) our level of utilization of our manufacturing facilities and related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absorption of our manufacturing overhead costs; (vii) our level of efficiencies in our manufacturing operations; and (viii) our level of efficiencies from our subcontracted installation service providers. As a result, our gross margin may be subject to quarterly variation.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 expenses; and (iii)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Personnel related costs are our largest operating expense and we expect these costs to increase on an absolute dollar basis in the fiscal 2008 fourth quarter as a result of our planned expansion of our sales force, as well as contemplated additions to our personnel infrastructure, as we attempt to generate and support additional revenue growth.</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occupancy expenses; (iii) professional services fees; (iv) technology related costs and amortization; and (v) corporate-related travel.</w:t>
      </w:r>
    </w:p>
    <w:p>
      <w:pPr>
        <w:spacing w:after="0" w:line="7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5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to expected increased administrative personnel costs, we expect to incur increased general and administrative expenses in connection with our becoming a public company, including increased accounting, audit, legal and support services and Sarbanes-Oxley compliance fees and expenses. We also expect our sales and marketing expenses to substantially increase in the near term as we further increase the number of our sales people and sales locations and market our products, brands and trade names, including our planned expanded advertising and promotional campaign. Additionally,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70"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 xml:space="preserve">In fiscal 2007, we began recognizing compensation expense for the fair value of our stock option awards granted over their related vesting period using the modified prospective method of adoption under the provisions of the Statement of Financial Accounting Standards No. 123I,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Prior to fiscal 2007, we accounted for our stock option awards under the intrinsic value method under the provisions of Accounting Principles 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we did not recognize the fair value expense of our stock option awards in our statements of operations, although we did report our pro forma stock option award fair value expense in the footnotes to our financial statements. We recognized</w:t>
      </w:r>
    </w:p>
    <w:p>
      <w:pPr>
        <w:spacing w:after="0" w:line="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$0.4 million of stock-based compensation expense in fiscal 2007 and $0.9 million in the first nine months of fiscal 2008. As a result of prior option grants, including option grants in fiscal 2008, we expect to recognize an additional $3.2 million of stock-based compensation over a weighted average period of approximately 3.7 years, including $0.3 million in the fiscal 2008 fourth quarter.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and effective upon the closing of our initial public offering, our compensation committee established an award program for our chief executive officer consisting of a potential stock price performance bonus of $100,000 per each $1.00 that the price of our common stock has increased at the one-year anniversary of the initial public offering over the initial public offering price of $13.00 per share. The amount of this bonus is capped at $1.5 million. Accordingly, for the quarter ended December 31, 2007, we accrued $27,000 of pro-rated expense based upon the increase in the price of our common stock from the December 24, 2007 closing of our initial public offering to December 31, 2007. We will recognize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additional expenses over the one-year period from closing of our initial public offering based upon amortization of the vesting period and any further increase in the price of our common stock from the $13.00 per share initial public offering price.</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Our interest expense is comprised primarily of interest expense on outstanding borrowings under our revolving credit facility and our other</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debt obligations described under “— Liquidity and Capital Resources — Indebtedness” below, including the amortization of previously incurred financing costs. Our interest expense also has historically included guarantee fees previously paid to our chief executive officer in connection with his guarantees of various of our debt obligations. These guarantees were released prior to our initial public offering. We amortize deferred financing costs to interest expense over the life of the related debt instrument, ranging from six to fifteen years.</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income consists of dividends paid on preferred shares that we acquired in July 2006. The terms of these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provide for annual dividend payments to us of $0.1 million. We also report interest income earned on our cash and cash equivalents. We expect our interest income to increase in our fiscal 2008 fourth quarter as a result of our investment of the net proceeds from our recently completed initial public offering in short-term, interest-bearing, investment-grade securities until final use of such net proceeds.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December 31, 2007, we had net operating loss carryforwards of approximately $1.8 million for both federal and state tax purposes. The</w:t>
      </w:r>
      <w:r>
        <w:rPr>
          <w:rFonts w:ascii="Arial" w:cs="Arial" w:eastAsia="Arial" w:hAnsi="Arial"/>
          <w:sz w:val="16"/>
          <w:szCs w:val="16"/>
          <w:i w:val="1"/>
          <w:iCs w:val="1"/>
          <w:color w:val="auto"/>
        </w:rPr>
        <w:t xml:space="preserve"> </w:t>
      </w:r>
      <w:r>
        <w:rPr>
          <w:rFonts w:ascii="Arial" w:cs="Arial" w:eastAsia="Arial" w:hAnsi="Arial"/>
          <w:sz w:val="16"/>
          <w:szCs w:val="16"/>
          <w:color w:val="auto"/>
        </w:rPr>
        <w:t>$1.8 million loss carryforwards are associated with the exercise of non-qualified stock options that have not yet been recognized. We also had federal and state tax credit carryforwards of approximately $291,000 and $422,000 as of December 31, 2007. Both the net operating losses and tax credit carryforwards expire between 2016 and 2027. In fiscal 2007 and prior to our initial public offering, our past issuances and transfers of stock caused an ownership change. As a result, our ability to use our net operating loss carryforwards, attributable to the period prior to such ownership change to offset taxable income will be subject to limitations in a particular year, which could potentially result in increased future tax liability. For fiscal 2008, utilization of the federal loss carryforwards will be limited to $3.0 million. We do not believe the ownership change affects the use of the full amount of the net operating loss carryforwards. A valuation allowance against deferred tax assets has not been provided as we believe that it is more likely than not that we will realize the benefit of these assets. The factors included in this assessment were (i) our recognition of income before taxes of $5.0 million in the first nine months of fiscal 2008; and (ii) the anticipated fiscal 2008 revenue growth. Accordingly, a deferred tax asset valuation allowance has not been recorded.</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Accretion of Preferred Stock and Preferred Stock Dividends. </w:t>
      </w:r>
      <w:r>
        <w:rPr>
          <w:rFonts w:ascii="Arial" w:cs="Arial" w:eastAsia="Arial" w:hAnsi="Arial"/>
          <w:sz w:val="17"/>
          <w:szCs w:val="17"/>
          <w:color w:val="auto"/>
        </w:rPr>
        <w:t>Prior to completion of our initial public offering, our accretion of redeemable preferred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dividends consisted of accumulated unpaid dividends on our Series A and Series C preferred stock during the periods that such shares remained outstanding. Our Series C preferred stock automatically converted into common stock upon closing of our initial public offering, and the carrying amount of our Series C preferred stock, along with accumulated unpaid dividends, was credited to additional paid-in capital at that time. Our Series A preferred stock was converted into shares of our common stock in fiscal 2005 and fiscal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on an absolute dollar basis and as a relative percentage of our revenue for each applicable period, together with the relative percentage change in such line item between applicable comparable periods set forth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4"/>
              </w:rPr>
              <w:t>Three Months Ended 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771"/>
              <w:spacing w:after="0"/>
              <w:rPr>
                <w:sz w:val="20"/>
                <w:szCs w:val="20"/>
                <w:color w:val="auto"/>
              </w:rPr>
            </w:pPr>
            <w:r>
              <w:rPr>
                <w:rFonts w:ascii="Arial" w:cs="Arial" w:eastAsia="Arial" w:hAnsi="Arial"/>
                <w:sz w:val="14"/>
                <w:szCs w:val="14"/>
                <w:b w:val="1"/>
                <w:bCs w:val="1"/>
                <w:color w:val="auto"/>
                <w:w w:val="92"/>
              </w:rPr>
              <w:t>Nine Months Ended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3"/>
          </w:tcPr>
          <w:p>
            <w:pPr>
              <w:jc w:val="right"/>
              <w:ind w:right="651"/>
              <w:spacing w:after="0" w:line="142" w:lineRule="exact"/>
              <w:rPr>
                <w:sz w:val="20"/>
                <w:szCs w:val="20"/>
                <w:color w:val="auto"/>
              </w:rPr>
            </w:pPr>
            <w:r>
              <w:rPr>
                <w:rFonts w:ascii="Arial" w:cs="Arial" w:eastAsia="Arial" w:hAnsi="Arial"/>
                <w:sz w:val="14"/>
                <w:szCs w:val="14"/>
                <w:b w:val="1"/>
                <w:bCs w:val="1"/>
                <w:color w:val="auto"/>
                <w:w w:val="96"/>
              </w:rPr>
              <w:t>2006</w:t>
            </w:r>
          </w:p>
        </w:tc>
        <w:tc>
          <w:tcPr>
            <w:tcW w:w="12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940" w:type="dxa"/>
            <w:vAlign w:val="bottom"/>
            <w:gridSpan w:val="2"/>
            <w:vMerge w:val="restart"/>
          </w:tcPr>
          <w:p>
            <w:pPr>
              <w:jc w:val="center"/>
              <w:ind w:left="11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3"/>
          </w:tcPr>
          <w:p>
            <w:pPr>
              <w:jc w:val="right"/>
              <w:ind w:right="671"/>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3"/>
          </w:tcPr>
          <w:p>
            <w:pPr>
              <w:jc w:val="right"/>
              <w:ind w:right="671"/>
              <w:spacing w:after="0" w:line="142" w:lineRule="exact"/>
              <w:rPr>
                <w:sz w:val="20"/>
                <w:szCs w:val="20"/>
                <w:color w:val="auto"/>
              </w:rPr>
            </w:pPr>
            <w:r>
              <w:rPr>
                <w:rFonts w:ascii="Arial" w:cs="Arial" w:eastAsia="Arial" w:hAnsi="Arial"/>
                <w:sz w:val="14"/>
                <w:szCs w:val="14"/>
                <w:b w:val="1"/>
                <w:bCs w:val="1"/>
                <w:color w:val="auto"/>
                <w:w w:val="96"/>
              </w:rPr>
              <w:t>2007</w:t>
            </w:r>
          </w:p>
        </w:tc>
        <w:tc>
          <w:tcPr>
            <w:tcW w:w="960" w:type="dxa"/>
            <w:vAlign w:val="bottom"/>
            <w:gridSpan w:val="2"/>
            <w:vMerge w:val="restart"/>
          </w:tcPr>
          <w:p>
            <w:pPr>
              <w:jc w:val="center"/>
              <w:ind w:left="1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60" w:type="dxa"/>
            <w:vAlign w:val="bottom"/>
            <w:tcBorders>
              <w:top w:val="single" w:sz="8" w:color="auto"/>
            </w:tcBorders>
            <w:vMerge w:val="restart"/>
          </w:tcPr>
          <w:p>
            <w:pPr>
              <w:spacing w:after="0"/>
              <w:rPr>
                <w:sz w:val="10"/>
                <w:szCs w:val="10"/>
                <w:color w:val="auto"/>
              </w:rPr>
            </w:pPr>
          </w:p>
        </w:tc>
        <w:tc>
          <w:tcPr>
            <w:tcW w:w="66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 of</w:t>
            </w: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 of</w:t>
            </w: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$18,934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$28,700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Service revenue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4,377</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15.3%</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10,751</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18.4%</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23,311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33,874</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Cost of product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7,419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54.7%</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12,224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18,841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31,044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9"/>
              </w:rPr>
              <w:t>Cost of service revenue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2,833</w:t>
            </w: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w w:val="99"/>
              </w:rPr>
              <w:t>Total cost of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9,200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67.8%</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15,057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22,833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38,258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8,254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1,614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3,288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6,766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2,260</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1,334</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2,252</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261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and interest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9"/>
        </w:trPr>
        <w:tc>
          <w:tcPr>
            <w:tcW w:w="1920" w:type="dxa"/>
            <w:vAlign w:val="bottom"/>
            <w:gridSpan w:val="2"/>
          </w:tcPr>
          <w:p>
            <w:pPr>
              <w:spacing w:after="0"/>
              <w:rPr>
                <w:sz w:val="20"/>
                <w:szCs w:val="20"/>
                <w:color w:val="auto"/>
              </w:rPr>
            </w:pPr>
            <w:r>
              <w:rPr>
                <w:rFonts w:ascii="Arial" w:cs="Arial" w:eastAsia="Arial" w:hAnsi="Arial"/>
                <w:sz w:val="18"/>
                <w:szCs w:val="18"/>
                <w:color w:val="auto"/>
              </w:rPr>
              <w:t>Income before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tax</w:t>
            </w:r>
          </w:p>
        </w:tc>
        <w:tc>
          <w:tcPr>
            <w:tcW w:w="700" w:type="dxa"/>
            <w:vAlign w:val="bottom"/>
          </w:tcPr>
          <w:p>
            <w:pPr>
              <w:jc w:val="right"/>
              <w:spacing w:after="0"/>
              <w:rPr>
                <w:sz w:val="20"/>
                <w:szCs w:val="20"/>
                <w:color w:val="auto"/>
              </w:rPr>
            </w:pPr>
            <w:r>
              <w:rPr>
                <w:rFonts w:ascii="Arial" w:cs="Arial" w:eastAsia="Arial" w:hAnsi="Arial"/>
                <w:sz w:val="18"/>
                <w:szCs w:val="18"/>
                <w:color w:val="auto"/>
              </w:rPr>
              <w:t>696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1,890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4,978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gridSpan w:val="2"/>
          </w:tcPr>
          <w:p>
            <w:pPr>
              <w:jc w:val="right"/>
              <w:ind w:right="639"/>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Three Months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671"/>
              <w:spacing w:after="0"/>
              <w:rPr>
                <w:sz w:val="20"/>
                <w:szCs w:val="20"/>
                <w:color w:val="auto"/>
              </w:rPr>
            </w:pPr>
            <w:r>
              <w:rPr>
                <w:rFonts w:ascii="Arial" w:cs="Arial" w:eastAsia="Arial" w:hAnsi="Arial"/>
                <w:sz w:val="14"/>
                <w:szCs w:val="14"/>
                <w:b w:val="1"/>
                <w:bCs w:val="1"/>
                <w:color w:val="auto"/>
                <w:w w:val="95"/>
              </w:rPr>
              <w:t>Nine Months Ended December 31</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2006</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102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2006</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680" w:type="dxa"/>
            <w:vAlign w:val="bottom"/>
            <w:tcBorders>
              <w:bottom w:val="single" w:sz="8" w:color="auto"/>
            </w:tcBorders>
          </w:tcPr>
          <w:p>
            <w:pPr>
              <w:spacing w:after="0"/>
              <w:rPr>
                <w:sz w:val="12"/>
                <w:szCs w:val="12"/>
                <w:color w:val="auto"/>
              </w:rPr>
            </w:pPr>
          </w:p>
        </w:tc>
        <w:tc>
          <w:tcPr>
            <w:tcW w:w="1080" w:type="dxa"/>
            <w:vAlign w:val="bottom"/>
            <w:gridSpan w:val="2"/>
            <w:vMerge w:val="restart"/>
          </w:tcPr>
          <w:p>
            <w:pPr>
              <w:jc w:val="center"/>
              <w:ind w:left="1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ind w:right="111"/>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4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0"/>
                <w:szCs w:val="10"/>
                <w:color w:val="auto"/>
              </w:rPr>
            </w:pPr>
          </w:p>
        </w:tc>
        <w:tc>
          <w:tcPr>
            <w:tcW w:w="6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 of</w:t>
            </w:r>
          </w:p>
        </w:tc>
        <w:tc>
          <w:tcPr>
            <w:tcW w:w="10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ind w:right="111"/>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111"/>
              <w:spacing w:after="0" w:line="119" w:lineRule="exact"/>
              <w:rPr>
                <w:sz w:val="20"/>
                <w:szCs w:val="20"/>
                <w:color w:val="auto"/>
              </w:rPr>
            </w:pPr>
            <w:r>
              <w:rPr>
                <w:rFonts w:ascii="Arial" w:cs="Arial" w:eastAsia="Arial" w:hAnsi="Arial"/>
                <w:sz w:val="13"/>
                <w:szCs w:val="13"/>
                <w:b w:val="1"/>
                <w:bCs w:val="1"/>
                <w:color w:val="auto"/>
              </w:rPr>
              <w:t>% of</w:t>
            </w: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$ 136</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441.9%</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$ 137</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$2,023</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9"/>
        </w:trPr>
        <w:tc>
          <w:tcPr>
            <w:tcW w:w="2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560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w w:val="88"/>
              </w:rPr>
              <w:t>1,153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2,955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redeemable</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and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Conversion of preferred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stock participation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rights of preferred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stock in undistributed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earnings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(775)</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common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$ 313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161.7%</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$ 305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$1,955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meaningful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product revenue increased for the fiscal 2008 third quarter and the first nine months of fiscal 2008 from the same periods in the prior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increased sales of our HIF lighting systems to our national account customers, resellers and electrical contractors. Our service revenue increased for the fiscal 2008 third quarter and the first nine months of fiscal 2008 from the same periods in the prior fiscal year primarily as a result of our increased emphasis on achieving higher billing rates for our services and an increase in the number of projects where we provided installation and recycling services which were completed during the period.</w:t>
      </w:r>
    </w:p>
    <w:p>
      <w:pPr>
        <w:spacing w:after="0" w:line="8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revenue results for our fiscal 2008 third quarter were sequentially higher than prior quarters and are consistent with our overall expectations. We expect our total revenue for fiscal 2008 will be in excess of $78.1 million, or at least 62% greater than revenue for our fiscal 2007. Furthermore, we believe the fundamentals of our business remain very strong, and we continue to anticipate revenue for fiscal 2009 will exceed revenue for fiscal 2008 by at least 50%.</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define backlog as the total contractual value of all firm orders received for our lighting products and services. Such orders must be evidenced by a signed proposal acceptance or purchase order from the customer. Our backlog does not include national contracts that have been negotiated, but we have not yet received a purchase order for the specific location. As of December 31, 2007, we had a backlog of firm purchase orders of approximately $4.9 million, compared to approximately $11.0 million at September 30, 2007. We generally expect this level of firm purchase order backlog to be converted into revenue within the following quarter. Principally as a result of the continued shortening of our customer sales cycles, a comparison of backlog from period to period is not necessarily meaningful and may not be indicative of actual revenue recognized in future periods.</w:t>
      </w:r>
    </w:p>
    <w:p>
      <w:pPr>
        <w:spacing w:after="0" w:line="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product revenue increased for the fiscal 2008 third quarter and the first nine months of fiscal 2008 from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fiscal year primarily due to increased production personnel costs necessary to support our sales growth and increased equipment costs to support the increase in HIF lighting system production volumes. Our total cost of service revenue increased for the fiscal 2008 third quarter and the first nine months of fiscal 2008 from the same periods in the prior fiscal year primarily due to the increase of HIF lighting system installations completed for the periods.</w:t>
      </w:r>
    </w:p>
    <w:p>
      <w:pPr>
        <w:spacing w:after="0" w:line="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increased for the fiscal 2008 third quarter and the first nine months of fiscal 2008 from the same periods in the prior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as a result of our increased total revenue. Our gross margin increased for the fiscal 2008 third quarter and the first nine months of fiscal 2008 from the same periods in the prior fiscal year primarily due to increased utilization of our manufacturing assets and increased profitability from our value added services as a result of higher billing rates, as well as volume rebates on raw material purchases.</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increased for the fiscal 2008 third quarter and the first nine months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2008 from the same periods in the prior fiscal year on an absolute dollar basis principally as a result of: (i) non-recurring bonus expense of $0.7 million resulting from the successful completion of our initial public offering and $0.5 million in incentive compensation costs for fiscal 2008 as approved by our compensation committee; (ii) increased compensation costs related to hiring additional employees in our accounting and administration departments;</w:t>
      </w:r>
    </w:p>
    <w:p>
      <w:pPr>
        <w:spacing w:after="0" w:line="2" w:lineRule="exact"/>
        <w:rPr>
          <w:sz w:val="20"/>
          <w:szCs w:val="20"/>
          <w:color w:val="auto"/>
        </w:rPr>
      </w:pPr>
    </w:p>
    <w:p>
      <w:pPr>
        <w:ind w:right="40" w:firstLine="8"/>
        <w:spacing w:after="0" w:line="25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legal expenses; and (iv) increased consulting costs for technology, audit and tax support. We also incurred increased stock-based compensation expenses. As a percentage of total revenue for the first nine months of fiscal 2008 from the same period in the prior year, our general and administrative expenses decreased as our revenue growth exceeded growth in our general and administrative expenses.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2" w:name="page23"/>
    <w:bookmarkEnd w:id="22"/>
    <w:p>
      <w:pPr>
        <w:ind w:right="100"/>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Our sales and marketing expenses increased for the fiscal 2008 third quarter and the first nine months of fiscal 2008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the prior fiscal year on an absolute dollar basis primarily as a result of increased employee compensation and commission expenses resulting from our hiring additional marketing, sales and project management personnel and our payment of higher sales commissions in conjunction with our increased sales volume. Travel expenses increased in support of generating our revenue growth. Our marketing costs increased as a result of our efforts to increase our brand awareness and participation in national trade shows. We also incurred increased stock-based compensation expenses. As a percentage of total revenue, our sales and marketing expenses decreased as a result of our revenue growth and improved efficiencies from better executing our sales process.</w:t>
      </w:r>
    </w:p>
    <w:p>
      <w:pPr>
        <w:spacing w:after="0" w:line="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increased for the fiscal 2008 third quarter and the first nine months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2008 on an absolute dollar basis and as a percentage of total revenue as a result of increased employee compensation costs and increased engineering and consulting expenses.</w:t>
      </w:r>
    </w:p>
    <w:p>
      <w:pPr>
        <w:spacing w:after="0" w:line="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Our interest expense increased for the fiscal 2008 third quarter and the first nine months of fiscal 2008 from the same periods in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as a result of interest expense of $0.2 million resulting from the issuance of $10.6 million of 6% convertible subordinated notes in August 2007. The convertible notes were automatically converted into shares of our common stock upon the closing of our initial public offering resulting in an additional $0.2 million of interest expense from amortization of previously deferred debt amortization costs.</w:t>
      </w:r>
    </w:p>
    <w:p>
      <w:pPr>
        <w:spacing w:after="0" w:line="6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Dividend and interest income increased for the fiscal 2008 third quarter and the first nine months of fiscal 2008 from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the prior fiscal year due to interest income earned on the invested proceeds from the issuance of our $10.6 million of 6% convertible subordinated notes completed in the second quarter of fiscal 2007 and dividends from our preferred stock investment.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increased for the fiscal 2008 third quarter and the first nine months of fiscal 2008 from the same periods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due to our increased profitability and because of our utilization in our fiscal 2007 first half of state job tax and federal research credits. Our effective income tax rate for the fiscal 2008 third quarter and the first nine months of fiscal 2008 was 39.0% and 40.6%, respectively, compared to 19.5% and 19.5%, respectively, for the same periods in the prior fiscal year.</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Accretion of Preferred Stock and Preferred Stock Dividends. </w:t>
      </w:r>
      <w:r>
        <w:rPr>
          <w:rFonts w:ascii="Arial" w:cs="Arial" w:eastAsia="Arial" w:hAnsi="Arial"/>
          <w:sz w:val="18"/>
          <w:szCs w:val="18"/>
          <w:color w:val="auto"/>
        </w:rPr>
        <w:t>Prior to its automatic conversion into common stock upon the closing of our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we recognized accretion of accumulated unpaid dividends on our Series C redeemable preferred stock during the fiscal 2008 third quarter and the first nine months of fiscal 2008. We did not accrete Series C dividends in fiscal 2007 until we completed our Series C preferred stock placement in the second quarter of fiscal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December 24, 2007, we completed an initial public offering of 8,846,154 shares of common stock at a price to the public of $13.00 per share (which includes the exercise of the underwriters’ over-allotment option to purchase 1,153,846 shares from us and the sale of 1,997,062 shares by certain of our shareholders). Net proceeds to us from the offering were approximately $78.6 million after underwriting discounts and commissions and offering expenses. We did not receive any proceeds from the sale of shares by our shareholders. The net proceeds from the offering were invested in money market funds. We currently plan to use the net proceeds from the offering for working capital and general corporate purposes, including to fund potential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December 31, 2006 and 2007:</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4"/>
              </w:rPr>
              <w:t>(Unaudited)</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(4,931)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19"/>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4,501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86,946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83,010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720" w:type="dxa"/>
            <w:vAlign w:val="bottom"/>
            <w:vMerge w:val="restart"/>
          </w:tcPr>
          <w:p>
            <w:pPr>
              <w:jc w:val="right"/>
              <w:ind w:right="3390"/>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jc w:val="both"/>
        <w:ind w:right="2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consisted of net income adjusted for certain non-cash items,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stock based compensation expenses, income taxes and the effect of changes in working capital and other activities.</w:t>
      </w:r>
    </w:p>
    <w:p>
      <w:pPr>
        <w:spacing w:after="0" w:line="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Cash used in operating activities for the first nine months of fiscal 2008 was $2.1 million and consisted of net cash of $7.7 million used for working capital purposes, offset by net income of $3.0 million, non-cash expenses for depreciation and amortization of $1.1 million, stock-based compensation of</w:t>
      </w:r>
    </w:p>
    <w:p>
      <w:pPr>
        <w:jc w:val="both"/>
        <w:ind w:right="20"/>
        <w:spacing w:after="0" w:line="281" w:lineRule="auto"/>
        <w:rPr>
          <w:sz w:val="20"/>
          <w:szCs w:val="20"/>
          <w:color w:val="auto"/>
        </w:rPr>
      </w:pPr>
      <w:r>
        <w:rPr>
          <w:rFonts w:ascii="Arial" w:cs="Arial" w:eastAsia="Arial" w:hAnsi="Arial"/>
          <w:sz w:val="16"/>
          <w:szCs w:val="16"/>
          <w:color w:val="auto"/>
        </w:rPr>
        <w:t>$0.9 million and an income tax benefit of $0.6 million. Cash used for working capital purposes consisted of an increase in trade receivables of $3.1 million as a result of increased revenue, an increase of $7.8 million in inventory to support revenue growth and provide safety stock inventories on key components, and a $0.8 million increase in prepaids due to advanced payments to service contractors. These amounts were offset by an increase in accounts payables of</w:t>
      </w:r>
    </w:p>
    <w:p>
      <w:pPr>
        <w:spacing w:after="0" w:line="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$2.0 million resulting from inventory purchases and increases in accrued expenses of $2.0 million for accrued compensation costs and service costs for subcontractors.</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in investing activities was $1.8 for the first nine months of fiscal 2008 compared to $0.5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fiscal 2007. This increase was due to purchases of processing equipment for capacity and cost improvement measures and the continued development of our intellectual property.</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Cash Flows Related to Financing Activities. </w:t>
      </w:r>
      <w:r>
        <w:rPr>
          <w:rFonts w:ascii="Arial" w:cs="Arial" w:eastAsia="Arial" w:hAnsi="Arial"/>
          <w:sz w:val="17"/>
          <w:szCs w:val="17"/>
          <w:color w:val="auto"/>
        </w:rPr>
        <w:t>Cash provided by financing activities was $86.9 million for the first nine months of fiscal 2008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$4.5 million for the first nine months of fiscal 2007. This increase in cash provided was due to $78.6 million of net proceeds raised from the initial public offering of our common stock, $10.6 million of gross proceeds raised from the issuance of our convertible notes and $1.9 million of stock option and warrant exercises that occurred in the first nine months of fiscal 2008, and was offset by $6.6 million in repayments of the revolving credit facility and long term debt and $4.4 million paid in equity offering and financing costs. Cash provided from financing activities for the first nine months of fiscal 2007 consisted of $5.1 million of gross proceeds from preferred stock issued, offset by principal payments of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net working capital as of December 31, 2007 was $104.9 million, consisting of $117.8 million in current assets and $12.9 million in current liabilities. Our net working capital as of March 31, 2007 was $14.1 million, consisting of $22.6 million in current assets and $8.5 million in current liabilities. Our working capital changes in the first nine months of fiscal 2008 were due to an increase of $83.0 million in cash equivalents and short-term investment due to the net proceeds from our initial public offering of common stock and our convertible note issuance, an increase of $3.7 million in accounts receivable as a result of revenue growth, a $7.8 million increase in inventories required to support our current backlog and strategic purchases of components to insure availability due to revenue growth, a $2.0 million increase in accounts payable resulting from additional inventory purchases and a $2.1 million increase in accrued expenses for service costs accrued as a result of increasing installation service revenue and accrued executive compensation costs. We expect to continue to increase our inventories of raw materials and components to support our anticipated increase in sales volumes and to reduce our risk of unexpected raw material or component shortages or supply interruptions. We attempt to maintain a three-month supply of on-hand inventory of purchased components and raw materials to meet anticipated demand. We also expect that our accounts receivable and payables will continue to increase as a result of our anticipated revenue growth and increased inventory levels. We had available borrowing capacity under our revolving credit facility in excess of $14.5 million as of December 31, 2007.</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existing cash and cash equivalents, our anticipated cash flows from operating activities, our borrowing capacity under our revolving credit facility and the net proceeds from our recent initial public offering and convertible note placement will be sufficient to meet our anticipated cash needs for the next 12 months. Our future working capital requirements for the remainder of fiscal 2008 and thereafter on a longer-term basis will depend on many factors, including the rate of our anticipated revenue growth, our introduction of new products and services and enhancements to our existing energy management system, the timing and extent of our planned expansion of our sales force and other administrative and production personnel, the timing and extent of our planned advertising and promotional campaign, and our research and development activities. To the extent that our cash and cash equivalents, cash flows from operating activities and net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220"/>
        <w:spacing w:after="0" w:line="312" w:lineRule="auto"/>
        <w:rPr>
          <w:sz w:val="20"/>
          <w:szCs w:val="20"/>
          <w:color w:val="auto"/>
        </w:rPr>
      </w:pPr>
      <w:r>
        <w:rPr>
          <w:rFonts w:ascii="Arial" w:cs="Arial" w:eastAsia="Arial" w:hAnsi="Arial"/>
          <w:sz w:val="16"/>
          <w:szCs w:val="16"/>
          <w:color w:val="auto"/>
        </w:rPr>
        <w:t>proceeds from our recent initial public offering and convertible note placement are insufficient to fund our future activities, we may need to raise additional funds through additional public or private equity or debt financings. We also may need to raise additional funds in the event we decide to acquire product lines, businesses or technologies. In the event additional funding is required, we may not be able to obtain the financing on terms acceptable to us, or at all.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current revolving credit facility with Wells Fargo Bank, N.A. provides us with up to $25.0 million of financing to fund our working capital requirements. Availability under this revolving credit facility is subject to a borrowing base that is calculated as a percentage of eligible accounts receivable and eligible inventory, less certain collateral or business valuation reserves and reserves for certain other credit exposures. As of December 31, 2007, there were no borrowings outstanding under our revolving credit facility, and our borrowing availability was approximately $14.5 million. This revolving credit facility matures in December 2008. Borrowings under this revolving credit facility bear interest at prime plus 1.0% per annum, plus annual fees and minimum monthly interest costs, if applicable. Borrowings under this revolving credit facility are secured by a first priority security interest in our accounts receivable, inventory and intangible assets. Our revolving credit facility contains customary financial and restrictive covenants, including minimum net worth requirements; minimum net income requirements; restrictions on capital expenditures over $4.0 million in the aggregate per year and capital expenditures from working capital over $1.1 million per year; and restrictions on our ability to incur indebtedness, create liens, guaranty obligations, make loans or advances, invest or acquire interests in other persons or companies, pay dividends or make other shareholder distributions.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December 31,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3-5 Years</w:t>
            </w:r>
          </w:p>
        </w:tc>
        <w:tc>
          <w:tcPr>
            <w:tcW w:w="3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1 Year</w:t>
            </w:r>
          </w:p>
        </w:tc>
        <w:tc>
          <w:tcPr>
            <w:tcW w:w="56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75"/>
              </w:rPr>
              <w:t>(in</w:t>
            </w:r>
          </w:p>
        </w:tc>
        <w:tc>
          <w:tcPr>
            <w:tcW w:w="134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4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Debt and capital leases, including interest</w:t>
            </w:r>
            <w:r>
              <w:rPr>
                <w:rFonts w:ascii="Arial" w:cs="Arial" w:eastAsia="Arial" w:hAnsi="Arial"/>
                <w:sz w:val="15"/>
                <w:szCs w:val="15"/>
                <w:color w:val="auto"/>
              </w:rPr>
              <w:t>(1)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2,805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995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Non-cancellable purchase commitments </w:t>
            </w:r>
            <w:r>
              <w:rPr>
                <w:rFonts w:ascii="Arial" w:cs="Arial" w:eastAsia="Arial" w:hAnsi="Arial"/>
                <w:sz w:val="15"/>
                <w:szCs w:val="15"/>
                <w:color w:val="auto"/>
              </w:rPr>
              <w:t>(2)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13,749</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Debt and capital leases includes fixed contractual interest payments by period of $321,000 (less than 1 year); $521,000 (1-3 years); $361,000 (3-5) years); and $549,000 (more than 5 years)</w:t>
      </w:r>
    </w:p>
    <w:p>
      <w:pPr>
        <w:spacing w:after="0" w:line="21" w:lineRule="exact"/>
        <w:rPr>
          <w:rFonts w:ascii="Arial" w:cs="Arial" w:eastAsia="Arial" w:hAnsi="Arial"/>
          <w:sz w:val="15"/>
          <w:szCs w:val="15"/>
          <w:color w:val="auto"/>
        </w:rPr>
      </w:pPr>
    </w:p>
    <w:p>
      <w:pPr>
        <w:ind w:left="460" w:right="120" w:hanging="452"/>
        <w:spacing w:after="0" w:line="30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Reflects non-cancellable purchase commitments for certain inventory items and capital expenditure commitments entered into in order to secure better pricing and ensure materials on hand and includes $1.0 million related to construction of a new technology center and expansion of our administrative offices at our Manitowoc facility. Does not include an additional $7.5 million in obligations related to construction of a new technology center and expansion of our administrative offices at our Manitowoc facility which obligations were incurred subsequent to December 31, 2007.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expect to incur approximately $2.5 million in capital expenditures during our fiscal 2008 fourth quarter to continue planning and development of our new technology center and expansion of our administrative offices at our Manitowoc manufacturing facility, as well as to add production equipment to increase our production capacity and to further develop our internal capacity to perform certain processes currently performed by our suppliers. We anticipate total spending of approximately $8.5 million to complete this project, which was approved by our board of directors in January 2008. We expect to finance the production equipment expenditures and real estate expenditure primarily through equipment secured loans and leases, long-term debt financing, using cash on hand or by using our available capacity under our revolving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audit of our fiscal 2007 consolidated financial statements, our independent registered public accounting firm identified certain significant deficiencies in our internal control over financial reporting. A significant deficiency is a control deficiency, or combination of control deficiencies, that adversely affects a company’s ability to initiate, authorize, record, process or report financial data reliably in accordance with generally accepted accounting principles such that there is more than a remote likelihood that a misstatement of the company’s financial statements that is more than inconsequential will not be prevented or detected by the company’s internal control. A material weakness is a control deficiency, or a combination of control deficiencies, that results in more than a remote likelihood that a material misstatement of the annual or interim financial statements will not be prevented or detected.</w:t>
      </w:r>
    </w:p>
    <w:p>
      <w:pPr>
        <w:spacing w:after="0" w:line="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significant deficiencies were identified in connection with the audit of our fiscal 2007 consolidated financial statements: (i) our lack of segregation of certain key duties; (ii) our policies, procedures, documentation and reporting of our equity transactions; (iii) our lack of certain documented accounting policies and procedures to clearly communicate the standards of how transactions should be recorded or handled; (iv) our controls in the area of information technology, especially regarding change control and restricted access; (v) our lack of a formal disaster recovery plan; (vi) our need for enhanced restrictions on user access to certain of our software programs; (vii) the necessity for us to implement an enhanced project tracking/deferred revenue accounting system to recognize the complexities of our business processes and, ultimately, the recognition of revenue and deferred revenue; (viii) our lack of a process for determining whether a lease should be accounted for as a capital or operating lease; (ix) our need for a formalized action plan to understand all of our existing tax liabilities (and opportunities) and properly account for them; and (x) our need for improved financial statement closing and reporting processes.</w:t>
      </w:r>
    </w:p>
    <w:p>
      <w:pPr>
        <w:spacing w:after="0" w:line="8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 number of these significant deficiencies identified in connection with the audit of our fiscal 2007 consolidated financial statements were previously identified as material weaknesses or significant deficiencies in connection with the audit of our fiscal 2006 and 2005 consolidated financial statements, including numbers (i), (ii), (v), (vii), (x) in the foregoing paragraph. To improve our internal control over our financial reporting process and remediate and correct the significant deficiencies identified in connection with our fiscal 2007 audit, we have hired a director of business risk who has experience with the requirements of Section 404 of Sarbanes-Oxley. Additionally, we have hired a consulting firm to assist us. In order to comply with Section 404, we have already started to review our processes and implement new systems and controls to help us remediate the significant deficiencies noted above. In particular, we have begun performing evaluations of our internal controls over financial reporting to better allow our management and auditors to assess the effectiveness of our internal controls over financial reporting so that our independent auditors can deliver a report to us addressing these assessments. We are not required to be compliant under Section 404 of Sarbanes-Oxley until the audit of our fiscal 2009 consolidated financial statements. See “Risk Factors — Our failure to maintain adequate internal control over financial reporting in accordance with Section 404 of Sarbanes-Oxley or to prevent or detect material misstatements in our annual or interim consolidated financial statements in the future could result in inaccurate financial reporting, sanctions or securities litigation or otherwise harm our business.”</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may in the future identify further material weaknesses in our control over financial reporting. Accordingly, material weaknesses may exist when we report on the effectiveness of our internal control over financing reporting for purposes of our attestation required by reporting requirements under the Exchange Act or Section 404 of Sarbanes-Oxley. The existence of one or more material weaknesses precludes a conclusion that we maintain effective internal control over financial reporting. Such conclusion would be required to be disclosed in our future Annual Reports on Form 10-K and may impact the accuracy and timing of our financial reporting and the reliability of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collectibility of receivables, stock-based compensation, accrued incentive compensation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Registration Statement on Form S-1 (Reg. No. 333-145569), as filed with the Securities and Exchange Commission. There have been no material changes in any of our accounting policies since September 30,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i w:val="1"/>
          <w:iCs w:val="1"/>
          <w:color w:val="auto"/>
        </w:rPr>
        <w:t xml:space="preserve">SFAS No. 157, Fair Value Measurements. </w:t>
      </w:r>
      <w:r>
        <w:rPr>
          <w:rFonts w:ascii="Arial" w:cs="Arial" w:eastAsia="Arial" w:hAnsi="Arial"/>
          <w:sz w:val="17"/>
          <w:szCs w:val="17"/>
          <w:color w:val="auto"/>
        </w:rPr>
        <w:t>In September 2006, the FASB issued Statement of Financial Accounting Standards No. 157,</w:t>
      </w:r>
      <w:r>
        <w:rPr>
          <w:rFonts w:ascii="Arial" w:cs="Arial" w:eastAsia="Arial" w:hAnsi="Arial"/>
          <w:sz w:val="17"/>
          <w:szCs w:val="17"/>
          <w:i w:val="1"/>
          <w:iCs w:val="1"/>
          <w:color w:val="auto"/>
        </w:rPr>
        <w:t xml:space="preserve"> Fair Value Measurements</w:t>
      </w:r>
      <w:r>
        <w:rPr>
          <w:rFonts w:ascii="Arial" w:cs="Arial" w:eastAsia="Arial" w:hAnsi="Arial"/>
          <w:sz w:val="17"/>
          <w:szCs w:val="17"/>
          <w:color w:val="auto"/>
        </w:rPr>
        <w:t>, or SFAS 157. SFAS 157 provides a common definition of fair value and establishes a framework to make the measurement of fair value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accounting principles more consistent and comparable. SFAS 157 also requires expanded disclosures to provide information about the extent to which fair value, and the effect of fair value measures on earnings. SFAS 157 is effective for years beginning after November 15, 2007. We are currently evaluating the potential effect of SFAS 157 on our financial statements.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SFAS No. 159, The Fair Value Option for Financial Assets and Financial Liabilities. </w:t>
      </w:r>
      <w:r>
        <w:rPr>
          <w:rFonts w:ascii="Arial" w:cs="Arial" w:eastAsia="Arial" w:hAnsi="Arial"/>
          <w:sz w:val="18"/>
          <w:szCs w:val="18"/>
          <w:color w:val="auto"/>
        </w:rPr>
        <w:t>On February 15, 2007, the FASB issued Statement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Standards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or SFAS 159. Under this standard, we may elect to report financial instruments and certain other items at fair value on a contract-by-contract basis with changes in value reported in earnings. This election is irrevocable. SFAS 159 is effective for years beginning after November 15, 2007. We are currently evaluating the potential effect of SFAS 159 on our financial statements.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EITF No.07-3, Accounting for Advance Payments for Goods or Services to Be Used in Future Research and Development Activities. </w:t>
      </w:r>
      <w:r>
        <w:rPr>
          <w:rFonts w:ascii="Arial" w:cs="Arial" w:eastAsia="Arial" w:hAnsi="Arial"/>
          <w:sz w:val="18"/>
          <w:szCs w:val="18"/>
          <w:color w:val="auto"/>
        </w:rPr>
        <w:t>In June 2007,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ratified Emerging Issues Task Force (“EITF”) Issue No. 07-3, </w:t>
      </w:r>
      <w:r>
        <w:rPr>
          <w:rFonts w:ascii="Arial" w:cs="Arial" w:eastAsia="Arial" w:hAnsi="Arial"/>
          <w:sz w:val="18"/>
          <w:szCs w:val="18"/>
          <w:i w:val="1"/>
          <w:iCs w:val="1"/>
          <w:color w:val="auto"/>
        </w:rPr>
        <w:t>Accounting for Advance Payments for Goods or Services to Be Used in Future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Activities</w:t>
      </w:r>
      <w:r>
        <w:rPr>
          <w:rFonts w:ascii="Arial" w:cs="Arial" w:eastAsia="Arial" w:hAnsi="Arial"/>
          <w:sz w:val="18"/>
          <w:szCs w:val="18"/>
          <w:color w:val="auto"/>
        </w:rPr>
        <w:t>, or EITF 07-3. This requires that nonrefundable advance payments for future research and development activities be deferred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EITF 07-3 is effective as of the beginning of an entity’s first fiscal year that begins after December 15, 2007. We are currently evaluating the potential effect of EITF 07-3 on our financial statements.</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SFAS No. 141(R), </w:t>
      </w:r>
      <w:r>
        <w:rPr>
          <w:rFonts w:ascii="Arial" w:cs="Arial" w:eastAsia="Arial" w:hAnsi="Arial"/>
          <w:sz w:val="18"/>
          <w:szCs w:val="18"/>
          <w:color w:val="auto"/>
        </w:rPr>
        <w:t>“Business Combinations”</w:t>
      </w:r>
      <w:r>
        <w:rPr>
          <w:rFonts w:ascii="Arial" w:cs="Arial" w:eastAsia="Arial" w:hAnsi="Arial"/>
          <w:sz w:val="18"/>
          <w:szCs w:val="18"/>
          <w:i w:val="1"/>
          <w:iCs w:val="1"/>
          <w:color w:val="auto"/>
        </w:rPr>
        <w:t xml:space="preserve">, and SFAS No. 160, </w:t>
      </w:r>
      <w:r>
        <w:rPr>
          <w:rFonts w:ascii="Arial" w:cs="Arial" w:eastAsia="Arial" w:hAnsi="Arial"/>
          <w:sz w:val="18"/>
          <w:szCs w:val="18"/>
          <w:color w:val="auto"/>
        </w:rPr>
        <w:t>“Accounting and Reporting of Noncontrolling interest in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amendment of ARB No. 51” </w:t>
      </w:r>
      <w:r>
        <w:rPr>
          <w:rFonts w:ascii="Arial" w:cs="Arial" w:eastAsia="Arial" w:hAnsi="Arial"/>
          <w:sz w:val="18"/>
          <w:szCs w:val="18"/>
          <w:i w:val="1"/>
          <w:iCs w:val="1"/>
          <w:color w:val="auto"/>
        </w:rPr>
        <w:t>(SFAS No. 160).</w:t>
      </w:r>
      <w:r>
        <w:rPr>
          <w:rFonts w:ascii="Arial" w:cs="Arial" w:eastAsia="Arial" w:hAnsi="Arial"/>
          <w:sz w:val="18"/>
          <w:szCs w:val="18"/>
          <w:color w:val="auto"/>
        </w:rPr>
        <w:t xml:space="preserve"> 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No. 160, </w:t>
      </w:r>
      <w:r>
        <w:rPr>
          <w:rFonts w:ascii="Arial" w:cs="Arial" w:eastAsia="Arial" w:hAnsi="Arial"/>
          <w:sz w:val="18"/>
          <w:szCs w:val="18"/>
          <w:i w:val="1"/>
          <w:iCs w:val="1"/>
          <w:color w:val="auto"/>
        </w:rPr>
        <w:t xml:space="preserve">“Accounting and Reporting of Noncontrolling interest in Consolidated Financial Statements, an amendment of ARB No. 51” </w:t>
      </w:r>
      <w:r>
        <w:rPr>
          <w:rFonts w:ascii="Arial" w:cs="Arial" w:eastAsia="Arial" w:hAnsi="Arial"/>
          <w:sz w:val="18"/>
          <w:szCs w:val="18"/>
          <w:color w:val="auto"/>
        </w:rPr>
        <w:t>(SFAS No. 160). These new</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will significantly change the financial accounting and reporting of business combination transactions and noncontrolling (or minority) interests in consolidated financial statements. The Company will be required to adopt SFAS No.141(R) and 160 on or after December 15, 2008. An entity may not apply it before that date. The Company has not yet determined the effect, if any, that the adoption of SFAS 141(R) and SFAS 160 will have on its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have been nominal.</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investments consist primarily of investments in money market funds and government sponsored instruments. While the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hold are subject to changes in the financial standing of the issuer of such securities, we do not believe that we are subject to any material risks arising from changes in interest rates, foreign currency exchange rates,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color w:val="auto"/>
        </w:rPr>
        <w:t>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2007, $1.1 million of our $5.3 million of outstanding debt was at floating interest rates. An increase of 1.0% in the prime rate would result in an increase in our interest expense of approximately $11 thousand per year.</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We are exposed to certain commodity price risks associated with our purchases of raw materials, most significantly our aluminum. We</w:t>
      </w:r>
      <w:r>
        <w:rPr>
          <w:rFonts w:ascii="Arial" w:cs="Arial" w:eastAsia="Arial" w:hAnsi="Arial"/>
          <w:sz w:val="16"/>
          <w:szCs w:val="16"/>
          <w:i w:val="1"/>
          <w:iCs w:val="1"/>
          <w:color w:val="auto"/>
        </w:rPr>
        <w:t xml:space="preserve"> </w:t>
      </w:r>
      <w:r>
        <w:rPr>
          <w:rFonts w:ascii="Arial" w:cs="Arial" w:eastAsia="Arial" w:hAnsi="Arial"/>
          <w:sz w:val="16"/>
          <w:szCs w:val="16"/>
          <w:color w:val="auto"/>
        </w:rPr>
        <w:t>attempt to mitigate commodity price fluctuation for our aluminum through six- to 12-month forward fixed-price, minimum quantity purchase commitments.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2007 pursuant to Rule 13a-15(b) of the Securities Exchange Act of 1934 (the “Exchange Act”). Based upon their evaluation, our chief executive officer and our chief financial officer concluded that our disclosure controls and procedures were effective as of the end of the quarter ended December 31, 2007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2007 that has materially affected, or is reasonably likely to materially affect, our internal control over financial reporting.</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quarterly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the ordinary conduct of our business we are subject to periodic lawsuits, investigations and claims. Although we cannot predict with certainty the ultimate resolution of such lawsuits, investigations and claims against us, we do not believe that any currently pending or threatened legal proceeding or proceedings to which we are a party will have a material adverse effect on our business, results of operations, cash flows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read and consider each of the risks and uncertainties described below together with the other information contained in this Quarterly Report on Form 10-Q, including our financial statements and the notes thereto and “Management’s Discussion and Analysis of Financial Condition and Results of Operations.” If any of these events actually occurs, then our business, financial condition, results of operations, and future growth prospects may be materially and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have previously incurred net losses, and only recently achieved profitability that we may not be able to sustain.</w:t>
      </w:r>
    </w:p>
    <w:p>
      <w:pPr>
        <w:spacing w:after="0" w:line="14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began operating in April 1996 and first achieved a full fiscal year of profitability in fiscal 2003. However, we incurred net losses attributable to common shareholders of $2.3 million and $1.6 million in fiscal 2005 and 2006, respectively, before achieving net income attributable to common shareholders of $0.4 million in fiscal 2007. As a result of our limited operating history, we have limited financial data that can be used to evaluate our business, strategies, performance, prospects, revenue or profitability potential or an investment in our common stock. Any evaluation of our business and our prospects must be considered in light of our limited operating history and the risks and uncertainties encountered by companies at our stage of development and in our market.</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Initially, our net losses were principally driven by start-up costs, the costs of developing our technology and research and development costs. More recently, our net losses were principally driven by increased sales and marketing and general and administrative expenses, as well as inefficiencies due to excess manufacturing capacity in fiscal 2005 and 2006. We expect to incur increased general and administrative, sales and marketing, and research and development expenses in the near term. These increased operating costs may cause us to recognize reduced net income or incur net losses, and there can be no assurance that we will be able to increase our revenue, sustain our revenue growth rate, expand our customer base or remain profitable. Furthermore, increased cost of revenue, warranty claims, stock-based compensation costs or interest expense on our outstanding debt and on any debt that we incur in the future could contribute to reduced net income or net losses. As a result, even if we significantly increase our revenue, we may incur reduced net income or net losses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unable to compete successfully our revenue and profitability will be adversely affected.</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primarily with high intensity discharge, or HID, technology, as well as other HIF products and older fluorescent technology in the lighting systems retrofit market.</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of our competitors are better capitalized than we are, have strong existing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our revenue and profitability, any of which could have a material adverse effect on our results of operations and financial condition.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success is largely dependent upon the skills, experience and efforts of our senior management, and the loss of their services could have a material adverse effect on our ability to expand our business or to maintain profitable operations.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continued success depends upon the continued availability, contributions, skills, experience and effort of our senior management. We are particularly dependent on the services of Neal R. Verfuerth, our president, chief executive officer and principal founder. Mr. Verfuerth has major responsibilities with respect to sales, engineering, product development and executive administration. We do not have a formal succession plan in place for Mr. Verfuerth. Our current and proposed new employment agreements with Mr. Verfuerth do not guarantee his services for a specified period of time. All of the current and proposed new employment agreements with our senior management team may be terminated by the employee at any time and without notice. While all such agreements include noncompetition and confidentiality covenants, there can be no assurance that such provisions will be enforceable or adequately protect us. The loss of the services of any of these persons might impede our operations or the achievement of our strategic and financial objectives, and we may not be able to attract and retain individuals with the same or similar level of experience or expertise. Additionally, while we have key man insurance on the lives of Mr. Verfuerth and other members of our senior management team, such insurance may not adequately compensate us for the loss of these individuals. The loss or interruption of the service of members of our senior management, particularly Mr. Verfuerth, or our inability to attract or retain other qualified personnel could have a material adverse effect on our ability to expand our business, implement our strategy or maintain profitable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the intellectual property we use in our business is owned by our chief executive officer.</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Companies that develop technology generally require employees involved in research and development efforts to execute agreements acknowledging that the company owns the intellectual property developed by such employee within the scope of his or her employment and, if necessary, also assigning to the company such intellectual property. We generally enter into these types of agreements with all of our employees, except our president and chief executive officer, Neal R. Verfuerth. Under Mr. Verfuerth’s employment agreement, all intellectual property (which includes all writings, documents, inventions, ideas, techniques, research, processes, procedures, designs, products, and marketing and business plans and all know-how, data and rights relating to such items, whether or not copyrightable or patentable) that Mr. Verfuerth makes, conceives, discovers or develops at any time during the term of his employment is the property of Mr. Verfuerth. We have the option to acquire any such intellectual property work product from Mr. Verfuerth. To date, we have acquired all rights, title and interest in and to all patents and patent applications (and the patents that may issue therefrom) on which Mr. Verfuerth is named as one of the inventors and from which we currently recognize revenue, but have not exercised our option with respect to any other intellectual property that is subject to his employment agreement. The amount of our revenue that we derive from intellectual property still owned by Mr. Verfuerth is not quantifiable.</w:t>
      </w:r>
    </w:p>
    <w:p>
      <w:pPr>
        <w:spacing w:after="0" w:line="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Mr. Verfuerth leaves our company, we would not own, or have the right to acquire, any of the intellectual property created by him unless we had previously exercised our option to acquire such intellectual property. The ownership, use and enforcement of such intellectual property may be necessary for, or desirable in the continued operation of, our business. If Mr. Verfuerth leaves our company, we may not be able to obtain sufficient rights to own, use or enforce such intellectual property, and if we are able to obtain such rights, we may be required to accept unfavorable terms. Even if we are able to obtain rights in such intellectual property, we could be required to pay substantial fees, and we may not be able to prevent our competitors from using such intellectual property. If we are unable to obtain sufficient rights in such intellectual property, we may have to cease offering certain products or otherwise have to change our business processes or strategies. Any of these events could have a material adverse effect on our results of operations or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on the market acceptance of our energy management products and services.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future success depends on commercial acceptance of our energy management products and services. If we are unable to convince current and potential customers of the advantages of our HIF lighting systems and energy management products and services, then our ability to sell our HIF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HIF lighting systems and energy management products and services does not continue to develop, or if the market does not accept our products, then our ability to grow our business could be limited and we may not be able to increase or maintain our revenue or profitability.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Sales of our products and services are dependent upon our customers’ capital budgets.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derive a substantial majority of our revenue from sales of HIF lighting systems to customers who may experience constraints in their capital spending due to other competing uses for capital or other factors. Our HIF lighting systems are typically purchased as capital assets and therefore are subject to review as part of a customer’s capital budgeting process. Customers may decline or defer purchases of our products and our related services as a result of many factors, including mergers and acquisitions, regulatory decisions, rising interest rates, lower electricity costs, the availability of lower cost or other alternative products or solutions or general economic downturns. We have experienced, and may in the future experience, variability in our operating results, on both an annual and a quarterly basis, as a result of these factors.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use components and raw materials that may be subject to price fluctuations, shortages or interruptions of supply.</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may be vulnerable to price increases for components or raw materials that we require for our products, including aluminum, ballasts, power supplies and lamps. In particular, our cost of aluminum can be subject to commodity price fluctuation. Further, suppliers’ inventories of certain components that our products require may be limited and are subject to acquisition by others. We may purchase quantities of these items that are in excess of our estimated near-term requirements. As a result, we may need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key suppliers.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depend on certain key suppliers for the raw materials and key components that we require for our current products, including sheet, coiled and specialty reflective aluminum, power supplies, ballasts and lamps. In particular, we buy most of our specialty reflective aluminum from a single supplier and we also purchase most of our ballast and lamp components from a single supplier. Purchases of components from our current primary ballast and lamp supplier constituted 14% and 26% of our total cost of revenue in fiscal 2006 and fiscal 2007, respectively. If these components become unavailable, or our relationships with suppliers become strained, particularly as relates to our primary suppliers, our results of operations and financial condition could be materially adversely affected.</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experienced component quality problems related to certain suppliers in the past, and our current suppliers may not deliver satisfactory components in the future.</w:t>
      </w:r>
    </w:p>
    <w:p>
      <w:pPr>
        <w:spacing w:after="0" w:line="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fiscal 2003 through fiscal 2005, we experienced higher than normal failure rates with certain components purchased from two suppliers. These quality issues led to an increase in warranty claims from our customers and we recorded warranty expenses of approximately $0.1 million and $0.7 million in fiscal 2005 and 2006, respectively. We may experience quality problems with suppliers in the future, which could decrease our gross margin and profitability, lengthen our sales cycles, adversely affect our customer relations and future sales prospects and subject our business to negative publicity. Additionally, we sometimes satisfy warranty claims even if they are not covered by our general warranty policy as a customer accommodation. If we were to experience quality problems with the ballasts or lamps purchased from our primary ballast and lamp supplier, these adverse consequences could be magnified, and our results of operations and financial condition could be materially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a limited number of customers in any given period to generate a substantial portion of our revenue.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do not have long-term contracts with our customers, and our dependence on individual key customers can vary from period to period as a result of the significant size of some of our retrofit and multi-facility roll-out projects. Our top 10 customers accounted for approximately 48% and 43%, respectively, of our total revenue for the first nine months of fiscal 2008 and fiscal 2007. No single customer accounted for more than 9% of our revenue in any prior fiscal years, although Coca-Cola Enterprises Inc. accounted for approximately 17% of our total revenue for the first nine months of fiscal 2008. We expect large retrofit and roll-out projects to become a greater component of our total revenue in the near term. As a result, we may experience more customer concentration in any given future period. The loss of, or substantial reduction in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sales to, any of our significant customers could have a material adverse effect on our results of operations in any given future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could adversely affect our business, results of operations and financial condition.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exposure to product liability claims in the event that our energy management products fail to perform as expected or cause bodily injury or property damage. Since the majority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develop new products and services.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not be 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pursue acquisitions and investments in new product lines, businesses or technologies that involve numerous risks, which could disrupt our business or adversely affect our financial condition and results of operations.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future, we may make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consummating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attempt to protect our intellectual property rights through a combination of patent, trademark, copyright and trade secret laws, as well as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7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our patents, or that we will have adequate resources to enforce our patents. Because some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right="80"/>
        <w:spacing w:after="0" w:line="277" w:lineRule="auto"/>
        <w:rPr>
          <w:sz w:val="20"/>
          <w:szCs w:val="20"/>
          <w:color w:val="auto"/>
        </w:rPr>
      </w:pPr>
      <w:r>
        <w:rPr>
          <w:rFonts w:ascii="Arial" w:cs="Arial" w:eastAsia="Arial" w:hAnsi="Arial"/>
          <w:sz w:val="18"/>
          <w:szCs w:val="18"/>
          <w:color w:val="auto"/>
        </w:rPr>
        <w:t>patent applications are maintained in secrecy for a period of time, we could adopt a technology without knowledge of a pending patent application, and such technology could infringe a third party patent.</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third parties may bring infringement and other claims that could be time-consuming and expensive to defend. In addition,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electricity decreases, there may be less demand for our products and services.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Demand for our products and services is highly dependent on the continued high cost of electricity. Increased competition in wholesale and retail electricity markets has resulted in greater price competition in those markets. If the price of electricity decreases, either regionally or nationally, then there may be less demand for our products and services, which could impact our ability to grow our business or increase or maintain our revenue or profitability and our results of operations could be materially adversely affected.</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if government subsidies and utility incentives for renewable energy increase or if such sources of energy are mandated.</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Several states have adopted a variety of government subsidies and utility incentives to allow renewable energy sources, such as biofuels, wind and solar energy, to compete with currently less expensive conventional sources of energy, such as fossil fuels. We may face additional competition from providers of renewable energy sources if government subsidies and utility incentives for those sources of energy increase or if such sources of energy are mandated. Additionally, the availability of subsidies and other incentives from utilities or government agencies to install alternative renewable energy sources may negatively impact our customers’ desire to purchase our products and services, or may be utilized by our existing or new competitors to develop a competing business model or products or services that may be potentially more attractive to customers than ours, any of which could have a material adverse effect on our results of operations or financial condition.</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information technology systems fail, or if we experience an interruption in their operation, then our business, results of operations and financial condition could be materially adversely affected.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and enhance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3" w:name="page34"/>
    <w:bookmarkEnd w:id="33"/>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earthquake, fire, flood and other natural disasters;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employee or other theft;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attacks by computer viruses or hackers;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power outages;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computer systems, Internet, telecommunications or data network failure.</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own and operate an industrial property that we purchased in 2004 and, if any environmental contamination is discovered, we could be responsible for remediation of the property.</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own our manufacturing and distribution facility located at an industrial site. We purchased this property from an adjacent aluminum rolling mill and cookware manufacturing facility in 2004. As part of the transaction to purchase this facility, we agreed to hold the seller harmless from most claims for environmental remediation or contamination. Accordingly, if environmental contamination is discovered at our facility and we are required to remediate the property, our recourse against the prior owners may be limited. Any such potential remediation could be costly and could adversely affect our results of operations or financial condition.</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cost of compliance with environmental laws and regulations and any related environmental liabilities could adversely affect our results of operations or financial condition.</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retrofitting process frequently involves responsibility for the removal and disposal of components containing hazardous materials.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anticipated revenue growth effectively, our operations, and profitability could be adversely affected.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intend to undertake a number of strategies in an effort to grow our revenue. If we are successful, our revenue growth may place significant strain on our limited resources. To properly manage any future revenue growth, we must continue to improve our management, operational, administrative, accounting and financial reporting systems and expand, train and manage our employee base, which may involve significant expenditures and increased operating costs. Due to our limited resources and experience, we may not be able to effectively manage the expansion of our operations or recruit and adequately train additional qualified personnel. If we are unable to manage our anticipated revenue growth effectively, the quality of our customer care may suffer, we may experience customer dissatisfaction, reduced future revenue or increased warranty claims,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and our expenses could substantially and disproportionately increase. Any of these circumstances could adversely affect our results of operations.</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obtain additional capital as needed in the future, our ability to grow our revenue could be limited and we may be unable to pursue our current and future business strategies.</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future capital requirements will depend on many factors, including the rate of our revenue growth, our introduction of new products and services and enhancements to existing products and services, and our expansion of sales, marketing and product development activities. In addition, we may consider acquisitions of product lines, businesses or technologies in an attempt to grow our business, which could require significant capital and could increase our capital expenditures related to future operation of the acquired business or technology. We may not be able to obtain additional financing on terms favorable to us, if at all, and, as a result, we may be unable to expand our business or continue to pursue our current and future business strategies. Additionally, if we raise funds through debt financing, we may become subject to additional covenant restrictions and incur increased interest expense and principal payments. If we raise additional funds through further issuances of equity or securities convertible into equity, our existing shareholders could suffer significant dilution, and any new securities we issue could have rights, preferences and privileges superior to those of holders of our common stock.</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initial public offering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will be subject to limitation.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2007, we had aggregate federal and state net operating loss carryforwards of approximately $5.1 million.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For the fiscal year ending March 31, 2008, utilization of our net operating loss carryforwards will be limited to $3.0 million.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only recently been publicly traded and we expect that the price of our common stock will fluctuate substantially:</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our recent IPO, there was no public market for shares of our common stock. An active public trading market may not be sustained. The market price of our common stock will continue to be affected by a number of factors, including: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fluctuations in our financial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economic and stock market conditions generally and specifically as they may impact us, participants in our industry or comparable companies;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and recommendations by securities analysts following our common stock or comparable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earnings and other announcements by, and changes in market evaluations of, us, participants in our industry or comparable companies;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business or regulatory conditions affecting us, participants in our industry or comparable companies;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announcements or implementation by our competitors or us of acquisitions, technological innovations or new products, or other strategic actions by our competitors;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trading volume of our common stock or the sale of stock by our management team, directors or principal shareholders.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Share price fluctuations may be exaggerated if the trading volume of our common stock is too low. The lack of a trading market may result in the loss of research coverage by securities analysts. Moreover, we cannot provide any assurance that any securities analysts will initiate or maintain research coverage of our company and our ordinary shares. If our future quarterly operating results are below the expectations of securities analysts or investors, the price of our common stock would likely decline. Securities class action litigation has often been brought against companies following periods of volatility. Any securities litigation claims brought against us could result in substantial expense and divert management’s attention from the business.</w:t>
      </w:r>
    </w:p>
    <w:p>
      <w:pPr>
        <w:spacing w:after="0" w:line="5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consolidated financial statements in the future could result in inaccurate financial reporting, sanctions or securities litigation, or could otherwise harm our business.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are required to comply with the standards adopted by the Public Company Accounting Oversight Board in compliance with the requirements of Section 404 of the Sarbanes-Oxley Act of 2002, or Sarbanes-Oxley, regarding internal control over financial reporting. We are not currently in compliance with the requirements of Section 404, and the process of becoming compliant with Section 404 may divert internal resources and will take a significant amount of time and effort to complete. We may experience higher than anticipated operating expenses, as well as increased independent auditor fees during the implementation of these changes and thereafter. We are required to be compliant under Section 404 by the end of fiscal 2009, and at that time our management will be required to deliver a report that assesses the effectiveness of our internal control over financial reporting, and we will be required to deliver an attestation report of our auditors on our management’s assessment of our internal controls. Completing documentation of our internal control system and financial processes, remediation of control deficiencies and management testing of internal controls will require substantial effort by us. We cannot assure you that we will be able to complete the required management assessment by our reporting deadline. Failure to implement these changes timely, effectively or efficiently, could harm our operations, financial reporting or financial results and could result in our being unable to obtain an unqualified report on internal controls from our independent auditors.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registered shares of our common stock in connection with our initial public offering under the Securities Act of 1933, as amended. The Registration Statement on Form S-1 (Reg. No. 333-145569) filed in connection with our initial public offering was declared effective by the Securities and Exchange Commission on December 18, 2007. The offering commenced on December 18, 2007 and did not terminate before any securities were sold. As of the date of this Quarterly Report on Form 10-Q, the offering has terminated. Including shares sold pursuant to the exercise by the underwriters of their over-allotment option, 6,849,092 shares of our common stock were registered and sold in the offering by us and an additional 1,997,062 shares of common stock were registered and sold by the selling shareholders named in the Registration Statement. All the shares were sold at a price to the public of $13.00 per share.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right="20"/>
        <w:spacing w:after="0" w:line="259" w:lineRule="auto"/>
        <w:rPr>
          <w:sz w:val="20"/>
          <w:szCs w:val="20"/>
          <w:color w:val="auto"/>
        </w:rPr>
      </w:pPr>
      <w:r>
        <w:rPr>
          <w:rFonts w:ascii="Arial" w:cs="Arial" w:eastAsia="Arial" w:hAnsi="Arial"/>
          <w:sz w:val="18"/>
          <w:szCs w:val="18"/>
          <w:color w:val="auto"/>
        </w:rPr>
        <w:t>The underwriters for our initial pubic offering were Thomas Weisel Partners LLC, which acted as the sole book-running manager, and Canaccord Adams Inc. and Pacific Growth Equities, LLC, which acted as co-managers. We paid the underwriters a commission of $6.2 million and incurred additional offering expenses of approximately $4.2 million. After deducting the underwriters’ commission and the offering expenses, we received net proceeds of approximately $78.6 million.</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payments for such expenses were paid directly or indirectly to (i) any of our directors, officers or their associates, (ii) any person(s) owning 10% or more of any class of our equity securities or (iii) any of our affiliates.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invested the net proceeds from our initial public offering in money market accounts. We currently plan to use the net proceeds from the offering for working capital and general corporate purposes, including to fund potential acquisitions. As of the date of this Quarterly Report on Form 10-Q, we have not entered into any purchase agreements, understandings or commitments with respect to any acquisitions. There has been no material change in the planned use of proceeds from our initial public offering as described in our final prospectus filed with the Securities and Exchange Commission pursuant to Rule 424(b).</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 by the Issuer and Affiliated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10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December 31, 2007,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3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34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Through December 31, 2007</w:t>
            </w:r>
          </w:p>
        </w:tc>
      </w:tr>
      <w:tr>
        <w:trPr>
          <w:trHeight w:val="142"/>
        </w:trPr>
        <w:tc>
          <w:tcPr>
            <w:tcW w:w="934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1,048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1,351</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304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3,957,682</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  304,742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3,859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541,866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1.35 million units).</w:t>
      </w:r>
    </w:p>
    <w:p>
      <w:pPr>
        <w:spacing w:after="0" w:line="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2005, which is the most current full year for which this information is available, was $0.0814 per kilowatt hour according to the United States Energy Information Administration.</w:t>
      </w:r>
    </w:p>
    <w:p>
      <w:pPr>
        <w:spacing w:after="0" w:line="32" w:lineRule="exact"/>
        <w:rPr>
          <w:rFonts w:ascii="Arial" w:cs="Arial" w:eastAsia="Arial" w:hAnsi="Arial"/>
          <w:sz w:val="18"/>
          <w:szCs w:val="18"/>
          <w:color w:val="auto"/>
        </w:rPr>
      </w:pPr>
    </w:p>
    <w:p>
      <w:pPr>
        <w:jc w:val="both"/>
        <w:ind w:left="460" w:right="36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32"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1.35 million total units sold, which contain a total of approximately 7.0 million lamps. Each lamp illuminates approximately 75 square feet. The majority of our installed fixtures contain six lamps and typically illuminate approximately 450 square feet.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360" w:right="380" w:hanging="67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31.1Certification of Chief Executive Officer Pursuant to Rule 13a-14(a) of the Exchange Act, as Adopted Pursuant to Section 302 of the Sarbanes-Oxley Act of 2002.</w:t>
      </w:r>
    </w:p>
    <w:p>
      <w:pPr>
        <w:spacing w:after="0" w:line="75" w:lineRule="exact"/>
        <w:rPr>
          <w:rFonts w:ascii="Arial" w:cs="Arial" w:eastAsia="Arial" w:hAnsi="Arial"/>
          <w:sz w:val="18"/>
          <w:szCs w:val="18"/>
          <w:b w:val="1"/>
          <w:bCs w:val="1"/>
          <w:color w:val="auto"/>
        </w:rPr>
      </w:pPr>
    </w:p>
    <w:p>
      <w:pPr>
        <w:ind w:left="1360" w:right="420" w:hanging="67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31.2Certification of Chief Financial Officer Pursuant to Rule 13a-14(a) of the Exchange Act, as Adopted Pursuant to Section 302 of the Sarbanes-Oxley Act of 2002.</w:t>
      </w:r>
    </w:p>
    <w:p>
      <w:pPr>
        <w:spacing w:after="0" w:line="75" w:lineRule="exact"/>
        <w:rPr>
          <w:rFonts w:ascii="Arial" w:cs="Arial" w:eastAsia="Arial" w:hAnsi="Arial"/>
          <w:sz w:val="18"/>
          <w:szCs w:val="18"/>
          <w:b w:val="1"/>
          <w:bCs w:val="1"/>
          <w:color w:val="auto"/>
        </w:rPr>
      </w:pPr>
    </w:p>
    <w:p>
      <w:pPr>
        <w:ind w:left="1360" w:hanging="67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32.1Certification of Chief Executive Officer, Pursuant to 18 U.S.C. Section 1350, As Adopted Pursuant to Section 906 of the Sarbanes-Oxley Act of 2002.</w:t>
      </w:r>
    </w:p>
    <w:p>
      <w:pPr>
        <w:spacing w:after="0" w:line="75" w:lineRule="exact"/>
        <w:rPr>
          <w:rFonts w:ascii="Arial" w:cs="Arial" w:eastAsia="Arial" w:hAnsi="Arial"/>
          <w:sz w:val="18"/>
          <w:szCs w:val="18"/>
          <w:b w:val="1"/>
          <w:bCs w:val="1"/>
          <w:color w:val="auto"/>
        </w:rPr>
      </w:pPr>
    </w:p>
    <w:p>
      <w:pPr>
        <w:ind w:left="1360" w:right="40" w:hanging="67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32.2Certification of Chief Financial Officer, Pursuant to 18 U.S.C. Section 1350, As Adopted Pursuant to Section 906 of the Sarbanes-Oxley Act of 2002.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39" w:name="page40"/>
    <w:bookmarkEnd w:id="39"/>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8, 2008.</w:t>
      </w:r>
    </w:p>
    <w:p>
      <w:pPr>
        <w:spacing w:after="0" w:line="1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Daniel J. Waibel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Daniel J. Waibel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6" w:right="39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u w:val="single" w:color="auto"/>
          <w:color w:val="auto"/>
        </w:rPr>
        <w:t>Exhibit Index to Form 10-Q for the Period Ended December 31, 2007</w:t>
      </w:r>
    </w:p>
    <w:p>
      <w:pPr>
        <w:spacing w:after="0" w:line="12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 of the Exchange Act, as Adopted Pursuant to Section 302 of the Sarbanes-Oxley Act of 2002.</w:t>
      </w:r>
    </w:p>
    <w:p>
      <w:pPr>
        <w:spacing w:after="0" w:line="76"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 of the Exchange Act, as Adopted Pursuant to Section 302 of the Sarbanes-Oxley Act of 2002.</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2002.</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959"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6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140" w:hanging="436"/>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436"/>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R. Verfuerth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Neal R. Verfuerth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00"/>
          </w:cols>
          <w:pgMar w:left="240" w:top="93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J. Waibel, certify that:</w:t>
      </w:r>
    </w:p>
    <w:p>
      <w:pPr>
        <w:spacing w:after="0" w:line="11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6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14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Waibel</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Daniel J. Waibel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21"/>
        </w:trPr>
        <w:tc>
          <w:tcPr>
            <w:tcW w:w="5500" w:type="dxa"/>
            <w:vAlign w:val="bottom"/>
          </w:tcPr>
          <w:p>
            <w:pPr>
              <w:spacing w:after="0"/>
              <w:rPr>
                <w:sz w:val="24"/>
                <w:szCs w:val="24"/>
                <w:color w:val="auto"/>
              </w:rPr>
            </w:pPr>
          </w:p>
        </w:tc>
        <w:tc>
          <w:tcPr>
            <w:tcW w:w="4220" w:type="dxa"/>
            <w:vAlign w:val="bottom"/>
          </w:tcPr>
          <w:p>
            <w:pPr>
              <w:jc w:val="right"/>
              <w:ind w:right="38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93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Orion Energy Systems, Inc. (the “Company”) on Form 10-Q for the period ended December 31, 2007 as filed with the Securities and Exchange Commission on the date hereof (the “Report”), I, Neal R. Verfuerth, President and Chief Executive Officer of the Company, certify, pursuant to 18 U.S.C. § 1350, as adopted pursuant to Section 906 of the Sarbanes-Oxley Act of 2002, that based on my knowledge:</w:t>
      </w:r>
    </w:p>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R. Verfuerth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Neal R. Verfuerth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21"/>
        </w:trPr>
        <w:tc>
          <w:tcPr>
            <w:tcW w:w="5500" w:type="dxa"/>
            <w:vAlign w:val="bottom"/>
          </w:tcPr>
          <w:p>
            <w:pPr>
              <w:spacing w:after="0"/>
              <w:rPr>
                <w:sz w:val="24"/>
                <w:szCs w:val="24"/>
                <w:color w:val="auto"/>
              </w:rPr>
            </w:pPr>
          </w:p>
        </w:tc>
        <w:tc>
          <w:tcPr>
            <w:tcW w:w="4220" w:type="dxa"/>
            <w:vAlign w:val="bottom"/>
          </w:tcPr>
          <w:p>
            <w:pPr>
              <w:jc w:val="right"/>
              <w:ind w:right="38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932"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Orion Energy Systems, Inc. (the “Company”) on Form 10-Q for the period ended December 31, 2007 as filed with the Securities and Exchange Commission on the date hereof (the “Report”), I, Daniel J. Waibel, Chief Financial Officer of the Company, certify, pursuant to 18 U.S.C. § 1350, as adopted pursuant to Section 906 of the Sarbanes-Oxley Act of 2002, that based on my knowledge:</w:t>
      </w:r>
    </w:p>
    <w:p>
      <w:pPr>
        <w:spacing w:after="0" w:line="5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Waibel</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Daniel J. Waibel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21"/>
        </w:trPr>
        <w:tc>
          <w:tcPr>
            <w:tcW w:w="5500" w:type="dxa"/>
            <w:vAlign w:val="bottom"/>
          </w:tcPr>
          <w:p>
            <w:pPr>
              <w:spacing w:after="0"/>
              <w:rPr>
                <w:sz w:val="24"/>
                <w:szCs w:val="24"/>
                <w:color w:val="auto"/>
              </w:rPr>
            </w:pPr>
          </w:p>
        </w:tc>
        <w:tc>
          <w:tcPr>
            <w:tcW w:w="4220" w:type="dxa"/>
            <w:vAlign w:val="bottom"/>
          </w:tcPr>
          <w:p>
            <w:pPr>
              <w:jc w:val="right"/>
              <w:ind w:right="3870"/>
              <w:spacing w:after="0"/>
              <w:rPr>
                <w:sz w:val="20"/>
                <w:szCs w:val="20"/>
                <w:color w:val="auto"/>
              </w:rPr>
            </w:pPr>
            <w:r>
              <w:rPr>
                <w:rFonts w:ascii="Arial" w:cs="Arial" w:eastAsia="Arial" w:hAnsi="Arial"/>
                <w:sz w:val="18"/>
                <w:szCs w:val="18"/>
                <w:color w:val="auto"/>
              </w:rPr>
              <w:t>4</w:t>
            </w:r>
          </w:p>
        </w:tc>
      </w:tr>
    </w:tbl>
    <w:p>
      <w:pPr>
        <w:spacing w:after="0" w:line="1" w:lineRule="exact"/>
        <w:rPr>
          <w:sz w:val="20"/>
          <w:szCs w:val="20"/>
          <w:color w:val="auto"/>
        </w:rPr>
      </w:pPr>
    </w:p>
    <w:sectPr>
      <w:pgSz w:w="11900" w:h="16838" w:orient="portrait"/>
      <w:cols w:equalWidth="0" w:num="1">
        <w:col w:w="11380"/>
      </w:cols>
      <w:pgMar w:left="240" w:top="9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7"/>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2019-12-15T15:56:02Z</dcterms:created>
  <dcterms:modified xsi:type="dcterms:W3CDTF">2019-12-15T15:56:02Z</dcterms:modified>
</cp:coreProperties>
</file>