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90170</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109855</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47" w:lineRule="exact"/>
        <w:rPr>
          <w:sz w:val="24"/>
          <w:szCs w:val="24"/>
          <w:color w:val="auto"/>
        </w:rPr>
      </w:pPr>
    </w:p>
    <w:p>
      <w:pPr>
        <w:ind w:left="540" w:right="20" w:hanging="532"/>
        <w:spacing w:after="0" w:line="256" w:lineRule="auto"/>
        <w:tabs>
          <w:tab w:leader="none" w:pos="54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December 31, 2021</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540" w:hanging="532"/>
        <w:spacing w:after="0" w:line="256" w:lineRule="auto"/>
        <w:tabs>
          <w:tab w:leader="none" w:pos="54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001-33887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102870</wp:posOffset>
            </wp:positionV>
            <wp:extent cx="1577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Orion Energy Systems,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99060</wp:posOffset>
            </wp:positionV>
            <wp:extent cx="1577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53"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800" w:type="dxa"/>
            <w:vAlign w:val="bottom"/>
            <w:gridSpan w:val="3"/>
          </w:tcPr>
          <w:p>
            <w:pPr>
              <w:jc w:val="center"/>
              <w:ind w:left="641"/>
              <w:spacing w:after="0"/>
              <w:rPr>
                <w:sz w:val="20"/>
                <w:szCs w:val="20"/>
                <w:color w:val="auto"/>
              </w:rPr>
            </w:pPr>
            <w:r>
              <w:rPr>
                <w:rFonts w:ascii="Arial" w:cs="Arial" w:eastAsia="Arial" w:hAnsi="Arial"/>
                <w:sz w:val="18"/>
                <w:szCs w:val="18"/>
                <w:b w:val="1"/>
                <w:bCs w:val="1"/>
                <w:color w:val="auto"/>
                <w:w w:val="88"/>
              </w:rPr>
              <w:t>Wisconsin</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jc w:val="right"/>
              <w:ind w:right="2244"/>
              <w:spacing w:after="0"/>
              <w:rPr>
                <w:sz w:val="20"/>
                <w:szCs w:val="20"/>
                <w:color w:val="auto"/>
              </w:rPr>
            </w:pPr>
            <w:r>
              <w:rPr>
                <w:rFonts w:ascii="Arial" w:cs="Arial" w:eastAsia="Arial" w:hAnsi="Arial"/>
                <w:sz w:val="18"/>
                <w:szCs w:val="18"/>
                <w:b w:val="1"/>
                <w:bCs w:val="1"/>
                <w:color w:val="auto"/>
              </w:rPr>
              <w:t>39-1847269</w:t>
            </w:r>
          </w:p>
        </w:tc>
        <w:tc>
          <w:tcPr>
            <w:tcW w:w="0" w:type="dxa"/>
            <w:vAlign w:val="bottom"/>
          </w:tcPr>
          <w:p>
            <w:pPr>
              <w:spacing w:after="0"/>
              <w:rPr>
                <w:sz w:val="1"/>
                <w:szCs w:val="1"/>
                <w:color w:val="auto"/>
              </w:rPr>
            </w:pPr>
          </w:p>
        </w:tc>
      </w:tr>
      <w:tr>
        <w:trPr>
          <w:trHeight w:val="148"/>
        </w:trPr>
        <w:tc>
          <w:tcPr>
            <w:tcW w:w="4800" w:type="dxa"/>
            <w:vAlign w:val="bottom"/>
            <w:gridSpan w:val="3"/>
          </w:tcPr>
          <w:p>
            <w:pPr>
              <w:jc w:val="center"/>
              <w:ind w:left="641"/>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0" w:type="dxa"/>
            <w:vAlign w:val="bottom"/>
          </w:tcPr>
          <w:p>
            <w:pPr>
              <w:jc w:val="center"/>
              <w:ind w:right="1804"/>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4800" w:type="dxa"/>
            <w:vAlign w:val="bottom"/>
            <w:gridSpan w:val="3"/>
          </w:tcPr>
          <w:p>
            <w:pPr>
              <w:jc w:val="center"/>
              <w:ind w:left="641"/>
              <w:spacing w:after="0"/>
              <w:rPr>
                <w:sz w:val="20"/>
                <w:szCs w:val="20"/>
                <w:color w:val="auto"/>
              </w:rPr>
            </w:pPr>
            <w:r>
              <w:rPr>
                <w:rFonts w:ascii="Arial" w:cs="Arial" w:eastAsia="Arial" w:hAnsi="Arial"/>
                <w:sz w:val="14"/>
                <w:szCs w:val="14"/>
                <w:b w:val="1"/>
                <w:bCs w:val="1"/>
                <w:color w:val="auto"/>
                <w:w w:val="94"/>
              </w:rPr>
              <w:t>incorporation or organization)</w:t>
            </w:r>
          </w:p>
        </w:tc>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0" w:type="dxa"/>
            <w:vAlign w:val="bottom"/>
          </w:tcPr>
          <w:p>
            <w:pPr>
              <w:jc w:val="center"/>
              <w:ind w:right="1804"/>
              <w:spacing w:after="0"/>
              <w:rPr>
                <w:sz w:val="20"/>
                <w:szCs w:val="20"/>
                <w:color w:val="auto"/>
              </w:rPr>
            </w:pPr>
            <w:r>
              <w:rPr>
                <w:rFonts w:ascii="Arial" w:cs="Arial" w:eastAsia="Arial" w:hAnsi="Arial"/>
                <w:sz w:val="14"/>
                <w:szCs w:val="14"/>
                <w:b w:val="1"/>
                <w:bCs w:val="1"/>
                <w:color w:val="auto"/>
                <w:w w:val="95"/>
              </w:rPr>
              <w:t>Identification number)</w:t>
            </w:r>
          </w:p>
        </w:tc>
        <w:tc>
          <w:tcPr>
            <w:tcW w:w="0" w:type="dxa"/>
            <w:vAlign w:val="bottom"/>
          </w:tcPr>
          <w:p>
            <w:pPr>
              <w:spacing w:after="0"/>
              <w:rPr>
                <w:sz w:val="1"/>
                <w:szCs w:val="1"/>
                <w:color w:val="auto"/>
              </w:rPr>
            </w:pPr>
          </w:p>
        </w:tc>
      </w:tr>
      <w:tr>
        <w:trPr>
          <w:trHeight w:val="323"/>
        </w:trPr>
        <w:tc>
          <w:tcPr>
            <w:tcW w:w="4800" w:type="dxa"/>
            <w:vAlign w:val="bottom"/>
            <w:gridSpan w:val="3"/>
          </w:tcPr>
          <w:p>
            <w:pPr>
              <w:jc w:val="center"/>
              <w:ind w:left="641"/>
              <w:spacing w:after="0"/>
              <w:rPr>
                <w:sz w:val="20"/>
                <w:szCs w:val="20"/>
                <w:color w:val="auto"/>
              </w:rPr>
            </w:pPr>
            <w:r>
              <w:rPr>
                <w:rFonts w:ascii="Arial" w:cs="Arial" w:eastAsia="Arial" w:hAnsi="Arial"/>
                <w:sz w:val="18"/>
                <w:szCs w:val="18"/>
                <w:b w:val="1"/>
                <w:bCs w:val="1"/>
                <w:color w:val="auto"/>
                <w:w w:val="90"/>
              </w:rPr>
              <w:t>2210 Woodland Drive, Manitowoc, Wisconsin</w:t>
            </w:r>
          </w:p>
        </w:tc>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jc w:val="right"/>
              <w:ind w:right="2444"/>
              <w:spacing w:after="0"/>
              <w:rPr>
                <w:sz w:val="20"/>
                <w:szCs w:val="20"/>
                <w:color w:val="auto"/>
              </w:rPr>
            </w:pPr>
            <w:r>
              <w:rPr>
                <w:rFonts w:ascii="Arial" w:cs="Arial" w:eastAsia="Arial" w:hAnsi="Arial"/>
                <w:sz w:val="18"/>
                <w:szCs w:val="18"/>
                <w:b w:val="1"/>
                <w:bCs w:val="1"/>
                <w:color w:val="auto"/>
              </w:rPr>
              <w:t>54220</w:t>
            </w:r>
          </w:p>
        </w:tc>
        <w:tc>
          <w:tcPr>
            <w:tcW w:w="0" w:type="dxa"/>
            <w:vAlign w:val="bottom"/>
          </w:tcPr>
          <w:p>
            <w:pPr>
              <w:spacing w:after="0"/>
              <w:rPr>
                <w:sz w:val="1"/>
                <w:szCs w:val="1"/>
                <w:color w:val="auto"/>
              </w:rPr>
            </w:pPr>
          </w:p>
        </w:tc>
      </w:tr>
      <w:tr>
        <w:trPr>
          <w:trHeight w:val="190"/>
        </w:trPr>
        <w:tc>
          <w:tcPr>
            <w:tcW w:w="4800" w:type="dxa"/>
            <w:vAlign w:val="bottom"/>
            <w:gridSpan w:val="3"/>
          </w:tcPr>
          <w:p>
            <w:pPr>
              <w:jc w:val="center"/>
              <w:ind w:left="66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0" w:type="dxa"/>
            <w:vAlign w:val="bottom"/>
          </w:tcPr>
          <w:p>
            <w:pPr>
              <w:jc w:val="center"/>
              <w:ind w:right="1824"/>
              <w:spacing w:after="0"/>
              <w:rPr>
                <w:sz w:val="20"/>
                <w:szCs w:val="20"/>
                <w:color w:val="auto"/>
              </w:rPr>
            </w:pPr>
            <w:r>
              <w:rPr>
                <w:rFonts w:ascii="Arial" w:cs="Arial" w:eastAsia="Arial" w:hAnsi="Arial"/>
                <w:sz w:val="14"/>
                <w:szCs w:val="14"/>
                <w:b w:val="1"/>
                <w:bCs w:val="1"/>
                <w:color w:val="auto"/>
                <w:w w:val="92"/>
              </w:rPr>
              <w:t>(Zip code)</w:t>
            </w:r>
          </w:p>
        </w:tc>
        <w:tc>
          <w:tcPr>
            <w:tcW w:w="0" w:type="dxa"/>
            <w:vAlign w:val="bottom"/>
          </w:tcPr>
          <w:p>
            <w:pPr>
              <w:spacing w:after="0"/>
              <w:rPr>
                <w:sz w:val="1"/>
                <w:szCs w:val="1"/>
                <w:color w:val="auto"/>
              </w:rPr>
            </w:pPr>
          </w:p>
        </w:tc>
      </w:tr>
      <w:tr>
        <w:trPr>
          <w:trHeight w:val="350"/>
        </w:trPr>
        <w:tc>
          <w:tcPr>
            <w:tcW w:w="11240" w:type="dxa"/>
            <w:vAlign w:val="bottom"/>
            <w:gridSpan w:val="6"/>
          </w:tcPr>
          <w:p>
            <w:pPr>
              <w:jc w:val="center"/>
              <w:spacing w:after="0"/>
              <w:rPr>
                <w:sz w:val="20"/>
                <w:szCs w:val="20"/>
                <w:color w:val="auto"/>
              </w:rPr>
            </w:pPr>
            <w:r>
              <w:rPr>
                <w:rFonts w:ascii="Arial" w:cs="Arial" w:eastAsia="Arial" w:hAnsi="Arial"/>
                <w:sz w:val="18"/>
                <w:szCs w:val="18"/>
                <w:b w:val="1"/>
                <w:bCs w:val="1"/>
                <w:color w:val="auto"/>
                <w:w w:val="89"/>
              </w:rPr>
              <w:t>Registrant’s telephone number, including area code: (920) 892-9340</w:t>
            </w:r>
          </w:p>
        </w:tc>
        <w:tc>
          <w:tcPr>
            <w:tcW w:w="0" w:type="dxa"/>
            <w:vAlign w:val="bottom"/>
          </w:tcPr>
          <w:p>
            <w:pPr>
              <w:spacing w:after="0"/>
              <w:rPr>
                <w:sz w:val="1"/>
                <w:szCs w:val="1"/>
                <w:color w:val="auto"/>
              </w:rPr>
            </w:pPr>
          </w:p>
        </w:tc>
      </w:tr>
      <w:tr>
        <w:trPr>
          <w:trHeight w:val="500"/>
        </w:trPr>
        <w:tc>
          <w:tcPr>
            <w:tcW w:w="11240" w:type="dxa"/>
            <w:vAlign w:val="bottom"/>
            <w:gridSpan w:val="6"/>
          </w:tcPr>
          <w:p>
            <w:pPr>
              <w:jc w:val="center"/>
              <w:spacing w:after="0"/>
              <w:rPr>
                <w:sz w:val="20"/>
                <w:szCs w:val="20"/>
                <w:color w:val="auto"/>
              </w:rPr>
            </w:pPr>
            <w:r>
              <w:rPr>
                <w:rFonts w:ascii="Arial" w:cs="Arial" w:eastAsia="Arial" w:hAnsi="Arial"/>
                <w:sz w:val="18"/>
                <w:szCs w:val="18"/>
                <w:b w:val="1"/>
                <w:bCs w:val="1"/>
                <w:color w:val="auto"/>
                <w:w w:val="88"/>
              </w:rPr>
              <w:t>Securities registered pursuant to Section 12(b) of the act:</w:t>
            </w:r>
          </w:p>
        </w:tc>
        <w:tc>
          <w:tcPr>
            <w:tcW w:w="0" w:type="dxa"/>
            <w:vAlign w:val="bottom"/>
          </w:tcPr>
          <w:p>
            <w:pPr>
              <w:spacing w:after="0"/>
              <w:rPr>
                <w:sz w:val="1"/>
                <w:szCs w:val="1"/>
                <w:color w:val="auto"/>
              </w:rPr>
            </w:pPr>
          </w:p>
        </w:tc>
      </w:tr>
      <w:tr>
        <w:trPr>
          <w:trHeight w:val="229"/>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Title of Each Class</w:t>
            </w:r>
          </w:p>
        </w:tc>
        <w:tc>
          <w:tcPr>
            <w:tcW w:w="12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jc w:val="center"/>
              <w:ind w:right="928"/>
              <w:spacing w:after="0"/>
              <w:rPr>
                <w:sz w:val="20"/>
                <w:szCs w:val="20"/>
                <w:color w:val="auto"/>
              </w:rPr>
            </w:pPr>
            <w:r>
              <w:rPr>
                <w:rFonts w:ascii="Arial" w:cs="Arial" w:eastAsia="Arial" w:hAnsi="Arial"/>
                <w:sz w:val="14"/>
                <w:szCs w:val="14"/>
                <w:b w:val="1"/>
                <w:bCs w:val="1"/>
                <w:color w:val="auto"/>
                <w:w w:val="93"/>
              </w:rPr>
              <w:t>Trading Symbol (s)</w:t>
            </w:r>
          </w:p>
        </w:tc>
        <w:tc>
          <w:tcPr>
            <w:tcW w:w="100" w:type="dxa"/>
            <w:vAlign w:val="bottom"/>
          </w:tcPr>
          <w:p>
            <w:pPr>
              <w:spacing w:after="0"/>
              <w:rPr>
                <w:sz w:val="19"/>
                <w:szCs w:val="19"/>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123"/>
        </w:trPr>
        <w:tc>
          <w:tcPr>
            <w:tcW w:w="3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840" w:type="dxa"/>
            <w:vAlign w:val="bottom"/>
            <w:gridSpan w:val="2"/>
            <w:vMerge w:val="restart"/>
          </w:tcPr>
          <w:p>
            <w:pPr>
              <w:jc w:val="center"/>
              <w:ind w:right="1120"/>
              <w:spacing w:after="0"/>
              <w:rPr>
                <w:sz w:val="20"/>
                <w:szCs w:val="20"/>
                <w:color w:val="auto"/>
              </w:rPr>
            </w:pPr>
            <w:r>
              <w:rPr>
                <w:rFonts w:ascii="Arial" w:cs="Arial" w:eastAsia="Arial" w:hAnsi="Arial"/>
                <w:sz w:val="14"/>
                <w:szCs w:val="14"/>
                <w:b w:val="1"/>
                <w:bCs w:val="1"/>
                <w:color w:val="auto"/>
              </w:rPr>
              <w:t>OESX</w:t>
            </w:r>
          </w:p>
        </w:tc>
        <w:tc>
          <w:tcPr>
            <w:tcW w:w="3600" w:type="dxa"/>
            <w:vAlign w:val="bottom"/>
          </w:tcPr>
          <w:p>
            <w:pPr>
              <w:jc w:val="center"/>
              <w:spacing w:after="0" w:line="123" w:lineRule="exact"/>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r>
        <w:trPr>
          <w:trHeight w:val="182"/>
        </w:trPr>
        <w:tc>
          <w:tcPr>
            <w:tcW w:w="4800" w:type="dxa"/>
            <w:vAlign w:val="bottom"/>
            <w:gridSpan w:val="3"/>
          </w:tcPr>
          <w:p>
            <w:pPr>
              <w:jc w:val="center"/>
              <w:ind w:right="1180"/>
              <w:spacing w:after="0"/>
              <w:rPr>
                <w:sz w:val="20"/>
                <w:szCs w:val="20"/>
                <w:color w:val="auto"/>
              </w:rPr>
            </w:pPr>
            <w:r>
              <w:rPr>
                <w:rFonts w:ascii="Arial" w:cs="Arial" w:eastAsia="Arial" w:hAnsi="Arial"/>
                <w:sz w:val="14"/>
                <w:szCs w:val="14"/>
                <w:color w:val="auto"/>
                <w:w w:val="93"/>
              </w:rPr>
              <w:t>Common stock, no par value</w:t>
            </w:r>
          </w:p>
        </w:tc>
        <w:tc>
          <w:tcPr>
            <w:tcW w:w="2840" w:type="dxa"/>
            <w:vAlign w:val="bottom"/>
            <w:gridSpan w:val="2"/>
            <w:vMerge w:val="continue"/>
          </w:tcPr>
          <w:p>
            <w:pPr>
              <w:spacing w:after="0"/>
              <w:rPr>
                <w:sz w:val="15"/>
                <w:szCs w:val="15"/>
                <w:color w:val="auto"/>
              </w:rPr>
            </w:pPr>
          </w:p>
        </w:tc>
        <w:tc>
          <w:tcPr>
            <w:tcW w:w="3600" w:type="dxa"/>
            <w:vAlign w:val="bottom"/>
          </w:tcPr>
          <w:p>
            <w:pPr>
              <w:jc w:val="center"/>
              <w:spacing w:after="0"/>
              <w:rPr>
                <w:sz w:val="20"/>
                <w:szCs w:val="20"/>
                <w:color w:val="auto"/>
              </w:rPr>
            </w:pPr>
            <w:r>
              <w:rPr>
                <w:rFonts w:ascii="Arial" w:cs="Arial" w:eastAsia="Arial" w:hAnsi="Arial"/>
                <w:sz w:val="14"/>
                <w:szCs w:val="14"/>
                <w:color w:val="auto"/>
                <w:w w:val="98"/>
              </w:rPr>
              <w:t>(NASDAQ Capital Market)</w:t>
            </w:r>
          </w:p>
        </w:tc>
        <w:tc>
          <w:tcPr>
            <w:tcW w:w="0" w:type="dxa"/>
            <w:vAlign w:val="bottom"/>
          </w:tcPr>
          <w:p>
            <w:pPr>
              <w:spacing w:after="0"/>
              <w:rPr>
                <w:sz w:val="1"/>
                <w:szCs w:val="1"/>
                <w:color w:val="auto"/>
              </w:rPr>
            </w:pPr>
          </w:p>
        </w:tc>
      </w:tr>
      <w:tr>
        <w:trPr>
          <w:trHeight w:val="155"/>
        </w:trPr>
        <w:tc>
          <w:tcPr>
            <w:tcW w:w="3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0" w:type="dxa"/>
            <w:vAlign w:val="bottom"/>
          </w:tcPr>
          <w:p>
            <w:pPr>
              <w:jc w:val="center"/>
              <w:spacing w:after="0" w:line="155" w:lineRule="exact"/>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r>
        <w:trPr>
          <w:trHeight w:val="182"/>
        </w:trPr>
        <w:tc>
          <w:tcPr>
            <w:tcW w:w="4800" w:type="dxa"/>
            <w:vAlign w:val="bottom"/>
            <w:gridSpan w:val="3"/>
          </w:tcPr>
          <w:p>
            <w:pPr>
              <w:jc w:val="center"/>
              <w:ind w:right="1180"/>
              <w:spacing w:after="0"/>
              <w:rPr>
                <w:sz w:val="20"/>
                <w:szCs w:val="20"/>
                <w:color w:val="auto"/>
              </w:rPr>
            </w:pPr>
            <w:r>
              <w:rPr>
                <w:rFonts w:ascii="Arial" w:cs="Arial" w:eastAsia="Arial" w:hAnsi="Arial"/>
                <w:sz w:val="14"/>
                <w:szCs w:val="14"/>
                <w:color w:val="auto"/>
                <w:w w:val="92"/>
              </w:rPr>
              <w:t>Common stock purchase rights</w:t>
            </w:r>
          </w:p>
        </w:tc>
        <w:tc>
          <w:tcPr>
            <w:tcW w:w="2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Arial" w:cs="Arial" w:eastAsia="Arial" w:hAnsi="Arial"/>
                <w:sz w:val="14"/>
                <w:szCs w:val="14"/>
                <w:color w:val="auto"/>
                <w:w w:val="98"/>
              </w:rPr>
              <w:t>(NASDAQ Capital Market)</w:t>
            </w:r>
          </w:p>
        </w:tc>
        <w:tc>
          <w:tcPr>
            <w:tcW w:w="0" w:type="dxa"/>
            <w:vAlign w:val="bottom"/>
          </w:tcPr>
          <w:p>
            <w:pPr>
              <w:spacing w:after="0"/>
              <w:rPr>
                <w:sz w:val="1"/>
                <w:szCs w:val="1"/>
                <w:color w:val="auto"/>
              </w:rPr>
            </w:pPr>
          </w:p>
        </w:tc>
      </w:tr>
    </w:tbl>
    <w:p>
      <w:pPr>
        <w:spacing w:after="0" w:line="290" w:lineRule="exact"/>
        <w:rPr>
          <w:sz w:val="24"/>
          <w:szCs w:val="24"/>
          <w:color w:val="auto"/>
        </w:rPr>
      </w:pPr>
    </w:p>
    <w:p>
      <w:pPr>
        <w:jc w:val="both"/>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2" w:lineRule="exact"/>
        <w:rPr>
          <w:sz w:val="24"/>
          <w:szCs w:val="24"/>
          <w:color w:val="auto"/>
        </w:rPr>
      </w:pPr>
    </w:p>
    <w:p>
      <w:pPr>
        <w:jc w:val="both"/>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during the preceding 12 months (or for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2" w:lineRule="exact"/>
        <w:rPr>
          <w:sz w:val="24"/>
          <w:szCs w:val="24"/>
          <w:color w:val="auto"/>
        </w:rPr>
      </w:pPr>
    </w:p>
    <w:p>
      <w:pPr>
        <w:jc w:val="both"/>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2"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17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86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5120" w:type="dxa"/>
            <w:vAlign w:val="bottom"/>
          </w:tcPr>
          <w:p>
            <w:pPr>
              <w:ind w:left="2320"/>
              <w:spacing w:after="0"/>
              <w:rPr>
                <w:sz w:val="20"/>
                <w:szCs w:val="20"/>
                <w:color w:val="auto"/>
              </w:rPr>
            </w:pPr>
            <w:r>
              <w:rPr>
                <w:rFonts w:ascii="Arial" w:cs="Arial" w:eastAsia="Arial" w:hAnsi="Arial"/>
                <w:sz w:val="14"/>
                <w:szCs w:val="14"/>
                <w:color w:val="auto"/>
              </w:rPr>
              <w:t>Accelerated filer</w:t>
            </w:r>
          </w:p>
        </w:tc>
        <w:tc>
          <w:tcPr>
            <w:tcW w:w="1340" w:type="dxa"/>
            <w:vAlign w:val="bottom"/>
          </w:tcPr>
          <w:p>
            <w:pPr>
              <w:ind w:left="12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97"/>
        </w:trPr>
        <w:tc>
          <w:tcPr>
            <w:tcW w:w="1720" w:type="dxa"/>
            <w:vAlign w:val="bottom"/>
          </w:tcPr>
          <w:p>
            <w:pPr>
              <w:spacing w:after="0"/>
              <w:rPr>
                <w:sz w:val="20"/>
                <w:szCs w:val="20"/>
                <w:color w:val="auto"/>
              </w:rPr>
            </w:pPr>
            <w:r>
              <w:rPr>
                <w:rFonts w:ascii="Arial" w:cs="Arial" w:eastAsia="Arial" w:hAnsi="Arial"/>
                <w:sz w:val="14"/>
                <w:szCs w:val="14"/>
                <w:color w:val="auto"/>
              </w:rPr>
              <w:t>Non-accelerated filer</w:t>
            </w:r>
          </w:p>
        </w:tc>
        <w:tc>
          <w:tcPr>
            <w:tcW w:w="286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5120" w:type="dxa"/>
            <w:vAlign w:val="bottom"/>
          </w:tcPr>
          <w:p>
            <w:pPr>
              <w:ind w:left="2320"/>
              <w:spacing w:after="0"/>
              <w:rPr>
                <w:sz w:val="20"/>
                <w:szCs w:val="20"/>
                <w:color w:val="auto"/>
              </w:rPr>
            </w:pPr>
            <w:r>
              <w:rPr>
                <w:rFonts w:ascii="Arial" w:cs="Arial" w:eastAsia="Arial" w:hAnsi="Arial"/>
                <w:sz w:val="14"/>
                <w:szCs w:val="14"/>
                <w:color w:val="auto"/>
              </w:rPr>
              <w:t>Smaller reporting company</w:t>
            </w:r>
          </w:p>
        </w:tc>
        <w:tc>
          <w:tcPr>
            <w:tcW w:w="1340" w:type="dxa"/>
            <w:vAlign w:val="bottom"/>
          </w:tcPr>
          <w:p>
            <w:pPr>
              <w:ind w:left="12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97"/>
        </w:trPr>
        <w:tc>
          <w:tcPr>
            <w:tcW w:w="17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120" w:type="dxa"/>
            <w:vAlign w:val="bottom"/>
          </w:tcPr>
          <w:p>
            <w:pPr>
              <w:ind w:left="2320"/>
              <w:spacing w:after="0"/>
              <w:rPr>
                <w:sz w:val="20"/>
                <w:szCs w:val="20"/>
                <w:color w:val="auto"/>
              </w:rPr>
            </w:pPr>
            <w:r>
              <w:rPr>
                <w:rFonts w:ascii="Arial" w:cs="Arial" w:eastAsia="Arial" w:hAnsi="Arial"/>
                <w:sz w:val="14"/>
                <w:szCs w:val="14"/>
                <w:color w:val="auto"/>
              </w:rPr>
              <w:t>Emerging growth company</w:t>
            </w:r>
          </w:p>
        </w:tc>
        <w:tc>
          <w:tcPr>
            <w:tcW w:w="1340" w:type="dxa"/>
            <w:vAlign w:val="bottom"/>
          </w:tcPr>
          <w:p>
            <w:pPr>
              <w:ind w:left="12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12"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9" w:lineRule="exact"/>
        <w:rPr>
          <w:sz w:val="24"/>
          <w:szCs w:val="24"/>
          <w:color w:val="auto"/>
        </w:rPr>
      </w:pPr>
    </w:p>
    <w:p>
      <w:pPr>
        <w:ind w:right="3580"/>
        <w:spacing w:after="0" w:line="240"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There were 31,092,433 shares of the Registrant’s common stock outstanding on February 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304165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 w:name="page2"/>
    <w:bookmarkEnd w:id="1"/>
    <w:p>
      <w:pPr>
        <w:jc w:val="center"/>
        <w:ind w:left="900"/>
        <w:spacing w:after="0"/>
        <w:rPr>
          <w:sz w:val="20"/>
          <w:szCs w:val="20"/>
          <w:color w:val="auto"/>
        </w:rPr>
      </w:pPr>
      <w:r>
        <w:rPr>
          <w:rFonts w:ascii="Arial" w:cs="Arial" w:eastAsia="Arial" w:hAnsi="Arial"/>
          <w:sz w:val="18"/>
          <w:szCs w:val="18"/>
          <w:b w:val="1"/>
          <w:bCs w:val="1"/>
          <w:color w:val="auto"/>
        </w:rPr>
        <w:t>ORION ENERGY SYSTEMS, INC.</w:t>
      </w:r>
    </w:p>
    <w:p>
      <w:pPr>
        <w:spacing w:after="0" w:line="104" w:lineRule="exact"/>
        <w:rPr>
          <w:sz w:val="20"/>
          <w:szCs w:val="20"/>
          <w:color w:val="auto"/>
        </w:rPr>
      </w:pPr>
    </w:p>
    <w:p>
      <w:pPr>
        <w:jc w:val="center"/>
        <w:ind w:left="900"/>
        <w:spacing w:after="0"/>
        <w:rPr>
          <w:sz w:val="20"/>
          <w:szCs w:val="20"/>
          <w:color w:val="auto"/>
        </w:rPr>
      </w:pPr>
      <w:r>
        <w:rPr>
          <w:rFonts w:ascii="Arial" w:cs="Arial" w:eastAsia="Arial" w:hAnsi="Arial"/>
          <w:sz w:val="18"/>
          <w:szCs w:val="18"/>
          <w:b w:val="1"/>
          <w:bCs w:val="1"/>
          <w:color w:val="auto"/>
        </w:rPr>
        <w:t>QUARTERLY REPORT ON FORM 10-Q</w:t>
      </w:r>
    </w:p>
    <w:p>
      <w:pPr>
        <w:spacing w:after="0" w:line="90" w:lineRule="exact"/>
        <w:rPr>
          <w:sz w:val="20"/>
          <w:szCs w:val="20"/>
          <w:color w:val="auto"/>
        </w:rPr>
      </w:pPr>
    </w:p>
    <w:p>
      <w:pPr>
        <w:jc w:val="center"/>
        <w:ind w:left="900"/>
        <w:spacing w:after="0"/>
        <w:rPr>
          <w:sz w:val="20"/>
          <w:szCs w:val="20"/>
          <w:color w:val="auto"/>
        </w:rPr>
      </w:pPr>
      <w:r>
        <w:rPr>
          <w:rFonts w:ascii="Arial" w:cs="Arial" w:eastAsia="Arial" w:hAnsi="Arial"/>
          <w:sz w:val="18"/>
          <w:szCs w:val="18"/>
          <w:b w:val="1"/>
          <w:bCs w:val="1"/>
          <w:color w:val="auto"/>
        </w:rPr>
        <w:t>FOR THE QUARTER ENDED DECEMBER 31, 2021</w:t>
      </w:r>
    </w:p>
    <w:p>
      <w:pPr>
        <w:spacing w:after="0" w:line="104" w:lineRule="exact"/>
        <w:rPr>
          <w:sz w:val="20"/>
          <w:szCs w:val="20"/>
          <w:color w:val="auto"/>
        </w:rPr>
      </w:pPr>
    </w:p>
    <w:p>
      <w:pPr>
        <w:jc w:val="center"/>
        <w:ind w:left="90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 FINANCIAL INFORMATION</w:t>
        </w:r>
      </w:hyperlink>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26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63"/>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6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December 31, 2021 and March 31, 2021</w:t>
              </w:r>
            </w:hyperlink>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63"/>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6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for the Three and Nine Months Ended December 31, 2021 and December 31,</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2020</w:t>
              </w:r>
            </w:hyperlink>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63"/>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60" w:type="dxa"/>
            <w:vAlign w:val="bottom"/>
            <w:gridSpan w:val="17"/>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Condensed Consolidated Statements of Shareholders’ Equity for the Three and Nine Months Ended December 31, 2021 and</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9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December 31, 2020</w:t>
              </w:r>
            </w:hyperlink>
          </w:p>
        </w:tc>
        <w:tc>
          <w:tcPr>
            <w:tcW w:w="320" w:type="dxa"/>
            <w:vAlign w:val="bottom"/>
            <w:gridSpan w:val="2"/>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63"/>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96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Cash Flows for the Nine Months Ended December 31, 2021 and December 31, 2020</w:t>
              </w:r>
            </w:hyperlink>
          </w:p>
        </w:tc>
        <w:tc>
          <w:tcPr>
            <w:tcW w:w="300" w:type="dxa"/>
            <w:vAlign w:val="bottom"/>
          </w:tcPr>
          <w:p>
            <w:pPr>
              <w:spacing w:after="0"/>
              <w:rPr>
                <w:sz w:val="22"/>
                <w:szCs w:val="22"/>
                <w:color w:val="auto"/>
              </w:rPr>
            </w:pPr>
          </w:p>
        </w:tc>
      </w:tr>
      <w:tr>
        <w:trPr>
          <w:trHeight w:val="263"/>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60" w:type="dxa"/>
            <w:vAlign w:val="bottom"/>
            <w:gridSpan w:val="1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the Condensed Consolidated Financial Statements</w:t>
              </w:r>
            </w:hyperlink>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r>
      <w:tr>
        <w:trPr>
          <w:trHeight w:val="263"/>
        </w:trPr>
        <w:tc>
          <w:tcPr>
            <w:tcW w:w="10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260" w:type="dxa"/>
            <w:vAlign w:val="bottom"/>
            <w:gridSpan w:val="17"/>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r>
      <w:tr>
        <w:trPr>
          <w:trHeight w:val="264"/>
        </w:trPr>
        <w:tc>
          <w:tcPr>
            <w:tcW w:w="10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2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1"/>
              </w:rPr>
            </w:pPr>
            <w:hyperlink w:anchor="page30">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3"/>
          </w:tcPr>
          <w:p>
            <w:pPr>
              <w:spacing w:after="0"/>
              <w:rPr>
                <w:sz w:val="22"/>
                <w:szCs w:val="22"/>
                <w:color w:val="auto"/>
              </w:rPr>
            </w:pPr>
          </w:p>
        </w:tc>
        <w:tc>
          <w:tcPr>
            <w:tcW w:w="2800" w:type="dxa"/>
            <w:vAlign w:val="bottom"/>
            <w:gridSpan w:val="3"/>
          </w:tcPr>
          <w:p>
            <w:pPr>
              <w:spacing w:after="0"/>
              <w:rPr>
                <w:sz w:val="22"/>
                <w:szCs w:val="22"/>
                <w:color w:val="auto"/>
              </w:rPr>
            </w:pPr>
          </w:p>
        </w:tc>
      </w:tr>
      <w:tr>
        <w:trPr>
          <w:trHeight w:val="263"/>
        </w:trPr>
        <w:tc>
          <w:tcPr>
            <w:tcW w:w="10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30">
              <w:r>
                <w:rPr>
                  <w:rFonts w:ascii="Arial" w:cs="Arial" w:eastAsia="Arial" w:hAnsi="Arial"/>
                  <w:sz w:val="18"/>
                  <w:szCs w:val="18"/>
                  <w:color w:val="0000EE"/>
                  <w:w w:val="88"/>
                </w:rPr>
                <w:t>Controls and Procedures</w:t>
              </w:r>
            </w:hyperlink>
          </w:p>
        </w:tc>
        <w:tc>
          <w:tcPr>
            <w:tcW w:w="7480" w:type="dxa"/>
            <w:vAlign w:val="bottom"/>
            <w:gridSpan w:val="9"/>
          </w:tcPr>
          <w:p>
            <w:pPr>
              <w:spacing w:after="0"/>
              <w:rPr>
                <w:sz w:val="22"/>
                <w:szCs w:val="22"/>
                <w:color w:val="auto"/>
              </w:rPr>
            </w:pPr>
          </w:p>
        </w:tc>
      </w:tr>
      <w:tr>
        <w:trPr>
          <w:trHeight w:val="263"/>
        </w:trPr>
        <w:tc>
          <w:tcPr>
            <w:tcW w:w="2540" w:type="dxa"/>
            <w:vAlign w:val="bottom"/>
            <w:tcBorders>
              <w:bottom w:val="single" w:sz="8" w:color="0000EE"/>
            </w:tcBorders>
            <w:gridSpan w:val="9"/>
          </w:tcPr>
          <w:p>
            <w:pPr>
              <w:spacing w:after="0"/>
              <w:rPr>
                <w:rFonts w:ascii="Arial" w:cs="Arial" w:eastAsia="Arial" w:hAnsi="Arial"/>
                <w:sz w:val="18"/>
                <w:szCs w:val="18"/>
                <w:color w:val="0000EE"/>
                <w:w w:val="96"/>
              </w:rPr>
            </w:pPr>
            <w:hyperlink w:anchor="page31">
              <w:r>
                <w:rPr>
                  <w:rFonts w:ascii="Arial" w:cs="Arial" w:eastAsia="Arial" w:hAnsi="Arial"/>
                  <w:sz w:val="18"/>
                  <w:szCs w:val="18"/>
                  <w:color w:val="0000EE"/>
                  <w:w w:val="96"/>
                </w:rPr>
                <w:t>PART II OTHER INFORMATION</w:t>
              </w:r>
            </w:hyperlink>
          </w:p>
        </w:tc>
        <w:tc>
          <w:tcPr>
            <w:tcW w:w="7800" w:type="dxa"/>
            <w:vAlign w:val="bottom"/>
            <w:gridSpan w:val="10"/>
          </w:tcPr>
          <w:p>
            <w:pPr>
              <w:spacing w:after="0"/>
              <w:rPr>
                <w:sz w:val="22"/>
                <w:szCs w:val="22"/>
                <w:color w:val="auto"/>
              </w:rPr>
            </w:pPr>
          </w:p>
        </w:tc>
      </w:tr>
      <w:tr>
        <w:trPr>
          <w:trHeight w:val="263"/>
        </w:trPr>
        <w:tc>
          <w:tcPr>
            <w:tcW w:w="10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260" w:type="dxa"/>
            <w:vAlign w:val="bottom"/>
            <w:gridSpan w:val="17"/>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Legal Proceedings</w:t>
              </w:r>
            </w:hyperlink>
          </w:p>
        </w:tc>
      </w:tr>
      <w:tr>
        <w:trPr>
          <w:trHeight w:val="263"/>
        </w:trPr>
        <w:tc>
          <w:tcPr>
            <w:tcW w:w="108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22"/>
                <w:szCs w:val="22"/>
                <w:color w:val="auto"/>
              </w:rPr>
            </w:pPr>
          </w:p>
        </w:tc>
        <w:tc>
          <w:tcPr>
            <w:tcW w:w="7920" w:type="dxa"/>
            <w:vAlign w:val="bottom"/>
            <w:gridSpan w:val="12"/>
          </w:tcPr>
          <w:p>
            <w:pPr>
              <w:spacing w:after="0"/>
              <w:rPr>
                <w:sz w:val="22"/>
                <w:szCs w:val="22"/>
                <w:color w:val="auto"/>
              </w:rPr>
            </w:pPr>
          </w:p>
        </w:tc>
      </w:tr>
      <w:tr>
        <w:trPr>
          <w:trHeight w:val="263"/>
        </w:trPr>
        <w:tc>
          <w:tcPr>
            <w:tcW w:w="10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Unregistered Sales of Equity Securities and Use of Proceeds</w:t>
              </w:r>
            </w:hyperlink>
          </w:p>
        </w:tc>
        <w:tc>
          <w:tcPr>
            <w:tcW w:w="4900" w:type="dxa"/>
            <w:vAlign w:val="bottom"/>
            <w:gridSpan w:val="5"/>
          </w:tcPr>
          <w:p>
            <w:pPr>
              <w:spacing w:after="0"/>
              <w:rPr>
                <w:sz w:val="22"/>
                <w:szCs w:val="22"/>
                <w:color w:val="auto"/>
              </w:rPr>
            </w:pPr>
          </w:p>
        </w:tc>
      </w:tr>
      <w:tr>
        <w:trPr>
          <w:trHeight w:val="264"/>
        </w:trPr>
        <w:tc>
          <w:tcPr>
            <w:tcW w:w="108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260" w:type="dxa"/>
            <w:vAlign w:val="bottom"/>
            <w:gridSpan w:val="17"/>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Other Information</w:t>
              </w:r>
            </w:hyperlink>
          </w:p>
        </w:tc>
      </w:tr>
      <w:tr>
        <w:trPr>
          <w:trHeight w:val="263"/>
        </w:trPr>
        <w:tc>
          <w:tcPr>
            <w:tcW w:w="10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4"/>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Exhibits</w:t>
              </w:r>
            </w:hyperlink>
          </w:p>
        </w:tc>
        <w:tc>
          <w:tcPr>
            <w:tcW w:w="7940" w:type="dxa"/>
            <w:vAlign w:val="bottom"/>
            <w:gridSpan w:val="13"/>
          </w:tcPr>
          <w:p>
            <w:pPr>
              <w:spacing w:after="0"/>
              <w:rPr>
                <w:sz w:val="22"/>
                <w:szCs w:val="22"/>
                <w:color w:val="auto"/>
              </w:rPr>
            </w:pPr>
          </w:p>
        </w:tc>
      </w:tr>
      <w:tr>
        <w:trPr>
          <w:trHeight w:val="263"/>
        </w:trPr>
        <w:tc>
          <w:tcPr>
            <w:tcW w:w="1080" w:type="dxa"/>
            <w:vAlign w:val="bottom"/>
            <w:gridSpan w:val="2"/>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SIGNATURE</w:t>
              </w:r>
            </w:hyperlink>
          </w:p>
        </w:tc>
        <w:tc>
          <w:tcPr>
            <w:tcW w:w="360" w:type="dxa"/>
            <w:vAlign w:val="bottom"/>
            <w:tcBorders>
              <w:top w:val="single" w:sz="8" w:color="0000EE"/>
            </w:tcBorders>
          </w:tcPr>
          <w:p>
            <w:pPr>
              <w:spacing w:after="0"/>
              <w:rPr>
                <w:sz w:val="22"/>
                <w:szCs w:val="22"/>
                <w:color w:val="auto"/>
              </w:rPr>
            </w:pPr>
          </w:p>
        </w:tc>
        <w:tc>
          <w:tcPr>
            <w:tcW w:w="240" w:type="dxa"/>
            <w:vAlign w:val="bottom"/>
            <w:tcBorders>
              <w:top w:val="single" w:sz="8" w:color="0000EE"/>
            </w:tcBorders>
          </w:tcPr>
          <w:p>
            <w:pPr>
              <w:spacing w:after="0"/>
              <w:rPr>
                <w:sz w:val="22"/>
                <w:szCs w:val="22"/>
                <w:color w:val="auto"/>
              </w:rPr>
            </w:pPr>
          </w:p>
        </w:tc>
        <w:tc>
          <w:tcPr>
            <w:tcW w:w="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r>
      <w:tr>
        <w:trPr>
          <w:trHeight w:val="20"/>
        </w:trPr>
        <w:tc>
          <w:tcPr>
            <w:tcW w:w="10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23495</wp:posOffset>
            </wp:positionV>
            <wp:extent cx="4629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pacing w:after="0" w:line="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ectPr>
          <w:pgSz w:w="11900" w:h="16838" w:orient="portrait"/>
          <w:cols w:equalWidth="0" w:num="2">
            <w:col w:w="10340" w:space="320"/>
            <w:col w:w="580"/>
          </w:cols>
          <w:pgMar w:left="320" w:top="33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5"/>
              </w:rPr>
              <w:t>December 31, 2021</w:t>
            </w:r>
          </w:p>
        </w:tc>
        <w:tc>
          <w:tcPr>
            <w:tcW w:w="200" w:type="dxa"/>
            <w:vAlign w:val="bottom"/>
          </w:tcPr>
          <w:p>
            <w:pPr>
              <w:spacing w:after="0"/>
              <w:rPr>
                <w:sz w:val="14"/>
                <w:szCs w:val="14"/>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March 31, 2021</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17,264</w:t>
            </w:r>
          </w:p>
        </w:tc>
        <w:tc>
          <w:tcPr>
            <w:tcW w:w="2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19,393</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net</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12,287</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13,572</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Revenue earned but not billed</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3,859</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2,930</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Inventories, net</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18,722</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19,554</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2,308</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54,440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56,531</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10,832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11,369</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intangible assets, net</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1,774</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1,952</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Deferred tax assets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17,445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19,785</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assets</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7,407</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3,184</w:t>
            </w:r>
          </w:p>
        </w:tc>
        <w:tc>
          <w:tcPr>
            <w:tcW w:w="120" w:type="dxa"/>
            <w:vAlign w:val="bottom"/>
            <w:shd w:val="clear" w:color="auto" w:fill="CFF0FC"/>
          </w:tcPr>
          <w:p>
            <w:pPr>
              <w:spacing w:after="0"/>
              <w:rPr>
                <w:sz w:val="19"/>
                <w:szCs w:val="19"/>
                <w:color w:val="auto"/>
              </w:rPr>
            </w:pPr>
          </w:p>
        </w:tc>
      </w:tr>
      <w:tr>
        <w:trPr>
          <w:trHeight w:val="263"/>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91,898</w:t>
            </w:r>
          </w:p>
        </w:tc>
        <w:tc>
          <w:tcPr>
            <w:tcW w:w="28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92,821</w:t>
            </w:r>
          </w:p>
        </w:tc>
        <w:tc>
          <w:tcPr>
            <w:tcW w:w="120" w:type="dxa"/>
            <w:vAlign w:val="bottom"/>
            <w:tcBorders>
              <w:bottom w:val="single" w:sz="8" w:color="CFF0FC"/>
            </w:tcBorders>
          </w:tcPr>
          <w:p>
            <w:pPr>
              <w:spacing w:after="0"/>
              <w:rPr>
                <w:sz w:val="22"/>
                <w:szCs w:val="22"/>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11,771</w:t>
            </w:r>
          </w:p>
        </w:tc>
        <w:tc>
          <w:tcPr>
            <w:tcW w:w="2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17,045</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 and other</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10,502</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13,226</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Deferred revenue, current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Current maturities of long-term debt</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ind w:left="26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22,463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30,372</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Long-term debt, less current maturities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long-term</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2,774</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3,700</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25,843</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34,747</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Shareholders’ equity:</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7720" w:type="dxa"/>
            <w:vAlign w:val="bottom"/>
          </w:tcPr>
          <w:p>
            <w:pPr>
              <w:spacing w:after="0"/>
              <w:rPr>
                <w:sz w:val="20"/>
                <w:szCs w:val="20"/>
                <w:color w:val="auto"/>
              </w:rPr>
            </w:pPr>
            <w:r>
              <w:rPr>
                <w:rFonts w:ascii="Arial" w:cs="Arial" w:eastAsia="Arial" w:hAnsi="Arial"/>
                <w:sz w:val="18"/>
                <w:szCs w:val="18"/>
                <w:color w:val="auto"/>
              </w:rPr>
              <w:t>Preferred stock, $0.01 par value: Shares authorized: 30,000,000 at</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20" w:type="dxa"/>
            <w:vAlign w:val="bottom"/>
          </w:tcPr>
          <w:p>
            <w:pPr>
              <w:ind w:left="140"/>
              <w:spacing w:after="0"/>
              <w:rPr>
                <w:sz w:val="20"/>
                <w:szCs w:val="20"/>
                <w:color w:val="auto"/>
              </w:rPr>
            </w:pPr>
            <w:r>
              <w:rPr>
                <w:rFonts w:ascii="Arial" w:cs="Arial" w:eastAsia="Arial" w:hAnsi="Arial"/>
                <w:sz w:val="18"/>
                <w:szCs w:val="18"/>
                <w:color w:val="auto"/>
              </w:rPr>
              <w:t>December 31, 2021 and March 31, 2021; no shares issued and outstanding at</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December 31, 2021 and March 31, 2021</w:t>
            </w:r>
          </w:p>
        </w:tc>
        <w:tc>
          <w:tcPr>
            <w:tcW w:w="140" w:type="dxa"/>
            <w:vAlign w:val="bottom"/>
          </w:tcPr>
          <w:p>
            <w:pPr>
              <w:spacing w:after="0"/>
              <w:rPr>
                <w:sz w:val="20"/>
                <w:szCs w:val="20"/>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Common stock, no par value: Shares authorized: 200,000,000 at December 31, 2021</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March 31, 2021; shares issued: 40,573,654 at December 31, 2021 and</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40,279,050 at March 31, 2021; shares outstanding: 31,097,433 at</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December 31, 2021 and 30,805,300 at March 31, 2021</w:t>
            </w:r>
          </w:p>
        </w:tc>
        <w:tc>
          <w:tcPr>
            <w:tcW w:w="140" w:type="dxa"/>
            <w:vAlign w:val="bottom"/>
            <w:shd w:val="clear" w:color="auto" w:fill="CFF0FC"/>
          </w:tcPr>
          <w:p>
            <w:pPr>
              <w:spacing w:after="0"/>
              <w:rPr>
                <w:sz w:val="20"/>
                <w:szCs w:val="20"/>
                <w:color w:val="auto"/>
              </w:rPr>
            </w:pPr>
          </w:p>
        </w:tc>
        <w:tc>
          <w:tcPr>
            <w:tcW w:w="17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158,197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157,485</w:t>
            </w:r>
          </w:p>
        </w:tc>
        <w:tc>
          <w:tcPr>
            <w:tcW w:w="120" w:type="dxa"/>
            <w:vAlign w:val="bottom"/>
          </w:tcPr>
          <w:p>
            <w:pPr>
              <w:spacing w:after="0"/>
              <w:rPr>
                <w:sz w:val="19"/>
                <w:szCs w:val="19"/>
                <w:color w:val="auto"/>
              </w:rPr>
            </w:pPr>
          </w:p>
        </w:tc>
      </w:tr>
      <w:tr>
        <w:trPr>
          <w:trHeight w:val="215"/>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Treasury stock, common shares: 9,476,221 at December 31, 2021 and 9,473,750 at</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March 31, 2021</w:t>
            </w:r>
          </w:p>
        </w:tc>
        <w:tc>
          <w:tcPr>
            <w:tcW w:w="140" w:type="dxa"/>
            <w:vAlign w:val="bottom"/>
            <w:shd w:val="clear" w:color="auto" w:fill="CFF0FC"/>
          </w:tcPr>
          <w:p>
            <w:pPr>
              <w:spacing w:after="0"/>
              <w:rPr>
                <w:sz w:val="20"/>
                <w:szCs w:val="20"/>
                <w:color w:val="auto"/>
              </w:rPr>
            </w:pPr>
          </w:p>
        </w:tc>
        <w:tc>
          <w:tcPr>
            <w:tcW w:w="17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(36,242)</w:t>
            </w:r>
          </w:p>
        </w:tc>
        <w:tc>
          <w:tcPr>
            <w:tcW w:w="20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(36,240)</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Retained deficit</w:t>
            </w:r>
          </w:p>
        </w:tc>
        <w:tc>
          <w:tcPr>
            <w:tcW w:w="140" w:type="dxa"/>
            <w:vAlign w:val="bottom"/>
          </w:tcPr>
          <w:p>
            <w:pPr>
              <w:spacing w:after="0"/>
              <w:rPr>
                <w:sz w:val="19"/>
                <w:szCs w:val="19"/>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(55,900)</w:t>
            </w:r>
          </w:p>
        </w:tc>
        <w:tc>
          <w:tcPr>
            <w:tcW w:w="20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(63,171)</w:t>
            </w:r>
          </w:p>
        </w:tc>
      </w:tr>
      <w:tr>
        <w:trPr>
          <w:trHeight w:val="223"/>
        </w:trPr>
        <w:tc>
          <w:tcPr>
            <w:tcW w:w="77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66,055</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58,074</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20" w:type="dxa"/>
            <w:vAlign w:val="bottom"/>
          </w:tcPr>
          <w:p>
            <w:pPr>
              <w:ind w:left="260"/>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91,898</w:t>
            </w:r>
          </w:p>
        </w:tc>
        <w:tc>
          <w:tcPr>
            <w:tcW w:w="2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92,821</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 w:name="page4"/>
    <w:bookmarkEnd w:id="3"/>
    <w:p>
      <w:pPr>
        <w:jc w:val="center"/>
        <w:spacing w:after="0" w:line="266" w:lineRule="auto"/>
        <w:rPr>
          <w:sz w:val="20"/>
          <w:szCs w:val="20"/>
          <w:color w:val="auto"/>
        </w:rPr>
      </w:pPr>
      <w:r>
        <w:rPr>
          <w:rFonts w:ascii="Arial" w:cs="Arial" w:eastAsia="Arial" w:hAnsi="Arial"/>
          <w:sz w:val="18"/>
          <w:szCs w:val="18"/>
          <w:b w:val="1"/>
          <w:bCs w:val="1"/>
          <w:color w:val="auto"/>
        </w:rPr>
        <w:t>ORION ENERGY SYSTEMS, INC. AND SUBSIDIARIES UNAUDITED CONDENSED CONSOLIDATED STATEMENTS OF OPERATIONS (in thousands, except share and per share amounts)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2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w w:val="97"/>
              </w:rPr>
              <w:t>Three Months Ended December 31,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99"/>
              </w:rPr>
              <w:t>Nine Months Ended December 31,</w:t>
            </w:r>
          </w:p>
        </w:tc>
        <w:tc>
          <w:tcPr>
            <w:tcW w:w="0" w:type="dxa"/>
            <w:vAlign w:val="bottom"/>
          </w:tcPr>
          <w:p>
            <w:pPr>
              <w:spacing w:after="0"/>
              <w:rPr>
                <w:sz w:val="1"/>
                <w:szCs w:val="1"/>
                <w:color w:val="auto"/>
              </w:rPr>
            </w:pPr>
          </w:p>
        </w:tc>
      </w:tr>
      <w:tr>
        <w:trPr>
          <w:trHeight w:val="155"/>
        </w:trPr>
        <w:tc>
          <w:tcPr>
            <w:tcW w:w="4220" w:type="dxa"/>
            <w:vAlign w:val="bottom"/>
            <w:tcBorders>
              <w:bottom w:val="single" w:sz="8" w:color="CFF0FC"/>
            </w:tcBorders>
          </w:tcPr>
          <w:p>
            <w:pPr>
              <w:spacing w:after="0"/>
              <w:rPr>
                <w:sz w:val="13"/>
                <w:szCs w:val="13"/>
                <w:color w:val="auto"/>
              </w:rPr>
            </w:pPr>
          </w:p>
        </w:tc>
        <w:tc>
          <w:tcPr>
            <w:tcW w:w="86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22,203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31,929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78,260</w:t>
            </w:r>
          </w:p>
        </w:tc>
        <w:tc>
          <w:tcPr>
            <w:tcW w:w="1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Service revenue</w:t>
            </w:r>
          </w:p>
        </w:tc>
        <w:tc>
          <w:tcPr>
            <w:tcW w:w="8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12,322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24,065</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19,453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revenue</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30,714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44,251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102,325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16,427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23,203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54,724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44,834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Cost of service revenue</w:t>
            </w:r>
          </w:p>
        </w:tc>
        <w:tc>
          <w:tcPr>
            <w:tcW w:w="8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6,646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10,042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18,942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cost of revenue</w:t>
            </w:r>
          </w:p>
        </w:tc>
        <w:tc>
          <w:tcPr>
            <w:tcW w:w="8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23,073</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33,245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73,666</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60,439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11,006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28,659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tcPr>
          <w:p>
            <w:pPr>
              <w:spacing w:after="0"/>
              <w:rPr>
                <w:sz w:val="20"/>
                <w:szCs w:val="20"/>
                <w:color w:val="auto"/>
              </w:rPr>
            </w:pPr>
            <w:r>
              <w:rPr>
                <w:rFonts w:ascii="Arial" w:cs="Arial" w:eastAsia="Arial" w:hAnsi="Arial"/>
                <w:sz w:val="18"/>
                <w:szCs w:val="18"/>
                <w:color w:val="auto"/>
              </w:rPr>
              <w:t>Operating expenses:</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tcPr>
          <w:p>
            <w:pPr>
              <w:spacing w:after="0"/>
              <w:rPr>
                <w:sz w:val="20"/>
                <w:szCs w:val="20"/>
                <w:color w:val="auto"/>
              </w:rPr>
            </w:pPr>
            <w:r>
              <w:rPr>
                <w:rFonts w:ascii="Arial" w:cs="Arial" w:eastAsia="Arial" w:hAnsi="Arial"/>
                <w:sz w:val="18"/>
                <w:szCs w:val="18"/>
                <w:color w:val="auto"/>
              </w:rPr>
              <w:t>Acquisition costs</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Research and development</w:t>
            </w:r>
          </w:p>
        </w:tc>
        <w:tc>
          <w:tcPr>
            <w:tcW w:w="8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1,169</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operating expenses</w:t>
            </w:r>
          </w:p>
        </w:tc>
        <w:tc>
          <w:tcPr>
            <w:tcW w:w="8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6,309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6,541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18,878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tcPr>
          <w:p>
            <w:pPr>
              <w:spacing w:after="0"/>
              <w:rPr>
                <w:sz w:val="20"/>
                <w:szCs w:val="20"/>
                <w:color w:val="auto"/>
              </w:rPr>
            </w:pPr>
            <w:r>
              <w:rPr>
                <w:rFonts w:ascii="Arial" w:cs="Arial" w:eastAsia="Arial" w:hAnsi="Arial"/>
                <w:sz w:val="18"/>
                <w:szCs w:val="18"/>
                <w:color w:val="auto"/>
              </w:rPr>
              <w:t>Income from operations</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4,465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Other income</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9"/>
        </w:trPr>
        <w:tc>
          <w:tcPr>
            <w:tcW w:w="4220" w:type="dxa"/>
            <w:vAlign w:val="bottom"/>
          </w:tcPr>
          <w:p>
            <w:pPr>
              <w:spacing w:after="0"/>
              <w:rPr>
                <w:sz w:val="20"/>
                <w:szCs w:val="20"/>
                <w:color w:val="auto"/>
              </w:rPr>
            </w:pPr>
            <w:r>
              <w:rPr>
                <w:rFonts w:ascii="Arial" w:cs="Arial" w:eastAsia="Arial" w:hAnsi="Arial"/>
                <w:sz w:val="18"/>
                <w:szCs w:val="18"/>
                <w:color w:val="auto"/>
              </w:rPr>
              <w:t>Amortization of debt issue costs</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Loss on debt extinguishment</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(90)</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3"/>
        </w:trPr>
        <w:tc>
          <w:tcPr>
            <w:tcW w:w="42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other expense</w:t>
            </w:r>
          </w:p>
        </w:tc>
        <w:tc>
          <w:tcPr>
            <w:tcW w:w="86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expense</w:t>
            </w:r>
          </w:p>
        </w:tc>
        <w:tc>
          <w:tcPr>
            <w:tcW w:w="8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2,406</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8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1,102</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4,315</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7,271</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8"/>
                <w:szCs w:val="18"/>
                <w:color w:val="auto"/>
              </w:rPr>
              <w:t>Basic net income per share attributable to</w:t>
            </w:r>
          </w:p>
        </w:tc>
        <w:tc>
          <w:tcPr>
            <w:tcW w:w="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140"/>
              <w:spacing w:after="0"/>
              <w:rPr>
                <w:sz w:val="20"/>
                <w:szCs w:val="20"/>
                <w:color w:val="auto"/>
              </w:rPr>
            </w:pPr>
            <w:r>
              <w:rPr>
                <w:rFonts w:ascii="Arial" w:cs="Arial" w:eastAsia="Arial" w:hAnsi="Arial"/>
                <w:sz w:val="18"/>
                <w:szCs w:val="18"/>
                <w:color w:val="auto"/>
              </w:rPr>
              <w:t>common shareholders</w:t>
            </w:r>
          </w:p>
        </w:tc>
        <w:tc>
          <w:tcPr>
            <w:tcW w:w="10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0.04</w:t>
            </w:r>
          </w:p>
        </w:tc>
        <w:tc>
          <w:tcPr>
            <w:tcW w:w="160" w:type="dxa"/>
            <w:vAlign w:val="bottom"/>
          </w:tcPr>
          <w:p>
            <w:pPr>
              <w:spacing w:after="0"/>
              <w:rPr>
                <w:sz w:val="20"/>
                <w:szCs w:val="20"/>
                <w:color w:val="auto"/>
              </w:rPr>
            </w:pPr>
          </w:p>
        </w:tc>
        <w:tc>
          <w:tcPr>
            <w:tcW w:w="38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0.14</w:t>
            </w:r>
          </w:p>
        </w:tc>
        <w:tc>
          <w:tcPr>
            <w:tcW w:w="140" w:type="dxa"/>
            <w:vAlign w:val="bottom"/>
          </w:tcPr>
          <w:p>
            <w:pPr>
              <w:spacing w:after="0"/>
              <w:rPr>
                <w:sz w:val="20"/>
                <w:szCs w:val="20"/>
                <w:color w:val="auto"/>
              </w:rPr>
            </w:pP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20"/>
                <w:szCs w:val="20"/>
                <w:color w:val="auto"/>
              </w:rPr>
            </w:pP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common shares outstanding</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31,084,710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30,735,722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30,992,475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30,586,196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Diluted net income per share</w:t>
            </w:r>
          </w:p>
        </w:tc>
        <w:tc>
          <w:tcPr>
            <w:tcW w:w="10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0.04</w:t>
            </w:r>
          </w:p>
        </w:tc>
        <w:tc>
          <w:tcPr>
            <w:tcW w:w="160" w:type="dxa"/>
            <w:vAlign w:val="bottom"/>
          </w:tcPr>
          <w:p>
            <w:pPr>
              <w:spacing w:after="0"/>
              <w:rPr>
                <w:sz w:val="19"/>
                <w:szCs w:val="19"/>
                <w:color w:val="auto"/>
              </w:rPr>
            </w:pPr>
          </w:p>
        </w:tc>
        <w:tc>
          <w:tcPr>
            <w:tcW w:w="38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0.14</w:t>
            </w:r>
          </w:p>
        </w:tc>
        <w:tc>
          <w:tcPr>
            <w:tcW w:w="140" w:type="dxa"/>
            <w:vAlign w:val="bottom"/>
          </w:tcPr>
          <w:p>
            <w:pPr>
              <w:spacing w:after="0"/>
              <w:rPr>
                <w:sz w:val="19"/>
                <w:szCs w:val="19"/>
                <w:color w:val="auto"/>
              </w:rPr>
            </w:pP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19"/>
                <w:szCs w:val="19"/>
                <w:color w:val="auto"/>
              </w:rPr>
            </w:pP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common shares and share</w:t>
            </w: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equivalents outstanding</w:t>
            </w:r>
          </w:p>
        </w:tc>
        <w:tc>
          <w:tcPr>
            <w:tcW w:w="8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31,234,925</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31,320,427</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31,273,703</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31,289,359</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 w:name="page5"/>
    <w:bookmarkEnd w:id="4"/>
    <w:p>
      <w:pPr>
        <w:jc w:val="center"/>
        <w:ind w:left="340" w:right="1780"/>
        <w:spacing w:after="0" w:line="266" w:lineRule="auto"/>
        <w:rPr>
          <w:sz w:val="20"/>
          <w:szCs w:val="20"/>
          <w:color w:val="auto"/>
        </w:rPr>
      </w:pPr>
      <w:r>
        <w:rPr>
          <w:rFonts w:ascii="Arial" w:cs="Arial" w:eastAsia="Arial" w:hAnsi="Arial"/>
          <w:sz w:val="18"/>
          <w:szCs w:val="18"/>
          <w:b w:val="1"/>
          <w:bCs w:val="1"/>
          <w:color w:val="auto"/>
        </w:rPr>
        <w:t>ORION ENERGY SYSTEMS, INC. AND SUBSIDIARIES UNAUDITED CONDENSED CONSOLIDATED STATEMENTS OF SHAREHOLDERS’ EQUITY (in thousands, except share amounts)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Shareholders’ Equity</w:t>
            </w: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760" w:type="dxa"/>
            <w:vAlign w:val="bottom"/>
          </w:tcPr>
          <w:p>
            <w:pPr>
              <w:spacing w:after="0"/>
              <w:rPr>
                <w:sz w:val="13"/>
                <w:szCs w:val="13"/>
                <w:color w:val="auto"/>
              </w:rPr>
            </w:pPr>
          </w:p>
        </w:tc>
        <w:tc>
          <w:tcPr>
            <w:tcW w:w="2380" w:type="dxa"/>
            <w:vAlign w:val="bottom"/>
            <w:tcBorders>
              <w:bottom w:val="single" w:sz="8" w:color="auto"/>
            </w:tcBorders>
            <w:gridSpan w:val="5"/>
          </w:tcPr>
          <w:p>
            <w:pPr>
              <w:jc w:val="right"/>
              <w:ind w:right="632"/>
              <w:spacing w:after="0" w:line="155" w:lineRule="exact"/>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3"/>
        </w:trPr>
        <w:tc>
          <w:tcPr>
            <w:tcW w:w="4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right"/>
              <w:ind w:right="132"/>
              <w:spacing w:after="0" w:line="133" w:lineRule="exact"/>
              <w:rPr>
                <w:sz w:val="20"/>
                <w:szCs w:val="20"/>
                <w:color w:val="auto"/>
              </w:rPr>
            </w:pPr>
            <w:r>
              <w:rPr>
                <w:rFonts w:ascii="Arial" w:cs="Arial" w:eastAsia="Arial" w:hAnsi="Arial"/>
                <w:sz w:val="14"/>
                <w:szCs w:val="14"/>
                <w:b w:val="1"/>
                <w:bCs w:val="1"/>
                <w:color w:val="auto"/>
                <w:w w:val="99"/>
              </w:rPr>
              <w:t>Additional</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1"/>
              </w:rPr>
              <w:t>Treasury</w:t>
            </w:r>
          </w:p>
        </w:tc>
        <w:tc>
          <w:tcPr>
            <w:tcW w:w="180" w:type="dxa"/>
            <w:vAlign w:val="bottom"/>
          </w:tcPr>
          <w:p>
            <w:pPr>
              <w:spacing w:after="0"/>
              <w:rPr>
                <w:sz w:val="11"/>
                <w:szCs w:val="11"/>
                <w:color w:val="auto"/>
              </w:rPr>
            </w:pPr>
          </w:p>
        </w:tc>
        <w:tc>
          <w:tcPr>
            <w:tcW w:w="11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4"/>
              </w:rPr>
              <w:t>Retained</w:t>
            </w:r>
          </w:p>
        </w:tc>
        <w:tc>
          <w:tcPr>
            <w:tcW w:w="1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760" w:type="dxa"/>
            <w:vAlign w:val="bottom"/>
          </w:tcPr>
          <w:p>
            <w:pPr>
              <w:spacing w:after="0"/>
              <w:rPr>
                <w:sz w:val="12"/>
                <w:szCs w:val="12"/>
                <w:color w:val="auto"/>
              </w:rPr>
            </w:pPr>
          </w:p>
        </w:tc>
        <w:tc>
          <w:tcPr>
            <w:tcW w:w="12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rPr>
              <w:t>Paid-in</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ind w:right="232"/>
              <w:spacing w:after="0"/>
              <w:rPr>
                <w:sz w:val="20"/>
                <w:szCs w:val="20"/>
                <w:color w:val="auto"/>
              </w:rPr>
            </w:pPr>
            <w:r>
              <w:rPr>
                <w:rFonts w:ascii="Arial" w:cs="Arial" w:eastAsia="Arial" w:hAnsi="Arial"/>
                <w:sz w:val="14"/>
                <w:szCs w:val="14"/>
                <w:b w:val="1"/>
                <w:bCs w:val="1"/>
                <w:color w:val="auto"/>
              </w:rPr>
              <w:t>Capital</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Deficit</w:t>
            </w:r>
          </w:p>
        </w:tc>
        <w:tc>
          <w:tcPr>
            <w:tcW w:w="10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March 31, 2021</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30,805,300</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157,485</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(36,240)</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(63,171)</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58,074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tcPr>
          <w:p>
            <w:pPr>
              <w:spacing w:after="0"/>
              <w:rPr>
                <w:sz w:val="20"/>
                <w:szCs w:val="20"/>
                <w:color w:val="auto"/>
              </w:rPr>
            </w:pPr>
            <w:r>
              <w:rPr>
                <w:rFonts w:ascii="Arial" w:cs="Arial" w:eastAsia="Arial" w:hAnsi="Arial"/>
                <w:sz w:val="18"/>
                <w:szCs w:val="18"/>
                <w:color w:val="auto"/>
              </w:rPr>
              <w:t>Exercise of stock options for cash</w:t>
            </w:r>
          </w:p>
        </w:tc>
        <w:tc>
          <w:tcPr>
            <w:tcW w:w="1060" w:type="dxa"/>
            <w:vAlign w:val="bottom"/>
          </w:tcPr>
          <w:p>
            <w:pPr>
              <w:jc w:val="right"/>
              <w:spacing w:after="0"/>
              <w:rPr>
                <w:sz w:val="20"/>
                <w:szCs w:val="20"/>
                <w:color w:val="auto"/>
              </w:rPr>
            </w:pPr>
            <w:r>
              <w:rPr>
                <w:rFonts w:ascii="Arial" w:cs="Arial" w:eastAsia="Arial" w:hAnsi="Arial"/>
                <w:sz w:val="18"/>
                <w:szCs w:val="18"/>
                <w:color w:val="auto"/>
              </w:rPr>
              <w:t>24,045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Shares issued under Employee Stock Purchase</w:t>
            </w: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Plan</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60" w:type="dxa"/>
            <w:vAlign w:val="bottom"/>
          </w:tcPr>
          <w:p>
            <w:pPr>
              <w:jc w:val="right"/>
              <w:spacing w:after="0"/>
              <w:rPr>
                <w:sz w:val="20"/>
                <w:szCs w:val="20"/>
                <w:color w:val="auto"/>
              </w:rPr>
            </w:pPr>
            <w:r>
              <w:rPr>
                <w:rFonts w:ascii="Arial" w:cs="Arial" w:eastAsia="Arial" w:hAnsi="Arial"/>
                <w:sz w:val="18"/>
                <w:szCs w:val="18"/>
                <w:color w:val="auto"/>
              </w:rPr>
              <w:t>171,470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Employee tax withholdings on stock-based</w:t>
            </w: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compensation</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(610)</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4760" w:type="dxa"/>
            <w:vAlign w:val="bottom"/>
          </w:tcPr>
          <w:p>
            <w:pPr>
              <w:spacing w:after="0"/>
              <w:rPr>
                <w:sz w:val="20"/>
                <w:szCs w:val="20"/>
                <w:color w:val="auto"/>
              </w:rPr>
            </w:pPr>
            <w:r>
              <w:rPr>
                <w:rFonts w:ascii="Arial" w:cs="Arial" w:eastAsia="Arial" w:hAnsi="Arial"/>
                <w:sz w:val="18"/>
                <w:szCs w:val="18"/>
                <w:color w:val="auto"/>
              </w:rPr>
              <w:t>Net income</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2,510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June 30, 2021</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31,000,701</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157,746</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(36,241)</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(60,661)</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60,844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Arial" w:cs="Arial" w:eastAsia="Arial" w:hAnsi="Arial"/>
                <w:sz w:val="18"/>
                <w:szCs w:val="18"/>
                <w:color w:val="auto"/>
              </w:rPr>
              <w:t>Exercise of stock options for cash</w:t>
            </w:r>
          </w:p>
        </w:tc>
        <w:tc>
          <w:tcPr>
            <w:tcW w:w="1060" w:type="dxa"/>
            <w:vAlign w:val="bottom"/>
          </w:tcPr>
          <w:p>
            <w:pPr>
              <w:jc w:val="right"/>
              <w:spacing w:after="0"/>
              <w:rPr>
                <w:sz w:val="20"/>
                <w:szCs w:val="20"/>
                <w:color w:val="auto"/>
              </w:rPr>
            </w:pPr>
            <w:r>
              <w:rPr>
                <w:rFonts w:ascii="Arial" w:cs="Arial" w:eastAsia="Arial" w:hAnsi="Arial"/>
                <w:sz w:val="18"/>
                <w:szCs w:val="18"/>
                <w:color w:val="auto"/>
              </w:rPr>
              <w:t>7,000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Shares issued under Employee Stock Purchase</w:t>
            </w: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Plan</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60" w:type="dxa"/>
            <w:vAlign w:val="bottom"/>
          </w:tcPr>
          <w:p>
            <w:pPr>
              <w:jc w:val="right"/>
              <w:spacing w:after="0"/>
              <w:rPr>
                <w:sz w:val="20"/>
                <w:szCs w:val="20"/>
                <w:color w:val="auto"/>
              </w:rPr>
            </w:pPr>
            <w:r>
              <w:rPr>
                <w:rFonts w:ascii="Arial" w:cs="Arial" w:eastAsia="Arial" w:hAnsi="Arial"/>
                <w:sz w:val="18"/>
                <w:szCs w:val="18"/>
                <w:color w:val="auto"/>
              </w:rPr>
              <w:t>55,896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Employee tax withholdings on stock-based</w:t>
            </w: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compensation</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(294)</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760" w:type="dxa"/>
            <w:vAlign w:val="bottom"/>
          </w:tcPr>
          <w:p>
            <w:pPr>
              <w:spacing w:after="0"/>
              <w:rPr>
                <w:sz w:val="20"/>
                <w:szCs w:val="20"/>
                <w:color w:val="auto"/>
              </w:rPr>
            </w:pPr>
            <w:r>
              <w:rPr>
                <w:rFonts w:ascii="Arial" w:cs="Arial" w:eastAsia="Arial" w:hAnsi="Arial"/>
                <w:sz w:val="18"/>
                <w:szCs w:val="18"/>
                <w:color w:val="auto"/>
              </w:rPr>
              <w:t>Net income</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3,659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September 30, 2021</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31,063,630</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157,975</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(36,241)</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(57,002)</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64,732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Arial" w:cs="Arial" w:eastAsia="Arial" w:hAnsi="Arial"/>
                <w:sz w:val="18"/>
                <w:szCs w:val="18"/>
                <w:color w:val="auto"/>
              </w:rPr>
              <w:t>Exercise of stock options for cash</w:t>
            </w:r>
          </w:p>
        </w:tc>
        <w:tc>
          <w:tcPr>
            <w:tcW w:w="1060" w:type="dxa"/>
            <w:vAlign w:val="bottom"/>
          </w:tcPr>
          <w:p>
            <w:pPr>
              <w:jc w:val="right"/>
              <w:spacing w:after="0"/>
              <w:rPr>
                <w:sz w:val="20"/>
                <w:szCs w:val="20"/>
                <w:color w:val="auto"/>
              </w:rPr>
            </w:pPr>
            <w:r>
              <w:rPr>
                <w:rFonts w:ascii="Arial" w:cs="Arial" w:eastAsia="Arial" w:hAnsi="Arial"/>
                <w:sz w:val="18"/>
                <w:szCs w:val="18"/>
                <w:color w:val="auto"/>
              </w:rPr>
              <w:t>800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Shares issued under Employee Stock Purchase</w:t>
            </w: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Plan</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60" w:type="dxa"/>
            <w:vAlign w:val="bottom"/>
          </w:tcPr>
          <w:p>
            <w:pPr>
              <w:jc w:val="right"/>
              <w:spacing w:after="0"/>
              <w:rPr>
                <w:sz w:val="20"/>
                <w:szCs w:val="20"/>
                <w:color w:val="auto"/>
              </w:rPr>
            </w:pPr>
            <w:r>
              <w:rPr>
                <w:rFonts w:ascii="Arial" w:cs="Arial" w:eastAsia="Arial" w:hAnsi="Arial"/>
                <w:sz w:val="18"/>
                <w:szCs w:val="18"/>
                <w:color w:val="auto"/>
              </w:rPr>
              <w:t>32,648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Employee tax withholdings on stock-based</w:t>
            </w: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compensation</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(2,745)</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4760" w:type="dxa"/>
            <w:vAlign w:val="bottom"/>
          </w:tcPr>
          <w:p>
            <w:pPr>
              <w:spacing w:after="0"/>
              <w:rPr>
                <w:sz w:val="20"/>
                <w:szCs w:val="20"/>
                <w:color w:val="auto"/>
              </w:rPr>
            </w:pPr>
            <w:r>
              <w:rPr>
                <w:rFonts w:ascii="Arial" w:cs="Arial" w:eastAsia="Arial" w:hAnsi="Arial"/>
                <w:sz w:val="18"/>
                <w:szCs w:val="18"/>
                <w:color w:val="auto"/>
              </w:rPr>
              <w:t>Net income</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2021</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31,094,688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158,197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(36,242)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(55,900)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66,055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4760" w:type="dxa"/>
            <w:vAlign w:val="bottom"/>
          </w:tcPr>
          <w:p>
            <w:pPr>
              <w:spacing w:after="0"/>
              <w:rPr>
                <w:sz w:val="24"/>
                <w:szCs w:val="24"/>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ind w:left="340" w:right="1780"/>
        <w:spacing w:after="0" w:line="266" w:lineRule="auto"/>
        <w:rPr>
          <w:sz w:val="20"/>
          <w:szCs w:val="20"/>
          <w:color w:val="auto"/>
        </w:rPr>
      </w:pPr>
      <w:r>
        <w:rPr>
          <w:rFonts w:ascii="Arial" w:cs="Arial" w:eastAsia="Arial" w:hAnsi="Arial"/>
          <w:sz w:val="18"/>
          <w:szCs w:val="18"/>
          <w:b w:val="1"/>
          <w:bCs w:val="1"/>
          <w:color w:val="auto"/>
        </w:rPr>
        <w:t>ORION ENERGY SYSTEMS, INC. AND SUBSIDIARIES UNAUDITED CONDENSED CONSOLIDATED STATEMENTS OF SHAREHOLDERS’ EQUITY (in thousands, except share amounts)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Shareholders’ Equity</w:t>
            </w: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780" w:type="dxa"/>
            <w:vAlign w:val="bottom"/>
          </w:tcPr>
          <w:p>
            <w:pPr>
              <w:spacing w:after="0"/>
              <w:rPr>
                <w:sz w:val="13"/>
                <w:szCs w:val="13"/>
                <w:color w:val="auto"/>
              </w:rPr>
            </w:pPr>
          </w:p>
        </w:tc>
        <w:tc>
          <w:tcPr>
            <w:tcW w:w="2380" w:type="dxa"/>
            <w:vAlign w:val="bottom"/>
            <w:tcBorders>
              <w:bottom w:val="single" w:sz="8" w:color="auto"/>
            </w:tcBorders>
            <w:gridSpan w:val="4"/>
          </w:tcPr>
          <w:p>
            <w:pPr>
              <w:jc w:val="right"/>
              <w:ind w:right="632"/>
              <w:spacing w:after="0" w:line="155" w:lineRule="exact"/>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3"/>
        </w:trPr>
        <w:tc>
          <w:tcPr>
            <w:tcW w:w="4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right"/>
              <w:ind w:right="132"/>
              <w:spacing w:after="0" w:line="133" w:lineRule="exact"/>
              <w:rPr>
                <w:sz w:val="20"/>
                <w:szCs w:val="20"/>
                <w:color w:val="auto"/>
              </w:rPr>
            </w:pPr>
            <w:r>
              <w:rPr>
                <w:rFonts w:ascii="Arial" w:cs="Arial" w:eastAsia="Arial" w:hAnsi="Arial"/>
                <w:sz w:val="14"/>
                <w:szCs w:val="14"/>
                <w:b w:val="1"/>
                <w:bCs w:val="1"/>
                <w:color w:val="auto"/>
                <w:w w:val="99"/>
              </w:rPr>
              <w:t>Additional</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4"/>
              </w:rPr>
              <w:t>Treasury</w:t>
            </w:r>
          </w:p>
        </w:tc>
        <w:tc>
          <w:tcPr>
            <w:tcW w:w="180" w:type="dxa"/>
            <w:vAlign w:val="bottom"/>
          </w:tcPr>
          <w:p>
            <w:pPr>
              <w:spacing w:after="0"/>
              <w:rPr>
                <w:sz w:val="11"/>
                <w:szCs w:val="11"/>
                <w:color w:val="auto"/>
              </w:rPr>
            </w:pPr>
          </w:p>
        </w:tc>
        <w:tc>
          <w:tcPr>
            <w:tcW w:w="11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3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92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rPr>
              <w:t>Paid-in</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71"/>
        </w:trPr>
        <w:tc>
          <w:tcPr>
            <w:tcW w:w="4780" w:type="dxa"/>
            <w:vAlign w:val="bottom"/>
            <w:vMerge w:val="restart"/>
          </w:tcPr>
          <w:p>
            <w:pPr>
              <w:spacing w:after="0"/>
              <w:rPr>
                <w:sz w:val="20"/>
                <w:szCs w:val="20"/>
                <w:color w:val="auto"/>
              </w:rPr>
            </w:pPr>
            <w:r>
              <w:rPr>
                <w:rFonts w:ascii="Arial" w:cs="Arial" w:eastAsia="Arial" w:hAnsi="Arial"/>
                <w:sz w:val="18"/>
                <w:szCs w:val="18"/>
                <w:color w:val="auto"/>
              </w:rPr>
              <w:t>Balance, March 31, 2020</w:t>
            </w:r>
          </w:p>
        </w:tc>
        <w:tc>
          <w:tcPr>
            <w:tcW w:w="13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ind w:right="232"/>
              <w:spacing w:after="0"/>
              <w:rPr>
                <w:sz w:val="20"/>
                <w:szCs w:val="20"/>
                <w:color w:val="auto"/>
              </w:rPr>
            </w:pPr>
            <w:r>
              <w:rPr>
                <w:rFonts w:ascii="Arial" w:cs="Arial" w:eastAsia="Arial" w:hAnsi="Arial"/>
                <w:sz w:val="14"/>
                <w:szCs w:val="14"/>
                <w:b w:val="1"/>
                <w:bCs w:val="1"/>
                <w:color w:val="auto"/>
              </w:rPr>
              <w:t>Capital</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4"/>
                <w:szCs w:val="14"/>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3"/>
        </w:trPr>
        <w:tc>
          <w:tcPr>
            <w:tcW w:w="4780" w:type="dxa"/>
            <w:vAlign w:val="bottom"/>
            <w:vMerge w:val="continue"/>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30,265,997</w:t>
            </w:r>
          </w:p>
        </w:tc>
        <w:tc>
          <w:tcPr>
            <w:tcW w:w="2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156,503</w:t>
            </w:r>
          </w:p>
        </w:tc>
        <w:tc>
          <w:tcPr>
            <w:tcW w:w="240" w:type="dxa"/>
            <w:vAlign w:val="bottom"/>
          </w:tcPr>
          <w:p>
            <w:pPr>
              <w:spacing w:after="0"/>
              <w:rPr>
                <w:sz w:val="19"/>
                <w:szCs w:val="19"/>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(36,163)</w:t>
            </w:r>
          </w:p>
        </w:tc>
        <w:tc>
          <w:tcPr>
            <w:tcW w:w="2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(89,305)</w:t>
            </w: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Exercise of stock options for cash</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80" w:type="dxa"/>
            <w:vAlign w:val="bottom"/>
          </w:tcPr>
          <w:p>
            <w:pPr>
              <w:spacing w:after="0"/>
              <w:rPr>
                <w:sz w:val="20"/>
                <w:szCs w:val="20"/>
                <w:color w:val="auto"/>
              </w:rPr>
            </w:pPr>
            <w:r>
              <w:rPr>
                <w:rFonts w:ascii="Arial" w:cs="Arial" w:eastAsia="Arial" w:hAnsi="Arial"/>
                <w:sz w:val="18"/>
                <w:szCs w:val="18"/>
                <w:color w:val="auto"/>
              </w:rPr>
              <w:t>Shares issued under Employee Stock Purchase</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140"/>
              <w:spacing w:after="0"/>
              <w:rPr>
                <w:sz w:val="20"/>
                <w:szCs w:val="20"/>
                <w:color w:val="auto"/>
              </w:rPr>
            </w:pPr>
            <w:r>
              <w:rPr>
                <w:rFonts w:ascii="Arial" w:cs="Arial" w:eastAsia="Arial" w:hAnsi="Arial"/>
                <w:sz w:val="18"/>
                <w:szCs w:val="18"/>
                <w:color w:val="auto"/>
              </w:rPr>
              <w:t>Plan</w:t>
            </w:r>
          </w:p>
        </w:tc>
        <w:tc>
          <w:tcPr>
            <w:tcW w:w="1080" w:type="dxa"/>
            <w:vAlign w:val="bottom"/>
          </w:tcPr>
          <w:p>
            <w:pPr>
              <w:jc w:val="right"/>
              <w:spacing w:after="0"/>
              <w:rPr>
                <w:sz w:val="20"/>
                <w:szCs w:val="20"/>
                <w:color w:val="auto"/>
              </w:rPr>
            </w:pPr>
            <w:r>
              <w:rPr>
                <w:rFonts w:ascii="Arial" w:cs="Arial" w:eastAsia="Arial" w:hAnsi="Arial"/>
                <w:sz w:val="18"/>
                <w:szCs w:val="18"/>
                <w:color w:val="auto"/>
              </w:rPr>
              <w:t>458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342,780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80" w:type="dxa"/>
            <w:vAlign w:val="bottom"/>
          </w:tcPr>
          <w:p>
            <w:pPr>
              <w:spacing w:after="0"/>
              <w:rPr>
                <w:sz w:val="20"/>
                <w:szCs w:val="20"/>
                <w:color w:val="auto"/>
              </w:rPr>
            </w:pPr>
            <w:r>
              <w:rPr>
                <w:rFonts w:ascii="Arial" w:cs="Arial" w:eastAsia="Arial" w:hAnsi="Arial"/>
                <w:sz w:val="18"/>
                <w:szCs w:val="18"/>
                <w:color w:val="auto"/>
              </w:rPr>
              <w:t>Employee tax withholdings on stock-based</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140"/>
              <w:spacing w:after="0"/>
              <w:rPr>
                <w:sz w:val="20"/>
                <w:szCs w:val="20"/>
                <w:color w:val="auto"/>
              </w:rPr>
            </w:pPr>
            <w:r>
              <w:rPr>
                <w:rFonts w:ascii="Arial" w:cs="Arial" w:eastAsia="Arial" w:hAnsi="Arial"/>
                <w:sz w:val="18"/>
                <w:szCs w:val="18"/>
                <w:color w:val="auto"/>
              </w:rPr>
              <w:t>compensation</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(4,346)</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(2,219)</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(2,219)</w:t>
            </w:r>
          </w:p>
        </w:tc>
        <w:tc>
          <w:tcPr>
            <w:tcW w:w="0" w:type="dxa"/>
            <w:vAlign w:val="bottom"/>
          </w:tcPr>
          <w:p>
            <w:pPr>
              <w:spacing w:after="0"/>
              <w:rPr>
                <w:sz w:val="1"/>
                <w:szCs w:val="1"/>
                <w:color w:val="auto"/>
              </w:rPr>
            </w:pPr>
          </w:p>
        </w:tc>
      </w:tr>
      <w:tr>
        <w:trPr>
          <w:trHeight w:val="223"/>
        </w:trPr>
        <w:tc>
          <w:tcPr>
            <w:tcW w:w="4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June 30, 2020</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30,624,889</w:t>
            </w:r>
          </w:p>
        </w:tc>
        <w:tc>
          <w:tcPr>
            <w:tcW w:w="2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156,752</w:t>
            </w:r>
          </w:p>
        </w:tc>
        <w:tc>
          <w:tcPr>
            <w:tcW w:w="24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(36,179)</w:t>
            </w:r>
          </w:p>
        </w:tc>
        <w:tc>
          <w:tcPr>
            <w:tcW w:w="2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(91,524)</w:t>
            </w:r>
          </w:p>
        </w:tc>
        <w:tc>
          <w:tcPr>
            <w:tcW w:w="2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29,049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Exercise of stock options for cash</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80" w:type="dxa"/>
            <w:vAlign w:val="bottom"/>
          </w:tcPr>
          <w:p>
            <w:pPr>
              <w:spacing w:after="0"/>
              <w:rPr>
                <w:sz w:val="20"/>
                <w:szCs w:val="20"/>
                <w:color w:val="auto"/>
              </w:rPr>
            </w:pPr>
            <w:r>
              <w:rPr>
                <w:rFonts w:ascii="Arial" w:cs="Arial" w:eastAsia="Arial" w:hAnsi="Arial"/>
                <w:sz w:val="18"/>
                <w:szCs w:val="18"/>
                <w:color w:val="auto"/>
              </w:rPr>
              <w:t>Shares issued under Employee Stock Purchase</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140"/>
              <w:spacing w:after="0"/>
              <w:rPr>
                <w:sz w:val="20"/>
                <w:szCs w:val="20"/>
                <w:color w:val="auto"/>
              </w:rPr>
            </w:pPr>
            <w:r>
              <w:rPr>
                <w:rFonts w:ascii="Arial" w:cs="Arial" w:eastAsia="Arial" w:hAnsi="Arial"/>
                <w:sz w:val="18"/>
                <w:szCs w:val="18"/>
                <w:color w:val="auto"/>
              </w:rPr>
              <w:t>Plan</w:t>
            </w:r>
          </w:p>
        </w:tc>
        <w:tc>
          <w:tcPr>
            <w:tcW w:w="1080" w:type="dxa"/>
            <w:vAlign w:val="bottom"/>
          </w:tcPr>
          <w:p>
            <w:pPr>
              <w:jc w:val="right"/>
              <w:spacing w:after="0"/>
              <w:rPr>
                <w:sz w:val="20"/>
                <w:szCs w:val="20"/>
                <w:color w:val="auto"/>
              </w:rPr>
            </w:pPr>
            <w:r>
              <w:rPr>
                <w:rFonts w:ascii="Arial" w:cs="Arial" w:eastAsia="Arial" w:hAnsi="Arial"/>
                <w:sz w:val="18"/>
                <w:szCs w:val="18"/>
                <w:color w:val="auto"/>
              </w:rPr>
              <w:t>151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76,351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80" w:type="dxa"/>
            <w:vAlign w:val="bottom"/>
          </w:tcPr>
          <w:p>
            <w:pPr>
              <w:spacing w:after="0"/>
              <w:rPr>
                <w:sz w:val="20"/>
                <w:szCs w:val="20"/>
                <w:color w:val="auto"/>
              </w:rPr>
            </w:pPr>
            <w:r>
              <w:rPr>
                <w:rFonts w:ascii="Arial" w:cs="Arial" w:eastAsia="Arial" w:hAnsi="Arial"/>
                <w:sz w:val="18"/>
                <w:szCs w:val="18"/>
                <w:color w:val="auto"/>
              </w:rPr>
              <w:t>Employee tax withholdings on stock-based</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140"/>
              <w:spacing w:after="0"/>
              <w:rPr>
                <w:sz w:val="20"/>
                <w:szCs w:val="20"/>
                <w:color w:val="auto"/>
              </w:rPr>
            </w:pPr>
            <w:r>
              <w:rPr>
                <w:rFonts w:ascii="Arial" w:cs="Arial" w:eastAsia="Arial" w:hAnsi="Arial"/>
                <w:sz w:val="18"/>
                <w:szCs w:val="18"/>
                <w:color w:val="auto"/>
              </w:rPr>
              <w:t>compensation</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(581)</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September 30, 2020</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30,709,810</w:t>
            </w:r>
          </w:p>
        </w:tc>
        <w:tc>
          <w:tcPr>
            <w:tcW w:w="2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157,031</w:t>
            </w:r>
          </w:p>
        </w:tc>
        <w:tc>
          <w:tcPr>
            <w:tcW w:w="24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(36,181)</w:t>
            </w:r>
          </w:p>
        </w:tc>
        <w:tc>
          <w:tcPr>
            <w:tcW w:w="2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(89,610)</w:t>
            </w:r>
          </w:p>
        </w:tc>
        <w:tc>
          <w:tcPr>
            <w:tcW w:w="2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31,240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Exercise of stock options for cash</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80" w:type="dxa"/>
            <w:vAlign w:val="bottom"/>
          </w:tcPr>
          <w:p>
            <w:pPr>
              <w:spacing w:after="0"/>
              <w:rPr>
                <w:sz w:val="20"/>
                <w:szCs w:val="20"/>
                <w:color w:val="auto"/>
              </w:rPr>
            </w:pPr>
            <w:r>
              <w:rPr>
                <w:rFonts w:ascii="Arial" w:cs="Arial" w:eastAsia="Arial" w:hAnsi="Arial"/>
                <w:sz w:val="18"/>
                <w:szCs w:val="18"/>
                <w:color w:val="auto"/>
              </w:rPr>
              <w:t>Shares issued under Employee Stock Purchase</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140"/>
              <w:spacing w:after="0"/>
              <w:rPr>
                <w:sz w:val="20"/>
                <w:szCs w:val="20"/>
                <w:color w:val="auto"/>
              </w:rPr>
            </w:pPr>
            <w:r>
              <w:rPr>
                <w:rFonts w:ascii="Arial" w:cs="Arial" w:eastAsia="Arial" w:hAnsi="Arial"/>
                <w:sz w:val="18"/>
                <w:szCs w:val="18"/>
                <w:color w:val="auto"/>
              </w:rPr>
              <w:t>Plan</w:t>
            </w:r>
          </w:p>
        </w:tc>
        <w:tc>
          <w:tcPr>
            <w:tcW w:w="1080" w:type="dxa"/>
            <w:vAlign w:val="bottom"/>
          </w:tcPr>
          <w:p>
            <w:pPr>
              <w:jc w:val="right"/>
              <w:spacing w:after="0"/>
              <w:rPr>
                <w:sz w:val="20"/>
                <w:szCs w:val="20"/>
                <w:color w:val="auto"/>
              </w:rPr>
            </w:pPr>
            <w:r>
              <w:rPr>
                <w:rFonts w:ascii="Arial" w:cs="Arial" w:eastAsia="Arial" w:hAnsi="Arial"/>
                <w:sz w:val="18"/>
                <w:szCs w:val="18"/>
                <w:color w:val="auto"/>
              </w:rPr>
              <w:t>178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80" w:type="dxa"/>
            <w:vAlign w:val="bottom"/>
          </w:tcPr>
          <w:p>
            <w:pPr>
              <w:spacing w:after="0"/>
              <w:rPr>
                <w:sz w:val="20"/>
                <w:szCs w:val="20"/>
                <w:color w:val="auto"/>
              </w:rPr>
            </w:pPr>
            <w:r>
              <w:rPr>
                <w:rFonts w:ascii="Arial" w:cs="Arial" w:eastAsia="Arial" w:hAnsi="Arial"/>
                <w:sz w:val="18"/>
                <w:szCs w:val="18"/>
                <w:color w:val="auto"/>
              </w:rPr>
              <w:t>Employee tax withholdings on stock-based</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140"/>
              <w:spacing w:after="0"/>
              <w:rPr>
                <w:sz w:val="20"/>
                <w:szCs w:val="20"/>
                <w:color w:val="auto"/>
              </w:rPr>
            </w:pPr>
            <w:r>
              <w:rPr>
                <w:rFonts w:ascii="Arial" w:cs="Arial" w:eastAsia="Arial" w:hAnsi="Arial"/>
                <w:sz w:val="18"/>
                <w:szCs w:val="18"/>
                <w:color w:val="auto"/>
              </w:rPr>
              <w:t>compensation</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(235)</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Balance, December 31, 2020</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30,759,953</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157,262</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(36,181)</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(85,295)</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 w:name="page7"/>
    <w:bookmarkEnd w:id="6"/>
    <w:p>
      <w:pPr>
        <w:jc w:val="center"/>
        <w:ind w:left="340" w:right="2340"/>
        <w:spacing w:after="0" w:line="266" w:lineRule="auto"/>
        <w:rPr>
          <w:sz w:val="20"/>
          <w:szCs w:val="20"/>
          <w:color w:val="auto"/>
        </w:rPr>
      </w:pPr>
      <w:r>
        <w:rPr>
          <w:rFonts w:ascii="Arial" w:cs="Arial" w:eastAsia="Arial" w:hAnsi="Arial"/>
          <w:sz w:val="18"/>
          <w:szCs w:val="18"/>
          <w:b w:val="1"/>
          <w:bCs w:val="1"/>
          <w:color w:val="auto"/>
        </w:rPr>
        <w:t>ORION ENERGY SYSTEMS, INC. AND SUBSIDIARIES UNAUDITED CONDENSED CONSOLIDATED STATEMENTS OF CASH FLOWS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December 31,</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Net income</w:t>
            </w:r>
          </w:p>
        </w:tc>
        <w:tc>
          <w:tcPr>
            <w:tcW w:w="980" w:type="dxa"/>
            <w:vAlign w:val="bottom"/>
          </w:tcPr>
          <w:p>
            <w:pPr>
              <w:jc w:val="right"/>
              <w:ind w:right="797"/>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7,271</w:t>
            </w:r>
          </w:p>
        </w:tc>
        <w:tc>
          <w:tcPr>
            <w:tcW w:w="280" w:type="dxa"/>
            <w:vAlign w:val="bottom"/>
          </w:tcPr>
          <w:p>
            <w:pPr>
              <w:spacing w:after="0"/>
              <w:rPr>
                <w:sz w:val="19"/>
                <w:szCs w:val="19"/>
                <w:color w:val="auto"/>
              </w:rPr>
            </w:pPr>
          </w:p>
        </w:tc>
        <w:tc>
          <w:tcPr>
            <w:tcW w:w="960" w:type="dxa"/>
            <w:vAlign w:val="bottom"/>
          </w:tcPr>
          <w:p>
            <w:pPr>
              <w:jc w:val="right"/>
              <w:ind w:right="775"/>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4,010</w:t>
            </w:r>
          </w:p>
        </w:tc>
        <w:tc>
          <w:tcPr>
            <w:tcW w:w="120" w:type="dxa"/>
            <w:vAlign w:val="bottom"/>
          </w:tcPr>
          <w:p>
            <w:pPr>
              <w:spacing w:after="0"/>
              <w:rPr>
                <w:sz w:val="19"/>
                <w:szCs w:val="19"/>
                <w:color w:val="auto"/>
              </w:rPr>
            </w:pPr>
          </w:p>
        </w:tc>
      </w:tr>
      <w:tr>
        <w:trPr>
          <w:trHeight w:val="215"/>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income to net cash provided by (used in)</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activities:</w:t>
            </w: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Depreciation</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936</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889</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intangible assets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Stock-based compensation</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591</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611</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debt issue costs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Loss on debt extinguishment</w:t>
            </w:r>
          </w:p>
        </w:tc>
        <w:tc>
          <w:tcPr>
            <w:tcW w:w="98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income tax</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2,340</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(Gain) loss on sale of property and equipment</w:t>
            </w: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(77)</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Provision for inventory reserves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Provision for bad debts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1,276</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5"/>
              </w:rPr>
              <w:t>(13,208)</w:t>
            </w: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Revenue earned but not billed</w:t>
            </w: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(930)</w:t>
            </w: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(959)</w:t>
            </w: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Inventories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(4,196)</w:t>
            </w: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Prepaid expenses and other assets</w:t>
            </w: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(1,292)</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(5,231)</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(304)</w:t>
            </w: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Accrued expenses and other</w:t>
            </w: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(3,651)</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6,555</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revenue, current and long-term</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(38)</w:t>
            </w:r>
          </w:p>
        </w:tc>
      </w:tr>
      <w:tr>
        <w:trPr>
          <w:trHeight w:val="223"/>
        </w:trPr>
        <w:tc>
          <w:tcPr>
            <w:tcW w:w="7720" w:type="dxa"/>
            <w:vAlign w:val="bottom"/>
          </w:tcPr>
          <w:p>
            <w:pPr>
              <w:ind w:left="26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9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2,315</w:t>
            </w:r>
          </w:p>
        </w:tc>
        <w:tc>
          <w:tcPr>
            <w:tcW w:w="28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(5,644)</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Investing activities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Cash to fund acquisition</w:t>
            </w: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(3,697)</w:t>
            </w:r>
          </w:p>
        </w:tc>
        <w:tc>
          <w:tcPr>
            <w:tcW w:w="96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for investment</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(500)</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Purchases of property and equipment</w:t>
            </w: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(465)</w:t>
            </w: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(658)</w:t>
            </w: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Additions to patents and licenses</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(43)</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Proceeds from sale of property, plant and equipment</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122</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7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Net cash used in investing activities</w:t>
            </w:r>
          </w:p>
        </w:tc>
        <w:tc>
          <w:tcPr>
            <w:tcW w:w="9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(4,548)</w:t>
            </w:r>
          </w:p>
        </w:tc>
        <w:tc>
          <w:tcPr>
            <w:tcW w:w="2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 of long-term debt</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(11)</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Proceeds from revolving credit facility</w:t>
            </w:r>
          </w:p>
        </w:tc>
        <w:tc>
          <w:tcPr>
            <w:tcW w:w="98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8,000</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of revolving credit facility</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5"/>
              </w:rPr>
              <w:t>(18,013)</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Payments to settle employee tax withholdings on stock-based compensation</w:t>
            </w: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financing costs</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(212)</w:t>
            </w:r>
          </w:p>
        </w:tc>
      </w:tr>
      <w:tr>
        <w:trPr>
          <w:trHeight w:val="23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proceeds from employee equity exercises</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2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2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(10,127)</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(2,129)</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(16,472)</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19,393</w:t>
            </w:r>
          </w:p>
        </w:tc>
        <w:tc>
          <w:tcPr>
            <w:tcW w:w="2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28,751</w:t>
            </w:r>
          </w:p>
        </w:tc>
        <w:tc>
          <w:tcPr>
            <w:tcW w:w="120" w:type="dxa"/>
            <w:vAlign w:val="bottom"/>
            <w:shd w:val="clear" w:color="auto" w:fill="CFF0FC"/>
          </w:tcPr>
          <w:p>
            <w:pPr>
              <w:spacing w:after="0"/>
              <w:rPr>
                <w:sz w:val="19"/>
                <w:szCs w:val="19"/>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980" w:type="dxa"/>
            <w:vAlign w:val="bottom"/>
            <w:tcBorders>
              <w:bottom w:val="single" w:sz="8" w:color="auto"/>
            </w:tcBorders>
          </w:tcPr>
          <w:p>
            <w:pPr>
              <w:jc w:val="right"/>
              <w:ind w:right="797"/>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17,264</w:t>
            </w:r>
          </w:p>
        </w:tc>
        <w:tc>
          <w:tcPr>
            <w:tcW w:w="280" w:type="dxa"/>
            <w:vAlign w:val="bottom"/>
            <w:tcBorders>
              <w:bottom w:val="single" w:sz="8" w:color="CFF0FC"/>
            </w:tcBorders>
          </w:tcPr>
          <w:p>
            <w:pPr>
              <w:spacing w:after="0"/>
              <w:rPr>
                <w:sz w:val="22"/>
                <w:szCs w:val="22"/>
                <w:color w:val="auto"/>
              </w:rPr>
            </w:pPr>
          </w:p>
        </w:tc>
        <w:tc>
          <w:tcPr>
            <w:tcW w:w="960" w:type="dxa"/>
            <w:vAlign w:val="bottom"/>
            <w:tcBorders>
              <w:bottom w:val="single" w:sz="8" w:color="auto"/>
            </w:tcBorders>
          </w:tcPr>
          <w:p>
            <w:pPr>
              <w:jc w:val="right"/>
              <w:ind w:right="775"/>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12,279</w:t>
            </w:r>
          </w:p>
        </w:tc>
        <w:tc>
          <w:tcPr>
            <w:tcW w:w="120" w:type="dxa"/>
            <w:vAlign w:val="bottom"/>
            <w:tcBorders>
              <w:bottom w:val="single" w:sz="8" w:color="CFF0FC"/>
            </w:tcBorders>
          </w:tcPr>
          <w:p>
            <w:pPr>
              <w:spacing w:after="0"/>
              <w:rPr>
                <w:sz w:val="22"/>
                <w:szCs w:val="22"/>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Operating lease assets obtained in exchange for new operating lease liabilities</w:t>
            </w:r>
          </w:p>
        </w:tc>
        <w:tc>
          <w:tcPr>
            <w:tcW w:w="980" w:type="dxa"/>
            <w:vAlign w:val="bottom"/>
          </w:tcPr>
          <w:p>
            <w:pPr>
              <w:jc w:val="right"/>
              <w:ind w:right="797"/>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75"/>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20"/>
                <w:szCs w:val="20"/>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NOTES TO THE CONDENSED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175" w:lineRule="exact"/>
        <w:rPr>
          <w:sz w:val="20"/>
          <w:szCs w:val="20"/>
          <w:color w:val="auto"/>
        </w:rPr>
      </w:pPr>
    </w:p>
    <w:p>
      <w:pPr>
        <w:jc w:val="both"/>
        <w:ind w:firstLine="489"/>
        <w:spacing w:after="0" w:line="286" w:lineRule="auto"/>
        <w:rPr>
          <w:sz w:val="20"/>
          <w:szCs w:val="20"/>
          <w:color w:val="auto"/>
        </w:rPr>
      </w:pPr>
      <w:r>
        <w:rPr>
          <w:rFonts w:ascii="Arial" w:cs="Arial" w:eastAsia="Arial" w:hAnsi="Arial"/>
          <w:sz w:val="17"/>
          <w:szCs w:val="17"/>
          <w:color w:val="auto"/>
        </w:rPr>
        <w:t>Orion includes Orion Energy Systems, Inc., a Wisconsin corporation, and all consolidated subsidiaries. Orion is a developer, manufacturer and provider of energy-efficient LED lighting, controls and Internet of Things (“IoT”) systems, including turnkey project implementation, program management and system maintenance to commercial and industrial businesses, and federal and local governments, predominantly in North America.</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IMPACT OF COVID-19</w:t>
      </w:r>
    </w:p>
    <w:p>
      <w:pPr>
        <w:spacing w:after="0" w:line="175" w:lineRule="exact"/>
        <w:rPr>
          <w:sz w:val="20"/>
          <w:szCs w:val="20"/>
          <w:color w:val="auto"/>
        </w:rPr>
      </w:pPr>
    </w:p>
    <w:p>
      <w:pPr>
        <w:jc w:val="both"/>
        <w:ind w:firstLine="788"/>
        <w:spacing w:after="0" w:line="293" w:lineRule="auto"/>
        <w:rPr>
          <w:sz w:val="20"/>
          <w:szCs w:val="20"/>
          <w:color w:val="auto"/>
        </w:rPr>
      </w:pPr>
      <w:r>
        <w:rPr>
          <w:rFonts w:ascii="Arial" w:cs="Arial" w:eastAsia="Arial" w:hAnsi="Arial"/>
          <w:sz w:val="16"/>
          <w:szCs w:val="16"/>
          <w:color w:val="auto"/>
        </w:rPr>
        <w:t>The COVID-19 pandemic has disrupted business, trade, commerce, financial and credit markets, in the U.S. and globally. Orion’s business was adversely impacted by measures taken by government entities and others to control the spread of the virus beginning in March 2020, the last few weeks of our 2020 fiscal year, and continuing most significantly into the second quarter of fiscal 2021. During the second half of fiscal 2021, Orion experienced a rebound in business. Project installations for their largest customer recommenced, as well installations for a new large specialty retail customer began, with no further significant COVID-19 impacts. However, during fiscal 2022, there have been customer delays on several larger LED lighting and controls projects, primarily caused by the response of customers to ongoing supply chain disruptions and renewed COVID-19 related impacts to their businesses.</w:t>
      </w:r>
    </w:p>
    <w:p>
      <w:pPr>
        <w:spacing w:after="0" w:line="110" w:lineRule="exact"/>
        <w:rPr>
          <w:sz w:val="20"/>
          <w:szCs w:val="20"/>
          <w:color w:val="auto"/>
        </w:rPr>
      </w:pPr>
    </w:p>
    <w:p>
      <w:pPr>
        <w:jc w:val="both"/>
        <w:ind w:firstLine="493"/>
        <w:spacing w:after="0" w:line="286" w:lineRule="auto"/>
        <w:rPr>
          <w:sz w:val="20"/>
          <w:szCs w:val="20"/>
          <w:color w:val="auto"/>
        </w:rPr>
      </w:pPr>
      <w:r>
        <w:rPr>
          <w:rFonts w:ascii="Arial" w:cs="Arial" w:eastAsia="Arial" w:hAnsi="Arial"/>
          <w:sz w:val="17"/>
          <w:szCs w:val="17"/>
          <w:color w:val="auto"/>
        </w:rPr>
        <w:t>As an essential business, Orion provides products and services to ensure energy and lighting infrastructure and we therefore have continued to operate throughout the pandemic. Orion has implemented a number of safety protocols, including limiting travel and restricting access to their facilities along with monitoring processes, physical distancing, physical barriers, enhanced cleaning procedures and requiring face coverings.</w:t>
      </w:r>
    </w:p>
    <w:p>
      <w:pPr>
        <w:spacing w:after="0" w:line="111" w:lineRule="exact"/>
        <w:rPr>
          <w:sz w:val="20"/>
          <w:szCs w:val="20"/>
          <w:color w:val="auto"/>
        </w:rPr>
      </w:pPr>
    </w:p>
    <w:p>
      <w:pPr>
        <w:jc w:val="both"/>
        <w:ind w:firstLine="493"/>
        <w:spacing w:after="0" w:line="269" w:lineRule="auto"/>
        <w:rPr>
          <w:sz w:val="20"/>
          <w:szCs w:val="20"/>
          <w:color w:val="auto"/>
        </w:rPr>
      </w:pPr>
      <w:r>
        <w:rPr>
          <w:rFonts w:ascii="Arial" w:cs="Arial" w:eastAsia="Arial" w:hAnsi="Arial"/>
          <w:sz w:val="17"/>
          <w:szCs w:val="17"/>
          <w:color w:val="auto"/>
        </w:rPr>
        <w:t>As part of Orion’s response to the impacts of the COVID-19 pandemic, during the fourth quarter of fiscal 2020 they implemented a number of cost reduction and cash conservation measures, including reducing headcount. While certain restrictions have lessened in certain jurisdictions, some restrictions continue. Some customers and projects are in areas where travel restrictions have been imposed, certain customers have either closed or reduced on-site activities, and timelines for the completion of several projects have been delayed, extended or terminated. These modifications to Orion business practices, including any future actions they take, may cause them to experience reductions in productivity and disruptions to their business routines. In addition, Orion is required to make substantial working capital expenditures and advance inventory purchases that they may not be able to recoup if our customer agreements or a substantial volume of purchase orders under their customer agreements are delayed or terminated as a result of COVID-19. At this time, it is not possible to predict the overall impact the COVID-19 pandemic will have on Orion’s business, liquidity, capital resources or financial results, although the economic and regulatory impacts of COVID-19 significantly reduced their revenue and profitability in the first half of fiscal 2021. If the resurgence of the COVID-19 pandemic continues, or a future resurgence occurs, Orion’s markets and operations could be impacted and there could be a further material adverse financial impact.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71" w:lineRule="exact"/>
        <w:rPr>
          <w:sz w:val="20"/>
          <w:szCs w:val="20"/>
          <w:color w:val="auto"/>
        </w:rPr>
      </w:pPr>
    </w:p>
    <w:p>
      <w:pPr>
        <w:jc w:val="both"/>
        <w:ind w:firstLine="493"/>
        <w:spacing w:after="0" w:line="277" w:lineRule="auto"/>
        <w:rPr>
          <w:sz w:val="20"/>
          <w:szCs w:val="20"/>
          <w:color w:val="auto"/>
        </w:rPr>
      </w:pPr>
      <w:r>
        <w:rPr>
          <w:rFonts w:ascii="Arial" w:cs="Arial" w:eastAsia="Arial" w:hAnsi="Arial"/>
          <w:sz w:val="18"/>
          <w:szCs w:val="18"/>
          <w:color w:val="auto"/>
        </w:rPr>
        <w:t>The consolidated financial statements include the accounts of Orion and its wholly-owned subsidiaries. All significant intercompany transactions and balances have been eliminated in consolidation.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The accompanying unaudited Condensed Consolidated Financial Statements of Orion have been prepared in accordance with accounting principles generally accepted in the United States (GAAP) for interim financial information and with the rules and regulations of the Securities and Exchange Commission (SEC). Accordingly, they do not include all of the information and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 w:name="page9"/>
    <w:bookmarkEnd w:id="8"/>
    <w:p>
      <w:pPr>
        <w:jc w:val="both"/>
        <w:spacing w:after="0" w:line="263" w:lineRule="auto"/>
        <w:rPr>
          <w:sz w:val="20"/>
          <w:szCs w:val="20"/>
          <w:color w:val="auto"/>
        </w:rPr>
      </w:pPr>
      <w:r>
        <w:rPr>
          <w:rFonts w:ascii="Arial" w:cs="Arial" w:eastAsia="Arial" w:hAnsi="Arial"/>
          <w:sz w:val="18"/>
          <w:szCs w:val="18"/>
          <w:color w:val="auto"/>
        </w:rPr>
        <w:t>footnotes required by GAAP for complete financial statements. In the opinion of management, all adjustments, consisting of normal recurring adjustments, considered necessary for a fair statement have been included. Interim results are not necessarily indicative of results that may be expected for the fiscal year ending March 31, 2022 or other interim periods.</w:t>
      </w:r>
    </w:p>
    <w:p>
      <w:pPr>
        <w:spacing w:after="0" w:line="130" w:lineRule="exact"/>
        <w:rPr>
          <w:sz w:val="20"/>
          <w:szCs w:val="20"/>
          <w:color w:val="auto"/>
        </w:rPr>
      </w:pPr>
    </w:p>
    <w:p>
      <w:pPr>
        <w:jc w:val="both"/>
        <w:ind w:firstLine="493"/>
        <w:spacing w:after="0" w:line="277" w:lineRule="auto"/>
        <w:rPr>
          <w:sz w:val="20"/>
          <w:szCs w:val="20"/>
          <w:color w:val="auto"/>
        </w:rPr>
      </w:pPr>
      <w:r>
        <w:rPr>
          <w:rFonts w:ascii="Arial" w:cs="Arial" w:eastAsia="Arial" w:hAnsi="Arial"/>
          <w:sz w:val="18"/>
          <w:szCs w:val="18"/>
          <w:color w:val="auto"/>
        </w:rPr>
        <w:t>The Condensed Consolidated Balance Sheet March 31, 2021 has been derived from the audited consolidated financial statements at that date but does not include all of the information required by GAAP for complete financial statements.</w:t>
      </w:r>
    </w:p>
    <w:p>
      <w:pPr>
        <w:spacing w:after="0" w:line="116" w:lineRule="exact"/>
        <w:rPr>
          <w:sz w:val="20"/>
          <w:szCs w:val="20"/>
          <w:color w:val="auto"/>
        </w:rPr>
      </w:pPr>
    </w:p>
    <w:p>
      <w:pPr>
        <w:jc w:val="both"/>
        <w:ind w:right="20" w:firstLine="493"/>
        <w:spacing w:after="0" w:line="263" w:lineRule="auto"/>
        <w:rPr>
          <w:sz w:val="20"/>
          <w:szCs w:val="20"/>
          <w:color w:val="auto"/>
        </w:rPr>
      </w:pPr>
      <w:r>
        <w:rPr>
          <w:rFonts w:ascii="Arial" w:cs="Arial" w:eastAsia="Arial" w:hAnsi="Arial"/>
          <w:sz w:val="18"/>
          <w:szCs w:val="18"/>
          <w:color w:val="auto"/>
        </w:rPr>
        <w:t>The accompanying unaudited Condensed Consolidated Financial Statements should be read in conjunction with the audited consolidated financial statements and footnotes thereto included in Orion’s Annual Report on Form 10-K for the fiscal year ended March 31, 2021 filed with the SEC on June 1, 2021.</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493"/>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reported amounts of revenues and expenses during that reporting period. Areas that require the use of significant management estimates include revenue recognition, inventory obsolescence, allowance for doubtful accounts, accruals for warranty and loss contingencies, income taxes, impairment analyses, and certain equity transactions. Accordingly, actual results could differ from those estimates.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71"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Orion's cash is primarily deposited with one financial institution. At times, deposits in this institution exceeds the amount of insurance provided on such deposits. Orion has not experienced any losses in such accounts and believes that it is not exposed to any significant financial institution viability risk on these balances.</w:t>
      </w:r>
    </w:p>
    <w:p>
      <w:pPr>
        <w:spacing w:after="0" w:line="130"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Orion purchases components necessary for its lighting products, including lamps and LED components, from multiple suppliers. For the three and nine months ended December 31, 2021, no suppliers accounted for more than 10.0% of total cost of revenue. For the three and nine months ended December 31, 2020, no suppliers accounted for more than 10.0% of total cost of revenue.</w:t>
      </w:r>
    </w:p>
    <w:p>
      <w:pPr>
        <w:spacing w:after="0" w:line="130"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For the three and nine months ended December 31, 2021, one customer accounted for 48.6% and 53.0% of total revenue, respectively. For the three months ended December 31, 2020, two customers accounted for 65.1 % and 11.1% of total revenue, respectively. For the nine months ended December 31, 2020, one customer accounted for 55.7% of total revenue.</w:t>
      </w:r>
    </w:p>
    <w:p>
      <w:pPr>
        <w:spacing w:after="0" w:line="130" w:lineRule="exact"/>
        <w:rPr>
          <w:sz w:val="20"/>
          <w:szCs w:val="20"/>
          <w:color w:val="auto"/>
        </w:rPr>
      </w:pPr>
    </w:p>
    <w:p>
      <w:pPr>
        <w:jc w:val="both"/>
        <w:ind w:right="20" w:firstLine="489"/>
        <w:spacing w:after="0" w:line="277" w:lineRule="auto"/>
        <w:rPr>
          <w:sz w:val="20"/>
          <w:szCs w:val="20"/>
          <w:color w:val="auto"/>
        </w:rPr>
      </w:pPr>
      <w:r>
        <w:rPr>
          <w:rFonts w:ascii="Arial" w:cs="Arial" w:eastAsia="Arial" w:hAnsi="Arial"/>
          <w:sz w:val="18"/>
          <w:szCs w:val="18"/>
          <w:color w:val="auto"/>
        </w:rPr>
        <w:t>As of December 31, 2021, one customer accounted for 44.4% of accounts receivable. As of March 31, 2021, three customers accounted for 33.9%, 16.4% and 10.1% of accounts receivable,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Issued: Not Yet Adopted</w:t>
      </w:r>
    </w:p>
    <w:p>
      <w:pPr>
        <w:spacing w:after="0" w:line="175" w:lineRule="exact"/>
        <w:rPr>
          <w:sz w:val="20"/>
          <w:szCs w:val="20"/>
          <w:color w:val="auto"/>
        </w:rPr>
      </w:pPr>
    </w:p>
    <w:p>
      <w:pPr>
        <w:jc w:val="both"/>
        <w:ind w:firstLine="489"/>
        <w:spacing w:after="0" w:line="272" w:lineRule="auto"/>
        <w:rPr>
          <w:sz w:val="20"/>
          <w:szCs w:val="20"/>
          <w:color w:val="auto"/>
        </w:rPr>
      </w:pPr>
      <w:r>
        <w:rPr>
          <w:rFonts w:ascii="Arial" w:cs="Arial" w:eastAsia="Arial" w:hAnsi="Arial"/>
          <w:sz w:val="17"/>
          <w:szCs w:val="17"/>
          <w:color w:val="auto"/>
        </w:rPr>
        <w:t>In June 2016, the FASB issued ASU No. 2016-13, Financial Instruments - Credit Losses (Topic 326): Measurement of Credit Losses on Financial Instruments (“ASU 2016-13”), which requires an entity to assess impairment of its financial instruments based on its estimate of expected credit losses. Since the issuance of ASU 2016-13, the FASB released several amendments to improve and clarify the implementation guidance. The provisions of ASU 2016-13 and the related amendments are effective for Orion for fiscal years (and interim reporting periods within those years) beginning after December 15, 2022. Entities are required to apply these changes through a cumulative-effect adjustment to retained earnings as of the beginning of the first reporting period in which the guidance is effective. Orion is currently evaluating the impact of adoption of this standard on its consolidated statements of operations, cash flows and the related footnote disclosures.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4 — REVENUE</w:t>
      </w:r>
    </w:p>
    <w:p>
      <w:pPr>
        <w:spacing w:after="0" w:line="175" w:lineRule="exact"/>
        <w:rPr>
          <w:sz w:val="20"/>
          <w:szCs w:val="20"/>
          <w:color w:val="auto"/>
        </w:rPr>
      </w:pPr>
    </w:p>
    <w:p>
      <w:pPr>
        <w:ind w:firstLine="493"/>
        <w:spacing w:after="0" w:line="277" w:lineRule="auto"/>
        <w:rPr>
          <w:sz w:val="20"/>
          <w:szCs w:val="20"/>
          <w:color w:val="auto"/>
        </w:rPr>
      </w:pPr>
      <w:r>
        <w:rPr>
          <w:rFonts w:ascii="Arial" w:cs="Arial" w:eastAsia="Arial" w:hAnsi="Arial"/>
          <w:sz w:val="18"/>
          <w:szCs w:val="18"/>
          <w:color w:val="auto"/>
        </w:rPr>
        <w:t>The following tables provide detail of Orion’s total revenue for the three and nine months ended December 31, 2021 and December 31, 2020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40" w:type="dxa"/>
            <w:vAlign w:val="bottom"/>
            <w:gridSpan w:val="7"/>
          </w:tcPr>
          <w:p>
            <w:pPr>
              <w:jc w:val="center"/>
              <w:ind w:right="94"/>
              <w:spacing w:after="0"/>
              <w:rPr>
                <w:sz w:val="20"/>
                <w:szCs w:val="20"/>
                <w:color w:val="auto"/>
              </w:rPr>
            </w:pPr>
            <w:r>
              <w:rPr>
                <w:rFonts w:ascii="Arial" w:cs="Arial" w:eastAsia="Arial" w:hAnsi="Arial"/>
                <w:sz w:val="14"/>
                <w:szCs w:val="14"/>
                <w:b w:val="1"/>
                <w:bCs w:val="1"/>
                <w:color w:val="auto"/>
                <w:w w:val="93"/>
              </w:rPr>
              <w:t>Three Months Ended December 31, 2021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4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92"/>
              </w:rPr>
              <w:t>Nine Months Ended December 31, 2021</w:t>
            </w:r>
          </w:p>
        </w:tc>
      </w:tr>
      <w:tr>
        <w:trPr>
          <w:trHeight w:val="156"/>
        </w:trPr>
        <w:tc>
          <w:tcPr>
            <w:tcW w:w="39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tcPr>
          <w:p>
            <w:pPr>
              <w:ind w:left="40"/>
              <w:spacing w:after="0" w:line="155" w:lineRule="exact"/>
              <w:rPr>
                <w:sz w:val="20"/>
                <w:szCs w:val="20"/>
                <w:color w:val="auto"/>
              </w:rPr>
            </w:pPr>
            <w:r>
              <w:rPr>
                <w:rFonts w:ascii="Arial" w:cs="Arial" w:eastAsia="Arial" w:hAnsi="Arial"/>
                <w:sz w:val="14"/>
                <w:szCs w:val="14"/>
                <w:b w:val="1"/>
                <w:bCs w:val="1"/>
                <w:color w:val="auto"/>
              </w:rPr>
              <w:t>Product</w:t>
            </w: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center"/>
              <w:ind w:right="74"/>
              <w:spacing w:after="0" w:line="155" w:lineRule="exact"/>
              <w:rPr>
                <w:sz w:val="20"/>
                <w:szCs w:val="20"/>
                <w:color w:val="auto"/>
              </w:rPr>
            </w:pPr>
            <w:r>
              <w:rPr>
                <w:rFonts w:ascii="Arial" w:cs="Arial" w:eastAsia="Arial" w:hAnsi="Arial"/>
                <w:sz w:val="14"/>
                <w:szCs w:val="14"/>
                <w:b w:val="1"/>
                <w:bCs w:val="1"/>
                <w:color w:val="auto"/>
                <w:w w:val="90"/>
              </w:rPr>
              <w:t>Services</w:t>
            </w:r>
          </w:p>
        </w:tc>
        <w:tc>
          <w:tcPr>
            <w:tcW w:w="2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ind w:left="60"/>
              <w:spacing w:after="0" w:line="155" w:lineRule="exact"/>
              <w:rPr>
                <w:sz w:val="20"/>
                <w:szCs w:val="20"/>
                <w:color w:val="auto"/>
              </w:rPr>
            </w:pPr>
            <w:r>
              <w:rPr>
                <w:rFonts w:ascii="Arial" w:cs="Arial" w:eastAsia="Arial" w:hAnsi="Arial"/>
                <w:sz w:val="14"/>
                <w:szCs w:val="14"/>
                <w:b w:val="1"/>
                <w:bCs w:val="1"/>
                <w:color w:val="auto"/>
              </w:rPr>
              <w:t>Product</w:t>
            </w: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center"/>
              <w:ind w:right="74"/>
              <w:spacing w:after="0" w:line="155" w:lineRule="exact"/>
              <w:rPr>
                <w:sz w:val="20"/>
                <w:szCs w:val="20"/>
                <w:color w:val="auto"/>
              </w:rPr>
            </w:pPr>
            <w:r>
              <w:rPr>
                <w:rFonts w:ascii="Arial" w:cs="Arial" w:eastAsia="Arial" w:hAnsi="Arial"/>
                <w:sz w:val="14"/>
                <w:szCs w:val="14"/>
                <w:b w:val="1"/>
                <w:bCs w:val="1"/>
                <w:color w:val="auto"/>
                <w:w w:val="86"/>
              </w:rPr>
              <w:t>Services</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3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 from contracts with customers:</w:t>
            </w:r>
          </w:p>
        </w:tc>
        <w:tc>
          <w:tcPr>
            <w:tcW w:w="6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Lighting revenues, by end user</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3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Federal government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w:t>
            </w:r>
          </w:p>
        </w:tc>
        <w:tc>
          <w:tcPr>
            <w:tcW w:w="4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1,308</w:t>
            </w:r>
          </w:p>
        </w:tc>
        <w:tc>
          <w:tcPr>
            <w:tcW w:w="100" w:type="dxa"/>
            <w:vAlign w:val="bottom"/>
            <w:shd w:val="clear" w:color="auto" w:fill="CFF0FC"/>
          </w:tcPr>
          <w:p>
            <w:pPr>
              <w:spacing w:after="0"/>
              <w:rPr>
                <w:sz w:val="19"/>
                <w:szCs w:val="19"/>
                <w:color w:val="auto"/>
              </w:rPr>
            </w:pPr>
          </w:p>
        </w:tc>
      </w:tr>
      <w:tr>
        <w:trPr>
          <w:trHeight w:val="230"/>
        </w:trPr>
        <w:tc>
          <w:tcPr>
            <w:tcW w:w="39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Commercial and industrial</w:t>
            </w:r>
          </w:p>
        </w:tc>
        <w:tc>
          <w:tcPr>
            <w:tcW w:w="6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21,730</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8,314</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30,044</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76,269</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23,460</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99,729</w:t>
            </w:r>
          </w:p>
        </w:tc>
        <w:tc>
          <w:tcPr>
            <w:tcW w:w="100" w:type="dxa"/>
            <w:vAlign w:val="bottom"/>
            <w:tcBorders>
              <w:bottom w:val="single" w:sz="8" w:color="CFF0FC"/>
            </w:tcBorders>
          </w:tcPr>
          <w:p>
            <w:pPr>
              <w:spacing w:after="0"/>
              <w:rPr>
                <w:sz w:val="19"/>
                <w:szCs w:val="19"/>
                <w:color w:val="auto"/>
              </w:rPr>
            </w:pPr>
          </w:p>
        </w:tc>
      </w:tr>
      <w:tr>
        <w:trPr>
          <w:trHeight w:val="223"/>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Total lighting</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21,834</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8,511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30,345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76,972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24,065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101,037</w:t>
            </w:r>
          </w:p>
        </w:tc>
        <w:tc>
          <w:tcPr>
            <w:tcW w:w="100" w:type="dxa"/>
            <w:vAlign w:val="bottom"/>
            <w:shd w:val="clear" w:color="auto" w:fill="CFF0FC"/>
          </w:tcPr>
          <w:p>
            <w:pPr>
              <w:spacing w:after="0"/>
              <w:rPr>
                <w:sz w:val="19"/>
                <w:szCs w:val="19"/>
                <w:color w:val="auto"/>
              </w:rPr>
            </w:pPr>
          </w:p>
        </w:tc>
      </w:tr>
      <w:tr>
        <w:trPr>
          <w:trHeight w:val="230"/>
        </w:trPr>
        <w:tc>
          <w:tcPr>
            <w:tcW w:w="39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Solar energy related revenues</w:t>
            </w:r>
          </w:p>
        </w:tc>
        <w:tc>
          <w:tcPr>
            <w:tcW w:w="6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FF0FC"/>
            </w:tcBorders>
          </w:tcPr>
          <w:p>
            <w:pPr>
              <w:spacing w:after="0"/>
              <w:rPr>
                <w:sz w:val="19"/>
                <w:szCs w:val="19"/>
                <w:color w:val="auto"/>
              </w:rPr>
            </w:pPr>
          </w:p>
        </w:tc>
      </w:tr>
      <w:tr>
        <w:trPr>
          <w:trHeight w:val="223"/>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Total revenues from contracts with customers</w:t>
            </w:r>
          </w:p>
        </w:tc>
        <w:tc>
          <w:tcPr>
            <w:tcW w:w="6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21,842</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8,511</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30,353</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77,008</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24,065</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101,073</w:t>
            </w:r>
          </w:p>
        </w:tc>
        <w:tc>
          <w:tcPr>
            <w:tcW w:w="100" w:type="dxa"/>
            <w:vAlign w:val="bottom"/>
            <w:shd w:val="clear" w:color="auto" w:fill="CFF0FC"/>
          </w:tcPr>
          <w:p>
            <w:pPr>
              <w:spacing w:after="0"/>
              <w:rPr>
                <w:sz w:val="19"/>
                <w:szCs w:val="19"/>
                <w:color w:val="auto"/>
              </w:rPr>
            </w:pPr>
          </w:p>
        </w:tc>
      </w:tr>
      <w:tr>
        <w:trPr>
          <w:trHeight w:val="223"/>
        </w:trPr>
        <w:tc>
          <w:tcPr>
            <w:tcW w:w="3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Revenue accounted for under other guidance</w:t>
            </w:r>
          </w:p>
        </w:tc>
        <w:tc>
          <w:tcPr>
            <w:tcW w:w="6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1,252</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1,252</w:t>
            </w:r>
          </w:p>
        </w:tc>
        <w:tc>
          <w:tcPr>
            <w:tcW w:w="100" w:type="dxa"/>
            <w:vAlign w:val="bottom"/>
            <w:tcBorders>
              <w:bottom w:val="single" w:sz="8" w:color="CFF0FC"/>
            </w:tcBorders>
          </w:tcPr>
          <w:p>
            <w:pPr>
              <w:spacing w:after="0"/>
              <w:rPr>
                <w:sz w:val="19"/>
                <w:szCs w:val="19"/>
                <w:color w:val="auto"/>
              </w:rPr>
            </w:pPr>
          </w:p>
        </w:tc>
      </w:tr>
      <w:tr>
        <w:trPr>
          <w:trHeight w:val="223"/>
        </w:trPr>
        <w:tc>
          <w:tcPr>
            <w:tcW w:w="3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w:t>
            </w:r>
          </w:p>
        </w:tc>
        <w:tc>
          <w:tcPr>
            <w:tcW w:w="6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22,203</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8,511</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30,714</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78,260</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24,065</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102,325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3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40" w:type="dxa"/>
            <w:vAlign w:val="bottom"/>
            <w:gridSpan w:val="7"/>
          </w:tcPr>
          <w:p>
            <w:pPr>
              <w:jc w:val="center"/>
              <w:ind w:right="94"/>
              <w:spacing w:after="0"/>
              <w:rPr>
                <w:sz w:val="20"/>
                <w:szCs w:val="20"/>
                <w:color w:val="auto"/>
              </w:rPr>
            </w:pPr>
            <w:r>
              <w:rPr>
                <w:rFonts w:ascii="Arial" w:cs="Arial" w:eastAsia="Arial" w:hAnsi="Arial"/>
                <w:sz w:val="14"/>
                <w:szCs w:val="14"/>
                <w:b w:val="1"/>
                <w:bCs w:val="1"/>
                <w:color w:val="auto"/>
                <w:w w:val="93"/>
              </w:rPr>
              <w:t>Three Months Ended December 31, 2020</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4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92"/>
              </w:rPr>
              <w:t>Nine Months Ended December 31, 2020</w:t>
            </w:r>
          </w:p>
        </w:tc>
      </w:tr>
      <w:tr>
        <w:trPr>
          <w:trHeight w:val="155"/>
        </w:trPr>
        <w:tc>
          <w:tcPr>
            <w:tcW w:w="39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Product</w:t>
            </w:r>
          </w:p>
        </w:tc>
        <w:tc>
          <w:tcPr>
            <w:tcW w:w="26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center"/>
              <w:ind w:right="74"/>
              <w:spacing w:after="0" w:line="155" w:lineRule="exact"/>
              <w:rPr>
                <w:sz w:val="20"/>
                <w:szCs w:val="20"/>
                <w:color w:val="auto"/>
              </w:rPr>
            </w:pPr>
            <w:r>
              <w:rPr>
                <w:rFonts w:ascii="Arial" w:cs="Arial" w:eastAsia="Arial" w:hAnsi="Arial"/>
                <w:sz w:val="14"/>
                <w:szCs w:val="14"/>
                <w:b w:val="1"/>
                <w:bCs w:val="1"/>
                <w:color w:val="auto"/>
                <w:w w:val="90"/>
              </w:rPr>
              <w:t>Services</w:t>
            </w:r>
          </w:p>
        </w:tc>
        <w:tc>
          <w:tcPr>
            <w:tcW w:w="24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rPr>
              <w:t>Product</w:t>
            </w: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center"/>
              <w:ind w:right="74"/>
              <w:spacing w:after="0" w:line="155" w:lineRule="exact"/>
              <w:rPr>
                <w:sz w:val="20"/>
                <w:szCs w:val="20"/>
                <w:color w:val="auto"/>
              </w:rPr>
            </w:pPr>
            <w:r>
              <w:rPr>
                <w:rFonts w:ascii="Arial" w:cs="Arial" w:eastAsia="Arial" w:hAnsi="Arial"/>
                <w:sz w:val="14"/>
                <w:szCs w:val="14"/>
                <w:b w:val="1"/>
                <w:bCs w:val="1"/>
                <w:color w:val="auto"/>
                <w:w w:val="86"/>
              </w:rPr>
              <w:t>Services</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p>
      <w:pPr>
        <w:spacing w:after="0"/>
        <w:rPr>
          <w:sz w:val="20"/>
          <w:szCs w:val="20"/>
          <w:color w:val="auto"/>
        </w:rPr>
      </w:pPr>
      <w:r>
        <w:rPr>
          <w:rFonts w:ascii="Arial" w:cs="Arial" w:eastAsia="Arial" w:hAnsi="Arial"/>
          <w:sz w:val="16"/>
          <w:szCs w:val="16"/>
          <w:color w:val="auto"/>
        </w:rPr>
        <w:t>Revenue from contracts with customers: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Lighting revenues, by end user</w:t>
      </w:r>
    </w:p>
    <w:p>
      <w:pPr>
        <w:spacing w:after="0" w:line="3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Federal government</w:t>
      </w:r>
    </w:p>
    <w:p>
      <w:pPr>
        <w:spacing w:after="0" w:line="3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Commercial and industrial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177</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323</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500</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312</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349</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661</w:t>
            </w:r>
          </w:p>
        </w:tc>
      </w:tr>
      <w:tr>
        <w:trPr>
          <w:trHeight w:val="241"/>
        </w:trPr>
        <w:tc>
          <w:tcPr>
            <w:tcW w:w="24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31,006</w:t>
            </w:r>
          </w:p>
        </w:tc>
        <w:tc>
          <w:tcPr>
            <w:tcW w:w="38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11,999</w:t>
            </w:r>
          </w:p>
        </w:tc>
        <w:tc>
          <w:tcPr>
            <w:tcW w:w="36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43,005</w:t>
            </w:r>
          </w:p>
        </w:tc>
        <w:tc>
          <w:tcPr>
            <w:tcW w:w="34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59,257</w:t>
            </w:r>
          </w:p>
        </w:tc>
        <w:tc>
          <w:tcPr>
            <w:tcW w:w="36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19,104</w:t>
            </w:r>
          </w:p>
        </w:tc>
        <w:tc>
          <w:tcPr>
            <w:tcW w:w="3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78,361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-306705</wp:posOffset>
            </wp:positionV>
            <wp:extent cx="71323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940" w:space="720"/>
            <w:col w:w="6580"/>
          </w:cols>
          <w:pgMar w:left="320" w:top="405" w:right="339" w:bottom="1440" w:gutter="0" w:footer="0" w:header="0"/>
          <w:type w:val="continuous"/>
        </w:sectPr>
      </w:pPr>
    </w:p>
    <w:tbl>
      <w:tblPr>
        <w:tblLayout w:type="fixed"/>
        <w:tblInd w:w="0" w:type="dxa"/>
        <w:tblCellMar>
          <w:top w:w="0" w:type="dxa"/>
          <w:left w:w="0" w:type="dxa"/>
          <w:bottom w:w="0" w:type="dxa"/>
          <w:right w:w="0" w:type="dxa"/>
        </w:tblCellMar>
      </w:tblPr>
      <w:tr>
        <w:trPr>
          <w:trHeight w:val="238"/>
        </w:trPr>
        <w:tc>
          <w:tcPr>
            <w:tcW w:w="3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lighting</w:t>
            </w:r>
          </w:p>
        </w:tc>
        <w:tc>
          <w:tcPr>
            <w:tcW w:w="68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31,183</w:t>
            </w:r>
          </w:p>
        </w:tc>
        <w:tc>
          <w:tcPr>
            <w:tcW w:w="26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12,322</w:t>
            </w:r>
          </w:p>
        </w:tc>
        <w:tc>
          <w:tcPr>
            <w:tcW w:w="24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43,505</w:t>
            </w:r>
          </w:p>
        </w:tc>
        <w:tc>
          <w:tcPr>
            <w:tcW w:w="20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59,569</w:t>
            </w:r>
          </w:p>
        </w:tc>
        <w:tc>
          <w:tcPr>
            <w:tcW w:w="22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19,453</w:t>
            </w:r>
          </w:p>
        </w:tc>
        <w:tc>
          <w:tcPr>
            <w:tcW w:w="22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79,022</w:t>
            </w:r>
          </w:p>
        </w:tc>
        <w:tc>
          <w:tcPr>
            <w:tcW w:w="100" w:type="dxa"/>
            <w:vAlign w:val="bottom"/>
            <w:tcBorders>
              <w:top w:val="single" w:sz="8" w:color="CFF0FC"/>
            </w:tcBorders>
            <w:shd w:val="clear" w:color="auto" w:fill="CFF0FC"/>
          </w:tcPr>
          <w:p>
            <w:pPr>
              <w:spacing w:after="0"/>
              <w:rPr>
                <w:sz w:val="20"/>
                <w:szCs w:val="20"/>
                <w:color w:val="auto"/>
              </w:rPr>
            </w:pPr>
          </w:p>
        </w:tc>
      </w:tr>
      <w:tr>
        <w:trPr>
          <w:trHeight w:val="243"/>
        </w:trPr>
        <w:tc>
          <w:tcPr>
            <w:tcW w:w="39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Solar energy related revenues</w:t>
            </w:r>
          </w:p>
        </w:tc>
        <w:tc>
          <w:tcPr>
            <w:tcW w:w="68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6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2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FF0FC"/>
            </w:tcBorders>
          </w:tcPr>
          <w:p>
            <w:pPr>
              <w:spacing w:after="0"/>
              <w:rPr>
                <w:sz w:val="21"/>
                <w:szCs w:val="21"/>
                <w:color w:val="auto"/>
              </w:rPr>
            </w:pPr>
          </w:p>
        </w:tc>
      </w:tr>
      <w:tr>
        <w:trPr>
          <w:trHeight w:val="237"/>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Total revenues from contracts with customers</w:t>
            </w:r>
          </w:p>
        </w:tc>
        <w:tc>
          <w:tcPr>
            <w:tcW w:w="68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31,190</w:t>
            </w:r>
          </w:p>
        </w:tc>
        <w:tc>
          <w:tcPr>
            <w:tcW w:w="26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12,322</w:t>
            </w:r>
          </w:p>
        </w:tc>
        <w:tc>
          <w:tcPr>
            <w:tcW w:w="24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43,512</w:t>
            </w:r>
          </w:p>
        </w:tc>
        <w:tc>
          <w:tcPr>
            <w:tcW w:w="20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59,618</w:t>
            </w:r>
          </w:p>
        </w:tc>
        <w:tc>
          <w:tcPr>
            <w:tcW w:w="22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19,453</w:t>
            </w:r>
          </w:p>
        </w:tc>
        <w:tc>
          <w:tcPr>
            <w:tcW w:w="22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79,071</w:t>
            </w:r>
          </w:p>
        </w:tc>
        <w:tc>
          <w:tcPr>
            <w:tcW w:w="100" w:type="dxa"/>
            <w:vAlign w:val="bottom"/>
            <w:shd w:val="clear" w:color="auto" w:fill="CFF0FC"/>
          </w:tcPr>
          <w:p>
            <w:pPr>
              <w:spacing w:after="0"/>
              <w:rPr>
                <w:sz w:val="20"/>
                <w:szCs w:val="20"/>
                <w:color w:val="auto"/>
              </w:rPr>
            </w:pPr>
          </w:p>
        </w:tc>
      </w:tr>
      <w:tr>
        <w:trPr>
          <w:trHeight w:val="237"/>
        </w:trPr>
        <w:tc>
          <w:tcPr>
            <w:tcW w:w="3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Revenue accounted for under other guidance</w:t>
            </w:r>
          </w:p>
        </w:tc>
        <w:tc>
          <w:tcPr>
            <w:tcW w:w="68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26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20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2,272</w:t>
            </w:r>
          </w:p>
        </w:tc>
        <w:tc>
          <w:tcPr>
            <w:tcW w:w="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2,272</w:t>
            </w:r>
          </w:p>
        </w:tc>
        <w:tc>
          <w:tcPr>
            <w:tcW w:w="100" w:type="dxa"/>
            <w:vAlign w:val="bottom"/>
            <w:tcBorders>
              <w:bottom w:val="single" w:sz="8" w:color="CFF0FC"/>
            </w:tcBorders>
          </w:tcPr>
          <w:p>
            <w:pPr>
              <w:spacing w:after="0"/>
              <w:rPr>
                <w:sz w:val="20"/>
                <w:szCs w:val="20"/>
                <w:color w:val="auto"/>
              </w:rPr>
            </w:pPr>
          </w:p>
        </w:tc>
      </w:tr>
      <w:tr>
        <w:trPr>
          <w:trHeight w:val="236"/>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Total revenue</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31,929</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12,322</w:t>
            </w: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44,251</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61,890</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19,453</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81,343</w:t>
            </w:r>
          </w:p>
        </w:tc>
        <w:tc>
          <w:tcPr>
            <w:tcW w:w="100" w:type="dxa"/>
            <w:vAlign w:val="bottom"/>
            <w:shd w:val="clear" w:color="auto" w:fill="CFF0FC"/>
          </w:tcPr>
          <w:p>
            <w:pPr>
              <w:spacing w:after="0"/>
              <w:rPr>
                <w:sz w:val="20"/>
                <w:szCs w:val="20"/>
                <w:color w:val="auto"/>
              </w:rPr>
            </w:pPr>
          </w:p>
        </w:tc>
      </w:tr>
      <w:tr>
        <w:trPr>
          <w:trHeight w:val="20"/>
        </w:trPr>
        <w:tc>
          <w:tcPr>
            <w:tcW w:w="39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48" w:lineRule="exact"/>
        <w:rPr>
          <w:sz w:val="20"/>
          <w:szCs w:val="20"/>
          <w:color w:val="auto"/>
        </w:rPr>
      </w:pPr>
    </w:p>
    <w:p>
      <w:pPr>
        <w:jc w:val="both"/>
        <w:ind w:firstLine="493"/>
        <w:spacing w:after="0" w:line="259" w:lineRule="auto"/>
        <w:rPr>
          <w:sz w:val="20"/>
          <w:szCs w:val="20"/>
          <w:color w:val="auto"/>
        </w:rPr>
      </w:pPr>
      <w:r>
        <w:rPr>
          <w:rFonts w:ascii="Arial" w:cs="Arial" w:eastAsia="Arial" w:hAnsi="Arial"/>
          <w:sz w:val="18"/>
          <w:szCs w:val="18"/>
          <w:color w:val="auto"/>
        </w:rPr>
        <w:t>From time to time, Orion sells the receivables from one customer to a financing institution. The total amount received from the sales of these receivables during the three and nine months ended December 31, 2021, was $0 and $2.4 million, respectively. Orion’s losses on these sales were $9 thousand and $8 thousand, for the three and nine months ended December 31, 2021, respectively and are included in Interest expense in the Condensed Consolidated Statements of Operations.</w:t>
      </w:r>
    </w:p>
    <w:p>
      <w:pPr>
        <w:spacing w:after="0" w:line="133"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The total amount received from the sales of these receivables during the three and nine months ended December 31, 2020 was $0 and $2.3 million, respectively. Orion’s losses on these sales were $0 and $9 thousand, respectively, for the three and nine months ended December 31, 2020 and are included in Interest expense in the Condensed Consolidated Statement of Operations.</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chart shows the balance of Orion’s receivables arising from contracts with customers, contract assets and contract liabilities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and March 31, 2021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ind w:right="277"/>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4740" w:type="dxa"/>
            <w:vAlign w:val="bottom"/>
            <w:tcBorders>
              <w:bottom w:val="single" w:sz="8" w:color="CFF0FC"/>
            </w:tcBorders>
          </w:tcPr>
          <w:p>
            <w:pPr>
              <w:spacing w:after="0"/>
              <w:rPr>
                <w:sz w:val="14"/>
                <w:szCs w:val="14"/>
                <w:color w:val="auto"/>
              </w:rPr>
            </w:pPr>
          </w:p>
        </w:tc>
        <w:tc>
          <w:tcPr>
            <w:tcW w:w="29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4"/>
                <w:szCs w:val="14"/>
                <w:color w:val="auto"/>
              </w:rPr>
            </w:pPr>
          </w:p>
        </w:tc>
      </w:tr>
      <w:tr>
        <w:trPr>
          <w:trHeight w:val="223"/>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net</w:t>
            </w:r>
          </w:p>
        </w:tc>
        <w:tc>
          <w:tcPr>
            <w:tcW w:w="29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12,287</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13,572</w:t>
            </w:r>
          </w:p>
        </w:tc>
        <w:tc>
          <w:tcPr>
            <w:tcW w:w="120" w:type="dxa"/>
            <w:vAlign w:val="bottom"/>
            <w:shd w:val="clear" w:color="auto" w:fill="CFF0FC"/>
          </w:tcPr>
          <w:p>
            <w:pPr>
              <w:spacing w:after="0"/>
              <w:rPr>
                <w:sz w:val="19"/>
                <w:szCs w:val="19"/>
                <w:color w:val="auto"/>
              </w:rPr>
            </w:pP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Contract assets</w:t>
            </w:r>
          </w:p>
        </w:tc>
        <w:tc>
          <w:tcPr>
            <w:tcW w:w="32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3,414</w:t>
            </w:r>
          </w:p>
        </w:tc>
        <w:tc>
          <w:tcPr>
            <w:tcW w:w="5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2,367</w:t>
            </w:r>
          </w:p>
        </w:tc>
        <w:tc>
          <w:tcPr>
            <w:tcW w:w="120" w:type="dxa"/>
            <w:vAlign w:val="bottom"/>
          </w:tcPr>
          <w:p>
            <w:pPr>
              <w:spacing w:after="0"/>
              <w:rPr>
                <w:sz w:val="19"/>
                <w:szCs w:val="19"/>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Contract liabilities</w:t>
            </w:r>
          </w:p>
        </w:tc>
        <w:tc>
          <w:tcPr>
            <w:tcW w:w="32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56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jc w:val="both"/>
        <w:ind w:firstLine="493"/>
        <w:spacing w:after="0" w:line="277" w:lineRule="auto"/>
        <w:rPr>
          <w:sz w:val="20"/>
          <w:szCs w:val="20"/>
          <w:color w:val="auto"/>
        </w:rPr>
      </w:pPr>
      <w:r>
        <w:rPr>
          <w:rFonts w:ascii="Arial" w:cs="Arial" w:eastAsia="Arial" w:hAnsi="Arial"/>
          <w:sz w:val="18"/>
          <w:szCs w:val="18"/>
          <w:color w:val="auto"/>
        </w:rPr>
        <w:t>There were no significant changes in the contract assets outside of standard reclassifications to accounts receivable, net upon billing. There were no significant changes to contract liabilities.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5 — ACCOUNTS RECEIVABLE, NET</w:t>
      </w:r>
    </w:p>
    <w:p>
      <w:pPr>
        <w:spacing w:after="0" w:line="175" w:lineRule="exact"/>
        <w:rPr>
          <w:sz w:val="20"/>
          <w:szCs w:val="20"/>
          <w:color w:val="auto"/>
        </w:rPr>
      </w:pPr>
    </w:p>
    <w:p>
      <w:pPr>
        <w:jc w:val="both"/>
        <w:ind w:firstLine="493"/>
        <w:spacing w:after="0" w:line="277" w:lineRule="auto"/>
        <w:rPr>
          <w:sz w:val="20"/>
          <w:szCs w:val="20"/>
          <w:color w:val="auto"/>
        </w:rPr>
      </w:pPr>
      <w:r>
        <w:rPr>
          <w:rFonts w:ascii="Arial" w:cs="Arial" w:eastAsia="Arial" w:hAnsi="Arial"/>
          <w:sz w:val="18"/>
          <w:szCs w:val="18"/>
          <w:color w:val="auto"/>
        </w:rPr>
        <w:t>As of December 31, 2021, and March 31, 2021, Orion's accounts receivable and allowance for doubtful accounts balances were as follows (dollars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77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4"/>
                <w:szCs w:val="14"/>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gross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12,292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13,583</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2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Accounts receivable, net</w:t>
            </w: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12,287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13,572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INVENTORIES, NET</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2021, and March 31, 2021, Orion's inventory balances were as follows (dollars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Excess and</w:t>
            </w: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Cost</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Obsolescence</w:t>
            </w:r>
          </w:p>
        </w:tc>
        <w:tc>
          <w:tcPr>
            <w:tcW w:w="320" w:type="dxa"/>
            <w:vAlign w:val="bottom"/>
          </w:tcPr>
          <w:p>
            <w:pPr>
              <w:spacing w:after="0"/>
              <w:rPr>
                <w:sz w:val="12"/>
                <w:szCs w:val="12"/>
                <w:color w:val="auto"/>
              </w:rPr>
            </w:pPr>
          </w:p>
        </w:tc>
        <w:tc>
          <w:tcPr>
            <w:tcW w:w="11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Reserve</w:t>
            </w:r>
          </w:p>
        </w:tc>
        <w:tc>
          <w:tcPr>
            <w:tcW w:w="3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 of December 31, 2021</w:t>
            </w:r>
          </w:p>
        </w:tc>
        <w:tc>
          <w:tcPr>
            <w:tcW w:w="2080" w:type="dxa"/>
            <w:vAlign w:val="bottom"/>
            <w:tcBorders>
              <w:top w:val="single" w:sz="8" w:color="CFF0FC"/>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260"/>
              <w:spacing w:after="0"/>
              <w:rPr>
                <w:sz w:val="20"/>
                <w:szCs w:val="20"/>
                <w:color w:val="auto"/>
              </w:rPr>
            </w:pPr>
            <w:r>
              <w:rPr>
                <w:rFonts w:ascii="Arial" w:cs="Arial" w:eastAsia="Arial" w:hAnsi="Arial"/>
                <w:sz w:val="18"/>
                <w:szCs w:val="18"/>
                <w:color w:val="auto"/>
              </w:rPr>
              <w:t>Raw materials and components</w:t>
            </w:r>
          </w:p>
        </w:tc>
        <w:tc>
          <w:tcPr>
            <w:tcW w:w="2880" w:type="dxa"/>
            <w:vAlign w:val="bottom"/>
            <w:gridSpan w:val="2"/>
          </w:tcPr>
          <w:p>
            <w:pPr>
              <w:jc w:val="right"/>
              <w:ind w:right="616"/>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10,367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(1,130)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9,237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Work in process</w:t>
            </w:r>
          </w:p>
        </w:tc>
        <w:tc>
          <w:tcPr>
            <w:tcW w:w="20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1,167</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(309)</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260"/>
              <w:spacing w:after="0"/>
              <w:rPr>
                <w:sz w:val="20"/>
                <w:szCs w:val="20"/>
                <w:color w:val="auto"/>
              </w:rPr>
            </w:pPr>
            <w:r>
              <w:rPr>
                <w:rFonts w:ascii="Arial" w:cs="Arial" w:eastAsia="Arial" w:hAnsi="Arial"/>
                <w:sz w:val="18"/>
                <w:szCs w:val="18"/>
                <w:color w:val="auto"/>
              </w:rPr>
              <w:t>Finished goods</w:t>
            </w:r>
          </w:p>
        </w:tc>
        <w:tc>
          <w:tcPr>
            <w:tcW w:w="2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9,309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(682)</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208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ind w:right="61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20,843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18,722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As of March 31, 2021</w:t>
            </w:r>
          </w:p>
        </w:tc>
        <w:tc>
          <w:tcPr>
            <w:tcW w:w="20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260"/>
              <w:spacing w:after="0"/>
              <w:rPr>
                <w:sz w:val="20"/>
                <w:szCs w:val="20"/>
                <w:color w:val="auto"/>
              </w:rPr>
            </w:pPr>
            <w:r>
              <w:rPr>
                <w:rFonts w:ascii="Arial" w:cs="Arial" w:eastAsia="Arial" w:hAnsi="Arial"/>
                <w:sz w:val="18"/>
                <w:szCs w:val="18"/>
                <w:color w:val="auto"/>
              </w:rPr>
              <w:t>Raw materials and components</w:t>
            </w:r>
          </w:p>
        </w:tc>
        <w:tc>
          <w:tcPr>
            <w:tcW w:w="2880" w:type="dxa"/>
            <w:vAlign w:val="bottom"/>
            <w:gridSpan w:val="2"/>
          </w:tcPr>
          <w:p>
            <w:pPr>
              <w:jc w:val="right"/>
              <w:ind w:right="616"/>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12,410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(967)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11,443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Work in process</w:t>
            </w:r>
          </w:p>
        </w:tc>
        <w:tc>
          <w:tcPr>
            <w:tcW w:w="20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(356)</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260"/>
              <w:spacing w:after="0"/>
              <w:rPr>
                <w:sz w:val="20"/>
                <w:szCs w:val="20"/>
                <w:color w:val="auto"/>
              </w:rPr>
            </w:pPr>
            <w:r>
              <w:rPr>
                <w:rFonts w:ascii="Arial" w:cs="Arial" w:eastAsia="Arial" w:hAnsi="Arial"/>
                <w:sz w:val="18"/>
                <w:szCs w:val="18"/>
                <w:color w:val="auto"/>
              </w:rPr>
              <w:t>Finished goods</w:t>
            </w:r>
          </w:p>
        </w:tc>
        <w:tc>
          <w:tcPr>
            <w:tcW w:w="2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8,295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(586)</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208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ind w:right="61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21,463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19,554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PREPAID EXPENSES AND OTHER CURRENT ASSETS</w:t>
      </w:r>
    </w:p>
    <w:p>
      <w:pPr>
        <w:spacing w:after="0" w:line="21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As of December 31, 2021, and March 31, 2021, prepaid expenses and other current assets include the following (dollars in thousands):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ind w:right="277"/>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77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4"/>
                <w:szCs w:val="14"/>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Payroll tax credit</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1,587</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prepaid expenses</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2,308</w:t>
            </w:r>
          </w:p>
        </w:tc>
        <w:tc>
          <w:tcPr>
            <w:tcW w:w="3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93"/>
        <w:spacing w:after="0" w:line="275" w:lineRule="auto"/>
        <w:rPr>
          <w:sz w:val="20"/>
          <w:szCs w:val="20"/>
          <w:color w:val="auto"/>
        </w:rPr>
      </w:pPr>
      <w:r>
        <w:rPr>
          <w:rFonts w:ascii="Arial" w:cs="Arial" w:eastAsia="Arial" w:hAnsi="Arial"/>
          <w:sz w:val="17"/>
          <w:szCs w:val="17"/>
          <w:color w:val="auto"/>
        </w:rPr>
        <w:t>During the three months ended September 30, 2021, Orion recorded a $1.6 million current asset for the anticipated employee retention payroll tax credit (“payroll tax credit”), as expanded and extended by the American Rescue Plan Act of 2021. The credit was recorded as an offset to payroll expense, in accordance with IAS 20, in the following income statement categories: $0.7 million in cost of product revenue, $0.1 million in cost of service revenue, $0.3 million in general and administrative, $0.4 million in sales and marketing, and $0.1 million in research and development expenses. The timing of the refundable portion of the payroll tax credit is subject to Internal Revenue Service processing times.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8 — PROPERTY AND EQUIPMENT, NET</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2021, and March 31, 2021, property and equipment, net, included the following (dollars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5300" w:type="dxa"/>
            <w:vAlign w:val="bottom"/>
            <w:tcBorders>
              <w:bottom w:val="single" w:sz="8" w:color="CFF0FC"/>
            </w:tcBorders>
          </w:tcPr>
          <w:p>
            <w:pPr>
              <w:spacing w:after="0"/>
              <w:rPr>
                <w:sz w:val="14"/>
                <w:szCs w:val="14"/>
                <w:color w:val="auto"/>
              </w:rPr>
            </w:pPr>
          </w:p>
        </w:tc>
        <w:tc>
          <w:tcPr>
            <w:tcW w:w="24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4"/>
                <w:szCs w:val="14"/>
                <w:color w:val="auto"/>
              </w:rPr>
            </w:pPr>
          </w:p>
        </w:tc>
      </w:tr>
      <w:tr>
        <w:trPr>
          <w:trHeight w:val="223"/>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Land and land improvements</w:t>
            </w:r>
          </w:p>
        </w:tc>
        <w:tc>
          <w:tcPr>
            <w:tcW w:w="24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w:t>
            </w:r>
          </w:p>
        </w:tc>
        <w:tc>
          <w:tcPr>
            <w:tcW w:w="120" w:type="dxa"/>
            <w:vAlign w:val="bottom"/>
            <w:shd w:val="clear" w:color="auto" w:fill="CFF0FC"/>
          </w:tcPr>
          <w:p>
            <w:pPr>
              <w:spacing w:after="0"/>
              <w:rPr>
                <w:sz w:val="19"/>
                <w:szCs w:val="19"/>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Buildings and building improvements</w:t>
            </w:r>
          </w:p>
        </w:tc>
        <w:tc>
          <w:tcPr>
            <w:tcW w:w="2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9,491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9,477</w:t>
            </w:r>
          </w:p>
        </w:tc>
        <w:tc>
          <w:tcPr>
            <w:tcW w:w="120" w:type="dxa"/>
            <w:vAlign w:val="bottom"/>
          </w:tcPr>
          <w:p>
            <w:pPr>
              <w:spacing w:after="0"/>
              <w:rPr>
                <w:sz w:val="19"/>
                <w:szCs w:val="19"/>
                <w:color w:val="auto"/>
              </w:rPr>
            </w:pPr>
          </w:p>
        </w:tc>
      </w:tr>
      <w:tr>
        <w:trPr>
          <w:trHeight w:val="229"/>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Furniture, fixtures and office equipment</w:t>
            </w:r>
          </w:p>
        </w:tc>
        <w:tc>
          <w:tcPr>
            <w:tcW w:w="2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7,372</w:t>
            </w:r>
          </w:p>
        </w:tc>
        <w:tc>
          <w:tcPr>
            <w:tcW w:w="120" w:type="dxa"/>
            <w:vAlign w:val="bottom"/>
            <w:shd w:val="clear" w:color="auto" w:fill="CFF0FC"/>
          </w:tcPr>
          <w:p>
            <w:pPr>
              <w:spacing w:after="0"/>
              <w:rPr>
                <w:sz w:val="19"/>
                <w:szCs w:val="19"/>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19"/>
                <w:szCs w:val="19"/>
                <w:color w:val="auto"/>
              </w:rPr>
            </w:pPr>
          </w:p>
        </w:tc>
      </w:tr>
      <w:tr>
        <w:trPr>
          <w:trHeight w:val="229"/>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Equipment leased to customers</w:t>
            </w:r>
          </w:p>
        </w:tc>
        <w:tc>
          <w:tcPr>
            <w:tcW w:w="2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4,997</w:t>
            </w:r>
          </w:p>
        </w:tc>
        <w:tc>
          <w:tcPr>
            <w:tcW w:w="120" w:type="dxa"/>
            <w:vAlign w:val="bottom"/>
            <w:shd w:val="clear" w:color="auto" w:fill="CFF0FC"/>
          </w:tcPr>
          <w:p>
            <w:pPr>
              <w:spacing w:after="0"/>
              <w:rPr>
                <w:sz w:val="19"/>
                <w:szCs w:val="19"/>
                <w:color w:val="auto"/>
              </w:rPr>
            </w:pPr>
          </w:p>
        </w:tc>
      </w:tr>
      <w:tr>
        <w:trPr>
          <w:trHeight w:val="229"/>
        </w:trPr>
        <w:tc>
          <w:tcPr>
            <w:tcW w:w="5300" w:type="dxa"/>
            <w:vAlign w:val="bottom"/>
          </w:tcPr>
          <w:p>
            <w:pPr>
              <w:spacing w:after="0"/>
              <w:rPr>
                <w:sz w:val="20"/>
                <w:szCs w:val="20"/>
                <w:color w:val="auto"/>
              </w:rPr>
            </w:pPr>
            <w:r>
              <w:rPr>
                <w:rFonts w:ascii="Arial" w:cs="Arial" w:eastAsia="Arial" w:hAnsi="Arial"/>
                <w:sz w:val="18"/>
                <w:szCs w:val="18"/>
                <w:color w:val="auto"/>
              </w:rPr>
              <w:t>Plant equipment</w:t>
            </w:r>
          </w:p>
        </w:tc>
        <w:tc>
          <w:tcPr>
            <w:tcW w:w="2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10,994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12,451</w:t>
            </w:r>
          </w:p>
        </w:tc>
        <w:tc>
          <w:tcPr>
            <w:tcW w:w="120" w:type="dxa"/>
            <w:vAlign w:val="bottom"/>
          </w:tcPr>
          <w:p>
            <w:pPr>
              <w:spacing w:after="0"/>
              <w:rPr>
                <w:sz w:val="19"/>
                <w:szCs w:val="19"/>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24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FF0FC"/>
          </w:tcPr>
          <w:p>
            <w:pPr>
              <w:spacing w:after="0"/>
              <w:rPr>
                <w:sz w:val="19"/>
                <w:szCs w:val="19"/>
                <w:color w:val="auto"/>
              </w:rPr>
            </w:pPr>
          </w:p>
        </w:tc>
      </w:tr>
      <w:tr>
        <w:trPr>
          <w:trHeight w:val="223"/>
        </w:trPr>
        <w:tc>
          <w:tcPr>
            <w:tcW w:w="5300" w:type="dxa"/>
            <w:vAlign w:val="bottom"/>
          </w:tcPr>
          <w:p>
            <w:pPr>
              <w:ind w:left="140"/>
              <w:spacing w:after="0"/>
              <w:rPr>
                <w:sz w:val="20"/>
                <w:szCs w:val="20"/>
                <w:color w:val="auto"/>
              </w:rPr>
            </w:pPr>
            <w:r>
              <w:rPr>
                <w:rFonts w:ascii="Arial" w:cs="Arial" w:eastAsia="Arial" w:hAnsi="Arial"/>
                <w:sz w:val="18"/>
                <w:szCs w:val="18"/>
                <w:color w:val="auto"/>
              </w:rPr>
              <w:t>Gross property and equipment</w:t>
            </w:r>
          </w:p>
        </w:tc>
        <w:tc>
          <w:tcPr>
            <w:tcW w:w="2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33,977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35,205</w:t>
            </w:r>
          </w:p>
        </w:tc>
        <w:tc>
          <w:tcPr>
            <w:tcW w:w="120" w:type="dxa"/>
            <w:vAlign w:val="bottom"/>
          </w:tcPr>
          <w:p>
            <w:pPr>
              <w:spacing w:after="0"/>
              <w:rPr>
                <w:sz w:val="19"/>
                <w:szCs w:val="19"/>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2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(23,145)</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(23,836)</w:t>
            </w:r>
          </w:p>
        </w:tc>
      </w:tr>
      <w:tr>
        <w:trPr>
          <w:trHeight w:val="223"/>
        </w:trPr>
        <w:tc>
          <w:tcPr>
            <w:tcW w:w="5300" w:type="dxa"/>
            <w:vAlign w:val="bottom"/>
          </w:tcPr>
          <w:p>
            <w:pPr>
              <w:ind w:left="140"/>
              <w:spacing w:after="0"/>
              <w:rPr>
                <w:sz w:val="20"/>
                <w:szCs w:val="20"/>
                <w:color w:val="auto"/>
              </w:rPr>
            </w:pPr>
            <w:r>
              <w:rPr>
                <w:rFonts w:ascii="Arial" w:cs="Arial" w:eastAsia="Arial" w:hAnsi="Arial"/>
                <w:sz w:val="18"/>
                <w:szCs w:val="18"/>
                <w:color w:val="auto"/>
              </w:rPr>
              <w:t>Total property and equipment, net</w:t>
            </w:r>
          </w:p>
        </w:tc>
        <w:tc>
          <w:tcPr>
            <w:tcW w:w="24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10,832</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11,369</w:t>
            </w:r>
          </w:p>
        </w:tc>
        <w:tc>
          <w:tcPr>
            <w:tcW w:w="120" w:type="dxa"/>
            <w:vAlign w:val="bottom"/>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LEASES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From time to time, Orion leases assets from third parties. Orion also leases certain assets to third parties.</w:t>
      </w:r>
    </w:p>
    <w:p>
      <w:pPr>
        <w:spacing w:after="0" w:line="171" w:lineRule="exact"/>
        <w:rPr>
          <w:sz w:val="20"/>
          <w:szCs w:val="20"/>
          <w:color w:val="auto"/>
        </w:rPr>
      </w:pPr>
    </w:p>
    <w:p>
      <w:pPr>
        <w:jc w:val="both"/>
        <w:ind w:firstLine="489"/>
        <w:spacing w:after="0" w:line="311" w:lineRule="auto"/>
        <w:rPr>
          <w:sz w:val="20"/>
          <w:szCs w:val="20"/>
          <w:color w:val="auto"/>
        </w:rPr>
      </w:pPr>
      <w:r>
        <w:rPr>
          <w:rFonts w:ascii="Arial" w:cs="Arial" w:eastAsia="Arial" w:hAnsi="Arial"/>
          <w:sz w:val="16"/>
          <w:szCs w:val="16"/>
          <w:color w:val="auto"/>
        </w:rPr>
        <w:t>Orion accounts for leases in accordance with ASC 842. Under ASC 842, both finance and operating lease ROU assets and lease liabilities for leases with initial terms in excess of 12 months are recognized at the commencement date based on the present value of lease payments over the lease term. Orion recognizes lease expense for leases with an initial term of 12 months or less, referred to as short term leases, on a straight-line basis over the lease term.</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A summary of Orion’s assets leased from third parties follows (dollars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3580" w:type="dxa"/>
            <w:vAlign w:val="bottom"/>
            <w:gridSpan w:val="2"/>
          </w:tcPr>
          <w:p>
            <w:pPr>
              <w:spacing w:after="0"/>
              <w:rPr>
                <w:sz w:val="20"/>
                <w:szCs w:val="20"/>
                <w:color w:val="auto"/>
              </w:rPr>
            </w:pPr>
            <w:r>
              <w:rPr>
                <w:rFonts w:ascii="Arial" w:cs="Arial" w:eastAsia="Arial" w:hAnsi="Arial"/>
                <w:sz w:val="14"/>
                <w:szCs w:val="14"/>
                <w:b w:val="1"/>
                <w:bCs w:val="1"/>
                <w:color w:val="auto"/>
              </w:rPr>
              <w:t>Balance sheet classification</w:t>
            </w:r>
          </w:p>
        </w:tc>
        <w:tc>
          <w:tcPr>
            <w:tcW w:w="220" w:type="dxa"/>
            <w:vAlign w:val="bottom"/>
          </w:tcPr>
          <w:p>
            <w:pPr>
              <w:spacing w:after="0"/>
              <w:rPr>
                <w:sz w:val="14"/>
                <w:szCs w:val="14"/>
                <w:color w:val="auto"/>
              </w:rPr>
            </w:pPr>
          </w:p>
        </w:tc>
        <w:tc>
          <w:tcPr>
            <w:tcW w:w="19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2021</w:t>
            </w:r>
          </w:p>
        </w:tc>
        <w:tc>
          <w:tcPr>
            <w:tcW w:w="280" w:type="dxa"/>
            <w:vAlign w:val="bottom"/>
          </w:tcPr>
          <w:p>
            <w:pPr>
              <w:spacing w:after="0"/>
              <w:rPr>
                <w:sz w:val="14"/>
                <w:szCs w:val="14"/>
                <w:color w:val="auto"/>
              </w:rPr>
            </w:pPr>
          </w:p>
        </w:tc>
        <w:tc>
          <w:tcPr>
            <w:tcW w:w="170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 2021</w:t>
            </w:r>
          </w:p>
        </w:tc>
      </w:tr>
      <w:tr>
        <w:trPr>
          <w:trHeight w:val="223"/>
        </w:trPr>
        <w:tc>
          <w:tcPr>
            <w:tcW w:w="3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3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Operating lease assets</w:t>
            </w:r>
          </w:p>
        </w:tc>
        <w:tc>
          <w:tcPr>
            <w:tcW w:w="3580" w:type="dxa"/>
            <w:vAlign w:val="bottom"/>
            <w:gridSpan w:val="2"/>
          </w:tcPr>
          <w:p>
            <w:pPr>
              <w:spacing w:after="0"/>
              <w:rPr>
                <w:sz w:val="20"/>
                <w:szCs w:val="20"/>
                <w:color w:val="auto"/>
              </w:rPr>
            </w:pPr>
            <w:r>
              <w:rPr>
                <w:rFonts w:ascii="Arial" w:cs="Arial" w:eastAsia="Arial" w:hAnsi="Arial"/>
                <w:sz w:val="18"/>
                <w:szCs w:val="18"/>
                <w:color w:val="auto"/>
              </w:rPr>
              <w:t>Other long-term assets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2,183</w:t>
            </w:r>
          </w:p>
        </w:tc>
        <w:tc>
          <w:tcPr>
            <w:tcW w:w="3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2,585</w:t>
            </w:r>
          </w:p>
        </w:tc>
        <w:tc>
          <w:tcPr>
            <w:tcW w:w="100" w:type="dxa"/>
            <w:vAlign w:val="bottom"/>
          </w:tcPr>
          <w:p>
            <w:pPr>
              <w:spacing w:after="0"/>
              <w:rPr>
                <w:sz w:val="19"/>
                <w:szCs w:val="19"/>
                <w:color w:val="auto"/>
              </w:rPr>
            </w:pPr>
          </w:p>
        </w:tc>
      </w:tr>
      <w:tr>
        <w:trPr>
          <w:trHeight w:val="230"/>
        </w:trPr>
        <w:tc>
          <w:tcPr>
            <w:tcW w:w="3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3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3500" w:type="dxa"/>
            <w:vAlign w:val="bottom"/>
          </w:tcPr>
          <w:p>
            <w:pPr>
              <w:spacing w:after="0"/>
              <w:rPr>
                <w:sz w:val="20"/>
                <w:szCs w:val="20"/>
                <w:color w:val="auto"/>
              </w:rPr>
            </w:pPr>
            <w:r>
              <w:rPr>
                <w:rFonts w:ascii="Arial" w:cs="Arial" w:eastAsia="Arial" w:hAnsi="Arial"/>
                <w:sz w:val="18"/>
                <w:szCs w:val="18"/>
                <w:color w:val="auto"/>
              </w:rPr>
              <w:t>Current liabilities</w:t>
            </w:r>
          </w:p>
        </w:tc>
        <w:tc>
          <w:tcPr>
            <w:tcW w:w="3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w:t>
            </w:r>
          </w:p>
        </w:tc>
        <w:tc>
          <w:tcPr>
            <w:tcW w:w="3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Accrued expenses and other</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w:t>
            </w:r>
          </w:p>
        </w:tc>
        <w:tc>
          <w:tcPr>
            <w:tcW w:w="100" w:type="dxa"/>
            <w:vAlign w:val="bottom"/>
            <w:shd w:val="clear" w:color="auto" w:fill="CFF0FC"/>
          </w:tcPr>
          <w:p>
            <w:pPr>
              <w:spacing w:after="0"/>
              <w:rPr>
                <w:sz w:val="19"/>
                <w:szCs w:val="19"/>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3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w:t>
            </w:r>
          </w:p>
        </w:tc>
        <w:tc>
          <w:tcPr>
            <w:tcW w:w="3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2,128</w:t>
            </w:r>
          </w:p>
        </w:tc>
        <w:tc>
          <w:tcPr>
            <w:tcW w:w="3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2,642</w:t>
            </w:r>
          </w:p>
        </w:tc>
        <w:tc>
          <w:tcPr>
            <w:tcW w:w="100" w:type="dxa"/>
            <w:vAlign w:val="bottom"/>
            <w:shd w:val="clear" w:color="auto" w:fill="CFF0FC"/>
          </w:tcPr>
          <w:p>
            <w:pPr>
              <w:spacing w:after="0"/>
              <w:rPr>
                <w:sz w:val="19"/>
                <w:szCs w:val="19"/>
                <w:color w:val="auto"/>
              </w:rPr>
            </w:pPr>
          </w:p>
        </w:tc>
      </w:tr>
      <w:tr>
        <w:trPr>
          <w:trHeight w:val="223"/>
        </w:trPr>
        <w:tc>
          <w:tcPr>
            <w:tcW w:w="3500" w:type="dxa"/>
            <w:vAlign w:val="bottom"/>
          </w:tcPr>
          <w:p>
            <w:pPr>
              <w:ind w:left="500"/>
              <w:spacing w:after="0"/>
              <w:rPr>
                <w:sz w:val="20"/>
                <w:szCs w:val="20"/>
                <w:color w:val="auto"/>
              </w:rPr>
            </w:pPr>
            <w:r>
              <w:rPr>
                <w:rFonts w:ascii="Arial" w:cs="Arial" w:eastAsia="Arial" w:hAnsi="Arial"/>
                <w:sz w:val="18"/>
                <w:szCs w:val="18"/>
                <w:color w:val="auto"/>
              </w:rPr>
              <w:t>Total lease liabilities</w:t>
            </w:r>
          </w:p>
        </w:tc>
        <w:tc>
          <w:tcPr>
            <w:tcW w:w="3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2,810</w:t>
            </w:r>
          </w:p>
        </w:tc>
        <w:tc>
          <w:tcPr>
            <w:tcW w:w="3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3,289</w:t>
            </w:r>
          </w:p>
        </w:tc>
        <w:tc>
          <w:tcPr>
            <w:tcW w:w="100" w:type="dxa"/>
            <w:vAlign w:val="bottom"/>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93"/>
        <w:spacing w:after="0" w:line="277" w:lineRule="auto"/>
        <w:rPr>
          <w:sz w:val="20"/>
          <w:szCs w:val="20"/>
          <w:color w:val="auto"/>
        </w:rPr>
      </w:pPr>
      <w:r>
        <w:rPr>
          <w:rFonts w:ascii="Arial" w:cs="Arial" w:eastAsia="Arial" w:hAnsi="Arial"/>
          <w:sz w:val="18"/>
          <w:szCs w:val="18"/>
          <w:color w:val="auto"/>
        </w:rPr>
        <w:t>Orion had operating lease costs of $0.2 million and $0.7 million for the three and nine months ended December 31, 2021. Orion had operating lease costs of $0.2 million and $0.6 million for the three and nine months ended December 31, 2020.</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estimated maturity of lease liabilities for each of the next five years is shown below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r>
              <w:rPr>
                <w:rFonts w:ascii="Arial" w:cs="Arial" w:eastAsia="Arial" w:hAnsi="Arial"/>
                <w:sz w:val="18"/>
                <w:szCs w:val="18"/>
                <w:b w:val="1"/>
                <w:bCs w:val="1"/>
                <w:color w:val="auto"/>
              </w:rPr>
              <w:t>Maturity of Lease Liabilities</w:t>
            </w:r>
          </w:p>
        </w:tc>
        <w:tc>
          <w:tcPr>
            <w:tcW w:w="532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Arial" w:cs="Arial" w:eastAsia="Arial" w:hAnsi="Arial"/>
                <w:sz w:val="18"/>
                <w:szCs w:val="18"/>
                <w:b w:val="1"/>
                <w:bCs w:val="1"/>
                <w:color w:val="auto"/>
                <w:w w:val="91"/>
              </w:rPr>
              <w:t>Operating Leases</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Fiscal 2022 (period remaining)</w:t>
            </w:r>
          </w:p>
        </w:tc>
        <w:tc>
          <w:tcPr>
            <w:tcW w:w="6720" w:type="dxa"/>
            <w:vAlign w:val="bottom"/>
            <w:gridSpan w:val="2"/>
            <w:shd w:val="clear" w:color="auto" w:fill="CFF0FC"/>
          </w:tcPr>
          <w:p>
            <w:pPr>
              <w:ind w:left="53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20" w:type="dxa"/>
            <w:vAlign w:val="bottom"/>
          </w:tcPr>
          <w:p>
            <w:pPr>
              <w:spacing w:after="0"/>
              <w:rPr>
                <w:sz w:val="20"/>
                <w:szCs w:val="20"/>
                <w:color w:val="auto"/>
              </w:rPr>
            </w:pPr>
            <w:r>
              <w:rPr>
                <w:rFonts w:ascii="Arial" w:cs="Arial" w:eastAsia="Arial" w:hAnsi="Arial"/>
                <w:sz w:val="18"/>
                <w:szCs w:val="18"/>
                <w:color w:val="auto"/>
              </w:rPr>
              <w:t>Fiscal 2023</w:t>
            </w:r>
          </w:p>
        </w:tc>
        <w:tc>
          <w:tcPr>
            <w:tcW w:w="5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Fiscal 2024</w:t>
            </w:r>
          </w:p>
        </w:tc>
        <w:tc>
          <w:tcPr>
            <w:tcW w:w="53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Fiscal 2025</w:t>
            </w:r>
          </w:p>
        </w:tc>
        <w:tc>
          <w:tcPr>
            <w:tcW w:w="5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Fiscal 2026</w:t>
            </w:r>
          </w:p>
        </w:tc>
        <w:tc>
          <w:tcPr>
            <w:tcW w:w="5320" w:type="dxa"/>
            <w:vAlign w:val="bottom"/>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lease payments</w:t>
            </w:r>
          </w:p>
        </w:tc>
        <w:tc>
          <w:tcPr>
            <w:tcW w:w="5320" w:type="dxa"/>
            <w:vAlign w:val="bottom"/>
            <w:tcBorders>
              <w:bottom w:val="single" w:sz="8" w:color="CFF0FC"/>
            </w:tcBorders>
          </w:tcPr>
          <w:p>
            <w:pPr>
              <w:spacing w:after="0"/>
              <w:rPr>
                <w:sz w:val="19"/>
                <w:szCs w:val="19"/>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3,131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Less: Interest</w:t>
            </w:r>
          </w:p>
        </w:tc>
        <w:tc>
          <w:tcPr>
            <w:tcW w:w="5320" w:type="dxa"/>
            <w:vAlign w:val="bottom"/>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tcPr>
          <w:p>
            <w:pPr>
              <w:spacing w:after="0"/>
              <w:rPr>
                <w:sz w:val="20"/>
                <w:szCs w:val="20"/>
                <w:color w:val="auto"/>
              </w:rPr>
            </w:pPr>
            <w:r>
              <w:rPr>
                <w:rFonts w:ascii="Arial" w:cs="Arial" w:eastAsia="Arial" w:hAnsi="Arial"/>
                <w:sz w:val="18"/>
                <w:szCs w:val="18"/>
                <w:color w:val="auto"/>
              </w:rPr>
              <w:t>Present value of lease liabilities</w:t>
            </w:r>
          </w:p>
        </w:tc>
        <w:tc>
          <w:tcPr>
            <w:tcW w:w="5320" w:type="dxa"/>
            <w:vAlign w:val="bottom"/>
          </w:tcPr>
          <w:p>
            <w:pPr>
              <w:spacing w:after="0"/>
              <w:rPr>
                <w:sz w:val="19"/>
                <w:szCs w:val="19"/>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2,810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5320" w:type="dxa"/>
            <w:vAlign w:val="bottom"/>
            <w:vMerge w:val="restart"/>
          </w:tcPr>
          <w:p>
            <w:pPr>
              <w:jc w:val="right"/>
              <w:ind w:right="3430"/>
              <w:spacing w:after="0"/>
              <w:rPr>
                <w:sz w:val="20"/>
                <w:szCs w:val="20"/>
                <w:color w:val="auto"/>
              </w:rPr>
            </w:pPr>
            <w:r>
              <w:rPr>
                <w:rFonts w:ascii="Arial" w:cs="Arial" w:eastAsia="Arial" w:hAnsi="Arial"/>
                <w:sz w:val="18"/>
                <w:szCs w:val="18"/>
                <w:color w:val="auto"/>
              </w:rPr>
              <w:t>12</w:t>
            </w:r>
          </w:p>
        </w:tc>
        <w:tc>
          <w:tcPr>
            <w:tcW w:w="1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920" w:type="dxa"/>
            <w:vAlign w:val="bottom"/>
          </w:tcPr>
          <w:p>
            <w:pPr>
              <w:spacing w:after="0"/>
              <w:rPr>
                <w:sz w:val="24"/>
                <w:szCs w:val="24"/>
                <w:color w:val="auto"/>
              </w:rPr>
            </w:pPr>
          </w:p>
        </w:tc>
        <w:tc>
          <w:tcPr>
            <w:tcW w:w="532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20" w:type="dxa"/>
            <w:vAlign w:val="bottom"/>
            <w:tcBorders>
              <w:bottom w:val="single" w:sz="8" w:color="9A9A9A"/>
            </w:tcBorders>
          </w:tcPr>
          <w:p>
            <w:pPr>
              <w:spacing w:after="0"/>
              <w:rPr>
                <w:sz w:val="10"/>
                <w:szCs w:val="10"/>
                <w:color w:val="auto"/>
              </w:rPr>
            </w:pPr>
          </w:p>
        </w:tc>
        <w:tc>
          <w:tcPr>
            <w:tcW w:w="53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Assets Orion Leases to Other Parties</w:t>
      </w:r>
    </w:p>
    <w:p>
      <w:pPr>
        <w:spacing w:after="0" w:line="171" w:lineRule="exact"/>
        <w:rPr>
          <w:sz w:val="20"/>
          <w:szCs w:val="20"/>
          <w:color w:val="auto"/>
        </w:rPr>
      </w:pPr>
    </w:p>
    <w:p>
      <w:pPr>
        <w:jc w:val="both"/>
        <w:ind w:firstLine="489"/>
        <w:spacing w:after="0" w:line="273" w:lineRule="auto"/>
        <w:rPr>
          <w:sz w:val="20"/>
          <w:szCs w:val="20"/>
          <w:color w:val="auto"/>
        </w:rPr>
      </w:pPr>
      <w:r>
        <w:rPr>
          <w:rFonts w:ascii="Arial" w:cs="Arial" w:eastAsia="Arial" w:hAnsi="Arial"/>
          <w:sz w:val="17"/>
          <w:szCs w:val="17"/>
          <w:color w:val="auto"/>
        </w:rPr>
        <w:t>One of Orion’s frequent customers purchases products and installation services under agreements that provide for monthly payments, at a fixed monthly amount, of the contract price, plus interest, typically over a five-year period. While Orion retains ownership of the light fixtures during the financing period, the transaction terms and the underlying economics associated with used lighting fixtures results in Orion essentially ceding ownership of the lighting fixtures to the customer after completion of the agreement. The portions of the transaction associated with the sale of the light fixtures is accounted for as a sales-type lease under ASC 842. The total transaction price in these contracts is allocated between the lease and non-lease components in the same manner as the total transaction price of other turnkey projects containing lighting fixtures and installation services.</w:t>
      </w:r>
    </w:p>
    <w:p>
      <w:pPr>
        <w:spacing w:after="0" w:line="124" w:lineRule="exact"/>
        <w:rPr>
          <w:sz w:val="20"/>
          <w:szCs w:val="20"/>
          <w:color w:val="auto"/>
        </w:rPr>
      </w:pPr>
    </w:p>
    <w:p>
      <w:pPr>
        <w:jc w:val="both"/>
        <w:ind w:firstLine="489"/>
        <w:spacing w:after="0" w:line="277" w:lineRule="auto"/>
        <w:rPr>
          <w:sz w:val="20"/>
          <w:szCs w:val="20"/>
          <w:color w:val="auto"/>
        </w:rPr>
      </w:pPr>
      <w:r>
        <w:rPr>
          <w:rFonts w:ascii="Arial" w:cs="Arial" w:eastAsia="Arial" w:hAnsi="Arial"/>
          <w:sz w:val="18"/>
          <w:szCs w:val="18"/>
          <w:color w:val="auto"/>
        </w:rPr>
        <w:t>Revenues, and production and acquisition costs, associated with sales-type leases are included in Product revenue and Costs of product revenues in the Condensed Consolidated Statement of Operations.</w:t>
      </w:r>
    </w:p>
    <w:p>
      <w:pPr>
        <w:spacing w:after="0" w:line="116" w:lineRule="exact"/>
        <w:rPr>
          <w:sz w:val="20"/>
          <w:szCs w:val="20"/>
          <w:color w:val="auto"/>
        </w:rPr>
      </w:pPr>
    </w:p>
    <w:p>
      <w:pPr>
        <w:jc w:val="both"/>
        <w:ind w:firstLine="489"/>
        <w:spacing w:after="0" w:line="277" w:lineRule="auto"/>
        <w:rPr>
          <w:sz w:val="20"/>
          <w:szCs w:val="20"/>
          <w:color w:val="auto"/>
        </w:rPr>
      </w:pPr>
      <w:r>
        <w:rPr>
          <w:rFonts w:ascii="Arial" w:cs="Arial" w:eastAsia="Arial" w:hAnsi="Arial"/>
          <w:sz w:val="18"/>
          <w:szCs w:val="18"/>
          <w:color w:val="auto"/>
        </w:rPr>
        <w:t>The following chart shows the amount of revenue and cost of sales arising from sales-type leases during the three and nine months ended December 31, 2021 and December 31, 2020 (dollars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14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December 31,</w:t>
            </w:r>
          </w:p>
        </w:tc>
        <w:tc>
          <w:tcPr>
            <w:tcW w:w="320" w:type="dxa"/>
            <w:vAlign w:val="bottom"/>
          </w:tcPr>
          <w:p>
            <w:pPr>
              <w:spacing w:after="0"/>
              <w:rPr>
                <w:sz w:val="14"/>
                <w:szCs w:val="14"/>
                <w:color w:val="auto"/>
              </w:rPr>
            </w:pPr>
          </w:p>
        </w:tc>
        <w:tc>
          <w:tcPr>
            <w:tcW w:w="3000" w:type="dxa"/>
            <w:vAlign w:val="bottom"/>
            <w:gridSpan w:val="5"/>
          </w:tcPr>
          <w:p>
            <w:pPr>
              <w:ind w:left="220"/>
              <w:spacing w:after="0"/>
              <w:rPr>
                <w:sz w:val="20"/>
                <w:szCs w:val="20"/>
                <w:color w:val="auto"/>
              </w:rPr>
            </w:pPr>
            <w:r>
              <w:rPr>
                <w:rFonts w:ascii="Arial" w:cs="Arial" w:eastAsia="Arial" w:hAnsi="Arial"/>
                <w:sz w:val="14"/>
                <w:szCs w:val="14"/>
                <w:b w:val="1"/>
                <w:bCs w:val="1"/>
                <w:color w:val="auto"/>
              </w:rPr>
              <w:t>Nine Months Ended December 31,</w:t>
            </w:r>
          </w:p>
        </w:tc>
      </w:tr>
      <w:tr>
        <w:trPr>
          <w:trHeight w:val="155"/>
        </w:trPr>
        <w:tc>
          <w:tcPr>
            <w:tcW w:w="448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19"/>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16"/>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19"/>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36"/>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37"/>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w:t>
            </w:r>
          </w:p>
        </w:tc>
        <w:tc>
          <w:tcPr>
            <w:tcW w:w="5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993</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2,097</w:t>
            </w:r>
          </w:p>
        </w:tc>
        <w:tc>
          <w:tcPr>
            <w:tcW w:w="100" w:type="dxa"/>
            <w:vAlign w:val="bottom"/>
            <w:shd w:val="clear" w:color="auto" w:fill="CFF0FC"/>
          </w:tcPr>
          <w:p>
            <w:pPr>
              <w:spacing w:after="0"/>
              <w:rPr>
                <w:sz w:val="20"/>
                <w:szCs w:val="20"/>
                <w:color w:val="auto"/>
              </w:rPr>
            </w:pPr>
          </w:p>
        </w:tc>
      </w:tr>
      <w:tr>
        <w:trPr>
          <w:trHeight w:val="243"/>
        </w:trPr>
        <w:tc>
          <w:tcPr>
            <w:tcW w:w="448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306</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662</w:t>
            </w:r>
          </w:p>
        </w:tc>
        <w:tc>
          <w:tcPr>
            <w:tcW w:w="240" w:type="dxa"/>
            <w:vAlign w:val="bottom"/>
          </w:tcPr>
          <w:p>
            <w:pPr>
              <w:spacing w:after="0"/>
              <w:rPr>
                <w:sz w:val="21"/>
                <w:szCs w:val="21"/>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889</w:t>
            </w:r>
          </w:p>
        </w:tc>
        <w:tc>
          <w:tcPr>
            <w:tcW w:w="24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1,913</w:t>
            </w:r>
          </w:p>
        </w:tc>
        <w:tc>
          <w:tcPr>
            <w:tcW w:w="100" w:type="dxa"/>
            <w:vAlign w:val="bottom"/>
          </w:tcPr>
          <w:p>
            <w:pPr>
              <w:spacing w:after="0"/>
              <w:rPr>
                <w:sz w:val="21"/>
                <w:szCs w:val="2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OTHER INTANGIBLE ASSETS, NET</w:t>
      </w:r>
    </w:p>
    <w:p>
      <w:pPr>
        <w:spacing w:after="0" w:line="175" w:lineRule="exact"/>
        <w:rPr>
          <w:sz w:val="20"/>
          <w:szCs w:val="20"/>
          <w:color w:val="auto"/>
        </w:rPr>
      </w:pPr>
    </w:p>
    <w:p>
      <w:pPr>
        <w:jc w:val="both"/>
        <w:ind w:firstLine="489"/>
        <w:spacing w:after="0" w:line="277" w:lineRule="auto"/>
        <w:rPr>
          <w:sz w:val="20"/>
          <w:szCs w:val="20"/>
          <w:color w:val="auto"/>
        </w:rPr>
      </w:pPr>
      <w:r>
        <w:rPr>
          <w:rFonts w:ascii="Arial" w:cs="Arial" w:eastAsia="Arial" w:hAnsi="Arial"/>
          <w:sz w:val="18"/>
          <w:szCs w:val="18"/>
          <w:color w:val="auto"/>
        </w:rPr>
        <w:t>As of December 31, 2021, and March 31, 2021, the components of, and changes in, the carrying amount of other intangible assets, net, were as follows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41"/>
              <w:spacing w:after="0"/>
              <w:rPr>
                <w:sz w:val="20"/>
                <w:szCs w:val="20"/>
                <w:color w:val="auto"/>
              </w:rPr>
            </w:pPr>
            <w:r>
              <w:rPr>
                <w:rFonts w:ascii="Arial" w:cs="Arial" w:eastAsia="Arial" w:hAnsi="Arial"/>
                <w:sz w:val="14"/>
                <w:szCs w:val="14"/>
                <w:b w:val="1"/>
                <w:bCs w:val="1"/>
                <w:color w:val="auto"/>
                <w:w w:val="93"/>
              </w:rPr>
              <w:t>December 31, 2021</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161"/>
              <w:spacing w:after="0"/>
              <w:rPr>
                <w:sz w:val="20"/>
                <w:szCs w:val="20"/>
                <w:color w:val="auto"/>
              </w:rPr>
            </w:pPr>
            <w:r>
              <w:rPr>
                <w:rFonts w:ascii="Arial" w:cs="Arial" w:eastAsia="Arial" w:hAnsi="Arial"/>
                <w:sz w:val="14"/>
                <w:szCs w:val="14"/>
                <w:b w:val="1"/>
                <w:bCs w:val="1"/>
                <w:color w:val="auto"/>
              </w:rPr>
              <w:t>March 31, 2021</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600" w:type="dxa"/>
            <w:vAlign w:val="bottom"/>
          </w:tcPr>
          <w:p>
            <w:pPr>
              <w:spacing w:after="0"/>
              <w:rPr>
                <w:sz w:val="11"/>
                <w:szCs w:val="11"/>
                <w:color w:val="auto"/>
              </w:rPr>
            </w:pPr>
          </w:p>
        </w:tc>
        <w:tc>
          <w:tcPr>
            <w:tcW w:w="96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92"/>
              </w:rPr>
              <w:t>Gross Carrying</w:t>
            </w:r>
          </w:p>
        </w:tc>
        <w:tc>
          <w:tcPr>
            <w:tcW w:w="220" w:type="dxa"/>
            <w:vAlign w:val="bottom"/>
          </w:tcPr>
          <w:p>
            <w:pPr>
              <w:spacing w:after="0"/>
              <w:rPr>
                <w:sz w:val="11"/>
                <w:szCs w:val="11"/>
                <w:color w:val="auto"/>
              </w:rPr>
            </w:pPr>
          </w:p>
        </w:tc>
        <w:tc>
          <w:tcPr>
            <w:tcW w:w="1100" w:type="dxa"/>
            <w:vAlign w:val="bottom"/>
            <w:gridSpan w:val="3"/>
          </w:tcPr>
          <w:p>
            <w:pPr>
              <w:jc w:val="right"/>
              <w:ind w:right="181"/>
              <w:spacing w:after="0" w:line="133" w:lineRule="exact"/>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1"/>
                <w:szCs w:val="11"/>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Net</w:t>
            </w:r>
          </w:p>
        </w:tc>
        <w:tc>
          <w:tcPr>
            <w:tcW w:w="96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92"/>
              </w:rPr>
              <w:t>Gross Carrying</w:t>
            </w:r>
          </w:p>
        </w:tc>
        <w:tc>
          <w:tcPr>
            <w:tcW w:w="220" w:type="dxa"/>
            <w:vAlign w:val="bottom"/>
          </w:tcPr>
          <w:p>
            <w:pPr>
              <w:spacing w:after="0"/>
              <w:rPr>
                <w:sz w:val="11"/>
                <w:szCs w:val="11"/>
                <w:color w:val="auto"/>
              </w:rPr>
            </w:pPr>
          </w:p>
        </w:tc>
        <w:tc>
          <w:tcPr>
            <w:tcW w:w="1100" w:type="dxa"/>
            <w:vAlign w:val="bottom"/>
            <w:gridSpan w:val="3"/>
          </w:tcPr>
          <w:p>
            <w:pPr>
              <w:jc w:val="right"/>
              <w:ind w:right="181"/>
              <w:spacing w:after="0" w:line="133" w:lineRule="exact"/>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4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153"/>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1100" w:type="dxa"/>
            <w:vAlign w:val="bottom"/>
            <w:gridSpan w:val="3"/>
          </w:tcPr>
          <w:p>
            <w:pPr>
              <w:jc w:val="right"/>
              <w:ind w:right="181"/>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153"/>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1100" w:type="dxa"/>
            <w:vAlign w:val="bottom"/>
            <w:gridSpan w:val="3"/>
          </w:tcPr>
          <w:p>
            <w:pPr>
              <w:jc w:val="right"/>
              <w:ind w:right="181"/>
              <w:spacing w:after="0"/>
              <w:rPr>
                <w:sz w:val="20"/>
                <w:szCs w:val="20"/>
                <w:color w:val="auto"/>
              </w:rPr>
            </w:pPr>
            <w:r>
              <w:rPr>
                <w:rFonts w:ascii="Arial" w:cs="Arial" w:eastAsia="Arial" w:hAnsi="Arial"/>
                <w:sz w:val="14"/>
                <w:szCs w:val="14"/>
                <w:b w:val="1"/>
                <w:bCs w:val="1"/>
                <w:color w:val="auto"/>
                <w:w w:val="95"/>
              </w:rPr>
              <w:t>Amortization</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Patents</w:t>
            </w: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2,650</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(1,888)</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762</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2,796</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9"/>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(1,875)</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Licenses</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81"/>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81"/>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Trade name and trademarks (indefinite lived)</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1,012</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1,011</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3,600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81"/>
              <w:spacing w:after="0"/>
              <w:rPr>
                <w:sz w:val="20"/>
                <w:szCs w:val="20"/>
                <w:color w:val="auto"/>
              </w:rPr>
            </w:pPr>
            <w:r>
              <w:rPr>
                <w:rFonts w:ascii="Arial" w:cs="Arial" w:eastAsia="Arial" w:hAnsi="Arial"/>
                <w:sz w:val="18"/>
                <w:szCs w:val="18"/>
                <w:color w:val="auto"/>
              </w:rPr>
              <w:t>(3,600)</w:t>
            </w:r>
          </w:p>
        </w:tc>
        <w:tc>
          <w:tcPr>
            <w:tcW w:w="20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3,600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81"/>
              <w:spacing w:after="0"/>
              <w:rPr>
                <w:sz w:val="20"/>
                <w:szCs w:val="20"/>
                <w:color w:val="auto"/>
              </w:rPr>
            </w:pPr>
            <w:r>
              <w:rPr>
                <w:rFonts w:ascii="Arial" w:cs="Arial" w:eastAsia="Arial" w:hAnsi="Arial"/>
                <w:sz w:val="18"/>
                <w:szCs w:val="18"/>
                <w:color w:val="auto"/>
              </w:rPr>
              <w:t>(3,591)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Developed technology</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(900)</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(889)</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8,220</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(6,446</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1,774</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8,365</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(6,413</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Amortization expense on intangible assets was $45 thousand and $0.2 million for the three and nine months ended December 31, 2021, respectively.</w:t>
      </w:r>
    </w:p>
    <w:p>
      <w:pPr>
        <w:spacing w:after="0" w:line="19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Amortization expense on intangible assets was $0.1 million and $0.2 million for the three and nine months ended December 31, 2020, respectively.</w:t>
      </w:r>
    </w:p>
    <w:p>
      <w:pPr>
        <w:spacing w:after="0" w:line="1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2021, the weighted average remaining useful life of intangible assets was 8.6 years.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estimated amortization expense for the remainder of fiscal 2022, the next five fiscal years and beyond is shown below (dollars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Fiscal 2022 (period remaining)</w:t>
            </w:r>
          </w:p>
        </w:tc>
        <w:tc>
          <w:tcPr>
            <w:tcW w:w="6220" w:type="dxa"/>
            <w:vAlign w:val="bottom"/>
            <w:gridSpan w:val="2"/>
            <w:shd w:val="clear" w:color="auto" w:fill="CFF0FC"/>
          </w:tcPr>
          <w:p>
            <w:pPr>
              <w:jc w:val="right"/>
              <w:ind w:right="68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Fiscal 2023</w:t>
            </w:r>
          </w:p>
        </w:tc>
        <w:tc>
          <w:tcPr>
            <w:tcW w:w="5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Fiscal 2024</w:t>
            </w:r>
          </w:p>
        </w:tc>
        <w:tc>
          <w:tcPr>
            <w:tcW w:w="53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Fiscal 2025</w:t>
            </w:r>
          </w:p>
        </w:tc>
        <w:tc>
          <w:tcPr>
            <w:tcW w:w="5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Fiscal 2026</w:t>
            </w:r>
          </w:p>
        </w:tc>
        <w:tc>
          <w:tcPr>
            <w:tcW w:w="53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Fiscal 2027</w:t>
            </w:r>
          </w:p>
        </w:tc>
        <w:tc>
          <w:tcPr>
            <w:tcW w:w="5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538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80" w:type="dxa"/>
            <w:vAlign w:val="bottom"/>
          </w:tcPr>
          <w:p>
            <w:pPr>
              <w:spacing w:after="0"/>
              <w:rPr>
                <w:sz w:val="20"/>
                <w:szCs w:val="20"/>
                <w:color w:val="auto"/>
              </w:rPr>
            </w:pPr>
            <w:r>
              <w:rPr>
                <w:rFonts w:ascii="Arial" w:cs="Arial" w:eastAsia="Arial" w:hAnsi="Arial"/>
                <w:sz w:val="18"/>
                <w:szCs w:val="18"/>
                <w:color w:val="auto"/>
              </w:rPr>
              <w:t>Total</w:t>
            </w:r>
          </w:p>
        </w:tc>
        <w:tc>
          <w:tcPr>
            <w:tcW w:w="5380" w:type="dxa"/>
            <w:vAlign w:val="bottom"/>
          </w:tcPr>
          <w:p>
            <w:pPr>
              <w:spacing w:after="0"/>
              <w:rPr>
                <w:sz w:val="19"/>
                <w:szCs w:val="19"/>
                <w:color w:val="auto"/>
              </w:rPr>
            </w:pPr>
          </w:p>
        </w:tc>
        <w:tc>
          <w:tcPr>
            <w:tcW w:w="840" w:type="dxa"/>
            <w:vAlign w:val="bottom"/>
            <w:tcBorders>
              <w:bottom w:val="single" w:sz="8" w:color="auto"/>
            </w:tcBorders>
          </w:tcPr>
          <w:p>
            <w:pPr>
              <w:jc w:val="right"/>
              <w:ind w:right="68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5380" w:type="dxa"/>
            <w:vAlign w:val="bottom"/>
            <w:vMerge w:val="restart"/>
          </w:tcPr>
          <w:p>
            <w:pPr>
              <w:jc w:val="right"/>
              <w:ind w:right="3450"/>
              <w:spacing w:after="0"/>
              <w:rPr>
                <w:sz w:val="20"/>
                <w:szCs w:val="20"/>
                <w:color w:val="auto"/>
              </w:rPr>
            </w:pPr>
            <w:r>
              <w:rPr>
                <w:rFonts w:ascii="Arial" w:cs="Arial" w:eastAsia="Arial" w:hAnsi="Arial"/>
                <w:sz w:val="18"/>
                <w:szCs w:val="18"/>
                <w:color w:val="auto"/>
              </w:rPr>
              <w:t>13</w:t>
            </w:r>
          </w:p>
        </w:tc>
        <w:tc>
          <w:tcPr>
            <w:tcW w:w="8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880" w:type="dxa"/>
            <w:vAlign w:val="bottom"/>
          </w:tcPr>
          <w:p>
            <w:pPr>
              <w:spacing w:after="0"/>
              <w:rPr>
                <w:sz w:val="24"/>
                <w:szCs w:val="24"/>
                <w:color w:val="auto"/>
              </w:rPr>
            </w:pPr>
          </w:p>
        </w:tc>
        <w:tc>
          <w:tcPr>
            <w:tcW w:w="53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80" w:type="dxa"/>
            <w:vAlign w:val="bottom"/>
            <w:tcBorders>
              <w:bottom w:val="single" w:sz="8" w:color="9A9A9A"/>
            </w:tcBorders>
          </w:tcPr>
          <w:p>
            <w:pPr>
              <w:spacing w:after="0"/>
              <w:rPr>
                <w:sz w:val="10"/>
                <w:szCs w:val="10"/>
                <w:color w:val="auto"/>
              </w:rPr>
            </w:pPr>
          </w:p>
        </w:tc>
        <w:tc>
          <w:tcPr>
            <w:tcW w:w="53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11 — ACCRUED EXPENSES AND OTHER</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2021, and March 31, 2021, accrued expenses and other included the following (dollars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ind w:right="273"/>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77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4"/>
                <w:szCs w:val="14"/>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Accrued project costs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3,102</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5,010</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2,089</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2,851</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accruals</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2,034</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1,730</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Sales tax</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1,141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1,318</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Credits due to customers</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Warranty</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822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705</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Sales returns reserve</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Legal and professional fees</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10,502</w:t>
            </w:r>
          </w:p>
        </w:tc>
        <w:tc>
          <w:tcPr>
            <w:tcW w:w="3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13,226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Orion generally offers a limited warranty of one to ten years on its lighting products, including the pass through of standard warranties offered by major original equipment component manufacturers. The manufacturers’ warranties cover lamps, power supplies, LED modules, chips and drivers, control devices, and other fixture related items, which are significant components in Orion's lighting products.</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Changes in Orion’s warranty accrual (both current and long-term) were as follows (dollars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76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For the Three Months Ended</w:t>
            </w:r>
          </w:p>
        </w:tc>
        <w:tc>
          <w:tcPr>
            <w:tcW w:w="240" w:type="dxa"/>
            <w:vAlign w:val="bottom"/>
          </w:tcPr>
          <w:p>
            <w:pPr>
              <w:spacing w:after="0"/>
              <w:rPr>
                <w:sz w:val="14"/>
                <w:szCs w:val="14"/>
                <w:color w:val="auto"/>
              </w:rPr>
            </w:pPr>
          </w:p>
        </w:tc>
        <w:tc>
          <w:tcPr>
            <w:tcW w:w="240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For the Nine Months Ended</w:t>
            </w:r>
          </w:p>
        </w:tc>
      </w:tr>
      <w:tr>
        <w:trPr>
          <w:trHeight w:val="171"/>
        </w:trPr>
        <w:tc>
          <w:tcPr>
            <w:tcW w:w="58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84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Beginning of period</w:t>
            </w:r>
          </w:p>
        </w:tc>
        <w:tc>
          <w:tcPr>
            <w:tcW w:w="720" w:type="dxa"/>
            <w:vAlign w:val="bottom"/>
            <w:shd w:val="clear" w:color="auto" w:fill="CFF0FC"/>
          </w:tcPr>
          <w:p>
            <w:pPr>
              <w:jc w:val="right"/>
              <w:ind w:right="53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1,014</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1,069</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Accruals</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123</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Warranty claims (net of vendor reimbursements)</w:t>
            </w:r>
          </w:p>
        </w:tc>
        <w:tc>
          <w:tcPr>
            <w:tcW w:w="7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(186)</w:t>
            </w:r>
          </w:p>
        </w:tc>
        <w:tc>
          <w:tcPr>
            <w:tcW w:w="3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(219)</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(386)</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(564)</w:t>
            </w: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End of period</w:t>
            </w:r>
          </w:p>
        </w:tc>
        <w:tc>
          <w:tcPr>
            <w:tcW w:w="7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951</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951</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NET INCOME PER COMMON SHARE</w:t>
      </w:r>
    </w:p>
    <w:p>
      <w:pPr>
        <w:spacing w:after="0" w:line="175" w:lineRule="exact"/>
        <w:rPr>
          <w:sz w:val="20"/>
          <w:szCs w:val="20"/>
          <w:color w:val="auto"/>
        </w:rPr>
      </w:pPr>
    </w:p>
    <w:p>
      <w:pPr>
        <w:jc w:val="both"/>
        <w:ind w:firstLine="493"/>
        <w:spacing w:after="0" w:line="277" w:lineRule="auto"/>
        <w:rPr>
          <w:sz w:val="20"/>
          <w:szCs w:val="20"/>
          <w:color w:val="auto"/>
        </w:rPr>
      </w:pPr>
      <w:r>
        <w:rPr>
          <w:rFonts w:ascii="Arial" w:cs="Arial" w:eastAsia="Arial" w:hAnsi="Arial"/>
          <w:sz w:val="18"/>
          <w:szCs w:val="18"/>
          <w:color w:val="auto"/>
        </w:rPr>
        <w:t>Basic net income per common share is computed by dividing net income attributable to common shareholders by the weighted-average number of common shares outstanding for the period and does not consider common stock equivalents.</w:t>
      </w:r>
    </w:p>
    <w:p>
      <w:pPr>
        <w:spacing w:after="0" w:line="116"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Diluted net income per common share reflects the dilution that would occur if stock options were exercised and restricted shares vested. In the computation of diluted net income per common share, Orion uses the treasury stock method for outstanding options and restricted shares. Net income per common share is calculated based upon the following shares: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60" w:type="dxa"/>
            <w:vAlign w:val="bottom"/>
            <w:gridSpan w:val="5"/>
          </w:tcPr>
          <w:p>
            <w:pPr>
              <w:ind w:left="160"/>
              <w:spacing w:after="0"/>
              <w:rPr>
                <w:sz w:val="20"/>
                <w:szCs w:val="20"/>
                <w:color w:val="auto"/>
              </w:rPr>
            </w:pPr>
            <w:r>
              <w:rPr>
                <w:rFonts w:ascii="Arial" w:cs="Arial" w:eastAsia="Arial" w:hAnsi="Arial"/>
                <w:sz w:val="14"/>
                <w:szCs w:val="14"/>
                <w:b w:val="1"/>
                <w:bCs w:val="1"/>
                <w:color w:val="auto"/>
              </w:rPr>
              <w:t>For the Three Months Ended</w:t>
            </w:r>
          </w:p>
        </w:tc>
        <w:tc>
          <w:tcPr>
            <w:tcW w:w="200" w:type="dxa"/>
            <w:vAlign w:val="bottom"/>
          </w:tcPr>
          <w:p>
            <w:pPr>
              <w:spacing w:after="0"/>
              <w:rPr>
                <w:sz w:val="14"/>
                <w:szCs w:val="14"/>
                <w:color w:val="auto"/>
              </w:rPr>
            </w:pPr>
          </w:p>
        </w:tc>
        <w:tc>
          <w:tcPr>
            <w:tcW w:w="2440" w:type="dxa"/>
            <w:vAlign w:val="bottom"/>
            <w:gridSpan w:val="5"/>
          </w:tcPr>
          <w:p>
            <w:pPr>
              <w:ind w:left="20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700" w:type="dxa"/>
            <w:vAlign w:val="bottom"/>
            <w:tcBorders>
              <w:bottom w:val="single" w:sz="8" w:color="CFF0FC"/>
            </w:tcBorders>
          </w:tcPr>
          <w:p>
            <w:pPr>
              <w:spacing w:after="0"/>
              <w:rPr>
                <w:sz w:val="13"/>
                <w:szCs w:val="13"/>
                <w:color w:val="auto"/>
              </w:rPr>
            </w:pPr>
          </w:p>
        </w:tc>
        <w:tc>
          <w:tcPr>
            <w:tcW w:w="11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1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spacing w:after="0"/>
              <w:rPr>
                <w:sz w:val="20"/>
                <w:szCs w:val="20"/>
                <w:color w:val="auto"/>
              </w:rPr>
            </w:pPr>
            <w:r>
              <w:rPr>
                <w:rFonts w:ascii="Arial" w:cs="Arial" w:eastAsia="Arial" w:hAnsi="Arial"/>
                <w:sz w:val="18"/>
                <w:szCs w:val="18"/>
                <w:color w:val="auto"/>
              </w:rPr>
              <w:t>Net income (in thousands)</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1,102</w:t>
            </w:r>
          </w:p>
        </w:tc>
        <w:tc>
          <w:tcPr>
            <w:tcW w:w="240" w:type="dxa"/>
            <w:vAlign w:val="bottom"/>
          </w:tcPr>
          <w:p>
            <w:pPr>
              <w:spacing w:after="0"/>
              <w:rPr>
                <w:sz w:val="19"/>
                <w:szCs w:val="19"/>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4,315</w:t>
            </w:r>
          </w:p>
        </w:tc>
        <w:tc>
          <w:tcPr>
            <w:tcW w:w="24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7,271</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1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Weighted-average common shares outstanding</w:t>
            </w:r>
          </w:p>
        </w:tc>
        <w:tc>
          <w:tcPr>
            <w:tcW w:w="1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31,084,710</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30,735,722</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30,992,475</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30,586,196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common shares and common share</w:t>
            </w: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equivalents outstanding</w:t>
            </w:r>
          </w:p>
        </w:tc>
        <w:tc>
          <w:tcPr>
            <w:tcW w:w="1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31,234,925</w:t>
            </w: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31,320,427</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31,273,703</w:t>
            </w: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31,289,359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color w:val="auto"/>
              </w:rPr>
              <w:t>Net income per common share:</w:t>
            </w:r>
          </w:p>
        </w:tc>
        <w:tc>
          <w:tcPr>
            <w:tcW w:w="1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0.23</w:t>
            </w: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60"/>
              <w:spacing w:after="0"/>
              <w:rPr>
                <w:sz w:val="20"/>
                <w:szCs w:val="20"/>
                <w:color w:val="auto"/>
              </w:rPr>
            </w:pPr>
            <w:r>
              <w:rPr>
                <w:rFonts w:ascii="Arial" w:cs="Arial" w:eastAsia="Arial" w:hAnsi="Arial"/>
                <w:sz w:val="18"/>
                <w:szCs w:val="18"/>
                <w:color w:val="auto"/>
              </w:rPr>
              <w:t>Diluted</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0.04</w:t>
            </w:r>
          </w:p>
        </w:tc>
        <w:tc>
          <w:tcPr>
            <w:tcW w:w="240" w:type="dxa"/>
            <w:vAlign w:val="bottom"/>
          </w:tcPr>
          <w:p>
            <w:pPr>
              <w:spacing w:after="0"/>
              <w:rPr>
                <w:sz w:val="20"/>
                <w:szCs w:val="20"/>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0.14</w:t>
            </w:r>
          </w:p>
        </w:tc>
        <w:tc>
          <w:tcPr>
            <w:tcW w:w="240" w:type="dxa"/>
            <w:vAlign w:val="bottom"/>
          </w:tcPr>
          <w:p>
            <w:pPr>
              <w:spacing w:after="0"/>
              <w:rPr>
                <w:sz w:val="20"/>
                <w:szCs w:val="20"/>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0.23</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7"/>
        </w:trPr>
        <w:tc>
          <w:tcPr>
            <w:tcW w:w="4700" w:type="dxa"/>
            <w:vAlign w:val="bottom"/>
          </w:tcPr>
          <w:p>
            <w:pPr>
              <w:spacing w:after="0"/>
              <w:rPr>
                <w:sz w:val="24"/>
                <w:szCs w:val="24"/>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14" w:name="page15"/>
    <w:bookmarkEnd w:id="14"/>
    <w:p>
      <w:pPr>
        <w:ind w:right="140"/>
        <w:spacing w:after="0" w:line="277" w:lineRule="auto"/>
        <w:rPr>
          <w:sz w:val="20"/>
          <w:szCs w:val="20"/>
          <w:color w:val="auto"/>
        </w:rPr>
      </w:pPr>
      <w:r>
        <w:rPr>
          <w:rFonts w:ascii="Arial" w:cs="Arial" w:eastAsia="Arial" w:hAnsi="Arial"/>
          <w:sz w:val="18"/>
          <w:szCs w:val="18"/>
          <w:color w:val="auto"/>
        </w:rPr>
        <w:t>The following table indicates the number of potentially dilutive securities excluded from the calculation of Diluted net income per common share because their inclusion would have been anti-dilutive. The number of shares is as of the end of each period: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3120" w:type="dxa"/>
            <w:vAlign w:val="bottom"/>
            <w:gridSpan w:val="7"/>
          </w:tcPr>
          <w:p>
            <w:pPr>
              <w:jc w:val="center"/>
              <w:ind w:right="620"/>
              <w:spacing w:after="0"/>
              <w:rPr>
                <w:sz w:val="20"/>
                <w:szCs w:val="20"/>
                <w:color w:val="auto"/>
              </w:rPr>
            </w:pPr>
            <w:r>
              <w:rPr>
                <w:rFonts w:ascii="Arial" w:cs="Arial" w:eastAsia="Arial" w:hAnsi="Arial"/>
                <w:sz w:val="14"/>
                <w:szCs w:val="14"/>
                <w:b w:val="1"/>
                <w:bCs w:val="1"/>
                <w:color w:val="auto"/>
                <w:w w:val="93"/>
              </w:rPr>
              <w:t>For the Three Months Ended</w:t>
            </w:r>
          </w:p>
        </w:tc>
        <w:tc>
          <w:tcPr>
            <w:tcW w:w="2280" w:type="dxa"/>
            <w:vAlign w:val="bottom"/>
            <w:gridSpan w:val="8"/>
          </w:tcPr>
          <w:p>
            <w:pPr>
              <w:jc w:val="right"/>
              <w:ind w:right="520"/>
              <w:spacing w:after="0"/>
              <w:rPr>
                <w:sz w:val="20"/>
                <w:szCs w:val="20"/>
                <w:color w:val="auto"/>
              </w:rPr>
            </w:pPr>
            <w:r>
              <w:rPr>
                <w:rFonts w:ascii="Arial" w:cs="Arial" w:eastAsia="Arial" w:hAnsi="Arial"/>
                <w:sz w:val="14"/>
                <w:szCs w:val="14"/>
                <w:b w:val="1"/>
                <w:bCs w:val="1"/>
                <w:color w:val="auto"/>
                <w:w w:val="95"/>
              </w:rPr>
              <w:t>For the Nine Months Ended</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740" w:type="dxa"/>
            <w:vAlign w:val="bottom"/>
            <w:gridSpan w:val="3"/>
          </w:tcPr>
          <w:p>
            <w:pPr>
              <w:jc w:val="center"/>
              <w:ind w:left="659"/>
              <w:spacing w:after="0"/>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56"/>
        </w:trPr>
        <w:tc>
          <w:tcPr>
            <w:tcW w:w="5840" w:type="dxa"/>
            <w:vAlign w:val="bottom"/>
            <w:tcBorders>
              <w:bottom w:val="single" w:sz="8" w:color="CFF0FC"/>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gridSpan w:val="2"/>
          </w:tcPr>
          <w:p>
            <w:pPr>
              <w:jc w:val="center"/>
              <w:ind w:right="293"/>
              <w:spacing w:after="0" w:line="155" w:lineRule="exact"/>
              <w:rPr>
                <w:sz w:val="20"/>
                <w:szCs w:val="20"/>
                <w:color w:val="auto"/>
              </w:rPr>
            </w:pPr>
            <w:r>
              <w:rPr>
                <w:rFonts w:ascii="Arial" w:cs="Arial" w:eastAsia="Arial" w:hAnsi="Arial"/>
                <w:sz w:val="14"/>
                <w:szCs w:val="14"/>
                <w:b w:val="1"/>
                <w:bCs w:val="1"/>
                <w:color w:val="auto"/>
                <w:w w:val="89"/>
              </w:rPr>
              <w:t>2020</w:t>
            </w:r>
          </w:p>
        </w:tc>
        <w:tc>
          <w:tcPr>
            <w:tcW w:w="24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CFF0FC"/>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Common stock options</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ind w:left="44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9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Restricted shares</w:t>
            </w:r>
          </w:p>
        </w:tc>
        <w:tc>
          <w:tcPr>
            <w:tcW w:w="1140" w:type="dxa"/>
            <w:vAlign w:val="bottom"/>
          </w:tcPr>
          <w:p>
            <w:pPr>
              <w:jc w:val="right"/>
              <w:spacing w:after="0"/>
              <w:rPr>
                <w:sz w:val="20"/>
                <w:szCs w:val="20"/>
                <w:color w:val="auto"/>
              </w:rPr>
            </w:pPr>
            <w:r>
              <w:rPr>
                <w:rFonts w:ascii="Arial" w:cs="Arial" w:eastAsia="Arial" w:hAnsi="Arial"/>
                <w:sz w:val="18"/>
                <w:szCs w:val="18"/>
                <w:color w:val="auto"/>
              </w:rPr>
              <w:t>203,636</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17,803</w:t>
            </w:r>
          </w:p>
        </w:tc>
        <w:tc>
          <w:tcPr>
            <w:tcW w:w="240" w:type="dxa"/>
            <w:vAlign w:val="bottom"/>
          </w:tcPr>
          <w:p>
            <w:pPr>
              <w:spacing w:after="0"/>
              <w:rPr>
                <w:sz w:val="19"/>
                <w:szCs w:val="19"/>
                <w:color w:val="auto"/>
              </w:rPr>
            </w:pPr>
          </w:p>
        </w:tc>
        <w:tc>
          <w:tcPr>
            <w:tcW w:w="1260" w:type="dxa"/>
            <w:vAlign w:val="bottom"/>
            <w:gridSpan w:val="3"/>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203,636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ind w:left="44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17,803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gridSpan w:val="2"/>
            <w:shd w:val="clear" w:color="auto" w:fill="CFF0FC"/>
          </w:tcPr>
          <w:p>
            <w:pPr>
              <w:ind w:left="96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b w:val="1"/>
                <w:bCs w:val="1"/>
                <w:color w:val="auto"/>
              </w:rPr>
              <w:t>NOTE 13 — LONG-TERM DEBT</w:t>
            </w: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84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840" w:type="dxa"/>
            <w:vAlign w:val="bottom"/>
          </w:tcPr>
          <w:p>
            <w:pPr>
              <w:ind w:left="500"/>
              <w:spacing w:after="0"/>
              <w:rPr>
                <w:sz w:val="20"/>
                <w:szCs w:val="20"/>
                <w:color w:val="auto"/>
              </w:rPr>
            </w:pPr>
            <w:r>
              <w:rPr>
                <w:rFonts w:ascii="Arial" w:cs="Arial" w:eastAsia="Arial" w:hAnsi="Arial"/>
                <w:sz w:val="18"/>
                <w:szCs w:val="18"/>
                <w:color w:val="auto"/>
              </w:rPr>
              <w:t>Long-term debt consisted of the following (dollars in thousands):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5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3"/>
          </w:tcPr>
          <w:p>
            <w:pPr>
              <w:jc w:val="center"/>
              <w:ind w:left="193"/>
              <w:spacing w:after="0"/>
              <w:rPr>
                <w:sz w:val="20"/>
                <w:szCs w:val="20"/>
                <w:color w:val="auto"/>
              </w:rPr>
            </w:pPr>
            <w:r>
              <w:rPr>
                <w:rFonts w:ascii="Arial" w:cs="Arial" w:eastAsia="Arial" w:hAnsi="Arial"/>
                <w:sz w:val="14"/>
                <w:szCs w:val="14"/>
                <w:b w:val="1"/>
                <w:bCs w:val="1"/>
                <w:color w:val="auto"/>
                <w:w w:val="92"/>
              </w:rPr>
              <w:t>December 31,</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3"/>
          </w:tcPr>
          <w:p>
            <w:pPr>
              <w:ind w:left="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8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center"/>
              <w:ind w:right="473"/>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gridSpan w:val="2"/>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Equipment debt obligations</w:t>
            </w:r>
          </w:p>
        </w:tc>
        <w:tc>
          <w:tcPr>
            <w:tcW w:w="11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Total long-term debt</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Less current maturities</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debt, less current maturities</w:t>
            </w:r>
          </w:p>
        </w:tc>
        <w:tc>
          <w:tcPr>
            <w:tcW w:w="11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center"/>
              <w:ind w:right="473"/>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171" w:lineRule="exact"/>
        <w:rPr>
          <w:sz w:val="20"/>
          <w:szCs w:val="20"/>
          <w:color w:val="auto"/>
        </w:rPr>
      </w:pPr>
    </w:p>
    <w:p>
      <w:pPr>
        <w:jc w:val="both"/>
        <w:ind w:firstLine="489"/>
        <w:spacing w:after="0" w:line="342" w:lineRule="auto"/>
        <w:rPr>
          <w:sz w:val="20"/>
          <w:szCs w:val="20"/>
          <w:color w:val="auto"/>
        </w:rPr>
      </w:pPr>
      <w:r>
        <w:rPr>
          <w:rFonts w:ascii="Arial" w:cs="Arial" w:eastAsia="Arial" w:hAnsi="Arial"/>
          <w:sz w:val="16"/>
          <w:szCs w:val="16"/>
          <w:color w:val="auto"/>
        </w:rPr>
        <w:t>On December 29, 2020, Orion entered into a new $25 million Loan and Security Agreement with Bank of America, N.A., as lender (the “Credit Agreement”). The Credit Agreement replaced Orion’s prior $20.15 million secured revolving credit and security agreement (the “Prior Credit Agreement”).</w:t>
      </w:r>
    </w:p>
    <w:p>
      <w:pPr>
        <w:spacing w:after="0" w:line="70" w:lineRule="exact"/>
        <w:rPr>
          <w:sz w:val="20"/>
          <w:szCs w:val="20"/>
          <w:color w:val="auto"/>
        </w:rPr>
      </w:pPr>
    </w:p>
    <w:p>
      <w:pPr>
        <w:jc w:val="both"/>
        <w:ind w:firstLine="489"/>
        <w:spacing w:after="0" w:line="277" w:lineRule="auto"/>
        <w:rPr>
          <w:sz w:val="20"/>
          <w:szCs w:val="20"/>
          <w:color w:val="auto"/>
        </w:rPr>
      </w:pPr>
      <w:r>
        <w:rPr>
          <w:rFonts w:ascii="Arial" w:cs="Arial" w:eastAsia="Arial" w:hAnsi="Arial"/>
          <w:sz w:val="18"/>
          <w:szCs w:val="18"/>
          <w:color w:val="auto"/>
        </w:rPr>
        <w:t>The replacement of the Prior Credit Agreement with the Credit Agreement provides Orion with increased financing capacity and liquidity to fund its operations and implement its strategic plans.</w:t>
      </w:r>
    </w:p>
    <w:p>
      <w:pPr>
        <w:spacing w:after="0" w:line="116" w:lineRule="exact"/>
        <w:rPr>
          <w:sz w:val="20"/>
          <w:szCs w:val="20"/>
          <w:color w:val="auto"/>
        </w:rPr>
      </w:pPr>
    </w:p>
    <w:p>
      <w:pPr>
        <w:jc w:val="both"/>
        <w:ind w:firstLine="489"/>
        <w:spacing w:after="0" w:line="259" w:lineRule="auto"/>
        <w:rPr>
          <w:sz w:val="20"/>
          <w:szCs w:val="20"/>
          <w:color w:val="auto"/>
        </w:rPr>
      </w:pPr>
      <w:r>
        <w:rPr>
          <w:rFonts w:ascii="Arial" w:cs="Arial" w:eastAsia="Arial" w:hAnsi="Arial"/>
          <w:sz w:val="18"/>
          <w:szCs w:val="18"/>
          <w:color w:val="auto"/>
        </w:rPr>
        <w:t>The Credit Agreement provides for a five-year $25.0 million revolving credit facility (the “Credit Facility”) that matures on December 29, 2025. Borrowings under the Credit Facility are subject to a borrowing base requirement based on eligible receivables, inventory and cash. As of December 31, 2021, the borrowing base supports $24.2 million availability of the Credit Facility. As of December 31, 2021, no amounts were borrowed under the Credit Facility.</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2021, Orion was in compliance with all debt covenants.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Equipment Debt Obligations</w:t>
      </w:r>
    </w:p>
    <w:p>
      <w:pPr>
        <w:spacing w:after="0" w:line="171"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In February 2019, Orion entered into additional debt agreements with a financing company in the principal amount of $44 thousand and $30 thousand to fund the purchase of certain equipment. The debts are secured by the related equipment. The debts bear interest at a rate of 6.43% and 8.77% per annum, respectively, and both debts mature in January 2024.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INCOME TAXES</w:t>
      </w:r>
    </w:p>
    <w:p>
      <w:pPr>
        <w:spacing w:after="0" w:line="175" w:lineRule="exact"/>
        <w:rPr>
          <w:sz w:val="20"/>
          <w:szCs w:val="20"/>
          <w:color w:val="auto"/>
        </w:rPr>
      </w:pPr>
    </w:p>
    <w:p>
      <w:pPr>
        <w:jc w:val="both"/>
        <w:ind w:firstLine="493"/>
        <w:spacing w:after="0" w:line="257" w:lineRule="auto"/>
        <w:rPr>
          <w:sz w:val="20"/>
          <w:szCs w:val="20"/>
          <w:color w:val="auto"/>
        </w:rPr>
      </w:pPr>
      <w:r>
        <w:rPr>
          <w:rFonts w:ascii="Arial" w:cs="Arial" w:eastAsia="Arial" w:hAnsi="Arial"/>
          <w:sz w:val="18"/>
          <w:szCs w:val="18"/>
          <w:color w:val="auto"/>
        </w:rPr>
        <w:t>Orion’s income tax provision was determined by applying an estimated annual effective tax rate, based upon the facts and circumstances known, to book income (loss) before income tax, adjusting for discrete items. Orion’s actual effective tax rate is adjusted each interim period, as appropriate, for changes in facts and circumstances. For the three months ended December 31, 2021 and 2020, Orion recorded income tax expense of $0.2 million and $0.1 million, respectively, using this methodology. For the nine months ended December 31, 2021 and 2020, Orion recorded income tax expense of $2.4 million and $0.1 million, respectively, using this methodology.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 w:name="page16"/>
    <w:bookmarkEnd w:id="15"/>
    <w:p>
      <w:pPr>
        <w:jc w:val="both"/>
        <w:ind w:firstLine="489"/>
        <w:spacing w:after="0" w:line="257" w:lineRule="auto"/>
        <w:rPr>
          <w:sz w:val="20"/>
          <w:szCs w:val="20"/>
          <w:color w:val="auto"/>
        </w:rPr>
      </w:pPr>
      <w:r>
        <w:rPr>
          <w:rFonts w:ascii="Arial" w:cs="Arial" w:eastAsia="Arial" w:hAnsi="Arial"/>
          <w:sz w:val="18"/>
          <w:szCs w:val="18"/>
          <w:color w:val="auto"/>
        </w:rPr>
        <w:t>As of December 31, 2021 and March 31, 2021, Orion recorded a valuation allowance of $1.3 million against its net deferred tax asset balance. As of each reporting date, management considers new evidence, both positive and negative, that could affect its view of the future realization of deferred tax assets. Orion considers future taxable income and ongoing prudent and feasible tax planning strategies in assessing the need for the valuation allowance. In the event that Orion determines that the more or less of its deferred tax assets are able to be realized, an adjustment to the valuation allowance would be reflected in the company’s provision for income taxes.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71" w:lineRule="exact"/>
        <w:rPr>
          <w:sz w:val="20"/>
          <w:szCs w:val="20"/>
          <w:color w:val="auto"/>
        </w:rPr>
      </w:pPr>
    </w:p>
    <w:p>
      <w:pPr>
        <w:jc w:val="both"/>
        <w:ind w:firstLine="489"/>
        <w:spacing w:after="0" w:line="277" w:lineRule="auto"/>
        <w:rPr>
          <w:sz w:val="20"/>
          <w:szCs w:val="20"/>
          <w:color w:val="auto"/>
        </w:rPr>
      </w:pPr>
      <w:r>
        <w:rPr>
          <w:rFonts w:ascii="Arial" w:cs="Arial" w:eastAsia="Arial" w:hAnsi="Arial"/>
          <w:sz w:val="18"/>
          <w:szCs w:val="18"/>
          <w:color w:val="auto"/>
        </w:rPr>
        <w:t>As of December 31, 2021, Orion’s balance of gross unrecognized tax benefits was approximately $0.4 million, all of which would reduce Orion’s effective tax rate if recognized.</w:t>
      </w:r>
    </w:p>
    <w:p>
      <w:pPr>
        <w:spacing w:after="0" w:line="116" w:lineRule="exact"/>
        <w:rPr>
          <w:sz w:val="20"/>
          <w:szCs w:val="20"/>
          <w:color w:val="auto"/>
        </w:rPr>
      </w:pPr>
    </w:p>
    <w:p>
      <w:pPr>
        <w:jc w:val="both"/>
        <w:ind w:firstLine="489"/>
        <w:spacing w:after="0" w:line="263" w:lineRule="auto"/>
        <w:rPr>
          <w:sz w:val="20"/>
          <w:szCs w:val="20"/>
          <w:color w:val="auto"/>
        </w:rPr>
      </w:pPr>
      <w:r>
        <w:rPr>
          <w:rFonts w:ascii="Arial" w:cs="Arial" w:eastAsia="Arial" w:hAnsi="Arial"/>
          <w:sz w:val="18"/>
          <w:szCs w:val="18"/>
          <w:color w:val="auto"/>
        </w:rPr>
        <w:t>Orion has classified the amounts recorded for uncertain tax benefits in the balance sheet as Other long-term liabilities to the extent that payment is not anticipated within one year. Orion recognizes penalties and interest related to uncertain tax liabilities in Income tax expense. Penalties and interest are included in the unrecognized tax benefits.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71" w:lineRule="exact"/>
        <w:rPr>
          <w:sz w:val="20"/>
          <w:szCs w:val="20"/>
          <w:color w:val="auto"/>
        </w:rPr>
      </w:pPr>
    </w:p>
    <w:p>
      <w:pPr>
        <w:jc w:val="both"/>
        <w:ind w:right="20" w:firstLine="493"/>
        <w:spacing w:after="0" w:line="308" w:lineRule="auto"/>
        <w:rPr>
          <w:sz w:val="20"/>
          <w:szCs w:val="20"/>
          <w:color w:val="auto"/>
        </w:rPr>
      </w:pPr>
      <w:r>
        <w:rPr>
          <w:rFonts w:ascii="Arial" w:cs="Arial" w:eastAsia="Arial" w:hAnsi="Arial"/>
          <w:sz w:val="17"/>
          <w:szCs w:val="17"/>
          <w:color w:val="auto"/>
        </w:rPr>
        <w:t>Orion is subject to various claims and legal proceedings arising in the ordinary course of business. Orion does not believe the final resolution of any of such claims or legal proceedings will have a material adverse effect on Orion’s future results of operations or financial condition.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Tax Assessment</w:t>
      </w:r>
    </w:p>
    <w:p>
      <w:pPr>
        <w:spacing w:after="0" w:line="171"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During fiscal 2018, Orion was notified of a pending sales and use tax audit by the Wisconsin Department of Revenue for the period covering April 1, 2013 through March 31, 2017. Although the final resolution of Orion's sales and use tax audit is uncertain, the ultimate disposition of this matter is not expected to have a material adverse effect on Orion's future results of operations or financial conditions.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SHAREHOLDERS’ EQUITY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Rights Plan</w:t>
      </w:r>
    </w:p>
    <w:p>
      <w:pPr>
        <w:spacing w:after="0" w:line="171" w:lineRule="exact"/>
        <w:rPr>
          <w:sz w:val="20"/>
          <w:szCs w:val="20"/>
          <w:color w:val="auto"/>
        </w:rPr>
      </w:pPr>
    </w:p>
    <w:p>
      <w:pPr>
        <w:jc w:val="both"/>
        <w:ind w:firstLine="489"/>
        <w:spacing w:after="0" w:line="263" w:lineRule="auto"/>
        <w:rPr>
          <w:sz w:val="20"/>
          <w:szCs w:val="20"/>
          <w:color w:val="auto"/>
        </w:rPr>
      </w:pPr>
      <w:r>
        <w:rPr>
          <w:rFonts w:ascii="Arial" w:cs="Arial" w:eastAsia="Arial" w:hAnsi="Arial"/>
          <w:sz w:val="18"/>
          <w:szCs w:val="18"/>
          <w:color w:val="auto"/>
        </w:rPr>
        <w:t>On January 3, 2019, Orion entered into Amendment No. 1 to the Rights Agreement, which amended the Rights Agreement dated as of January 7, 2009 and extended its terms by three years to January 7, 2022. In December 2021, Orion’s Board of Directors announced that it had decided to allow the Rights Agreement to terminate and expire by its terms on January 7,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71" w:lineRule="exact"/>
        <w:rPr>
          <w:sz w:val="20"/>
          <w:szCs w:val="20"/>
          <w:color w:val="auto"/>
        </w:rPr>
      </w:pPr>
    </w:p>
    <w:p>
      <w:pPr>
        <w:jc w:val="both"/>
        <w:ind w:firstLine="489"/>
        <w:spacing w:after="0" w:line="277" w:lineRule="auto"/>
        <w:rPr>
          <w:sz w:val="20"/>
          <w:szCs w:val="20"/>
          <w:color w:val="auto"/>
        </w:rPr>
      </w:pPr>
      <w:r>
        <w:rPr>
          <w:rFonts w:ascii="Arial" w:cs="Arial" w:eastAsia="Arial" w:hAnsi="Arial"/>
          <w:sz w:val="18"/>
          <w:szCs w:val="18"/>
          <w:color w:val="auto"/>
        </w:rPr>
        <w:t>In August 2010, Orion’s Board of Directors approved a non-compensatory employee stock purchase plan, or “ESPP”. In the three months ended December 31, 2021, Orion issued 355 shares under the ESPP plan at a closing market price of $3.62.</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8"/>
              </w:rPr>
              <w:t>Shares Issued</w:t>
            </w:r>
          </w:p>
        </w:tc>
        <w:tc>
          <w:tcPr>
            <w:tcW w:w="300" w:type="dxa"/>
            <w:vAlign w:val="bottom"/>
          </w:tcPr>
          <w:p>
            <w:pPr>
              <w:spacing w:after="0"/>
              <w:rPr>
                <w:sz w:val="14"/>
                <w:szCs w:val="14"/>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Closing Market</w:t>
            </w:r>
          </w:p>
        </w:tc>
        <w:tc>
          <w:tcPr>
            <w:tcW w:w="0" w:type="dxa"/>
            <w:vAlign w:val="bottom"/>
          </w:tcPr>
          <w:p>
            <w:pPr>
              <w:spacing w:after="0"/>
              <w:rPr>
                <w:sz w:val="1"/>
                <w:szCs w:val="1"/>
                <w:color w:val="auto"/>
              </w:rPr>
            </w:pPr>
          </w:p>
        </w:tc>
      </w:tr>
      <w:tr>
        <w:trPr>
          <w:trHeight w:val="149"/>
        </w:trPr>
        <w:tc>
          <w:tcPr>
            <w:tcW w:w="772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 ESPP</w:t>
            </w:r>
          </w:p>
        </w:tc>
        <w:tc>
          <w:tcPr>
            <w:tcW w:w="30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720" w:type="dxa"/>
            <w:vAlign w:val="bottom"/>
            <w:tcBorders>
              <w:bottom w:val="single" w:sz="8" w:color="CFF0FC"/>
            </w:tcBorders>
          </w:tcPr>
          <w:p>
            <w:pPr>
              <w:spacing w:after="0"/>
              <w:rPr>
                <w:sz w:val="14"/>
                <w:szCs w:val="14"/>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Plan</w:t>
            </w:r>
          </w:p>
        </w:tc>
        <w:tc>
          <w:tcPr>
            <w:tcW w:w="300" w:type="dxa"/>
            <w:vAlign w:val="bottom"/>
            <w:tcBorders>
              <w:bottom w:val="single" w:sz="8" w:color="CFF0FC"/>
            </w:tcBorders>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Quarter Ended June 30, 2021</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w:t>
            </w:r>
          </w:p>
        </w:tc>
        <w:tc>
          <w:tcPr>
            <w:tcW w:w="300" w:type="dxa"/>
            <w:vAlign w:val="bottom"/>
            <w:shd w:val="clear" w:color="auto" w:fill="CFF0FC"/>
          </w:tcPr>
          <w:p>
            <w:pPr>
              <w:spacing w:after="0"/>
              <w:rPr>
                <w:sz w:val="19"/>
                <w:szCs w:val="19"/>
                <w:color w:val="auto"/>
              </w:rPr>
            </w:pPr>
          </w:p>
        </w:tc>
        <w:tc>
          <w:tcPr>
            <w:tcW w:w="16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5"/>
              </w:rPr>
              <w:t>5.73</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Quarter Ended September 30, 2021</w:t>
            </w:r>
          </w:p>
        </w:tc>
        <w:tc>
          <w:tcPr>
            <w:tcW w:w="1540" w:type="dxa"/>
            <w:vAlign w:val="bottom"/>
          </w:tcPr>
          <w:p>
            <w:pPr>
              <w:jc w:val="right"/>
              <w:spacing w:after="0"/>
              <w:rPr>
                <w:sz w:val="20"/>
                <w:szCs w:val="20"/>
                <w:color w:val="auto"/>
              </w:rPr>
            </w:pPr>
            <w:r>
              <w:rPr>
                <w:rFonts w:ascii="Arial" w:cs="Arial" w:eastAsia="Arial" w:hAnsi="Arial"/>
                <w:sz w:val="18"/>
                <w:szCs w:val="18"/>
                <w:color w:val="auto"/>
              </w:rPr>
              <w:t>327</w:t>
            </w:r>
          </w:p>
        </w:tc>
        <w:tc>
          <w:tcPr>
            <w:tcW w:w="1980" w:type="dxa"/>
            <w:vAlign w:val="bottom"/>
            <w:gridSpan w:val="2"/>
          </w:tcPr>
          <w:p>
            <w:pPr>
              <w:jc w:val="center"/>
              <w:ind w:left="190"/>
              <w:spacing w:after="0"/>
              <w:rPr>
                <w:sz w:val="20"/>
                <w:szCs w:val="20"/>
                <w:color w:val="auto"/>
              </w:rPr>
            </w:pPr>
            <w:r>
              <w:rPr>
                <w:rFonts w:ascii="Arial" w:cs="Arial" w:eastAsia="Arial" w:hAnsi="Arial"/>
                <w:sz w:val="18"/>
                <w:szCs w:val="18"/>
                <w:color w:val="auto"/>
                <w:w w:val="85"/>
              </w:rPr>
              <w:t>3.89</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Quarter Ended December 31, 2021</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w:t>
            </w:r>
          </w:p>
        </w:tc>
        <w:tc>
          <w:tcPr>
            <w:tcW w:w="1980" w:type="dxa"/>
            <w:vAlign w:val="bottom"/>
            <w:gridSpan w:val="2"/>
            <w:shd w:val="clear" w:color="auto" w:fill="CFF0FC"/>
          </w:tcPr>
          <w:p>
            <w:pPr>
              <w:jc w:val="center"/>
              <w:ind w:left="190"/>
              <w:spacing w:after="0"/>
              <w:rPr>
                <w:sz w:val="20"/>
                <w:szCs w:val="20"/>
                <w:color w:val="auto"/>
              </w:rPr>
            </w:pPr>
            <w:r>
              <w:rPr>
                <w:rFonts w:ascii="Arial" w:cs="Arial" w:eastAsia="Arial" w:hAnsi="Arial"/>
                <w:sz w:val="18"/>
                <w:szCs w:val="18"/>
                <w:color w:val="auto"/>
                <w:w w:val="85"/>
              </w:rPr>
              <w:t>3.62</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Total issued in fiscal 2022</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1,178</w:t>
            </w:r>
          </w:p>
        </w:tc>
        <w:tc>
          <w:tcPr>
            <w:tcW w:w="1980" w:type="dxa"/>
            <w:vAlign w:val="bottom"/>
            <w:gridSpan w:val="2"/>
          </w:tcPr>
          <w:p>
            <w:pPr>
              <w:jc w:val="center"/>
              <w:ind w:left="190"/>
              <w:spacing w:after="0"/>
              <w:rPr>
                <w:sz w:val="20"/>
                <w:szCs w:val="20"/>
                <w:color w:val="auto"/>
              </w:rPr>
            </w:pPr>
            <w:r>
              <w:rPr>
                <w:rFonts w:ascii="Arial" w:cs="Arial" w:eastAsia="Arial" w:hAnsi="Arial"/>
                <w:sz w:val="18"/>
                <w:szCs w:val="18"/>
                <w:color w:val="auto"/>
                <w:w w:val="88"/>
              </w:rPr>
              <w:t>$ 3.62 - 5.73</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6" w:name="page17"/>
    <w:bookmarkEnd w:id="16"/>
    <w:p>
      <w:pPr>
        <w:jc w:val="both"/>
        <w:ind w:firstLine="583"/>
        <w:spacing w:after="0" w:line="279" w:lineRule="auto"/>
        <w:rPr>
          <w:sz w:val="20"/>
          <w:szCs w:val="20"/>
          <w:color w:val="auto"/>
        </w:rPr>
      </w:pPr>
      <w:r>
        <w:rPr>
          <w:rFonts w:ascii="Arial" w:cs="Arial" w:eastAsia="Arial" w:hAnsi="Arial"/>
          <w:sz w:val="17"/>
          <w:szCs w:val="17"/>
          <w:color w:val="auto"/>
        </w:rPr>
        <w:t>In March 2020, Orion filed a universal shelf registration statement with the Securities and Exchange Commission. Under the shelf registration statement, Orion currently has the flexibility to publicly offer and sell from time to time up to $100.0 million of debt and/or equity securities. The filing of the shelf registration statement may help facilitate Orion’s ability to raise public equity or debt capital to expand existing businesses, fund potential acquisitions, invest in other growth opportunities, repay existing debt, or for other general corporate purposes.</w:t>
      </w:r>
    </w:p>
    <w:p>
      <w:pPr>
        <w:spacing w:after="0" w:line="63" w:lineRule="exact"/>
        <w:rPr>
          <w:sz w:val="20"/>
          <w:szCs w:val="20"/>
          <w:color w:val="auto"/>
        </w:rPr>
      </w:pPr>
    </w:p>
    <w:p>
      <w:pPr>
        <w:jc w:val="both"/>
        <w:ind w:firstLine="583"/>
        <w:spacing w:after="0" w:line="263" w:lineRule="auto"/>
        <w:rPr>
          <w:sz w:val="20"/>
          <w:szCs w:val="20"/>
          <w:color w:val="auto"/>
        </w:rPr>
      </w:pPr>
      <w:r>
        <w:rPr>
          <w:rFonts w:ascii="Arial" w:cs="Arial" w:eastAsia="Arial" w:hAnsi="Arial"/>
          <w:sz w:val="18"/>
          <w:szCs w:val="18"/>
          <w:color w:val="auto"/>
        </w:rPr>
        <w:t>In March 2021, Orion entered into an At Market Issuance Sales Agreement to undertake an “at the market” (ATM) public equity capital raising program pursuant to which Orion may offer and sell shares of common stock from time to time, having an aggregate offering price of up to $50 million. No share sales were effected pursuant to the ATM program through December 31, 2021.</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STOCK OPTIONS AND RESTRICTED SHARES</w:t>
      </w:r>
    </w:p>
    <w:p>
      <w:pPr>
        <w:spacing w:after="0" w:line="175" w:lineRule="exact"/>
        <w:rPr>
          <w:sz w:val="20"/>
          <w:szCs w:val="20"/>
          <w:color w:val="auto"/>
        </w:rPr>
      </w:pPr>
    </w:p>
    <w:p>
      <w:pPr>
        <w:jc w:val="both"/>
        <w:ind w:firstLine="493"/>
        <w:spacing w:after="0" w:line="257" w:lineRule="auto"/>
        <w:rPr>
          <w:sz w:val="20"/>
          <w:szCs w:val="20"/>
          <w:color w:val="auto"/>
        </w:rPr>
      </w:pPr>
      <w:r>
        <w:rPr>
          <w:rFonts w:ascii="Arial" w:cs="Arial" w:eastAsia="Arial" w:hAnsi="Arial"/>
          <w:sz w:val="18"/>
          <w:szCs w:val="18"/>
          <w:color w:val="auto"/>
        </w:rPr>
        <w:t>At Orion’s 2019 annual meeting of shareholders held on August 7, 2019, Orion’s shareholders approved the Orion Energy Systems, Inc. 2016 Omnibus Incentive Plan, as amended and restated (the “Amended 2016 Plan”). The Amended 2016 Plan increased the number of shares of Orion’s common stock available for issuance under the Amended 2016 Plan from 1,750,000 shares to 3,500,000 shares (an increase of 1,750,000 shares); added a minimum vesting period for all awards granted under the Amended 2016 Plan (with limited exceptions); and added a specific prohibition on the payment of dividends and dividend equivalents on unvested awards.</w:t>
      </w:r>
    </w:p>
    <w:p>
      <w:pPr>
        <w:spacing w:after="0" w:line="134"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The Amended 2016 Plan authorizes grants of equity-based and incentive cash awards to eligible participants designated by the Plan's administrator. Awards under the Amended 2016 Plan may consist of stock options, stock appreciation rights, performance shares, performance units, common stock, restricted stock, restricted stock units, incentive awards or dividend equivalent units.</w:t>
      </w:r>
    </w:p>
    <w:p>
      <w:pPr>
        <w:spacing w:after="0" w:line="130" w:lineRule="exact"/>
        <w:rPr>
          <w:sz w:val="20"/>
          <w:szCs w:val="20"/>
          <w:color w:val="auto"/>
        </w:rPr>
      </w:pPr>
    </w:p>
    <w:p>
      <w:pPr>
        <w:jc w:val="both"/>
        <w:ind w:firstLine="493"/>
        <w:spacing w:after="0" w:line="275" w:lineRule="auto"/>
        <w:rPr>
          <w:sz w:val="20"/>
          <w:szCs w:val="20"/>
          <w:color w:val="auto"/>
        </w:rPr>
      </w:pPr>
      <w:r>
        <w:rPr>
          <w:rFonts w:ascii="Arial" w:cs="Arial" w:eastAsia="Arial" w:hAnsi="Arial"/>
          <w:sz w:val="17"/>
          <w:szCs w:val="17"/>
          <w:color w:val="auto"/>
        </w:rPr>
        <w:t>Prior to the 2016 Omnibus Incentive Plan, Orion maintained its 2004 Stock and Incentive Awards Plan, as amended, which authorized the grant of cash and equity awards to employees (the “2004 Plan”). No new awards are being granted under the 2004 Plan; however, all awards granted under the 2004 Plan that are outstanding will continue to be governed by the 2004 Plan. Forfeited awards originally issued under the 2004 Plan are canceled and are not available for subsequent issuance under the 2004 Plan or under the Amended 2016 Plan. The Amended 2016 Plan and the 2004 Plan also permit accelerated vesting in the event of certain changes of control of Orion as well as under other special circumstances.</w:t>
      </w:r>
    </w:p>
    <w:p>
      <w:pPr>
        <w:spacing w:after="0" w:line="122" w:lineRule="exact"/>
        <w:rPr>
          <w:sz w:val="20"/>
          <w:szCs w:val="20"/>
          <w:color w:val="auto"/>
        </w:rPr>
      </w:pPr>
    </w:p>
    <w:p>
      <w:pPr>
        <w:jc w:val="both"/>
        <w:ind w:right="20" w:firstLine="489"/>
        <w:spacing w:after="0" w:line="277" w:lineRule="auto"/>
        <w:rPr>
          <w:sz w:val="20"/>
          <w:szCs w:val="20"/>
          <w:color w:val="auto"/>
        </w:rPr>
      </w:pPr>
      <w:r>
        <w:rPr>
          <w:rFonts w:ascii="Arial" w:cs="Arial" w:eastAsia="Arial" w:hAnsi="Arial"/>
          <w:sz w:val="18"/>
          <w:szCs w:val="18"/>
          <w:color w:val="auto"/>
        </w:rPr>
        <w:t>Certain non-employee directors have from time to time elected to receive stock awards in lieu of cash compensation pursuant to elections made under Orion’s non-employee director compensation program.</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amounts of stock-based compensation were recorded (dollars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18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8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Nine Months Ended</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8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447"/>
              <w:spacing w:after="0"/>
              <w:rPr>
                <w:sz w:val="20"/>
                <w:szCs w:val="20"/>
                <w:color w:val="auto"/>
              </w:rPr>
            </w:pPr>
            <w:r>
              <w:rPr>
                <w:rFonts w:ascii="Arial" w:cs="Arial" w:eastAsia="Arial" w:hAnsi="Arial"/>
                <w:sz w:val="14"/>
                <w:szCs w:val="14"/>
                <w:b w:val="1"/>
                <w:bCs w:val="1"/>
                <w:color w:val="auto"/>
                <w:w w:val="96"/>
              </w:rPr>
              <w:t>December 31,</w:t>
            </w:r>
          </w:p>
        </w:tc>
        <w:tc>
          <w:tcPr>
            <w:tcW w:w="3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4"/>
                <w:szCs w:val="14"/>
                <w:b w:val="1"/>
                <w:bCs w:val="1"/>
                <w:color w:val="auto"/>
                <w:w w:val="96"/>
              </w:rPr>
              <w:t>December 31,</w:t>
            </w: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84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ind w:right="27"/>
              <w:spacing w:after="0" w:line="155" w:lineRule="exact"/>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ind w:right="7"/>
              <w:spacing w:after="0" w:line="155" w:lineRule="exact"/>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3"/>
                <w:szCs w:val="13"/>
                <w:color w:val="auto"/>
              </w:rPr>
            </w:pPr>
          </w:p>
        </w:tc>
        <w:tc>
          <w:tcPr>
            <w:tcW w:w="10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Cost of product revenue</w:t>
            </w:r>
          </w:p>
        </w:tc>
        <w:tc>
          <w:tcPr>
            <w:tcW w:w="760" w:type="dxa"/>
            <w:vAlign w:val="bottom"/>
            <w:tcBorders>
              <w:top w:val="single" w:sz="8" w:color="auto"/>
            </w:tcBorders>
            <w:shd w:val="clear" w:color="auto" w:fill="CFF0FC"/>
          </w:tcPr>
          <w:p>
            <w:pPr>
              <w:jc w:val="right"/>
              <w:ind w:right="579"/>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4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214</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143</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574</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7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Research and development</w:t>
            </w: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FF0FC"/>
            </w:tcBorders>
          </w:tcPr>
          <w:p>
            <w:pPr>
              <w:spacing w:after="0"/>
              <w:rPr>
                <w:sz w:val="19"/>
                <w:szCs w:val="19"/>
                <w:color w:val="auto"/>
              </w:rPr>
            </w:pPr>
          </w:p>
        </w:tc>
      </w:tr>
      <w:tr>
        <w:trPr>
          <w:trHeight w:val="223"/>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760" w:type="dxa"/>
            <w:vAlign w:val="bottom"/>
            <w:tcBorders>
              <w:bottom w:val="single" w:sz="8" w:color="auto"/>
            </w:tcBorders>
            <w:shd w:val="clear" w:color="auto" w:fill="CFF0FC"/>
          </w:tcPr>
          <w:p>
            <w:pPr>
              <w:jc w:val="right"/>
              <w:ind w:right="579"/>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2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47"/>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152</w:t>
            </w:r>
          </w:p>
        </w:tc>
        <w:tc>
          <w:tcPr>
            <w:tcW w:w="24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w:t>
            </w:r>
          </w:p>
        </w:tc>
        <w:tc>
          <w:tcPr>
            <w:tcW w:w="2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During the first nine months of fiscal 2022, Orion had the following activity related to its stock-based compensation:</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5"/>
              </w:rPr>
              <w:t>Restricted Shares</w:t>
            </w:r>
          </w:p>
        </w:tc>
        <w:tc>
          <w:tcPr>
            <w:tcW w:w="16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Stock Options</w:t>
            </w:r>
          </w:p>
        </w:tc>
      </w:tr>
      <w:tr>
        <w:trPr>
          <w:trHeight w:val="223"/>
        </w:trPr>
        <w:tc>
          <w:tcPr>
            <w:tcW w:w="4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Awards outstanding at March 31, 2021</w:t>
            </w:r>
          </w:p>
        </w:tc>
        <w:tc>
          <w:tcPr>
            <w:tcW w:w="3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469,639</w:t>
            </w:r>
          </w:p>
        </w:tc>
        <w:tc>
          <w:tcPr>
            <w:tcW w:w="28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196,318</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4460" w:type="dxa"/>
            <w:vAlign w:val="bottom"/>
          </w:tcPr>
          <w:p>
            <w:pPr>
              <w:spacing w:after="0"/>
              <w:rPr>
                <w:sz w:val="20"/>
                <w:szCs w:val="20"/>
                <w:color w:val="auto"/>
              </w:rPr>
            </w:pPr>
            <w:r>
              <w:rPr>
                <w:rFonts w:ascii="Arial" w:cs="Arial" w:eastAsia="Arial" w:hAnsi="Arial"/>
                <w:sz w:val="18"/>
                <w:szCs w:val="18"/>
                <w:color w:val="auto"/>
              </w:rPr>
              <w:t>Awards granted</w:t>
            </w:r>
          </w:p>
        </w:tc>
        <w:tc>
          <w:tcPr>
            <w:tcW w:w="3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235,833</w:t>
            </w:r>
          </w:p>
        </w:tc>
        <w:tc>
          <w:tcPr>
            <w:tcW w:w="280" w:type="dxa"/>
            <w:vAlign w:val="bottom"/>
          </w:tcPr>
          <w:p>
            <w:pPr>
              <w:spacing w:after="0"/>
              <w:rPr>
                <w:sz w:val="19"/>
                <w:szCs w:val="19"/>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Awards vested or exercised</w:t>
            </w:r>
          </w:p>
        </w:tc>
        <w:tc>
          <w:tcPr>
            <w:tcW w:w="3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(260,014)</w:t>
            </w: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(31,845)</w:t>
            </w: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Awards forfeited</w:t>
            </w:r>
          </w:p>
        </w:tc>
        <w:tc>
          <w:tcPr>
            <w:tcW w:w="3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(22,045)</w:t>
            </w:r>
          </w:p>
        </w:tc>
      </w:tr>
      <w:tr>
        <w:trPr>
          <w:trHeight w:val="223"/>
        </w:trPr>
        <w:tc>
          <w:tcPr>
            <w:tcW w:w="4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Awards outstanding at December 31, 2021</w:t>
            </w:r>
          </w:p>
        </w:tc>
        <w:tc>
          <w:tcPr>
            <w:tcW w:w="3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445,458</w:t>
            </w:r>
          </w:p>
        </w:tc>
        <w:tc>
          <w:tcPr>
            <w:tcW w:w="28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142,428</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Per share weighted average price on grant date</w:t>
            </w:r>
          </w:p>
        </w:tc>
        <w:tc>
          <w:tcPr>
            <w:tcW w:w="3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5.59</w:t>
            </w:r>
          </w:p>
        </w:tc>
        <w:tc>
          <w:tcPr>
            <w:tcW w:w="280" w:type="dxa"/>
            <w:vAlign w:val="bottom"/>
          </w:tcPr>
          <w:p>
            <w:pPr>
              <w:spacing w:after="0"/>
              <w:rPr>
                <w:sz w:val="20"/>
                <w:szCs w:val="20"/>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431"/>
        </w:trPr>
        <w:tc>
          <w:tcPr>
            <w:tcW w:w="4460" w:type="dxa"/>
            <w:vAlign w:val="bottom"/>
          </w:tcPr>
          <w:p>
            <w:pPr>
              <w:spacing w:after="0"/>
              <w:rPr>
                <w:sz w:val="24"/>
                <w:szCs w:val="24"/>
                <w:color w:val="auto"/>
              </w:rPr>
            </w:pPr>
          </w:p>
        </w:tc>
        <w:tc>
          <w:tcPr>
            <w:tcW w:w="3260" w:type="dxa"/>
            <w:vAlign w:val="bottom"/>
          </w:tcPr>
          <w:p>
            <w:pPr>
              <w:jc w:val="right"/>
              <w:ind w:right="191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4460" w:type="dxa"/>
            <w:vAlign w:val="bottom"/>
            <w:tcBorders>
              <w:bottom w:val="single" w:sz="8" w:color="9A9A9A"/>
            </w:tcBorders>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7" w:name="page18"/>
    <w:bookmarkEnd w:id="17"/>
    <w:p>
      <w:pPr>
        <w:jc w:val="both"/>
        <w:ind w:right="20" w:firstLine="493"/>
        <w:spacing w:after="0" w:line="277" w:lineRule="auto"/>
        <w:rPr>
          <w:sz w:val="20"/>
          <w:szCs w:val="20"/>
          <w:color w:val="auto"/>
        </w:rPr>
      </w:pPr>
      <w:r>
        <w:rPr>
          <w:rFonts w:ascii="Arial" w:cs="Arial" w:eastAsia="Arial" w:hAnsi="Arial"/>
          <w:sz w:val="18"/>
          <w:szCs w:val="18"/>
          <w:color w:val="auto"/>
        </w:rPr>
        <w:t>As of December 31, 2021, the amount of deferred stock-based compensation expense to be recognized, over a remaining period of 3.0 years, was approximately $3.3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SEGMENTS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Orion has the following business segments: Orion Services Group Division ("OSG"), Orion Distribution Services Division ("ODS"), and Orion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Markets Division ("USM"). The accounting policies are the same for each business segment as they are on a consolidated basis.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Orion Services Group Division</w:t>
      </w:r>
    </w:p>
    <w:p>
      <w:pPr>
        <w:spacing w:after="0" w:line="171"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The OSG segment develops and sells lighting products and provides construction, engineering along with installation and maintenance services for Orion's commercial lighting and energy management systems. OSG provides engineering, design, lighting products and in many cases turnkey solutions for large national accounts, governments, municipalities, schools and other customers.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Orion Distribution Services Division</w:t>
      </w:r>
    </w:p>
    <w:p>
      <w:pPr>
        <w:spacing w:after="0" w:line="171" w:lineRule="exact"/>
        <w:rPr>
          <w:sz w:val="20"/>
          <w:szCs w:val="20"/>
          <w:color w:val="auto"/>
        </w:rPr>
      </w:pPr>
    </w:p>
    <w:p>
      <w:pPr>
        <w:jc w:val="both"/>
        <w:ind w:firstLine="493"/>
        <w:spacing w:after="0" w:line="277" w:lineRule="auto"/>
        <w:rPr>
          <w:sz w:val="20"/>
          <w:szCs w:val="20"/>
          <w:color w:val="auto"/>
        </w:rPr>
      </w:pPr>
      <w:r>
        <w:rPr>
          <w:rFonts w:ascii="Arial" w:cs="Arial" w:eastAsia="Arial" w:hAnsi="Arial"/>
          <w:sz w:val="18"/>
          <w:szCs w:val="18"/>
          <w:color w:val="auto"/>
        </w:rPr>
        <w:t>The ODS segment sells lighting products through manufacturer representative agencies and a network of North American broadline electrical distributors and contractors.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Orion U.S. Markets Division</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USM segment sells commercial lighting systems and energy management systems to contractors and ESCOs.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171" w:lineRule="exact"/>
        <w:rPr>
          <w:sz w:val="20"/>
          <w:szCs w:val="20"/>
          <w:color w:val="auto"/>
        </w:rPr>
      </w:pPr>
    </w:p>
    <w:p>
      <w:pPr>
        <w:jc w:val="both"/>
        <w:ind w:firstLine="489"/>
        <w:spacing w:after="0" w:line="277" w:lineRule="auto"/>
        <w:rPr>
          <w:sz w:val="20"/>
          <w:szCs w:val="20"/>
          <w:color w:val="auto"/>
        </w:rPr>
      </w:pPr>
      <w:r>
        <w:rPr>
          <w:rFonts w:ascii="Arial" w:cs="Arial" w:eastAsia="Arial" w:hAnsi="Arial"/>
          <w:sz w:val="18"/>
          <w:szCs w:val="18"/>
          <w:color w:val="auto"/>
        </w:rPr>
        <w:t>Corporate and Other is comprised of operating expenses not directly allocated to Orion’s segments and adjustments to reconcile to consolidated results (dollars in thousands).</w:t>
      </w:r>
    </w:p>
    <w:p>
      <w:pPr>
        <w:sectPr>
          <w:pgSz w:w="11900" w:h="16838" w:orient="portrait"/>
          <w:cols w:equalWidth="0" w:num="1">
            <w:col w:w="11240"/>
          </w:cols>
          <w:pgMar w:left="320" w:top="773" w:right="339" w:bottom="1440" w:gutter="0" w:footer="0" w:header="0"/>
        </w:sectPr>
      </w:pPr>
    </w:p>
    <w:p>
      <w:pPr>
        <w:spacing w:after="0" w:line="243" w:lineRule="exact"/>
        <w:rPr>
          <w:sz w:val="20"/>
          <w:szCs w:val="20"/>
          <w:color w:val="auto"/>
        </w:rPr>
      </w:pPr>
    </w:p>
    <w:p>
      <w:pPr>
        <w:ind w:left="6800"/>
        <w:spacing w:after="0"/>
        <w:rPr>
          <w:sz w:val="20"/>
          <w:szCs w:val="20"/>
          <w:color w:val="auto"/>
        </w:rPr>
      </w:pPr>
      <w:r>
        <w:rPr>
          <w:rFonts w:ascii="Arial" w:cs="Arial" w:eastAsia="Arial" w:hAnsi="Arial"/>
          <w:sz w:val="14"/>
          <w:szCs w:val="14"/>
          <w:b w:val="1"/>
          <w:bCs w:val="1"/>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6350</wp:posOffset>
            </wp:positionV>
            <wp:extent cx="159448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94485" cy="8890"/>
                    </a:xfrm>
                    <a:prstGeom prst="rect">
                      <a:avLst/>
                    </a:prstGeom>
                    <a:noFill/>
                  </pic:spPr>
                </pic:pic>
              </a:graphicData>
            </a:graphic>
          </wp:anchor>
        </w:drawing>
      </w:r>
    </w:p>
    <w:p>
      <w:pPr>
        <w:spacing w:after="0" w:line="5" w:lineRule="exact"/>
        <w:rPr>
          <w:sz w:val="20"/>
          <w:szCs w:val="20"/>
          <w:color w:val="auto"/>
        </w:rPr>
      </w:pPr>
    </w:p>
    <w:p>
      <w:pPr>
        <w:ind w:left="6200"/>
        <w:spacing w:after="0"/>
        <w:rPr>
          <w:sz w:val="20"/>
          <w:szCs w:val="20"/>
          <w:color w:val="auto"/>
        </w:rPr>
      </w:pPr>
      <w:r>
        <w:rPr>
          <w:rFonts w:ascii="Arial" w:cs="Arial" w:eastAsia="Arial" w:hAnsi="Arial"/>
          <w:sz w:val="13"/>
          <w:szCs w:val="13"/>
          <w:b w:val="1"/>
          <w:bCs w:val="1"/>
          <w:color w:val="auto"/>
        </w:rPr>
        <w:t>For the Three Months Ended</w:t>
      </w:r>
    </w:p>
    <w:p>
      <w:pPr>
        <w:spacing w:after="0" w:line="4" w:lineRule="exact"/>
        <w:rPr>
          <w:sz w:val="20"/>
          <w:szCs w:val="20"/>
          <w:color w:val="auto"/>
        </w:rPr>
      </w:pPr>
    </w:p>
    <w:p>
      <w:pPr>
        <w:jc w:val="center"/>
        <w:ind w:left="59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-3175</wp:posOffset>
            </wp:positionV>
            <wp:extent cx="159448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ind w:left="6260"/>
        <w:spacing w:after="0"/>
        <w:tabs>
          <w:tab w:leader="none" w:pos="762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Operating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6350</wp:posOffset>
            </wp:positionV>
            <wp:extent cx="16116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11630" cy="88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 the Three Months Ended</w:t>
      </w:r>
    </w:p>
    <w:p>
      <w:pPr>
        <w:spacing w:after="0" w:line="4" w:lineRule="exact"/>
        <w:rPr>
          <w:sz w:val="20"/>
          <w:szCs w:val="20"/>
          <w:color w:val="auto"/>
        </w:rPr>
      </w:pPr>
    </w:p>
    <w:p>
      <w:pPr>
        <w:jc w:val="center"/>
        <w:ind w:right="4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-3175</wp:posOffset>
            </wp:positionV>
            <wp:extent cx="16116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ind w:left="60"/>
        <w:spacing w:after="0"/>
        <w:tabs>
          <w:tab w:leader="none" w:pos="142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1" w:lineRule="exact"/>
        <w:rPr>
          <w:sz w:val="20"/>
          <w:szCs w:val="20"/>
          <w:color w:val="auto"/>
        </w:rPr>
      </w:pPr>
    </w:p>
    <w:p>
      <w:pPr>
        <w:sectPr>
          <w:pgSz w:w="11900" w:h="16838" w:orient="portrait"/>
          <w:cols w:equalWidth="0" w:num="2">
            <w:col w:w="8240" w:space="720"/>
            <w:col w:w="2280"/>
          </w:cols>
          <w:pgMar w:left="320" w:top="773"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Segments:</w:t>
            </w:r>
          </w:p>
        </w:tc>
        <w:tc>
          <w:tcPr>
            <w:tcW w:w="3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Orion Services Group</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20,021</w:t>
            </w:r>
          </w:p>
        </w:tc>
        <w:tc>
          <w:tcPr>
            <w:tcW w:w="240" w:type="dxa"/>
            <w:vAlign w:val="bottom"/>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36,669</w:t>
            </w:r>
          </w:p>
        </w:tc>
        <w:tc>
          <w:tcPr>
            <w:tcW w:w="240" w:type="dxa"/>
            <w:vAlign w:val="bottom"/>
          </w:tcPr>
          <w:p>
            <w:pPr>
              <w:spacing w:after="0"/>
              <w:rPr>
                <w:sz w:val="19"/>
                <w:szCs w:val="19"/>
                <w:color w:val="auto"/>
              </w:rPr>
            </w:pP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19"/>
                <w:szCs w:val="19"/>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4,820</w:t>
            </w: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Orion Distribution Services</w:t>
            </w: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4,942</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3,934</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Orion U.S. Markets</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5,751</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3,648</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Corporate and Other</w:t>
            </w:r>
          </w:p>
        </w:tc>
        <w:tc>
          <w:tcPr>
            <w:tcW w:w="3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(1,379)</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(1,279)</w:t>
            </w:r>
          </w:p>
        </w:tc>
      </w:tr>
      <w:tr>
        <w:trPr>
          <w:trHeight w:val="223"/>
        </w:trPr>
        <w:tc>
          <w:tcPr>
            <w:tcW w:w="58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30,714</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44,251</w:t>
            </w:r>
          </w:p>
        </w:tc>
        <w:tc>
          <w:tcPr>
            <w:tcW w:w="2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1,332</w:t>
            </w: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4,465</w:t>
            </w:r>
          </w:p>
        </w:tc>
        <w:tc>
          <w:tcPr>
            <w:tcW w:w="10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73" w:right="339" w:bottom="1440" w:gutter="0" w:footer="0" w:header="0"/>
          <w:type w:val="continuous"/>
        </w:sectPr>
      </w:pPr>
    </w:p>
    <w:p>
      <w:pPr>
        <w:spacing w:after="0" w:line="74" w:lineRule="exact"/>
        <w:rPr>
          <w:sz w:val="20"/>
          <w:szCs w:val="20"/>
          <w:color w:val="auto"/>
        </w:rPr>
      </w:pPr>
    </w:p>
    <w:p>
      <w:pPr>
        <w:ind w:left="6800"/>
        <w:spacing w:after="0"/>
        <w:rPr>
          <w:sz w:val="20"/>
          <w:szCs w:val="20"/>
          <w:color w:val="auto"/>
        </w:rPr>
      </w:pPr>
      <w:r>
        <w:rPr>
          <w:rFonts w:ascii="Arial" w:cs="Arial" w:eastAsia="Arial" w:hAnsi="Arial"/>
          <w:sz w:val="14"/>
          <w:szCs w:val="14"/>
          <w:b w:val="1"/>
          <w:bCs w:val="1"/>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6350</wp:posOffset>
            </wp:positionV>
            <wp:extent cx="159448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5" w:lineRule="exact"/>
        <w:rPr>
          <w:sz w:val="20"/>
          <w:szCs w:val="20"/>
          <w:color w:val="auto"/>
        </w:rPr>
      </w:pPr>
    </w:p>
    <w:p>
      <w:pPr>
        <w:ind w:left="6220"/>
        <w:spacing w:after="0"/>
        <w:rPr>
          <w:sz w:val="20"/>
          <w:szCs w:val="20"/>
          <w:color w:val="auto"/>
        </w:rPr>
      </w:pPr>
      <w:r>
        <w:rPr>
          <w:rFonts w:ascii="Arial" w:cs="Arial" w:eastAsia="Arial" w:hAnsi="Arial"/>
          <w:sz w:val="13"/>
          <w:szCs w:val="13"/>
          <w:b w:val="1"/>
          <w:bCs w:val="1"/>
          <w:color w:val="auto"/>
        </w:rPr>
        <w:t>For the Nine Months Ended</w:t>
      </w:r>
    </w:p>
    <w:p>
      <w:pPr>
        <w:spacing w:after="0" w:line="4" w:lineRule="exact"/>
        <w:rPr>
          <w:sz w:val="20"/>
          <w:szCs w:val="20"/>
          <w:color w:val="auto"/>
        </w:rPr>
      </w:pPr>
    </w:p>
    <w:p>
      <w:pPr>
        <w:jc w:val="center"/>
        <w:ind w:left="58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-3175</wp:posOffset>
            </wp:positionV>
            <wp:extent cx="159448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94485" cy="8890"/>
                    </a:xfrm>
                    <a:prstGeom prst="rect">
                      <a:avLst/>
                    </a:prstGeom>
                    <a:noFill/>
                  </pic:spPr>
                </pic:pic>
              </a:graphicData>
            </a:graphic>
          </wp:anchor>
        </w:drawing>
      </w:r>
    </w:p>
    <w:p>
      <w:pPr>
        <w:ind w:left="6260"/>
        <w:spacing w:after="0"/>
        <w:tabs>
          <w:tab w:leader="none" w:pos="7620" w:val="left"/>
        </w:tabs>
        <w:rPr>
          <w:sz w:val="20"/>
          <w:szCs w:val="20"/>
          <w:color w:val="auto"/>
        </w:rPr>
      </w:pPr>
      <w:r>
        <w:rPr>
          <w:rFonts w:ascii="Arial" w:cs="Arial" w:eastAsia="Arial" w:hAnsi="Arial"/>
          <w:sz w:val="13"/>
          <w:szCs w:val="13"/>
          <w:b w:val="1"/>
          <w:bCs w:val="1"/>
          <w:color w:val="auto"/>
        </w:rPr>
        <w:t>2021</w:t>
      </w:r>
      <w:r>
        <w:rPr>
          <w:sz w:val="20"/>
          <w:szCs w:val="20"/>
          <w:color w:val="auto"/>
        </w:rPr>
        <w:tab/>
      </w:r>
      <w:r>
        <w:rPr>
          <w:rFonts w:ascii="Arial" w:cs="Arial" w:eastAsia="Arial" w:hAnsi="Arial"/>
          <w:sz w:val="13"/>
          <w:szCs w:val="13"/>
          <w:b w:val="1"/>
          <w:bCs w:val="1"/>
          <w:color w:val="auto"/>
        </w:rPr>
        <w:t>2020</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Operating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13970</wp:posOffset>
            </wp:positionV>
            <wp:extent cx="16116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 the Nine Months Ended</w:t>
      </w:r>
    </w:p>
    <w:p>
      <w:pPr>
        <w:spacing w:after="0" w:line="4" w:lineRule="exact"/>
        <w:rPr>
          <w:sz w:val="20"/>
          <w:szCs w:val="20"/>
          <w:color w:val="auto"/>
        </w:rPr>
      </w:pPr>
    </w:p>
    <w:p>
      <w:pPr>
        <w:jc w:val="center"/>
        <w:ind w:right="5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-3175</wp:posOffset>
            </wp:positionV>
            <wp:extent cx="16116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611630" cy="8890"/>
                    </a:xfrm>
                    <a:prstGeom prst="rect">
                      <a:avLst/>
                    </a:prstGeom>
                    <a:noFill/>
                  </pic:spPr>
                </pic:pic>
              </a:graphicData>
            </a:graphic>
          </wp:anchor>
        </w:drawing>
      </w:r>
    </w:p>
    <w:p>
      <w:pPr>
        <w:ind w:left="20"/>
        <w:spacing w:after="0"/>
        <w:tabs>
          <w:tab w:leader="none" w:pos="138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1" w:lineRule="exact"/>
        <w:rPr>
          <w:sz w:val="20"/>
          <w:szCs w:val="20"/>
          <w:color w:val="auto"/>
        </w:rPr>
      </w:pPr>
    </w:p>
    <w:p>
      <w:pPr>
        <w:sectPr>
          <w:pgSz w:w="11900" w:h="16838" w:orient="portrait"/>
          <w:cols w:equalWidth="0" w:num="2">
            <w:col w:w="8280" w:space="720"/>
            <w:col w:w="2240"/>
          </w:cols>
          <w:pgMar w:left="320" w:top="773"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3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Segments:</w:t>
            </w:r>
          </w:p>
        </w:tc>
        <w:tc>
          <w:tcPr>
            <w:tcW w:w="20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tcPr>
          <w:p>
            <w:pPr>
              <w:spacing w:after="0"/>
              <w:rPr>
                <w:sz w:val="20"/>
                <w:szCs w:val="20"/>
                <w:color w:val="auto"/>
              </w:rPr>
            </w:pPr>
            <w:r>
              <w:rPr>
                <w:rFonts w:ascii="Arial" w:cs="Arial" w:eastAsia="Arial" w:hAnsi="Arial"/>
                <w:sz w:val="18"/>
                <w:szCs w:val="18"/>
                <w:color w:val="auto"/>
              </w:rPr>
              <w:t>Orion Services Group</w:t>
            </w:r>
          </w:p>
        </w:tc>
        <w:tc>
          <w:tcPr>
            <w:tcW w:w="2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68,961</w:t>
            </w:r>
          </w:p>
        </w:tc>
        <w:tc>
          <w:tcPr>
            <w:tcW w:w="240" w:type="dxa"/>
            <w:vAlign w:val="bottom"/>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57,395</w:t>
            </w:r>
          </w:p>
        </w:tc>
        <w:tc>
          <w:tcPr>
            <w:tcW w:w="240" w:type="dxa"/>
            <w:vAlign w:val="bottom"/>
          </w:tcPr>
          <w:p>
            <w:pPr>
              <w:spacing w:after="0"/>
              <w:rPr>
                <w:sz w:val="19"/>
                <w:szCs w:val="19"/>
                <w:color w:val="auto"/>
              </w:rPr>
            </w:pP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7,115</w:t>
            </w:r>
          </w:p>
        </w:tc>
        <w:tc>
          <w:tcPr>
            <w:tcW w:w="160" w:type="dxa"/>
            <w:vAlign w:val="bottom"/>
          </w:tcPr>
          <w:p>
            <w:pPr>
              <w:spacing w:after="0"/>
              <w:rPr>
                <w:sz w:val="19"/>
                <w:szCs w:val="19"/>
                <w:color w:val="auto"/>
              </w:rPr>
            </w:pPr>
          </w:p>
        </w:tc>
        <w:tc>
          <w:tcPr>
            <w:tcW w:w="4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4,634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Orion Distribution Services</w:t>
            </w:r>
          </w:p>
        </w:tc>
        <w:tc>
          <w:tcPr>
            <w:tcW w:w="2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18,264</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16,063</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Orion U.S. Markets</w:t>
            </w:r>
          </w:p>
        </w:tc>
        <w:tc>
          <w:tcPr>
            <w:tcW w:w="2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15,100</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7,885</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3,198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Corporate and Other</w:t>
            </w:r>
          </w:p>
        </w:tc>
        <w:tc>
          <w:tcPr>
            <w:tcW w:w="2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(3,705)</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(3,430)</w:t>
            </w:r>
          </w:p>
        </w:tc>
        <w:tc>
          <w:tcPr>
            <w:tcW w:w="0" w:type="dxa"/>
            <w:vAlign w:val="bottom"/>
          </w:tcPr>
          <w:p>
            <w:pPr>
              <w:spacing w:after="0"/>
              <w:rPr>
                <w:sz w:val="1"/>
                <w:szCs w:val="1"/>
                <w:color w:val="auto"/>
              </w:rPr>
            </w:pPr>
          </w:p>
        </w:tc>
      </w:tr>
      <w:tr>
        <w:trPr>
          <w:trHeight w:val="223"/>
        </w:trPr>
        <w:tc>
          <w:tcPr>
            <w:tcW w:w="37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102,325</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81,343</w:t>
            </w:r>
          </w:p>
        </w:tc>
        <w:tc>
          <w:tcPr>
            <w:tcW w:w="2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9,781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080" w:type="dxa"/>
            <w:vAlign w:val="bottom"/>
            <w:vMerge w:val="restart"/>
          </w:tcPr>
          <w:p>
            <w:pPr>
              <w:jc w:val="right"/>
              <w:ind w:right="30"/>
              <w:spacing w:after="0"/>
              <w:rPr>
                <w:sz w:val="20"/>
                <w:szCs w:val="20"/>
                <w:color w:val="auto"/>
              </w:rPr>
            </w:pPr>
            <w:r>
              <w:rPr>
                <w:rFonts w:ascii="Arial" w:cs="Arial" w:eastAsia="Arial" w:hAnsi="Arial"/>
                <w:sz w:val="18"/>
                <w:szCs w:val="18"/>
                <w:color w:val="auto"/>
              </w:rPr>
              <w:t>18</w:t>
            </w: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76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6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8" w:name="page19"/>
    <w:bookmarkEnd w:id="18"/>
    <w:p>
      <w:pPr>
        <w:ind w:left="500"/>
        <w:spacing w:after="0"/>
        <w:rPr>
          <w:sz w:val="20"/>
          <w:szCs w:val="20"/>
          <w:color w:val="auto"/>
        </w:rPr>
      </w:pPr>
      <w:r>
        <w:rPr>
          <w:rFonts w:ascii="Arial" w:cs="Arial" w:eastAsia="Arial" w:hAnsi="Arial"/>
          <w:sz w:val="18"/>
          <w:szCs w:val="18"/>
          <w:color w:val="auto"/>
        </w:rPr>
        <w:t>Operating Income above includes a payroll tax credit, in accordance with IAS 20, for the nine months ended December 31, 2021.</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SUBSEQUENT EVENTS</w:t>
      </w:r>
    </w:p>
    <w:p>
      <w:pPr>
        <w:spacing w:after="0" w:line="175" w:lineRule="exact"/>
        <w:rPr>
          <w:sz w:val="20"/>
          <w:szCs w:val="20"/>
          <w:color w:val="auto"/>
        </w:rPr>
      </w:pPr>
    </w:p>
    <w:p>
      <w:pPr>
        <w:jc w:val="both"/>
        <w:ind w:firstLine="493"/>
        <w:spacing w:after="0" w:line="272" w:lineRule="auto"/>
        <w:rPr>
          <w:sz w:val="20"/>
          <w:szCs w:val="20"/>
          <w:color w:val="auto"/>
        </w:rPr>
      </w:pPr>
      <w:r>
        <w:rPr>
          <w:rFonts w:ascii="Arial" w:cs="Arial" w:eastAsia="Arial" w:hAnsi="Arial"/>
          <w:sz w:val="17"/>
          <w:szCs w:val="17"/>
          <w:color w:val="auto"/>
        </w:rPr>
        <w:t>Effective on January 1, 2022, Orion acquired all of the issued and outstanding capital stock of Stay-Lite Lighting, Inc. (“Stay-Lite Lighting”), a nationwide lighting and electrical maintenance service provider, for a cash purchase price of $3.7 million, subject to normal and customary closing adjustments (the “Stay-Lite Acquisition”). Orion funded the cash purchase price of $3.7 million in advance on December 31, 2021 and is recorded in Other long-term assets in Orion’s balance sheet. In addition, depending upon the relative gross profit growth of Stay-Lite Lighting’s legacy business over the next two calendar years, Orion could pay up to an additional $0.7 million in earn-out related purchase price. The acquisition was funded from existing cash resources. Stay-Lite Lighting will operate as Stay-Lite Lighting, an Orion Energy Systems business. The acquisition accelerates the growth of the Orion Maintenance Services business, a part of Orion Services Group, which provides lighting and electrical services to customers.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20" w:type="dxa"/>
            <w:vAlign w:val="bottom"/>
          </w:tcPr>
          <w:p>
            <w:pPr>
              <w:ind w:left="500"/>
              <w:spacing w:after="0"/>
              <w:rPr>
                <w:sz w:val="20"/>
                <w:szCs w:val="20"/>
                <w:color w:val="auto"/>
              </w:rPr>
            </w:pPr>
            <w:r>
              <w:rPr>
                <w:rFonts w:ascii="Arial" w:cs="Arial" w:eastAsia="Arial" w:hAnsi="Arial"/>
                <w:sz w:val="18"/>
                <w:szCs w:val="18"/>
                <w:color w:val="auto"/>
                <w:w w:val="92"/>
              </w:rPr>
              <w:t>The initial preliminary estimated fair values of the assets and liabilities acquired are as follows (dollars in thousands):</w:t>
            </w:r>
          </w:p>
        </w:tc>
        <w:tc>
          <w:tcPr>
            <w:tcW w:w="9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45"/>
        </w:trPr>
        <w:tc>
          <w:tcPr>
            <w:tcW w:w="9120" w:type="dxa"/>
            <w:vAlign w:val="bottom"/>
          </w:tcPr>
          <w:p>
            <w:pPr>
              <w:spacing w:after="0"/>
              <w:rPr>
                <w:sz w:val="20"/>
                <w:szCs w:val="20"/>
                <w:color w:val="auto"/>
              </w:rPr>
            </w:pPr>
            <w:r>
              <w:rPr>
                <w:rFonts w:ascii="Arial" w:cs="Arial" w:eastAsia="Arial" w:hAnsi="Arial"/>
                <w:sz w:val="18"/>
                <w:szCs w:val="18"/>
                <w:color w:val="auto"/>
              </w:rPr>
              <w:t>Cash</w:t>
            </w:r>
          </w:p>
        </w:tc>
        <w:tc>
          <w:tcPr>
            <w:tcW w:w="90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150</w:t>
            </w:r>
          </w:p>
        </w:tc>
      </w:tr>
      <w:tr>
        <w:trPr>
          <w:trHeight w:val="229"/>
        </w:trPr>
        <w:tc>
          <w:tcPr>
            <w:tcW w:w="912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90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3,267</w:t>
            </w:r>
          </w:p>
        </w:tc>
      </w:tr>
      <w:tr>
        <w:trPr>
          <w:trHeight w:val="230"/>
        </w:trPr>
        <w:tc>
          <w:tcPr>
            <w:tcW w:w="9120" w:type="dxa"/>
            <w:vAlign w:val="bottom"/>
          </w:tcPr>
          <w:p>
            <w:pPr>
              <w:spacing w:after="0"/>
              <w:rPr>
                <w:sz w:val="20"/>
                <w:szCs w:val="20"/>
                <w:color w:val="auto"/>
              </w:rPr>
            </w:pPr>
            <w:r>
              <w:rPr>
                <w:rFonts w:ascii="Arial" w:cs="Arial" w:eastAsia="Arial" w:hAnsi="Arial"/>
                <w:sz w:val="18"/>
                <w:szCs w:val="18"/>
                <w:color w:val="auto"/>
              </w:rPr>
              <w:t>Inventory</w:t>
            </w:r>
          </w:p>
        </w:tc>
        <w:tc>
          <w:tcPr>
            <w:tcW w:w="90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250</w:t>
            </w:r>
          </w:p>
        </w:tc>
      </w:tr>
      <w:tr>
        <w:trPr>
          <w:trHeight w:val="229"/>
        </w:trPr>
        <w:tc>
          <w:tcPr>
            <w:tcW w:w="9120" w:type="dxa"/>
            <w:vAlign w:val="bottom"/>
            <w:shd w:val="clear" w:color="auto" w:fill="CFF0FC"/>
          </w:tcPr>
          <w:p>
            <w:pPr>
              <w:spacing w:after="0"/>
              <w:rPr>
                <w:sz w:val="20"/>
                <w:szCs w:val="20"/>
                <w:color w:val="auto"/>
              </w:rPr>
            </w:pPr>
            <w:r>
              <w:rPr>
                <w:rFonts w:ascii="Arial" w:cs="Arial" w:eastAsia="Arial" w:hAnsi="Arial"/>
                <w:sz w:val="18"/>
                <w:szCs w:val="18"/>
                <w:color w:val="auto"/>
              </w:rPr>
              <w:t>Other Current Assets</w:t>
            </w:r>
          </w:p>
        </w:tc>
        <w:tc>
          <w:tcPr>
            <w:tcW w:w="90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172</w:t>
            </w:r>
          </w:p>
        </w:tc>
      </w:tr>
      <w:tr>
        <w:trPr>
          <w:trHeight w:val="229"/>
        </w:trPr>
        <w:tc>
          <w:tcPr>
            <w:tcW w:w="9120" w:type="dxa"/>
            <w:vAlign w:val="bottom"/>
          </w:tcPr>
          <w:p>
            <w:pPr>
              <w:spacing w:after="0"/>
              <w:rPr>
                <w:sz w:val="20"/>
                <w:szCs w:val="20"/>
                <w:color w:val="auto"/>
              </w:rPr>
            </w:pPr>
            <w:r>
              <w:rPr>
                <w:rFonts w:ascii="Arial" w:cs="Arial" w:eastAsia="Arial" w:hAnsi="Arial"/>
                <w:sz w:val="18"/>
                <w:szCs w:val="18"/>
                <w:color w:val="auto"/>
              </w:rPr>
              <w:t>Fixed Assets</w:t>
            </w:r>
          </w:p>
        </w:tc>
        <w:tc>
          <w:tcPr>
            <w:tcW w:w="90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650</w:t>
            </w:r>
          </w:p>
        </w:tc>
      </w:tr>
      <w:tr>
        <w:trPr>
          <w:trHeight w:val="230"/>
        </w:trPr>
        <w:tc>
          <w:tcPr>
            <w:tcW w:w="912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9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(992)</w:t>
            </w:r>
          </w:p>
        </w:tc>
      </w:tr>
      <w:tr>
        <w:trPr>
          <w:trHeight w:val="230"/>
        </w:trPr>
        <w:tc>
          <w:tcPr>
            <w:tcW w:w="9120" w:type="dxa"/>
            <w:vAlign w:val="bottom"/>
          </w:tcPr>
          <w:p>
            <w:pPr>
              <w:spacing w:after="0"/>
              <w:rPr>
                <w:sz w:val="20"/>
                <w:szCs w:val="20"/>
                <w:color w:val="auto"/>
              </w:rPr>
            </w:pPr>
            <w:r>
              <w:rPr>
                <w:rFonts w:ascii="Arial" w:cs="Arial" w:eastAsia="Arial" w:hAnsi="Arial"/>
                <w:sz w:val="18"/>
                <w:szCs w:val="18"/>
                <w:color w:val="auto"/>
              </w:rPr>
              <w:t>Accrued Payroll and Other Liabilities</w:t>
            </w:r>
          </w:p>
        </w:tc>
        <w:tc>
          <w:tcPr>
            <w:tcW w:w="9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(385)</w:t>
            </w:r>
          </w:p>
        </w:tc>
      </w:tr>
    </w:tbl>
    <w:p>
      <w:pPr>
        <w:spacing w:after="0" w:line="200" w:lineRule="exact"/>
        <w:rPr>
          <w:sz w:val="20"/>
          <w:szCs w:val="20"/>
          <w:color w:val="auto"/>
        </w:rPr>
      </w:pPr>
    </w:p>
    <w:p>
      <w:pPr>
        <w:spacing w:after="0" w:line="325"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None of these amounts are recognized in the accompanying financial statements because the acquisition date occurred subsequent to December 31, 2021. The accounting for the acquisition and the purchase price allocation is preliminary and incomplete as the Company is still in the process of estimating the fair value of identifiable intangibles and contingent consideration associated with this acquisition.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9" w:name="page20"/>
    <w:bookmarkEnd w:id="19"/>
    <w:p>
      <w:pPr>
        <w:spacing w:after="0"/>
        <w:tabs>
          <w:tab w:leader="none" w:pos="13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75"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unaudited Condensed Consolidated Financial Statements and related notes included in this Form 10-Q, as well as our audited Consolidated Financial Statements and related notes included in our Annual Report on Form 10-K for the fiscal year ended March 31, 2021.</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75" w:lineRule="exact"/>
        <w:rPr>
          <w:sz w:val="20"/>
          <w:szCs w:val="20"/>
          <w:color w:val="auto"/>
        </w:rPr>
      </w:pPr>
    </w:p>
    <w:p>
      <w:pPr>
        <w:jc w:val="both"/>
        <w:ind w:firstLine="489"/>
        <w:spacing w:after="0" w:line="288" w:lineRule="auto"/>
        <w:rPr>
          <w:sz w:val="20"/>
          <w:szCs w:val="20"/>
          <w:color w:val="auto"/>
        </w:rPr>
      </w:pPr>
      <w:r>
        <w:rPr>
          <w:rFonts w:ascii="Arial" w:cs="Arial" w:eastAsia="Arial" w:hAnsi="Arial"/>
          <w:sz w:val="16"/>
          <w:szCs w:val="16"/>
          <w:color w:val="auto"/>
        </w:rPr>
        <w:t>Any statements in this Quarterly Report on Form 10-Q about our expectations, beliefs, plans, objectives, prospects, financial condition, assumptions or future events or performance are not historical facts and are “forward-looking statements” as that term is defined under the federal securities laws. These statements are often, but not always, made through the use of words or phrases such as “believe”, “anticipate”, “should”, “intend”, “plan”, “will”, “expects”, “estimates”, “projects”, “positioned”, “strategy”, “outlook” and similar words. You should read the statements that contain these types of words carefully. Such forward-looking statements are subject to a number of risks, uncertainties and other factors that could cause actual results to differ materially from what is expressed or implied in such forward-looking statements. There may be events in the future that we are not able to predict accurately or over which we have no control. Potential risks and uncertainties include, but are not limited to, those discussed in “Part I, Item 1A. Risk Factors” in our Annual Report on Form 10-K for the fiscal year ended March 31, 2021. We urge you not to place undue reliance on these forward-looking statements, which speak only as of the date of this report. We do not undertake any obligation to release publicly any revisions to such forward-looking statements to reflect events or uncertainties after the date hereof or to reflect the occurrence of unanticipated events.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489"/>
        <w:spacing w:after="0" w:line="254" w:lineRule="auto"/>
        <w:rPr>
          <w:sz w:val="20"/>
          <w:szCs w:val="20"/>
          <w:color w:val="auto"/>
        </w:rPr>
      </w:pPr>
      <w:r>
        <w:rPr>
          <w:rFonts w:ascii="Arial" w:cs="Arial" w:eastAsia="Arial" w:hAnsi="Arial"/>
          <w:sz w:val="18"/>
          <w:szCs w:val="18"/>
          <w:color w:val="auto"/>
        </w:rPr>
        <w:t>We provide state-of-the-art light emitting diode (“LED”) lighting systems, wireless Internet of Things (“IoT”) enabled control solutions, project engineering, design energy project management and maintenance services. We help our customers achieve energy savings with healthy, safe and sustainable solutions that enable them to reduce their carbon footprint and digitize their business. We research, design, develop, manufacture, market, sell, install, and implement energy management systems consisting primarily of high-performance, energy-efficient commercial and industrial interior and exterior LED lighting systems and related services. Our products are targeted for applications in three primary market segments: commercial office and retail, area lighting, and industrial applications, although we do sell and install products into other markets. Virtually all of our sales occur within North America.</w:t>
      </w:r>
    </w:p>
    <w:p>
      <w:pPr>
        <w:spacing w:after="0" w:line="141" w:lineRule="exact"/>
        <w:rPr>
          <w:sz w:val="20"/>
          <w:szCs w:val="20"/>
          <w:color w:val="auto"/>
        </w:rPr>
      </w:pPr>
    </w:p>
    <w:p>
      <w:pPr>
        <w:jc w:val="both"/>
        <w:ind w:firstLine="489"/>
        <w:spacing w:after="0" w:line="257" w:lineRule="auto"/>
        <w:rPr>
          <w:sz w:val="20"/>
          <w:szCs w:val="20"/>
          <w:color w:val="auto"/>
        </w:rPr>
      </w:pPr>
      <w:r>
        <w:rPr>
          <w:rFonts w:ascii="Arial" w:cs="Arial" w:eastAsia="Arial" w:hAnsi="Arial"/>
          <w:sz w:val="18"/>
          <w:szCs w:val="18"/>
          <w:color w:val="auto"/>
        </w:rPr>
        <w:t>Our lighting products consist primarily of LED lighting fixtures, many of which include IoT enabled control systems. Our principal customers include large national account end-users, federal and state government facilities, large regional account end-users, electrical distributors, electrical contractors and energy service companies ("ESCOs"). Currently, most of our products are manufactured at our production facility located in Manitowoc, Wisconsin, although as the LED and related IoT market continues to evolve, we are increasingly sourcing products and components from third parties in order to provide versatility in our product development.</w:t>
      </w:r>
    </w:p>
    <w:p>
      <w:pPr>
        <w:spacing w:after="0" w:line="134" w:lineRule="exact"/>
        <w:rPr>
          <w:sz w:val="20"/>
          <w:szCs w:val="20"/>
          <w:color w:val="auto"/>
        </w:rPr>
      </w:pPr>
    </w:p>
    <w:p>
      <w:pPr>
        <w:jc w:val="both"/>
        <w:ind w:firstLine="489"/>
        <w:spacing w:after="0" w:line="263" w:lineRule="auto"/>
        <w:rPr>
          <w:sz w:val="20"/>
          <w:szCs w:val="20"/>
          <w:color w:val="auto"/>
        </w:rPr>
      </w:pPr>
      <w:r>
        <w:rPr>
          <w:rFonts w:ascii="Arial" w:cs="Arial" w:eastAsia="Arial" w:hAnsi="Arial"/>
          <w:sz w:val="18"/>
          <w:szCs w:val="18"/>
          <w:color w:val="auto"/>
        </w:rPr>
        <w:t>We have experienced recent success offering our comprehensive project management services to national account customers to retrofit their multiple locations. Our comprehensive services include initial site surveys and audits, utility incentive and government subsidy management, engineering design, and project management from delivery through to installation and controls integration.</w:t>
      </w:r>
    </w:p>
    <w:p>
      <w:pPr>
        <w:spacing w:after="0" w:line="130" w:lineRule="exact"/>
        <w:rPr>
          <w:sz w:val="20"/>
          <w:szCs w:val="20"/>
          <w:color w:val="auto"/>
        </w:rPr>
      </w:pPr>
    </w:p>
    <w:p>
      <w:pPr>
        <w:jc w:val="both"/>
        <w:ind w:firstLine="489"/>
        <w:spacing w:after="0" w:line="272" w:lineRule="auto"/>
        <w:rPr>
          <w:sz w:val="20"/>
          <w:szCs w:val="20"/>
          <w:color w:val="auto"/>
        </w:rPr>
      </w:pPr>
      <w:r>
        <w:rPr>
          <w:rFonts w:ascii="Arial" w:cs="Arial" w:eastAsia="Arial" w:hAnsi="Arial"/>
          <w:sz w:val="17"/>
          <w:szCs w:val="17"/>
          <w:color w:val="auto"/>
        </w:rPr>
        <w:t>Beginning in fiscal 2021, we have successfully capitalized on our capability of being a full service, turnkey provider of LED lighting and controls systems with design, build, installation and project management services, as we continued a very large project for a major national account. As a result of this success, we have begun to evolve our business strategy to focus on further expanding the nature and scope of our products and services offered to our customers. This further expansion of our products and services includes pursuing projects to develop recurring revenue streams, including providing lighting and electrical maintenance services and utilizing control sensor technology to collect data and assisting customers in the digitization of this data, along with other potential services. We also plan to pursue the expansion of our IoT, “smart-building” and “connected ceiling” and other related technology, software and controls products and services that we offer to our customers.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0" w:name="page21"/>
    <w:bookmarkEnd w:id="20"/>
    <w:p>
      <w:pPr>
        <w:jc w:val="both"/>
        <w:spacing w:after="0" w:line="254" w:lineRule="auto"/>
        <w:rPr>
          <w:sz w:val="20"/>
          <w:szCs w:val="20"/>
          <w:color w:val="auto"/>
        </w:rPr>
      </w:pPr>
      <w:r>
        <w:rPr>
          <w:rFonts w:ascii="Arial" w:cs="Arial" w:eastAsia="Arial" w:hAnsi="Arial"/>
          <w:sz w:val="18"/>
          <w:szCs w:val="18"/>
          <w:color w:val="auto"/>
        </w:rPr>
        <w:t>We currently plan on investing significant time, resources and capital into expanding our offerings in these areas with no expectation that they will result in us realizing material revenue in the near term and without any assurance they will succeed or be profitable. In fact, it is likely that these efforts will reduce our profitability, at least in the near term as we invest resources and incur expenses to develop these offerings. While we intend to pursue these expansion strategies organically, we also are actively exploring potential business acquisitions which would more quickly add these types of expanded and different capabilities to our product and services offerings. These efforts resulted in our acquisition of Stay-Lite Lighting on January 1, 2022. It is possible that one or more of such potential acquisitions, if successfully completed, could significantly change, and potentially transform, the nature and extent of our business.</w:t>
      </w:r>
    </w:p>
    <w:p>
      <w:pPr>
        <w:spacing w:after="0" w:line="141" w:lineRule="exact"/>
        <w:rPr>
          <w:sz w:val="20"/>
          <w:szCs w:val="20"/>
          <w:color w:val="auto"/>
        </w:rPr>
      </w:pPr>
    </w:p>
    <w:p>
      <w:pPr>
        <w:jc w:val="both"/>
        <w:ind w:firstLine="489"/>
        <w:spacing w:after="0" w:line="271" w:lineRule="auto"/>
        <w:rPr>
          <w:sz w:val="20"/>
          <w:szCs w:val="20"/>
          <w:color w:val="auto"/>
        </w:rPr>
      </w:pPr>
      <w:r>
        <w:rPr>
          <w:rFonts w:ascii="Arial" w:cs="Arial" w:eastAsia="Arial" w:hAnsi="Arial"/>
          <w:sz w:val="17"/>
          <w:szCs w:val="17"/>
          <w:color w:val="auto"/>
        </w:rPr>
        <w:t>We generally do not have long-term contracts with our customers that provide us with recurring revenue from period to period and we typically generate substantially all of our revenue from sales of lighting and control systems and related services to governmental, commercial and industrial customers on a project-by-project basis. We also perform work under master services or product purchasing agreements with major customers with sales completed on a purchase order basis. In addition, in order to provide quality and timely service under our multi-location master retrofit agreements we are required to make substantial working capital expenditures and advance inventory purchases that we may not be able to recoup if the agreements or a substantial volume of purchase orders under the agreements are delayed or terminated. The loss of, or substantial reduction in sales to, any of our significant customers, or our current single largest customer, or the termination or delay of a significant volume of purchase orders by one or more key customers, could have a material adverse effect on our results of operations in any given future period.</w:t>
      </w:r>
    </w:p>
    <w:p>
      <w:pPr>
        <w:spacing w:after="0" w:line="124" w:lineRule="exact"/>
        <w:rPr>
          <w:sz w:val="20"/>
          <w:szCs w:val="20"/>
          <w:color w:val="auto"/>
        </w:rPr>
      </w:pPr>
    </w:p>
    <w:p>
      <w:pPr>
        <w:jc w:val="both"/>
        <w:ind w:firstLine="489"/>
        <w:spacing w:after="0" w:line="263" w:lineRule="auto"/>
        <w:rPr>
          <w:sz w:val="20"/>
          <w:szCs w:val="20"/>
          <w:color w:val="auto"/>
        </w:rPr>
      </w:pPr>
      <w:r>
        <w:rPr>
          <w:rFonts w:ascii="Arial" w:cs="Arial" w:eastAsia="Arial" w:hAnsi="Arial"/>
          <w:sz w:val="18"/>
          <w:szCs w:val="18"/>
          <w:color w:val="auto"/>
        </w:rPr>
        <w:t>We typically sell our lighting systems in replacement of our customers’ existing fixtures. We call this replacement process a "retrofit". We frequently engage our customer’s existing electrical contractor to provide installation and project management services. We also sell our lighting systems on a wholesale basis, principally to electrical distributors and ESCOs to sell to their own customer bases.</w:t>
      </w:r>
    </w:p>
    <w:p>
      <w:pPr>
        <w:spacing w:after="0" w:line="130" w:lineRule="exact"/>
        <w:rPr>
          <w:sz w:val="20"/>
          <w:szCs w:val="20"/>
          <w:color w:val="auto"/>
        </w:rPr>
      </w:pPr>
    </w:p>
    <w:p>
      <w:pPr>
        <w:ind w:right="220" w:firstLine="489"/>
        <w:spacing w:after="0" w:line="263" w:lineRule="auto"/>
        <w:rPr>
          <w:sz w:val="20"/>
          <w:szCs w:val="20"/>
          <w:color w:val="auto"/>
        </w:rPr>
      </w:pPr>
      <w:r>
        <w:rPr>
          <w:rFonts w:ascii="Arial" w:cs="Arial" w:eastAsia="Arial" w:hAnsi="Arial"/>
          <w:sz w:val="18"/>
          <w:szCs w:val="18"/>
          <w:color w:val="auto"/>
        </w:rPr>
        <w:t>The gross profits of our products and services can vary significantly depending upon the types of products and services we sell, with margins typically ranging from 10% to 50%. As a result, a change in the total mix of our sales among higher or lower margin products and services can cause our profitability to fluctuate from period to period.</w:t>
      </w:r>
    </w:p>
    <w:p>
      <w:pPr>
        <w:spacing w:after="0" w:line="130" w:lineRule="exact"/>
        <w:rPr>
          <w:sz w:val="20"/>
          <w:szCs w:val="20"/>
          <w:color w:val="auto"/>
        </w:rPr>
      </w:pPr>
    </w:p>
    <w:p>
      <w:pPr>
        <w:ind w:right="100" w:firstLine="489"/>
        <w:spacing w:after="0" w:line="259" w:lineRule="auto"/>
        <w:rPr>
          <w:sz w:val="20"/>
          <w:szCs w:val="20"/>
          <w:color w:val="auto"/>
        </w:rPr>
      </w:pPr>
      <w:r>
        <w:rPr>
          <w:rFonts w:ascii="Arial" w:cs="Arial" w:eastAsia="Arial" w:hAnsi="Arial"/>
          <w:sz w:val="18"/>
          <w:szCs w:val="18"/>
          <w:color w:val="auto"/>
        </w:rPr>
        <w:t>Our fiscal year ends on March 31. Our current fiscal year ends on March 31, 2022 and is referred to as “fiscal 2022”. We refer to our just completed fiscal year, which ended on March 31, 2021, as "fiscal 2021", and our prior fiscal year which ended on March 31, 2020 as "fiscal 2020". Our fiscal first quarter of each fiscal year ends on June 30, our fiscal second quarter ends on September 30, our fiscal third quarter ends on December 31 and our fiscal fourth quarter ends on March 31.</w:t>
      </w:r>
    </w:p>
    <w:p>
      <w:pPr>
        <w:spacing w:after="0" w:line="133" w:lineRule="exact"/>
        <w:rPr>
          <w:sz w:val="20"/>
          <w:szCs w:val="20"/>
          <w:color w:val="auto"/>
        </w:rPr>
      </w:pPr>
    </w:p>
    <w:p>
      <w:pPr>
        <w:ind w:right="300" w:firstLine="489"/>
        <w:spacing w:after="0" w:line="311" w:lineRule="auto"/>
        <w:rPr>
          <w:sz w:val="20"/>
          <w:szCs w:val="20"/>
          <w:color w:val="auto"/>
        </w:rPr>
      </w:pPr>
      <w:r>
        <w:rPr>
          <w:rFonts w:ascii="Arial" w:cs="Arial" w:eastAsia="Arial" w:hAnsi="Arial"/>
          <w:sz w:val="16"/>
          <w:szCs w:val="16"/>
          <w:color w:val="auto"/>
        </w:rPr>
        <w:t>Reportable segments are components of an entity that have separate financial data that the entity's chief operating decision maker ("CODM") regularly reviews when allocating resources and assessing performance. Our CODM is our chief executive officer. Orion has three reportable segments: Orion Services Group Division ("OSG"), and Orion Distribution Services Division ("ODS"), and Orion U.S. Markets Division (“USM”).</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175" w:lineRule="exact"/>
        <w:rPr>
          <w:sz w:val="20"/>
          <w:szCs w:val="20"/>
          <w:color w:val="auto"/>
        </w:rPr>
      </w:pPr>
    </w:p>
    <w:p>
      <w:pPr>
        <w:jc w:val="both"/>
        <w:ind w:firstLine="599"/>
        <w:spacing w:after="0" w:line="293" w:lineRule="auto"/>
        <w:rPr>
          <w:sz w:val="20"/>
          <w:szCs w:val="20"/>
          <w:color w:val="auto"/>
        </w:rPr>
      </w:pPr>
      <w:r>
        <w:rPr>
          <w:rFonts w:ascii="Arial" w:cs="Arial" w:eastAsia="Arial" w:hAnsi="Arial"/>
          <w:sz w:val="16"/>
          <w:szCs w:val="16"/>
          <w:color w:val="auto"/>
        </w:rPr>
        <w:t>The COVID-19 pandemic has disrupted business, trade, commerce, financial and credit markets, in the U.S. and globally. Our business was adversely impacted by measures taken by government entities and others to control the spread of the virus beginning in March 2020, the last few weeks of our 2020 fiscal year, and continuing most significantly into the second quarter of fiscal 2021. During the second half of fiscal 2021, we experienced a rebound in business. Project installations for our largest customer recommenced, as well installations for a new large specialty retail customer began, with no further significant COVID-19 impacts. However, during fiscal 2022, there have been customer delays on several larger LED lighting and controls projects, primarily caused by the response of customers to ongoing supply chain disruptions and renewed COVID-19 related impacts to their businesses.</w:t>
      </w:r>
    </w:p>
    <w:p>
      <w:pPr>
        <w:spacing w:after="0" w:line="110" w:lineRule="exact"/>
        <w:rPr>
          <w:sz w:val="20"/>
          <w:szCs w:val="20"/>
          <w:color w:val="auto"/>
        </w:rPr>
      </w:pPr>
    </w:p>
    <w:p>
      <w:pPr>
        <w:jc w:val="both"/>
        <w:ind w:firstLine="599"/>
        <w:spacing w:after="0" w:line="286" w:lineRule="auto"/>
        <w:rPr>
          <w:sz w:val="20"/>
          <w:szCs w:val="20"/>
          <w:color w:val="auto"/>
        </w:rPr>
      </w:pPr>
      <w:r>
        <w:rPr>
          <w:rFonts w:ascii="Arial" w:cs="Arial" w:eastAsia="Arial" w:hAnsi="Arial"/>
          <w:sz w:val="17"/>
          <w:szCs w:val="17"/>
          <w:color w:val="auto"/>
        </w:rPr>
        <w:t>As an essential business, we provide products and services to ensure energy and lighting infrastructure and we therefore have continued to operate throughout the pandemic. We have implemented a number of safety protocols, including limiting travel and restricting access to our facilities along with monitoring processes, physical distancing, physical barriers, enhanced cleaning procedures and requiring face coverings.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1" w:name="page22"/>
    <w:bookmarkEnd w:id="21"/>
    <w:p>
      <w:pPr>
        <w:jc w:val="both"/>
        <w:ind w:firstLine="599"/>
        <w:spacing w:after="0" w:line="269" w:lineRule="auto"/>
        <w:rPr>
          <w:sz w:val="20"/>
          <w:szCs w:val="20"/>
          <w:color w:val="auto"/>
        </w:rPr>
      </w:pPr>
      <w:r>
        <w:rPr>
          <w:rFonts w:ascii="Arial" w:cs="Arial" w:eastAsia="Arial" w:hAnsi="Arial"/>
          <w:sz w:val="17"/>
          <w:szCs w:val="17"/>
          <w:color w:val="auto"/>
        </w:rPr>
        <w:t>As part of our response to the impacts of the COVID-19 pandemic, during the fourth quarter of fiscal 2020 we implemented a number of cost reduction and cash conservation measures, including reducing headcount. While certain restrictions have lessened in certain jurisdictions, some restrictions continue. Some customers and projects are in areas where travel restrictions have been imposed, certain customers have either closed or reduced on-site activities, and timelines for the completion of several projects have been delayed, extended or terminated. These modifications to our business practices, including any future actions we take, may cause us to experience reductions in productivity and disruptions to our business routines. In addition, we are required to make substantial working capital expenditures and advance inventory purchases that we may not be able to recoup if our customer agreements or a substantial volume of purchase orders under our customer agreements are delayed or terminated as a result of COVID-19. At this time, it is not possible to predict the overall impact the COVID-19 pandemic will have on our business, liquidity, capital resources or financial results, although the economic and regulatory impacts of COVID-19 significantly reduced our revenue and profitability in the first half of fiscal 2021. If the resurgence of the COVID-19 pandemic continues, or a future resurgence occurs, our markets and operations could be impacted and there could be a further material adverse financial impact.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Stay-Lite Lighting</w:t>
      </w:r>
    </w:p>
    <w:p>
      <w:pPr>
        <w:spacing w:after="0" w:line="175" w:lineRule="exact"/>
        <w:rPr>
          <w:sz w:val="20"/>
          <w:szCs w:val="20"/>
          <w:color w:val="auto"/>
        </w:rPr>
      </w:pPr>
    </w:p>
    <w:p>
      <w:pPr>
        <w:jc w:val="both"/>
        <w:ind w:firstLine="599"/>
        <w:spacing w:after="0" w:line="255" w:lineRule="auto"/>
        <w:rPr>
          <w:sz w:val="20"/>
          <w:szCs w:val="20"/>
          <w:color w:val="auto"/>
        </w:rPr>
      </w:pPr>
      <w:r>
        <w:rPr>
          <w:rFonts w:ascii="Arial" w:cs="Arial" w:eastAsia="Arial" w:hAnsi="Arial"/>
          <w:sz w:val="18"/>
          <w:szCs w:val="18"/>
          <w:color w:val="auto"/>
        </w:rPr>
        <w:t>Effective on January 1, 2022, we acquired all of the issued and outstanding capital stock of Stay-Lite Lighting, a nationwide lighting and electrical maintenance service provider, for a cash purchase price of $3.7 million, subject to normal and customary closing adjustments. In addition, depending upon the relative gross profit growth of Stay-Lite Lighting’s legacy business over the next two calendar years, Orion could pay up to an additional $0.7 million in earn out related purchase price. The acquisition was funded from existing cash resources. Stay-Lite Lighting will operate as Stay-Lite, an Orion Energy Systems business. The acquisition accelerates the growth of the Orion Maintenance Services business, a part of Orion Services Group, which provides lighting and electrical services to customers.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Three Months Ended December 31, 2021 versus Three Months Ended December 31, 2020</w:t>
      </w:r>
    </w:p>
    <w:p>
      <w:pPr>
        <w:spacing w:after="0" w:line="175"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The following table sets forth the line items of our Condensed Consolidated Statements of Operations and as a relative percentage of our total revenue for each applicable period, together with the relative percentage change in such line item between applicable comparable periods (dollars in thousands, except percentages):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680" w:type="dxa"/>
            <w:vAlign w:val="bottom"/>
            <w:tcBorders>
              <w:bottom w:val="single" w:sz="8" w:color="auto"/>
            </w:tcBorders>
            <w:gridSpan w:val="6"/>
          </w:tcPr>
          <w:p>
            <w:pPr>
              <w:jc w:val="right"/>
              <w:ind w:right="940"/>
              <w:spacing w:after="0"/>
              <w:rPr>
                <w:sz w:val="20"/>
                <w:szCs w:val="20"/>
                <w:color w:val="auto"/>
              </w:rPr>
            </w:pPr>
            <w:r>
              <w:rPr>
                <w:rFonts w:ascii="Arial" w:cs="Arial" w:eastAsia="Arial" w:hAnsi="Arial"/>
                <w:sz w:val="14"/>
                <w:szCs w:val="14"/>
                <w:b w:val="1"/>
                <w:bCs w:val="1"/>
                <w:color w:val="auto"/>
              </w:rPr>
              <w:t>Three Months Ended December 31,</w:t>
            </w:r>
          </w:p>
        </w:tc>
        <w:tc>
          <w:tcPr>
            <w:tcW w:w="10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9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c>
          <w:tcPr>
            <w:tcW w:w="98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3"/>
                <w:szCs w:val="13"/>
                <w:color w:val="auto"/>
              </w:rPr>
            </w:pPr>
          </w:p>
        </w:tc>
        <w:tc>
          <w:tcPr>
            <w:tcW w:w="9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2021</w:t>
            </w:r>
          </w:p>
        </w:tc>
        <w:tc>
          <w:tcPr>
            <w:tcW w:w="340" w:type="dxa"/>
            <w:vAlign w:val="bottom"/>
          </w:tcPr>
          <w:p>
            <w:pPr>
              <w:spacing w:after="0"/>
              <w:rPr>
                <w:sz w:val="13"/>
                <w:szCs w:val="13"/>
                <w:color w:val="auto"/>
              </w:rPr>
            </w:pPr>
          </w:p>
        </w:tc>
        <w:tc>
          <w:tcPr>
            <w:tcW w:w="10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2020</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Amount</w:t>
            </w:r>
          </w:p>
        </w:tc>
        <w:tc>
          <w:tcPr>
            <w:tcW w:w="14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Amount</w:t>
            </w:r>
          </w:p>
        </w:tc>
        <w:tc>
          <w:tcPr>
            <w:tcW w:w="220" w:type="dxa"/>
            <w:vAlign w:val="bottom"/>
            <w:vMerge w:val="restart"/>
          </w:tcPr>
          <w:p>
            <w:pPr>
              <w:spacing w:after="0"/>
              <w:rPr>
                <w:sz w:val="11"/>
                <w:szCs w:val="11"/>
                <w:color w:val="auto"/>
              </w:rPr>
            </w:pPr>
          </w:p>
        </w:tc>
        <w:tc>
          <w:tcPr>
            <w:tcW w:w="9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40" w:type="dxa"/>
            <w:vAlign w:val="bottom"/>
          </w:tcPr>
          <w:p>
            <w:pPr>
              <w:spacing w:after="0"/>
              <w:rPr>
                <w:sz w:val="11"/>
                <w:szCs w:val="11"/>
                <w:color w:val="auto"/>
              </w:rPr>
            </w:pPr>
          </w:p>
        </w:tc>
        <w:tc>
          <w:tcPr>
            <w:tcW w:w="10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9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FF0FC"/>
            </w:tcBorders>
            <w:vMerge w:val="continue"/>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9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Change</w:t>
            </w:r>
          </w:p>
        </w:tc>
        <w:tc>
          <w:tcPr>
            <w:tcW w:w="34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34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2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22,203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31,929</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(30.5)%</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72.3%</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Service revenue</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12,322</w:t>
            </w:r>
          </w:p>
        </w:tc>
        <w:tc>
          <w:tcPr>
            <w:tcW w:w="22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(30.9)%</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27.7%</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0"/>
        </w:trPr>
        <w:tc>
          <w:tcPr>
            <w:tcW w:w="49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30,714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44,251</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(30.6)%</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100.0%</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16,427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23,203</w:t>
            </w:r>
          </w:p>
        </w:tc>
        <w:tc>
          <w:tcPr>
            <w:tcW w:w="22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(29.2)%</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53.5%</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Cost of service revenue</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10,042</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(33.8)%</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21.6%</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color w:val="auto"/>
              </w:rPr>
              <w:t>Total cost of revenue</w:t>
            </w: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23,073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33,245</w:t>
            </w:r>
          </w:p>
        </w:tc>
        <w:tc>
          <w:tcPr>
            <w:tcW w:w="22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(30.6)%</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75.1%</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0"/>
        </w:trPr>
        <w:tc>
          <w:tcPr>
            <w:tcW w:w="49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11,006</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(30.6)%</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24.9%</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2,873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3,030</w:t>
            </w:r>
          </w:p>
        </w:tc>
        <w:tc>
          <w:tcPr>
            <w:tcW w:w="22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(5.2)%</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9.4%</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Acquisition costs</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NM</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w:t>
            </w: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8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2,862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3,120</w:t>
            </w:r>
          </w:p>
        </w:tc>
        <w:tc>
          <w:tcPr>
            <w:tcW w:w="22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(8.3)%</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9.3%</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color w:val="auto"/>
              </w:rPr>
              <w:t>Income from operations</w:t>
            </w: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1,332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4,465</w:t>
            </w:r>
          </w:p>
        </w:tc>
        <w:tc>
          <w:tcPr>
            <w:tcW w:w="22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(70.2)%</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4.3%</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(100.0)%</w:t>
            </w:r>
          </w:p>
        </w:tc>
        <w:tc>
          <w:tcPr>
            <w:tcW w:w="13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2500.0%</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debt issue costs</w:t>
            </w: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(20)</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(25.0)%</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(0.0)%</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29"/>
        </w:trPr>
        <w:tc>
          <w:tcPr>
            <w:tcW w:w="4980" w:type="dxa"/>
            <w:vAlign w:val="bottom"/>
          </w:tcPr>
          <w:p>
            <w:pPr>
              <w:spacing w:after="0"/>
              <w:rPr>
                <w:sz w:val="20"/>
                <w:szCs w:val="20"/>
                <w:color w:val="auto"/>
              </w:rPr>
            </w:pPr>
            <w:r>
              <w:rPr>
                <w:rFonts w:ascii="Arial" w:cs="Arial" w:eastAsia="Arial" w:hAnsi="Arial"/>
                <w:sz w:val="18"/>
                <w:szCs w:val="18"/>
                <w:color w:val="auto"/>
              </w:rPr>
              <w:t>Loss on debt extinguishment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(90)</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100.0%</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49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Income before income tax</w:t>
            </w: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4,366</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(70.4)%</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4.2%</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270.6%</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0.6%</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49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1,102</w:t>
            </w:r>
          </w:p>
        </w:tc>
        <w:tc>
          <w:tcPr>
            <w:tcW w:w="14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4,315</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(74.5)%</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3.6%</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49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740" w:hanging="732"/>
        <w:spacing w:after="0"/>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color w:val="auto"/>
        </w:rPr>
        <w:t>NM - Not Meaningful</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2" w:name="page23"/>
    <w:bookmarkEnd w:id="22"/>
    <w:p>
      <w:pPr>
        <w:jc w:val="both"/>
        <w:ind w:firstLine="493"/>
        <w:spacing w:after="0" w:line="275"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Product revenue decreased 30.5%, or $9.7 million, for the third quarter of fiscal 2022 versus the third quarter of fiscal 2021. Service</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decreased 30.9%, or $3.8 million, for the third quarter of fiscal 2022 versus the third quarter of fiscal 2021. The decrease in product and service revenue was due to lower project revenues from our largest customer and other customer delays on several larger LED lighting and controls projects, primarily caused by the response of customers to supply chain disruptions and COVID-19 related impacts to our businesses. This includes installations from our existing large national retail customer, which represented 48.6% of total revenue in the third quarter of fiscal 2022.</w:t>
      </w:r>
    </w:p>
    <w:p>
      <w:pPr>
        <w:spacing w:after="0" w:line="122" w:lineRule="exact"/>
        <w:rPr>
          <w:sz w:val="20"/>
          <w:szCs w:val="20"/>
          <w:color w:val="auto"/>
        </w:rPr>
      </w:pPr>
    </w:p>
    <w:p>
      <w:pPr>
        <w:jc w:val="both"/>
        <w:ind w:firstLine="489"/>
        <w:spacing w:after="0" w:line="259" w:lineRule="auto"/>
        <w:rPr>
          <w:sz w:val="20"/>
          <w:szCs w:val="20"/>
          <w:color w:val="auto"/>
        </w:rPr>
      </w:pPr>
      <w:r>
        <w:rPr>
          <w:rFonts w:ascii="Arial" w:cs="Arial" w:eastAsia="Arial" w:hAnsi="Arial"/>
          <w:sz w:val="18"/>
          <w:szCs w:val="18"/>
          <w:i w:val="1"/>
          <w:iCs w:val="1"/>
          <w:color w:val="auto"/>
        </w:rPr>
        <w:t xml:space="preserve">Cost of Revenue and Gross Profit. </w:t>
      </w:r>
      <w:r>
        <w:rPr>
          <w:rFonts w:ascii="Arial" w:cs="Arial" w:eastAsia="Arial" w:hAnsi="Arial"/>
          <w:sz w:val="18"/>
          <w:szCs w:val="18"/>
          <w:color w:val="auto"/>
        </w:rPr>
        <w:t>Gross profit percentage remained flat at 24.9% of revenue in the third quarter of fiscal 2022 and the third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of fiscal 2021. Cost of product revenue decreased 29.2%, or $6.8 million, in the third quarter of fiscal 2022 versus the third quarter of fiscal 2021 due to the decrease in our sales. Cost of service revenue decreased 33.8%, or $3.4 million, in the third quarter of fiscal 2022 versus the third quarter of fiscal 2021 also due to the decrease in sales.</w:t>
      </w:r>
    </w:p>
    <w:p>
      <w:pPr>
        <w:spacing w:after="0" w:line="22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Operating Expenses</w:t>
      </w:r>
    </w:p>
    <w:p>
      <w:pPr>
        <w:spacing w:after="0" w:line="171" w:lineRule="exact"/>
        <w:rPr>
          <w:sz w:val="20"/>
          <w:szCs w:val="20"/>
          <w:color w:val="auto"/>
        </w:rPr>
      </w:pPr>
    </w:p>
    <w:p>
      <w:pPr>
        <w:jc w:val="both"/>
        <w:ind w:firstLine="489"/>
        <w:spacing w:after="0" w:line="263"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decreased 5.2%, or $0.2 million, in the third quarter of fiscal 2022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third quarter of fiscal 2021. This comparative decrease was primarily due to lower compensation costs in fiscal 2021 as a result of the reduction in revenue forecast.</w:t>
      </w:r>
    </w:p>
    <w:p>
      <w:pPr>
        <w:spacing w:after="0" w:line="130" w:lineRule="exact"/>
        <w:rPr>
          <w:sz w:val="20"/>
          <w:szCs w:val="20"/>
          <w:color w:val="auto"/>
        </w:rPr>
      </w:pPr>
    </w:p>
    <w:p>
      <w:pPr>
        <w:jc w:val="both"/>
        <w:ind w:firstLine="489"/>
        <w:spacing w:after="0" w:line="308" w:lineRule="auto"/>
        <w:rPr>
          <w:sz w:val="20"/>
          <w:szCs w:val="20"/>
          <w:color w:val="auto"/>
        </w:rPr>
      </w:pPr>
      <w:r>
        <w:rPr>
          <w:rFonts w:ascii="Arial" w:cs="Arial" w:eastAsia="Arial" w:hAnsi="Arial"/>
          <w:sz w:val="17"/>
          <w:szCs w:val="17"/>
          <w:i w:val="1"/>
          <w:iCs w:val="1"/>
          <w:color w:val="auto"/>
        </w:rPr>
        <w:t xml:space="preserve">Sales and Marketing. </w:t>
      </w:r>
      <w:r>
        <w:rPr>
          <w:rFonts w:ascii="Arial" w:cs="Arial" w:eastAsia="Arial" w:hAnsi="Arial"/>
          <w:sz w:val="17"/>
          <w:szCs w:val="17"/>
          <w:color w:val="auto"/>
        </w:rPr>
        <w:t>Sales and marketing expenses decreased 8.3%, or $0.3 million, in the third quarter of fiscal 2022 compared to the third quarter</w:t>
      </w:r>
      <w:r>
        <w:rPr>
          <w:rFonts w:ascii="Arial" w:cs="Arial" w:eastAsia="Arial" w:hAnsi="Arial"/>
          <w:sz w:val="17"/>
          <w:szCs w:val="17"/>
          <w:i w:val="1"/>
          <w:iCs w:val="1"/>
          <w:color w:val="auto"/>
        </w:rPr>
        <w:t xml:space="preserve"> </w:t>
      </w:r>
      <w:r>
        <w:rPr>
          <w:rFonts w:ascii="Arial" w:cs="Arial" w:eastAsia="Arial" w:hAnsi="Arial"/>
          <w:sz w:val="17"/>
          <w:szCs w:val="17"/>
          <w:color w:val="auto"/>
        </w:rPr>
        <w:t>of fiscal 2021. This comparative decrease was primarily due to a reduction in commission expense on lower sales and decreased travel.</w:t>
      </w:r>
    </w:p>
    <w:p>
      <w:pPr>
        <w:spacing w:after="0" w:line="92" w:lineRule="exact"/>
        <w:rPr>
          <w:sz w:val="20"/>
          <w:szCs w:val="20"/>
          <w:color w:val="auto"/>
        </w:rPr>
      </w:pPr>
    </w:p>
    <w:p>
      <w:pPr>
        <w:jc w:val="both"/>
        <w:ind w:firstLine="489"/>
        <w:spacing w:after="0" w:line="277"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is relatively flat, in the third quarter of fiscal 2022 compared to the third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2021.</w:t>
      </w:r>
    </w:p>
    <w:p>
      <w:pPr>
        <w:spacing w:after="0" w:line="116" w:lineRule="exact"/>
        <w:rPr>
          <w:sz w:val="20"/>
          <w:szCs w:val="20"/>
          <w:color w:val="auto"/>
        </w:rPr>
      </w:pPr>
    </w:p>
    <w:p>
      <w:pPr>
        <w:jc w:val="both"/>
        <w:ind w:firstLine="489"/>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in the third quarter of fiscal 2022 increased $25 thousand compared to the third quarter of fiscal 2021.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interest expense was primarily due to unused borrowing fees.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Services Group Division</w:t>
      </w:r>
    </w:p>
    <w:p>
      <w:pPr>
        <w:spacing w:after="0" w:line="175"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Our OSG segment develops and sells lighting products and provides construction, engineering along with installation and maintenance services for our commercial lighting and energy management systems. OSG provides engineering, design, lighting products and in many cases turnkey solutions for large national accounts, governments, municipalities, schools and other customers.</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OSG segment operating results (dollars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7"/>
          </w:tcPr>
          <w:p>
            <w:pPr>
              <w:ind w:left="380"/>
              <w:spacing w:after="0"/>
              <w:rPr>
                <w:sz w:val="20"/>
                <w:szCs w:val="20"/>
                <w:color w:val="auto"/>
              </w:rPr>
            </w:pPr>
            <w:r>
              <w:rPr>
                <w:rFonts w:ascii="Arial" w:cs="Arial" w:eastAsia="Arial" w:hAnsi="Arial"/>
                <w:sz w:val="14"/>
                <w:szCs w:val="14"/>
                <w:b w:val="1"/>
                <w:bCs w:val="1"/>
                <w:color w:val="auto"/>
                <w:w w:val="99"/>
              </w:rPr>
              <w:t>Three Months Ended December 31,</w:t>
            </w:r>
          </w:p>
        </w:tc>
        <w:tc>
          <w:tcPr>
            <w:tcW w:w="10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80" w:type="dxa"/>
            <w:vAlign w:val="bottom"/>
          </w:tcPr>
          <w:p>
            <w:pPr>
              <w:spacing w:after="0"/>
              <w:rPr>
                <w:sz w:val="11"/>
                <w:szCs w:val="11"/>
                <w:color w:val="auto"/>
              </w:rPr>
            </w:pPr>
          </w:p>
        </w:tc>
        <w:tc>
          <w:tcPr>
            <w:tcW w:w="2600" w:type="dxa"/>
            <w:vAlign w:val="bottom"/>
            <w:vMerge w:val="restart"/>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vMerge w:val="restart"/>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jc w:val="right"/>
              <w:ind w:right="519"/>
              <w:spacing w:after="0" w:line="133"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880" w:type="dxa"/>
            <w:vAlign w:val="bottom"/>
            <w:tcBorders>
              <w:bottom w:val="single" w:sz="8" w:color="CFF0FC"/>
            </w:tcBorders>
          </w:tcPr>
          <w:p>
            <w:pPr>
              <w:spacing w:after="0"/>
              <w:rPr>
                <w:sz w:val="14"/>
                <w:szCs w:val="14"/>
                <w:color w:val="auto"/>
              </w:rPr>
            </w:pPr>
          </w:p>
        </w:tc>
        <w:tc>
          <w:tcPr>
            <w:tcW w:w="2600" w:type="dxa"/>
            <w:vAlign w:val="bottom"/>
            <w:tcBorders>
              <w:bottom w:val="single" w:sz="8" w:color="CFF0FC"/>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3"/>
              </w:rPr>
              <w:t>Change</w:t>
            </w:r>
          </w:p>
        </w:tc>
        <w:tc>
          <w:tcPr>
            <w:tcW w:w="2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6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20,021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36,669</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Operating income</w:t>
            </w:r>
          </w:p>
        </w:tc>
        <w:tc>
          <w:tcPr>
            <w:tcW w:w="3380" w:type="dxa"/>
            <w:vAlign w:val="bottom"/>
            <w:gridSpan w:val="2"/>
          </w:tcPr>
          <w:p>
            <w:pPr>
              <w:jc w:val="right"/>
              <w:ind w:right="627"/>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970</w:t>
            </w:r>
          </w:p>
        </w:tc>
        <w:tc>
          <w:tcPr>
            <w:tcW w:w="220" w:type="dxa"/>
            <w:vAlign w:val="bottom"/>
          </w:tcPr>
          <w:p>
            <w:pPr>
              <w:spacing w:after="0"/>
              <w:rPr>
                <w:sz w:val="19"/>
                <w:szCs w:val="19"/>
                <w:color w:val="auto"/>
              </w:rPr>
            </w:pPr>
          </w:p>
        </w:tc>
        <w:tc>
          <w:tcPr>
            <w:tcW w:w="880" w:type="dxa"/>
            <w:vAlign w:val="bottom"/>
            <w:gridSpan w:val="2"/>
          </w:tcPr>
          <w:p>
            <w:pPr>
              <w:jc w:val="right"/>
              <w:ind w:right="627"/>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4,820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Operating margin</w:t>
            </w:r>
          </w:p>
        </w:tc>
        <w:tc>
          <w:tcPr>
            <w:tcW w:w="26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13.1%</w:t>
            </w: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493"/>
        <w:spacing w:after="0" w:line="259" w:lineRule="auto"/>
        <w:rPr>
          <w:sz w:val="20"/>
          <w:szCs w:val="20"/>
          <w:color w:val="auto"/>
        </w:rPr>
      </w:pPr>
      <w:r>
        <w:rPr>
          <w:rFonts w:ascii="Arial" w:cs="Arial" w:eastAsia="Arial" w:hAnsi="Arial"/>
          <w:sz w:val="18"/>
          <w:szCs w:val="18"/>
          <w:color w:val="auto"/>
        </w:rPr>
        <w:t>OSG segment revenue in the third quarter of fiscal 2022 decreased $16.6 million from the third quarter of fiscal 2021. The decrease in revenue was due to a reduction of project volume from our largest customer and other customer delays on several larger LED lighting and controls projects, primarily caused by the response of customers to supply chain disruptions and COVID-19 related impacts to our businesses. This sales decrease led to a corresponding decrease in operating income in this segment.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Orion Distribution Services Division</w:t>
      </w:r>
    </w:p>
    <w:p>
      <w:pPr>
        <w:spacing w:after="0" w:line="175" w:lineRule="exact"/>
        <w:rPr>
          <w:sz w:val="20"/>
          <w:szCs w:val="20"/>
          <w:color w:val="auto"/>
        </w:rPr>
      </w:pPr>
    </w:p>
    <w:p>
      <w:pPr>
        <w:jc w:val="both"/>
        <w:ind w:firstLine="493"/>
        <w:spacing w:after="0" w:line="277" w:lineRule="auto"/>
        <w:rPr>
          <w:sz w:val="20"/>
          <w:szCs w:val="20"/>
          <w:color w:val="auto"/>
        </w:rPr>
      </w:pPr>
      <w:r>
        <w:rPr>
          <w:rFonts w:ascii="Arial" w:cs="Arial" w:eastAsia="Arial" w:hAnsi="Arial"/>
          <w:sz w:val="18"/>
          <w:szCs w:val="18"/>
          <w:color w:val="auto"/>
        </w:rPr>
        <w:t>Our ODS segment focuses on selling lighting products through manufacturer representative agencies and a network of North American broadline and electrical distributors and contractors.</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ODS segment operating results (dollars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7"/>
          </w:tcPr>
          <w:p>
            <w:pPr>
              <w:ind w:left="360"/>
              <w:spacing w:after="0"/>
              <w:rPr>
                <w:sz w:val="20"/>
                <w:szCs w:val="20"/>
                <w:color w:val="auto"/>
              </w:rPr>
            </w:pPr>
            <w:r>
              <w:rPr>
                <w:rFonts w:ascii="Arial" w:cs="Arial" w:eastAsia="Arial" w:hAnsi="Arial"/>
                <w:sz w:val="14"/>
                <w:szCs w:val="14"/>
                <w:b w:val="1"/>
                <w:bCs w:val="1"/>
                <w:color w:val="auto"/>
                <w:w w:val="99"/>
              </w:rPr>
              <w:t>Three Months Ended December 31,</w:t>
            </w:r>
          </w:p>
        </w:tc>
        <w:tc>
          <w:tcPr>
            <w:tcW w:w="10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4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vMerge w:val="restart"/>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jc w:val="right"/>
              <w:ind w:right="499"/>
              <w:spacing w:after="0" w:line="133"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480" w:type="dxa"/>
            <w:vAlign w:val="bottom"/>
            <w:tcBorders>
              <w:bottom w:val="single" w:sz="8" w:color="CFF0FC"/>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3"/>
              </w:rPr>
              <w:t>Change</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840" w:type="dxa"/>
            <w:vAlign w:val="bottom"/>
            <w:shd w:val="clear" w:color="auto" w:fill="CFF0FC"/>
          </w:tcPr>
          <w:p>
            <w:pPr>
              <w:jc w:val="right"/>
              <w:ind w:right="65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4,942</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5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3,934</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29"/>
        </w:trPr>
        <w:tc>
          <w:tcPr>
            <w:tcW w:w="6480" w:type="dxa"/>
            <w:vAlign w:val="bottom"/>
          </w:tcPr>
          <w:p>
            <w:pPr>
              <w:spacing w:after="0"/>
              <w:rPr>
                <w:sz w:val="20"/>
                <w:szCs w:val="20"/>
                <w:color w:val="auto"/>
              </w:rPr>
            </w:pPr>
            <w:r>
              <w:rPr>
                <w:rFonts w:ascii="Arial" w:cs="Arial" w:eastAsia="Arial" w:hAnsi="Arial"/>
                <w:sz w:val="18"/>
                <w:szCs w:val="18"/>
                <w:color w:val="auto"/>
              </w:rPr>
              <w:t>Operating income</w:t>
            </w:r>
          </w:p>
        </w:tc>
        <w:tc>
          <w:tcPr>
            <w:tcW w:w="840" w:type="dxa"/>
            <w:vAlign w:val="bottom"/>
          </w:tcPr>
          <w:p>
            <w:pPr>
              <w:jc w:val="right"/>
              <w:ind w:right="656"/>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491</w:t>
            </w:r>
          </w:p>
        </w:tc>
        <w:tc>
          <w:tcPr>
            <w:tcW w:w="240" w:type="dxa"/>
            <w:vAlign w:val="bottom"/>
          </w:tcPr>
          <w:p>
            <w:pPr>
              <w:spacing w:after="0"/>
              <w:rPr>
                <w:sz w:val="19"/>
                <w:szCs w:val="19"/>
                <w:color w:val="auto"/>
              </w:rPr>
            </w:pPr>
          </w:p>
        </w:tc>
        <w:tc>
          <w:tcPr>
            <w:tcW w:w="920" w:type="dxa"/>
            <w:vAlign w:val="bottom"/>
            <w:gridSpan w:val="2"/>
          </w:tcPr>
          <w:p>
            <w:pPr>
              <w:jc w:val="right"/>
              <w:ind w:right="659"/>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193</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154.4%</w:t>
            </w:r>
          </w:p>
        </w:tc>
        <w:tc>
          <w:tcPr>
            <w:tcW w:w="0" w:type="dxa"/>
            <w:vAlign w:val="bottom"/>
          </w:tcPr>
          <w:p>
            <w:pPr>
              <w:spacing w:after="0"/>
              <w:rPr>
                <w:sz w:val="1"/>
                <w:szCs w:val="1"/>
                <w:color w:val="auto"/>
              </w:rPr>
            </w:pPr>
          </w:p>
        </w:tc>
      </w:tr>
      <w:tr>
        <w:trPr>
          <w:trHeight w:val="229"/>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Operating margin</w:t>
            </w:r>
          </w:p>
        </w:tc>
        <w:tc>
          <w:tcPr>
            <w:tcW w:w="8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9.9%</w:t>
            </w: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4.9%</w:t>
            </w: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ODS segment revenue in the third quarter of fiscal 2022 increased $1.0 million, compared to the third quarter of fiscal 2021, primarily due to growth of two customers in the third quarter of fiscal 2022. The increase in sales resulted in a corresponding increase in operating income in this segment based on operating leverage.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U.S. Markets Division</w:t>
      </w:r>
    </w:p>
    <w:p>
      <w:pPr>
        <w:spacing w:after="0" w:line="175" w:lineRule="exact"/>
        <w:rPr>
          <w:sz w:val="20"/>
          <w:szCs w:val="20"/>
          <w:color w:val="auto"/>
        </w:rPr>
      </w:pPr>
    </w:p>
    <w:p>
      <w:pPr>
        <w:jc w:val="both"/>
        <w:ind w:right="20" w:firstLine="493"/>
        <w:spacing w:after="0" w:line="277" w:lineRule="auto"/>
        <w:rPr>
          <w:sz w:val="20"/>
          <w:szCs w:val="20"/>
          <w:color w:val="auto"/>
        </w:rPr>
      </w:pPr>
      <w:r>
        <w:rPr>
          <w:rFonts w:ascii="Arial" w:cs="Arial" w:eastAsia="Arial" w:hAnsi="Arial"/>
          <w:sz w:val="18"/>
          <w:szCs w:val="18"/>
          <w:color w:val="auto"/>
        </w:rPr>
        <w:t>Our USM segment sells commercial lighting systems and energy management systems to the wholesale contractor markets. USM customers include ESCOs and contractors.</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USM segment operating results (dollars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7"/>
          </w:tcPr>
          <w:p>
            <w:pPr>
              <w:ind w:left="360"/>
              <w:spacing w:after="0"/>
              <w:rPr>
                <w:sz w:val="20"/>
                <w:szCs w:val="20"/>
                <w:color w:val="auto"/>
              </w:rPr>
            </w:pPr>
            <w:r>
              <w:rPr>
                <w:rFonts w:ascii="Arial" w:cs="Arial" w:eastAsia="Arial" w:hAnsi="Arial"/>
                <w:sz w:val="14"/>
                <w:szCs w:val="14"/>
                <w:b w:val="1"/>
                <w:bCs w:val="1"/>
                <w:color w:val="auto"/>
                <w:w w:val="99"/>
              </w:rPr>
              <w:t>Three Months Ended December 31,</w:t>
            </w:r>
          </w:p>
        </w:tc>
        <w:tc>
          <w:tcPr>
            <w:tcW w:w="10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4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vMerge w:val="restart"/>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jc w:val="right"/>
              <w:ind w:right="499"/>
              <w:spacing w:after="0" w:line="133"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480" w:type="dxa"/>
            <w:vAlign w:val="bottom"/>
            <w:tcBorders>
              <w:bottom w:val="single" w:sz="8" w:color="CFF0FC"/>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3"/>
              </w:rPr>
              <w:t>Change</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840" w:type="dxa"/>
            <w:vAlign w:val="bottom"/>
            <w:shd w:val="clear" w:color="auto" w:fill="CFF0FC"/>
          </w:tcPr>
          <w:p>
            <w:pPr>
              <w:jc w:val="right"/>
              <w:ind w:right="65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5,751</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5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3,648</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Operating income</w:t>
            </w:r>
          </w:p>
        </w:tc>
        <w:tc>
          <w:tcPr>
            <w:tcW w:w="840" w:type="dxa"/>
            <w:vAlign w:val="bottom"/>
          </w:tcPr>
          <w:p>
            <w:pPr>
              <w:jc w:val="right"/>
              <w:ind w:right="656"/>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1,250</w:t>
            </w:r>
          </w:p>
        </w:tc>
        <w:tc>
          <w:tcPr>
            <w:tcW w:w="240" w:type="dxa"/>
            <w:vAlign w:val="bottom"/>
          </w:tcPr>
          <w:p>
            <w:pPr>
              <w:spacing w:after="0"/>
              <w:rPr>
                <w:sz w:val="19"/>
                <w:szCs w:val="19"/>
                <w:color w:val="auto"/>
              </w:rPr>
            </w:pPr>
          </w:p>
        </w:tc>
        <w:tc>
          <w:tcPr>
            <w:tcW w:w="920" w:type="dxa"/>
            <w:vAlign w:val="bottom"/>
            <w:gridSpan w:val="2"/>
          </w:tcPr>
          <w:p>
            <w:pPr>
              <w:jc w:val="right"/>
              <w:ind w:right="659"/>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731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30"/>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Operating margin</w:t>
            </w:r>
          </w:p>
        </w:tc>
        <w:tc>
          <w:tcPr>
            <w:tcW w:w="8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21.7%</w:t>
            </w: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20.0%</w:t>
            </w: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420" w:firstLine="493"/>
        <w:spacing w:after="0" w:line="263" w:lineRule="auto"/>
        <w:rPr>
          <w:sz w:val="20"/>
          <w:szCs w:val="20"/>
          <w:color w:val="auto"/>
        </w:rPr>
      </w:pPr>
      <w:r>
        <w:rPr>
          <w:rFonts w:ascii="Arial" w:cs="Arial" w:eastAsia="Arial" w:hAnsi="Arial"/>
          <w:sz w:val="18"/>
          <w:szCs w:val="18"/>
          <w:color w:val="auto"/>
        </w:rPr>
        <w:t>USM segment revenue in the third quarter of fiscal 2022 increased $2.1 million, compared to the third quarter of fiscal 2021, primarily due to a reduction in the impact of Covid-19 on customers in this segment in the fiscal 2022 period compared to fiscal 2021. The increase in sales resulted in a corresponding increase in operating income in this segment based on operating leverage.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Results of Operations - Nine Months Ended December 31, 2021 versus Nine Months Ended December 31, 2020</w:t>
      </w:r>
    </w:p>
    <w:p>
      <w:pPr>
        <w:spacing w:after="0" w:line="175"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The following table sets forth the line items of our Condensed Consolidated Statements of Operations and as a relative percentage of our total revenue for each applicable period, together with the relative percentage change in such line item between applicable comparable periods (dollars in thousands, except percentages):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680" w:type="dxa"/>
            <w:vAlign w:val="bottom"/>
            <w:tcBorders>
              <w:bottom w:val="single" w:sz="8" w:color="auto"/>
            </w:tcBorders>
            <w:gridSpan w:val="6"/>
          </w:tcPr>
          <w:p>
            <w:pPr>
              <w:jc w:val="right"/>
              <w:ind w:right="980"/>
              <w:spacing w:after="0"/>
              <w:rPr>
                <w:sz w:val="20"/>
                <w:szCs w:val="20"/>
                <w:color w:val="auto"/>
              </w:rPr>
            </w:pPr>
            <w:r>
              <w:rPr>
                <w:rFonts w:ascii="Arial" w:cs="Arial" w:eastAsia="Arial" w:hAnsi="Arial"/>
                <w:sz w:val="14"/>
                <w:szCs w:val="14"/>
                <w:b w:val="1"/>
                <w:bCs w:val="1"/>
                <w:color w:val="auto"/>
              </w:rPr>
              <w:t>Nine Months Ended December 31,</w:t>
            </w:r>
          </w:p>
        </w:tc>
        <w:tc>
          <w:tcPr>
            <w:tcW w:w="10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c>
          <w:tcPr>
            <w:tcW w:w="98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3"/>
                <w:szCs w:val="13"/>
                <w:color w:val="auto"/>
              </w:rPr>
            </w:pPr>
          </w:p>
        </w:tc>
        <w:tc>
          <w:tcPr>
            <w:tcW w:w="9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2021</w:t>
            </w:r>
          </w:p>
        </w:tc>
        <w:tc>
          <w:tcPr>
            <w:tcW w:w="340" w:type="dxa"/>
            <w:vAlign w:val="bottom"/>
          </w:tcPr>
          <w:p>
            <w:pPr>
              <w:spacing w:after="0"/>
              <w:rPr>
                <w:sz w:val="13"/>
                <w:szCs w:val="13"/>
                <w:color w:val="auto"/>
              </w:rPr>
            </w:pPr>
          </w:p>
        </w:tc>
        <w:tc>
          <w:tcPr>
            <w:tcW w:w="10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2020</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Amount</w:t>
            </w:r>
          </w:p>
        </w:tc>
        <w:tc>
          <w:tcPr>
            <w:tcW w:w="14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Amount</w:t>
            </w:r>
          </w:p>
        </w:tc>
        <w:tc>
          <w:tcPr>
            <w:tcW w:w="220" w:type="dxa"/>
            <w:vAlign w:val="bottom"/>
            <w:vMerge w:val="restart"/>
          </w:tcPr>
          <w:p>
            <w:pPr>
              <w:spacing w:after="0"/>
              <w:rPr>
                <w:sz w:val="11"/>
                <w:szCs w:val="11"/>
                <w:color w:val="auto"/>
              </w:rPr>
            </w:pPr>
          </w:p>
        </w:tc>
        <w:tc>
          <w:tcPr>
            <w:tcW w:w="9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40" w:type="dxa"/>
            <w:vAlign w:val="bottom"/>
          </w:tcPr>
          <w:p>
            <w:pPr>
              <w:spacing w:after="0"/>
              <w:rPr>
                <w:sz w:val="11"/>
                <w:szCs w:val="11"/>
                <w:color w:val="auto"/>
              </w:rPr>
            </w:pPr>
          </w:p>
        </w:tc>
        <w:tc>
          <w:tcPr>
            <w:tcW w:w="10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800" w:type="dxa"/>
            <w:vAlign w:val="bottom"/>
            <w:tcBorders>
              <w:bottom w:val="single" w:sz="8" w:color="CFF0FC"/>
            </w:tcBorders>
          </w:tcPr>
          <w:p>
            <w:pPr>
              <w:spacing w:after="0"/>
              <w:rPr>
                <w:sz w:val="14"/>
                <w:szCs w:val="14"/>
                <w:color w:val="auto"/>
              </w:rPr>
            </w:pPr>
          </w:p>
        </w:tc>
        <w:tc>
          <w:tcPr>
            <w:tcW w:w="11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FF0FC"/>
            </w:tcBorders>
            <w:vMerge w:val="continue"/>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9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Change</w:t>
            </w:r>
          </w:p>
        </w:tc>
        <w:tc>
          <w:tcPr>
            <w:tcW w:w="34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34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2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w:t>
            </w: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78,260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61,890</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26.5%</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76.5%</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Service revenue</w:t>
            </w: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24,065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19,453</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23.7%</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23.5%</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0"/>
        </w:trPr>
        <w:tc>
          <w:tcPr>
            <w:tcW w:w="38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00" w:type="dxa"/>
            <w:vAlign w:val="bottom"/>
            <w:vMerge w:val="continue"/>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102,325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81,343</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25.8%</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100.0%</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54,724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44,834</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22.1%</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53.5%</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29"/>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Cost of service revenue</w:t>
            </w: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18,942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15,605</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21.4%</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18.5%</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Arial" w:cs="Arial" w:eastAsia="Arial" w:hAnsi="Arial"/>
                <w:sz w:val="18"/>
                <w:szCs w:val="18"/>
                <w:color w:val="auto"/>
              </w:rPr>
              <w:t>Total cost of revenue</w:t>
            </w:r>
          </w:p>
        </w:tc>
        <w:tc>
          <w:tcPr>
            <w:tcW w:w="1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00" w:type="dxa"/>
            <w:vAlign w:val="bottom"/>
            <w:vMerge w:val="continue"/>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73,666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60,439</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21.9%</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72.0%</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0"/>
        </w:trPr>
        <w:tc>
          <w:tcPr>
            <w:tcW w:w="38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Gross profit</w:t>
            </w:r>
          </w:p>
        </w:tc>
        <w:tc>
          <w:tcPr>
            <w:tcW w:w="1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00" w:type="dxa"/>
            <w:vAlign w:val="bottom"/>
            <w:vMerge w:val="continue"/>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28,659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20,904</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37.1%</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28.0%</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8,737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8,079</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8.1%</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8.5%</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9"/>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Acquisition costs</w:t>
            </w: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NM</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0.3%</w:t>
            </w: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80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8,794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7,306</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20.4%</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8.6%</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1,230</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(5.0)%</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Arial" w:cs="Arial" w:eastAsia="Arial" w:hAnsi="Arial"/>
                <w:sz w:val="18"/>
                <w:szCs w:val="18"/>
                <w:color w:val="auto"/>
              </w:rPr>
              <w:t>Income from operations</w:t>
            </w:r>
          </w:p>
        </w:tc>
        <w:tc>
          <w:tcPr>
            <w:tcW w:w="1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00" w:type="dxa"/>
            <w:vAlign w:val="bottom"/>
            <w:vMerge w:val="continue"/>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9,781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4,289</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128.0%</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9.6%</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(98.2)%</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3800" w:type="dxa"/>
            <w:vAlign w:val="bottom"/>
          </w:tcPr>
          <w:p>
            <w:pPr>
              <w:spacing w:after="0"/>
              <w:rPr>
                <w:sz w:val="20"/>
                <w:szCs w:val="20"/>
                <w:color w:val="auto"/>
              </w:rPr>
            </w:pPr>
            <w:r>
              <w:rPr>
                <w:rFonts w:ascii="Arial" w:cs="Arial" w:eastAsia="Arial" w:hAnsi="Arial"/>
                <w:sz w:val="18"/>
                <w:szCs w:val="18"/>
                <w:color w:val="auto"/>
              </w:rPr>
              <w:t>Interest expense</w:t>
            </w: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15.7%</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debt issue costs</w:t>
            </w: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(142)</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(67.6)%</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(0.0)%</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Loss on debt extinguishment</w:t>
            </w: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(90)</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100.0%</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38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Income before income tax</w:t>
            </w:r>
          </w:p>
        </w:tc>
        <w:tc>
          <w:tcPr>
            <w:tcW w:w="1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00" w:type="dxa"/>
            <w:vAlign w:val="bottom"/>
            <w:vMerge w:val="continue"/>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4,062</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138.2%</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9.5%</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Income tax expense</w:t>
            </w: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2,406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4526.9%</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2.4%</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38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Income</w:t>
            </w:r>
          </w:p>
        </w:tc>
        <w:tc>
          <w:tcPr>
            <w:tcW w:w="116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00" w:type="dxa"/>
            <w:vAlign w:val="bottom"/>
            <w:vMerge w:val="continue"/>
            <w:shd w:val="clear" w:color="auto" w:fill="CFF0FC"/>
          </w:tcPr>
          <w:p>
            <w:pPr>
              <w:spacing w:after="0"/>
              <w:rPr>
                <w:sz w:val="19"/>
                <w:szCs w:val="19"/>
                <w:color w:val="auto"/>
              </w:rPr>
            </w:pPr>
          </w:p>
        </w:tc>
        <w:tc>
          <w:tcPr>
            <w:tcW w:w="116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7,271</w:t>
            </w:r>
          </w:p>
        </w:tc>
        <w:tc>
          <w:tcPr>
            <w:tcW w:w="14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4,010</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81.3%</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7.1%</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380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93"/>
        <w:spacing w:after="0" w:line="301"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Product revenue increased 26.5%, or $16.4 million, for the first nine months of fiscal 2022 versus the first nine months of fiscal 2021.</w:t>
      </w:r>
      <w:r>
        <w:rPr>
          <w:rFonts w:ascii="Arial" w:cs="Arial" w:eastAsia="Arial" w:hAnsi="Arial"/>
          <w:sz w:val="16"/>
          <w:szCs w:val="16"/>
          <w:i w:val="1"/>
          <w:iCs w:val="1"/>
          <w:color w:val="auto"/>
        </w:rPr>
        <w:t xml:space="preserve"> </w:t>
      </w:r>
      <w:r>
        <w:rPr>
          <w:rFonts w:ascii="Arial" w:cs="Arial" w:eastAsia="Arial" w:hAnsi="Arial"/>
          <w:sz w:val="16"/>
          <w:szCs w:val="16"/>
          <w:color w:val="auto"/>
        </w:rPr>
        <w:t>Service revenue increased 23.7%, or $4.6 million, for the first nine months of fiscal 2022 versus the first nine months of fiscal 2021. The increase in product and service revenue was primarily due to multiple projects put on hold in the prior year period as a result of COVID-19 concerns, including the projects for one large national account customer which increased 19.9% in the first nine months of fiscal 2022 versus the first nine months of fiscal 2021.</w:t>
      </w:r>
    </w:p>
    <w:p>
      <w:pPr>
        <w:spacing w:after="0" w:line="103" w:lineRule="exact"/>
        <w:rPr>
          <w:sz w:val="20"/>
          <w:szCs w:val="20"/>
          <w:color w:val="auto"/>
        </w:rPr>
      </w:pPr>
    </w:p>
    <w:p>
      <w:pPr>
        <w:jc w:val="both"/>
        <w:ind w:firstLine="489"/>
        <w:spacing w:after="0" w:line="257" w:lineRule="auto"/>
        <w:rPr>
          <w:sz w:val="20"/>
          <w:szCs w:val="20"/>
          <w:color w:val="auto"/>
        </w:rPr>
      </w:pPr>
      <w:r>
        <w:rPr>
          <w:rFonts w:ascii="Arial" w:cs="Arial" w:eastAsia="Arial" w:hAnsi="Arial"/>
          <w:sz w:val="18"/>
          <w:szCs w:val="18"/>
          <w:i w:val="1"/>
          <w:iCs w:val="1"/>
          <w:color w:val="auto"/>
        </w:rPr>
        <w:t xml:space="preserve">Cost of Revenue and Gross Profit. </w:t>
      </w:r>
      <w:r>
        <w:rPr>
          <w:rFonts w:ascii="Arial" w:cs="Arial" w:eastAsia="Arial" w:hAnsi="Arial"/>
          <w:sz w:val="18"/>
          <w:szCs w:val="18"/>
          <w:color w:val="auto"/>
        </w:rPr>
        <w:t>Gross profit percentage increased to 28.0% of revenue in the first nine months of fiscal 2022 from 25.7%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first nine months of fiscal 2021, due primarily to an improvement in product margin on the coverage of fixed costs with significantly higher sales volume, as well as a payroll tax credit. Cost of product revenue increased 22.1%, or $9.9 million, in the first nine months of fiscal 2022 versus the first nine months of fiscal 2021 due to the increase in our sales. Cost of service revenue increased 21.4%, or $3.3 million, in the first nine months of fiscal 2022 versus the first nine months of fiscal 2021 due to the increase in sales.</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Operating Expenses</w:t>
      </w:r>
    </w:p>
    <w:p>
      <w:pPr>
        <w:spacing w:after="0" w:line="171" w:lineRule="exact"/>
        <w:rPr>
          <w:sz w:val="20"/>
          <w:szCs w:val="20"/>
          <w:color w:val="auto"/>
        </w:rPr>
      </w:pPr>
    </w:p>
    <w:p>
      <w:pPr>
        <w:jc w:val="both"/>
        <w:ind w:firstLine="489"/>
        <w:spacing w:after="0" w:line="263"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increased 8.1%, or $0.7 million, in the first nine months of fiscal 2022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first nine months of fiscal 2021. This comparative increase was primarily due to lower employment costs in fiscal 2021 as a result of COVID-19 related actions and partially offset by the payroll tax credit.</w:t>
      </w:r>
    </w:p>
    <w:p>
      <w:pPr>
        <w:spacing w:after="0" w:line="130" w:lineRule="exact"/>
        <w:rPr>
          <w:sz w:val="20"/>
          <w:szCs w:val="20"/>
          <w:color w:val="auto"/>
        </w:rPr>
      </w:pPr>
    </w:p>
    <w:p>
      <w:pPr>
        <w:jc w:val="both"/>
        <w:ind w:firstLine="489"/>
        <w:spacing w:after="0" w:line="263"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increased 20.4%, or $1.5 million, in the first nine months of fiscal 2022 compared to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of fiscal 2021. This comparative increase was primarily due to an increase in commission expense on higher sales, partially offset by the payroll tax credit.</w:t>
      </w:r>
    </w:p>
    <w:p>
      <w:pPr>
        <w:spacing w:after="0" w:line="130" w:lineRule="exact"/>
        <w:rPr>
          <w:sz w:val="20"/>
          <w:szCs w:val="20"/>
          <w:color w:val="auto"/>
        </w:rPr>
      </w:pPr>
    </w:p>
    <w:p>
      <w:pPr>
        <w:jc w:val="both"/>
        <w:ind w:firstLine="489"/>
        <w:spacing w:after="0" w:line="277"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decreased 5.0%, or $0.1 million, in the first nine months of fiscal 2022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first nine months of fiscal 2021. This comparative decrease was primarily due to the payroll tax credit.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Orion Services Group Division</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OSG segment operating results (dollars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7"/>
          </w:tcPr>
          <w:p>
            <w:pPr>
              <w:ind w:left="440"/>
              <w:spacing w:after="0"/>
              <w:rPr>
                <w:sz w:val="20"/>
                <w:szCs w:val="20"/>
                <w:color w:val="auto"/>
              </w:rPr>
            </w:pPr>
            <w:r>
              <w:rPr>
                <w:rFonts w:ascii="Arial" w:cs="Arial" w:eastAsia="Arial" w:hAnsi="Arial"/>
                <w:sz w:val="14"/>
                <w:szCs w:val="14"/>
                <w:b w:val="1"/>
                <w:bCs w:val="1"/>
                <w:color w:val="auto"/>
              </w:rPr>
              <w:t>Nine Months Ended December 31,</w:t>
            </w:r>
          </w:p>
        </w:tc>
        <w:tc>
          <w:tcPr>
            <w:tcW w:w="10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4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vMerge w:val="restart"/>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jc w:val="right"/>
              <w:ind w:right="499"/>
              <w:spacing w:after="0" w:line="133"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480" w:type="dxa"/>
            <w:vAlign w:val="bottom"/>
            <w:tcBorders>
              <w:bottom w:val="single" w:sz="8" w:color="CFF0FC"/>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3"/>
              </w:rPr>
              <w:t>Change</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800" w:type="dxa"/>
            <w:vAlign w:val="bottom"/>
            <w:shd w:val="clear" w:color="auto" w:fill="CFF0FC"/>
          </w:tcPr>
          <w:p>
            <w:pPr>
              <w:jc w:val="right"/>
              <w:ind w:right="61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68,961</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1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57,395</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Operating income</w:t>
            </w:r>
          </w:p>
        </w:tc>
        <w:tc>
          <w:tcPr>
            <w:tcW w:w="800" w:type="dxa"/>
            <w:vAlign w:val="bottom"/>
          </w:tcPr>
          <w:p>
            <w:pPr>
              <w:jc w:val="right"/>
              <w:ind w:right="616"/>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7,115</w:t>
            </w:r>
          </w:p>
        </w:tc>
        <w:tc>
          <w:tcPr>
            <w:tcW w:w="240" w:type="dxa"/>
            <w:vAlign w:val="bottom"/>
          </w:tcPr>
          <w:p>
            <w:pPr>
              <w:spacing w:after="0"/>
              <w:rPr>
                <w:sz w:val="19"/>
                <w:szCs w:val="19"/>
                <w:color w:val="auto"/>
              </w:rPr>
            </w:pPr>
          </w:p>
        </w:tc>
        <w:tc>
          <w:tcPr>
            <w:tcW w:w="880" w:type="dxa"/>
            <w:vAlign w:val="bottom"/>
            <w:gridSpan w:val="2"/>
          </w:tcPr>
          <w:p>
            <w:pPr>
              <w:jc w:val="right"/>
              <w:ind w:right="619"/>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4,634</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29"/>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Operating margin</w:t>
            </w:r>
          </w:p>
        </w:tc>
        <w:tc>
          <w:tcPr>
            <w:tcW w:w="8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8.1%</w:t>
            </w: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493"/>
        <w:spacing w:after="0" w:line="259" w:lineRule="auto"/>
        <w:rPr>
          <w:sz w:val="20"/>
          <w:szCs w:val="20"/>
          <w:color w:val="auto"/>
        </w:rPr>
      </w:pPr>
      <w:r>
        <w:rPr>
          <w:rFonts w:ascii="Arial" w:cs="Arial" w:eastAsia="Arial" w:hAnsi="Arial"/>
          <w:sz w:val="18"/>
          <w:szCs w:val="18"/>
          <w:color w:val="auto"/>
        </w:rPr>
        <w:t>OSG segment revenue in the first nine months of fiscal 2022 increased $11.6 million from the first nine months of fiscal 2021 due to multiple projects put on hold in the prior year period as a result of COVID-19, including the projects with one large national account customer that increased 19.9% in the first nine months of fiscal 2022 versus the first nine months fiscal 2021. This sales increase led to a corresponding increase in operating income in this segment.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Distribution Services Division</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ODS segment operating results (dollars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7"/>
          </w:tcPr>
          <w:p>
            <w:pPr>
              <w:jc w:val="center"/>
              <w:ind w:left="175"/>
              <w:spacing w:after="0"/>
              <w:rPr>
                <w:sz w:val="20"/>
                <w:szCs w:val="20"/>
                <w:color w:val="auto"/>
              </w:rPr>
            </w:pPr>
            <w:r>
              <w:rPr>
                <w:rFonts w:ascii="Arial" w:cs="Arial" w:eastAsia="Arial" w:hAnsi="Arial"/>
                <w:sz w:val="14"/>
                <w:szCs w:val="14"/>
                <w:b w:val="1"/>
                <w:bCs w:val="1"/>
                <w:color w:val="auto"/>
                <w:w w:val="93"/>
              </w:rPr>
              <w:t>Nine Months Ended December 31,</w:t>
            </w:r>
          </w:p>
        </w:tc>
        <w:tc>
          <w:tcPr>
            <w:tcW w:w="10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4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vMerge w:val="restart"/>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jc w:val="right"/>
              <w:ind w:right="499"/>
              <w:spacing w:after="0" w:line="133"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480" w:type="dxa"/>
            <w:vAlign w:val="bottom"/>
            <w:tcBorders>
              <w:bottom w:val="single" w:sz="8" w:color="CFF0FC"/>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3"/>
              </w:rPr>
              <w:t>Change</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800" w:type="dxa"/>
            <w:vAlign w:val="bottom"/>
            <w:shd w:val="clear" w:color="auto" w:fill="CFF0FC"/>
          </w:tcPr>
          <w:p>
            <w:pPr>
              <w:jc w:val="right"/>
              <w:ind w:right="61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18,264</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1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16,063</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29"/>
        </w:trPr>
        <w:tc>
          <w:tcPr>
            <w:tcW w:w="6480" w:type="dxa"/>
            <w:vAlign w:val="bottom"/>
          </w:tcPr>
          <w:p>
            <w:pPr>
              <w:spacing w:after="0"/>
              <w:rPr>
                <w:sz w:val="20"/>
                <w:szCs w:val="20"/>
                <w:color w:val="auto"/>
              </w:rPr>
            </w:pPr>
            <w:r>
              <w:rPr>
                <w:rFonts w:ascii="Arial" w:cs="Arial" w:eastAsia="Arial" w:hAnsi="Arial"/>
                <w:sz w:val="18"/>
                <w:szCs w:val="18"/>
                <w:color w:val="auto"/>
              </w:rPr>
              <w:t>Operating income</w:t>
            </w:r>
          </w:p>
        </w:tc>
        <w:tc>
          <w:tcPr>
            <w:tcW w:w="8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3,173</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1,957</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29"/>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Operating margin</w:t>
            </w:r>
          </w:p>
        </w:tc>
        <w:tc>
          <w:tcPr>
            <w:tcW w:w="8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17.4%</w:t>
            </w: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12.2%</w:t>
            </w: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ODS segment revenue in the first nine months of fiscal 2022 increased $2.2 million, compared to the first nine months of fiscal 2021, primarily due to the increase of sales to one customer in the fiscal 2022 period and overall increased engagement in the segment. The increase in revenue resulted in a corresponding increase in operating income in this segment based on operating leverage.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U.S. Markets Division</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USM segment operating results (dollars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7"/>
          </w:tcPr>
          <w:p>
            <w:pPr>
              <w:ind w:left="440"/>
              <w:spacing w:after="0"/>
              <w:rPr>
                <w:sz w:val="20"/>
                <w:szCs w:val="20"/>
                <w:color w:val="auto"/>
              </w:rPr>
            </w:pPr>
            <w:r>
              <w:rPr>
                <w:rFonts w:ascii="Arial" w:cs="Arial" w:eastAsia="Arial" w:hAnsi="Arial"/>
                <w:sz w:val="14"/>
                <w:szCs w:val="14"/>
                <w:b w:val="1"/>
                <w:bCs w:val="1"/>
                <w:color w:val="auto"/>
              </w:rPr>
              <w:t>Nine Months Ended December 31,</w:t>
            </w:r>
          </w:p>
        </w:tc>
        <w:tc>
          <w:tcPr>
            <w:tcW w:w="10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4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vMerge w:val="restart"/>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jc w:val="right"/>
              <w:ind w:right="499"/>
              <w:spacing w:after="0" w:line="133"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480" w:type="dxa"/>
            <w:vAlign w:val="bottom"/>
            <w:tcBorders>
              <w:bottom w:val="single" w:sz="8" w:color="CFF0FC"/>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3"/>
              </w:rPr>
              <w:t>Change</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800" w:type="dxa"/>
            <w:vAlign w:val="bottom"/>
            <w:shd w:val="clear" w:color="auto" w:fill="CFF0FC"/>
          </w:tcPr>
          <w:p>
            <w:pPr>
              <w:jc w:val="right"/>
              <w:ind w:right="61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15,100</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5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7,885</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Operating income</w:t>
            </w:r>
          </w:p>
        </w:tc>
        <w:tc>
          <w:tcPr>
            <w:tcW w:w="800" w:type="dxa"/>
            <w:vAlign w:val="bottom"/>
          </w:tcPr>
          <w:p>
            <w:pPr>
              <w:jc w:val="right"/>
              <w:ind w:right="616"/>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3,198</w:t>
            </w:r>
          </w:p>
        </w:tc>
        <w:tc>
          <w:tcPr>
            <w:tcW w:w="240" w:type="dxa"/>
            <w:vAlign w:val="bottom"/>
          </w:tcPr>
          <w:p>
            <w:pPr>
              <w:spacing w:after="0"/>
              <w:rPr>
                <w:sz w:val="19"/>
                <w:szCs w:val="19"/>
                <w:color w:val="auto"/>
              </w:rPr>
            </w:pPr>
          </w:p>
        </w:tc>
        <w:tc>
          <w:tcPr>
            <w:tcW w:w="920" w:type="dxa"/>
            <w:vAlign w:val="bottom"/>
            <w:gridSpan w:val="2"/>
          </w:tcPr>
          <w:p>
            <w:pPr>
              <w:jc w:val="right"/>
              <w:ind w:right="659"/>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1,128</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183.5%</w:t>
            </w:r>
          </w:p>
        </w:tc>
        <w:tc>
          <w:tcPr>
            <w:tcW w:w="0" w:type="dxa"/>
            <w:vAlign w:val="bottom"/>
          </w:tcPr>
          <w:p>
            <w:pPr>
              <w:spacing w:after="0"/>
              <w:rPr>
                <w:sz w:val="1"/>
                <w:szCs w:val="1"/>
                <w:color w:val="auto"/>
              </w:rPr>
            </w:pPr>
          </w:p>
        </w:tc>
      </w:tr>
      <w:tr>
        <w:trPr>
          <w:trHeight w:val="230"/>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Operating margin</w:t>
            </w:r>
          </w:p>
        </w:tc>
        <w:tc>
          <w:tcPr>
            <w:tcW w:w="8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21.2%</w:t>
            </w: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14.3%</w:t>
            </w: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493"/>
        <w:spacing w:after="0" w:line="263" w:lineRule="auto"/>
        <w:rPr>
          <w:sz w:val="20"/>
          <w:szCs w:val="20"/>
          <w:color w:val="auto"/>
        </w:rPr>
      </w:pPr>
      <w:r>
        <w:rPr>
          <w:rFonts w:ascii="Arial" w:cs="Arial" w:eastAsia="Arial" w:hAnsi="Arial"/>
          <w:sz w:val="18"/>
          <w:szCs w:val="18"/>
          <w:color w:val="auto"/>
        </w:rPr>
        <w:t>USM segment revenue in the first nine months of fiscal 2022 increased $7.2 million, compared to the first nine months of fiscal 2021, primarily due to the impact of COVID-19 in the fiscal 2021 period, and resulted in a corresponding increase in operating income in this segment based on operating leverage.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We believe our existing cash and operating cash flow provide us with the financial flexibility needed to meet our capital requirements, including to fund targeted capital expenditures, acquisitions and working capital for one year from the date of this report, as well as our longer-term capital requirements for periods beyond at least one year from the date of this report.</w:t>
      </w:r>
    </w:p>
    <w:p>
      <w:pPr>
        <w:spacing w:after="0" w:line="130"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We had approximately $17.3 million in cash and cash equivalents as of December 31, 2021, compared to $19.4 million at March 31, 2021. Our cash position decreased as a result of cash funding for the Stay-Lite acquisition of $3.7 million and a non-controlling equity investment of $0.5 million, partially offset by changes in working capital.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26" w:name="page27"/>
    <w:bookmarkEnd w:id="26"/>
    <w:p>
      <w:pPr>
        <w:jc w:val="both"/>
        <w:ind w:firstLine="493"/>
        <w:spacing w:after="0" w:line="263" w:lineRule="auto"/>
        <w:rPr>
          <w:sz w:val="20"/>
          <w:szCs w:val="20"/>
          <w:color w:val="auto"/>
        </w:rPr>
      </w:pPr>
      <w:r>
        <w:rPr>
          <w:rFonts w:ascii="Arial" w:cs="Arial" w:eastAsia="Arial" w:hAnsi="Arial"/>
          <w:sz w:val="18"/>
          <w:szCs w:val="18"/>
          <w:color w:val="auto"/>
        </w:rPr>
        <w:t>Our future liquidity needs and forecasted cash flows are dependent upon many factors, including our relative revenue, gross profits, cash management practices, cost reduction initiatives, working capital management, capital expenditures, pending or future litigation results and cost containment measures. In addition, we tend to experience higher working capital costs when we increase sales from existing levels.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cash flows for the nine months ended December 31, 2021 and 2020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December 31,</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Operating activities</w:t>
            </w:r>
          </w:p>
        </w:tc>
        <w:tc>
          <w:tcPr>
            <w:tcW w:w="1000" w:type="dxa"/>
            <w:vAlign w:val="bottom"/>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2,315</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(5,644)</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Investing activities</w:t>
            </w:r>
          </w:p>
        </w:tc>
        <w:tc>
          <w:tcPr>
            <w:tcW w:w="10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(4,548)</w:t>
            </w: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(701)</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Financing activities</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5"/>
              </w:rPr>
              <w:t>(10,127)</w:t>
            </w: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Decrease in cash and cash equivalents</w:t>
            </w:r>
          </w:p>
        </w:tc>
        <w:tc>
          <w:tcPr>
            <w:tcW w:w="100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(2,129)</w:t>
            </w:r>
          </w:p>
        </w:tc>
        <w:tc>
          <w:tcPr>
            <w:tcW w:w="2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(16,472)</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9"/>
        <w:spacing w:after="0" w:line="263" w:lineRule="auto"/>
        <w:rPr>
          <w:sz w:val="20"/>
          <w:szCs w:val="20"/>
          <w:color w:val="auto"/>
        </w:rPr>
      </w:pPr>
      <w:r>
        <w:rPr>
          <w:rFonts w:ascii="Arial" w:cs="Arial" w:eastAsia="Arial" w:hAnsi="Arial"/>
          <w:sz w:val="18"/>
          <w:szCs w:val="18"/>
          <w:i w:val="1"/>
          <w:iCs w:val="1"/>
          <w:color w:val="auto"/>
        </w:rPr>
        <w:t xml:space="preserve">Cash Flows Related to Operating Activities. </w:t>
      </w:r>
      <w:r>
        <w:rPr>
          <w:rFonts w:ascii="Arial" w:cs="Arial" w:eastAsia="Arial" w:hAnsi="Arial"/>
          <w:sz w:val="18"/>
          <w:szCs w:val="18"/>
          <w:color w:val="auto"/>
        </w:rPr>
        <w:t>Cash provided by operating activities primarily consists of net income adjusted for certain non-cash</w:t>
      </w:r>
      <w:r>
        <w:rPr>
          <w:rFonts w:ascii="Arial" w:cs="Arial" w:eastAsia="Arial" w:hAnsi="Arial"/>
          <w:sz w:val="18"/>
          <w:szCs w:val="18"/>
          <w:i w:val="1"/>
          <w:iCs w:val="1"/>
          <w:color w:val="auto"/>
        </w:rPr>
        <w:t xml:space="preserve"> </w:t>
      </w:r>
      <w:r>
        <w:rPr>
          <w:rFonts w:ascii="Arial" w:cs="Arial" w:eastAsia="Arial" w:hAnsi="Arial"/>
          <w:sz w:val="18"/>
          <w:szCs w:val="18"/>
          <w:color w:val="auto"/>
        </w:rPr>
        <w:t>items, including depreciation, amortization of intangible assets, stock-based compensation, amortization of debt issue costs, provisions for reserves, and the effect of changes in working capital and other activities.</w:t>
      </w:r>
    </w:p>
    <w:p>
      <w:pPr>
        <w:spacing w:after="0" w:line="130" w:lineRule="exact"/>
        <w:rPr>
          <w:sz w:val="20"/>
          <w:szCs w:val="20"/>
          <w:color w:val="auto"/>
        </w:rPr>
      </w:pPr>
    </w:p>
    <w:p>
      <w:pPr>
        <w:jc w:val="both"/>
        <w:ind w:firstLine="489"/>
        <w:spacing w:after="0" w:line="263" w:lineRule="auto"/>
        <w:rPr>
          <w:sz w:val="20"/>
          <w:szCs w:val="20"/>
          <w:color w:val="auto"/>
        </w:rPr>
      </w:pPr>
      <w:r>
        <w:rPr>
          <w:rFonts w:ascii="Arial" w:cs="Arial" w:eastAsia="Arial" w:hAnsi="Arial"/>
          <w:sz w:val="18"/>
          <w:szCs w:val="18"/>
          <w:color w:val="auto"/>
        </w:rPr>
        <w:t>Cash provided by operating activities for the first nine months of fiscal 2022 was $2.3 million and consisted of our net income of $7.3 million adjusted for non-cash expense items of $4.4 million offset by working capital uses of $9.4 million, the largest of which was a $5.2 million decrease in accounts payable.</w:t>
      </w:r>
    </w:p>
    <w:p>
      <w:pPr>
        <w:spacing w:after="0" w:line="130" w:lineRule="exact"/>
        <w:rPr>
          <w:sz w:val="20"/>
          <w:szCs w:val="20"/>
          <w:color w:val="auto"/>
        </w:rPr>
      </w:pPr>
    </w:p>
    <w:p>
      <w:pPr>
        <w:jc w:val="both"/>
        <w:ind w:firstLine="489"/>
        <w:spacing w:after="0" w:line="257" w:lineRule="auto"/>
        <w:rPr>
          <w:sz w:val="20"/>
          <w:szCs w:val="20"/>
          <w:color w:val="auto"/>
        </w:rPr>
      </w:pPr>
      <w:r>
        <w:rPr>
          <w:rFonts w:ascii="Arial" w:cs="Arial" w:eastAsia="Arial" w:hAnsi="Arial"/>
          <w:sz w:val="18"/>
          <w:szCs w:val="18"/>
          <w:color w:val="auto"/>
        </w:rPr>
        <w:t>Cash used in operating activities for the first nine months of fiscal 2021 was $5.6 million and consisted of our net income adjusted for non-cash expense items of $6.2 million and net cash used in changes in operating assets and liabilities of $11.8 million. Cash used by operating assets and liabilities consisted primarily of an increase in accounts receivable of $13.2 million due to higher sales and the timing of collections, and an increase in inventory of $4.2 million on anticipated fourth quarter sales. Cash provided by changes in operating assets and liabilities consisted primarily of an increase in accrued expenses and other of $6.6 million due to timing of billing for completed projects.</w:t>
      </w:r>
    </w:p>
    <w:p>
      <w:pPr>
        <w:spacing w:after="0" w:line="134" w:lineRule="exact"/>
        <w:rPr>
          <w:sz w:val="20"/>
          <w:szCs w:val="20"/>
          <w:color w:val="auto"/>
        </w:rPr>
      </w:pPr>
    </w:p>
    <w:p>
      <w:pPr>
        <w:jc w:val="both"/>
        <w:ind w:firstLine="489"/>
        <w:spacing w:after="0" w:line="263" w:lineRule="auto"/>
        <w:rPr>
          <w:sz w:val="20"/>
          <w:szCs w:val="20"/>
          <w:color w:val="auto"/>
        </w:rPr>
      </w:pPr>
      <w:r>
        <w:rPr>
          <w:rFonts w:ascii="Arial" w:cs="Arial" w:eastAsia="Arial" w:hAnsi="Arial"/>
          <w:sz w:val="18"/>
          <w:szCs w:val="18"/>
          <w:i w:val="1"/>
          <w:iCs w:val="1"/>
          <w:color w:val="auto"/>
        </w:rPr>
        <w:t>Cash Flows Related to Investing Activities</w:t>
      </w:r>
      <w:r>
        <w:rPr>
          <w:rFonts w:ascii="Arial" w:cs="Arial" w:eastAsia="Arial" w:hAnsi="Arial"/>
          <w:sz w:val="18"/>
          <w:szCs w:val="18"/>
          <w:color w:val="auto"/>
        </w:rPr>
        <w:t>. Cash used in investing activities of $4.5 million in the first nine months of fiscal 2022 consisted</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$3.7 million of cash funded for the acquisition of Stay-Lite Lighting, and an investment of a non-controlling equity stake in ndustrial, Inc. of $0.5 million and purchases of property and equipment.</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Cash used in investing activities of $0.7 million in the first nine months of fiscal 2021 consisted primarily of purchases of tooling and equipment.</w:t>
      </w:r>
    </w:p>
    <w:p>
      <w:pPr>
        <w:spacing w:after="0" w:line="194" w:lineRule="exact"/>
        <w:rPr>
          <w:sz w:val="20"/>
          <w:szCs w:val="20"/>
          <w:color w:val="auto"/>
        </w:rPr>
      </w:pPr>
    </w:p>
    <w:p>
      <w:pPr>
        <w:jc w:val="both"/>
        <w:ind w:firstLine="489"/>
        <w:spacing w:after="0" w:line="277" w:lineRule="auto"/>
        <w:rPr>
          <w:sz w:val="20"/>
          <w:szCs w:val="20"/>
          <w:color w:val="auto"/>
        </w:rPr>
      </w:pPr>
      <w:r>
        <w:rPr>
          <w:rFonts w:ascii="Arial" w:cs="Arial" w:eastAsia="Arial" w:hAnsi="Arial"/>
          <w:sz w:val="18"/>
          <w:szCs w:val="18"/>
          <w:i w:val="1"/>
          <w:iCs w:val="1"/>
          <w:color w:val="auto"/>
        </w:rPr>
        <w:t xml:space="preserve">Cash Flows Related to Financing Activities. </w:t>
      </w:r>
      <w:r>
        <w:rPr>
          <w:rFonts w:ascii="Arial" w:cs="Arial" w:eastAsia="Arial" w:hAnsi="Arial"/>
          <w:sz w:val="18"/>
          <w:szCs w:val="18"/>
          <w:color w:val="auto"/>
        </w:rPr>
        <w:t>Cash provided by financing activities of $0.1 million in the first nine months of fiscal 2022 consisted</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of proceeds from employee equity exercises.</w:t>
      </w:r>
    </w:p>
    <w:p>
      <w:pPr>
        <w:spacing w:after="0" w:line="116" w:lineRule="exact"/>
        <w:rPr>
          <w:sz w:val="20"/>
          <w:szCs w:val="20"/>
          <w:color w:val="auto"/>
        </w:rPr>
      </w:pPr>
    </w:p>
    <w:p>
      <w:pPr>
        <w:jc w:val="both"/>
        <w:ind w:firstLine="489"/>
        <w:spacing w:after="0" w:line="277" w:lineRule="auto"/>
        <w:rPr>
          <w:sz w:val="20"/>
          <w:szCs w:val="20"/>
          <w:color w:val="auto"/>
        </w:rPr>
      </w:pPr>
      <w:r>
        <w:rPr>
          <w:rFonts w:ascii="Arial" w:cs="Arial" w:eastAsia="Arial" w:hAnsi="Arial"/>
          <w:sz w:val="18"/>
          <w:szCs w:val="18"/>
          <w:color w:val="auto"/>
        </w:rPr>
        <w:t>Cash used in financing activities of $10.1 million in the first nine months of fiscal 2021 consisted primarily of net repayments of $10.0 million on our Prior Credit Agreement.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171" w:lineRule="exact"/>
        <w:rPr>
          <w:sz w:val="20"/>
          <w:szCs w:val="20"/>
          <w:color w:val="auto"/>
        </w:rPr>
      </w:pPr>
    </w:p>
    <w:p>
      <w:pPr>
        <w:jc w:val="both"/>
        <w:ind w:firstLine="489"/>
        <w:spacing w:after="0" w:line="257" w:lineRule="auto"/>
        <w:rPr>
          <w:sz w:val="20"/>
          <w:szCs w:val="20"/>
          <w:color w:val="auto"/>
        </w:rPr>
      </w:pPr>
      <w:r>
        <w:rPr>
          <w:rFonts w:ascii="Arial" w:cs="Arial" w:eastAsia="Arial" w:hAnsi="Arial"/>
          <w:sz w:val="18"/>
          <w:szCs w:val="18"/>
          <w:color w:val="auto"/>
        </w:rPr>
        <w:t>Our net working capital as of December 31, 2021 was $32.0 million, consisting of $54.4 million in current assets and $22.5 million in current liabilities. Our net working capital as of March 31, 2021 was $26.2 million, consisting of $56.5 million in current assets and $30.4 million in current liabilities. Our current accounts payable balance decreased by $5.3 million from the fiscal 2021 year-end primarily due to the reduction in third quarter revenue and timing of invoicing and customer collections. Our accrued expenses decreased from our fiscal 2021 year-end by $2.7 million due primarily to a decrease in accrued project costs.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7" w:name="page28"/>
    <w:bookmarkEnd w:id="27"/>
    <w:p>
      <w:pPr>
        <w:jc w:val="both"/>
        <w:ind w:firstLine="489"/>
        <w:spacing w:after="0" w:line="255" w:lineRule="auto"/>
        <w:rPr>
          <w:sz w:val="20"/>
          <w:szCs w:val="20"/>
          <w:color w:val="auto"/>
        </w:rPr>
      </w:pPr>
      <w:r>
        <w:rPr>
          <w:rFonts w:ascii="Arial" w:cs="Arial" w:eastAsia="Arial" w:hAnsi="Arial"/>
          <w:sz w:val="18"/>
          <w:szCs w:val="18"/>
          <w:color w:val="auto"/>
        </w:rPr>
        <w:t>We generally attempt to maintain at least a three-month supply of on-hand inventory of purchased components and raw materials to meet anticipated demand, as well as to reduce our risk of unexpected raw material or component shortages or supply interruptions. Because of recent supply chain challenges, we have been making additional incremental inventory purchases. Our accounts receivables, inventory and payables may increase to the extent our revenue and order levels increase. In addition, in order to provide quality and timely service under our multi-location master retrofit agreements we are required to make substantial working capital expenditures and advance inventory purchases, including purchases to support the provision of products and services to our largest customer.</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171" w:lineRule="exact"/>
        <w:rPr>
          <w:sz w:val="20"/>
          <w:szCs w:val="20"/>
          <w:color w:val="auto"/>
        </w:rPr>
      </w:pPr>
    </w:p>
    <w:p>
      <w:pPr>
        <w:jc w:val="both"/>
        <w:ind w:firstLine="489"/>
        <w:spacing w:after="0" w:line="263" w:lineRule="auto"/>
        <w:rPr>
          <w:sz w:val="20"/>
          <w:szCs w:val="20"/>
          <w:color w:val="auto"/>
        </w:rPr>
      </w:pPr>
      <w:r>
        <w:rPr>
          <w:rFonts w:ascii="Arial" w:cs="Arial" w:eastAsia="Arial" w:hAnsi="Arial"/>
          <w:sz w:val="18"/>
          <w:szCs w:val="18"/>
          <w:color w:val="auto"/>
        </w:rPr>
        <w:t>On December 29, 2020, we entered into a new $25 million Loan and Security Agreement (the “Credit Agreement”) with Bank of America, N.A., as lender (the “Lender”). The Credit Agreement replaced our prior $20.15 million secured revolving credit and security agreement (the “Prior Credit Agreement”).</w:t>
      </w:r>
    </w:p>
    <w:p>
      <w:pPr>
        <w:spacing w:after="0" w:line="130" w:lineRule="exact"/>
        <w:rPr>
          <w:sz w:val="20"/>
          <w:szCs w:val="20"/>
          <w:color w:val="auto"/>
        </w:rPr>
      </w:pPr>
    </w:p>
    <w:p>
      <w:pPr>
        <w:jc w:val="both"/>
        <w:ind w:firstLine="489"/>
        <w:spacing w:after="0" w:line="277" w:lineRule="auto"/>
        <w:rPr>
          <w:sz w:val="20"/>
          <w:szCs w:val="20"/>
          <w:color w:val="auto"/>
        </w:rPr>
      </w:pPr>
      <w:r>
        <w:rPr>
          <w:rFonts w:ascii="Arial" w:cs="Arial" w:eastAsia="Arial" w:hAnsi="Arial"/>
          <w:sz w:val="18"/>
          <w:szCs w:val="18"/>
          <w:color w:val="auto"/>
        </w:rPr>
        <w:t>The replacement of the Prior Credit Agreement with the Credit Agreement provides us with increased financing capacity and liquidity to fund our operations and implement our strategic plans.</w:t>
      </w:r>
    </w:p>
    <w:p>
      <w:pPr>
        <w:spacing w:after="0" w:line="116" w:lineRule="exact"/>
        <w:rPr>
          <w:sz w:val="20"/>
          <w:szCs w:val="20"/>
          <w:color w:val="auto"/>
        </w:rPr>
      </w:pPr>
    </w:p>
    <w:p>
      <w:pPr>
        <w:jc w:val="both"/>
        <w:ind w:firstLine="489"/>
        <w:spacing w:after="0" w:line="259" w:lineRule="auto"/>
        <w:rPr>
          <w:sz w:val="20"/>
          <w:szCs w:val="20"/>
          <w:color w:val="auto"/>
        </w:rPr>
      </w:pPr>
      <w:r>
        <w:rPr>
          <w:rFonts w:ascii="Arial" w:cs="Arial" w:eastAsia="Arial" w:hAnsi="Arial"/>
          <w:sz w:val="18"/>
          <w:szCs w:val="18"/>
          <w:color w:val="auto"/>
        </w:rPr>
        <w:t>The Credit Agreement provides for a five-year $25.0 million revolving credit facility (the “Credit Facility”) that matures on December 29, 2025. Borrowings under the Credit Facility are subject to a borrowing base requirement based on eligible receivables, inventory and cash. As of December 31, 2021, the borrowing base supports $24.2 million availability of the Credit Facility. As of December 31, 2021, no amounts were borrowed under the Credit Facility.</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Credit Agreement is secured by a first lien security interest in substantially all of our assets.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75" w:lineRule="exact"/>
        <w:rPr>
          <w:sz w:val="20"/>
          <w:szCs w:val="20"/>
          <w:color w:val="auto"/>
        </w:rPr>
      </w:pPr>
    </w:p>
    <w:p>
      <w:pPr>
        <w:jc w:val="both"/>
        <w:ind w:firstLine="489"/>
        <w:spacing w:after="0" w:line="263" w:lineRule="auto"/>
        <w:rPr>
          <w:sz w:val="20"/>
          <w:szCs w:val="20"/>
          <w:color w:val="auto"/>
        </w:rPr>
      </w:pPr>
      <w:r>
        <w:rPr>
          <w:rFonts w:ascii="Arial" w:cs="Arial" w:eastAsia="Arial" w:hAnsi="Arial"/>
          <w:sz w:val="18"/>
          <w:szCs w:val="18"/>
          <w:color w:val="auto"/>
        </w:rPr>
        <w:t>Backlog represents the amount of revenue that we expect to realize in the future as a result of firm, committed purchase orders. Backlog totaled $16.2 million and $19.2 million as of December 31, 2021 and March 31, 2021, respectively. We generally expect our backlog to be recognized as revenue within one year, although the COVID-19 pandemic may extend this time period.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have no off-balance sheet arrangements.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75" w:lineRule="exact"/>
        <w:rPr>
          <w:sz w:val="20"/>
          <w:szCs w:val="20"/>
          <w:color w:val="auto"/>
        </w:rPr>
      </w:pPr>
    </w:p>
    <w:p>
      <w:pPr>
        <w:jc w:val="both"/>
        <w:ind w:firstLine="493"/>
        <w:spacing w:after="0" w:line="277" w:lineRule="auto"/>
        <w:rPr>
          <w:sz w:val="20"/>
          <w:szCs w:val="20"/>
          <w:color w:val="auto"/>
        </w:rPr>
      </w:pPr>
      <w:r>
        <w:rPr>
          <w:rFonts w:ascii="Arial" w:cs="Arial" w:eastAsia="Arial" w:hAnsi="Arial"/>
          <w:sz w:val="18"/>
          <w:szCs w:val="18"/>
          <w:color w:val="auto"/>
        </w:rPr>
        <w:t>Our results from operations have not been materially affected by inflation. We are monitoring input costs and cannot currently predict the future impact to our operations by inflation.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493"/>
        <w:spacing w:after="0" w:line="271" w:lineRule="auto"/>
        <w:rPr>
          <w:sz w:val="20"/>
          <w:szCs w:val="20"/>
          <w:color w:val="auto"/>
        </w:rPr>
      </w:pPr>
      <w:r>
        <w:rPr>
          <w:rFonts w:ascii="Arial" w:cs="Arial" w:eastAsia="Arial" w:hAnsi="Arial"/>
          <w:sz w:val="17"/>
          <w:szCs w:val="17"/>
          <w:color w:val="auto"/>
        </w:rPr>
        <w:t>The discussion and analysis of our financial condition and results of operations is based upon our consolidated financial statements, which have been prepared in accordance with accounting principles generally accepted in the United States. The preparation of our consolidated financial statements requires us to make certain estimates and judgments that affect our reported assets, liabilities, revenue and expenses, and our related disclosure of contingent assets and liabilities. We re-evaluate our estimates on an ongoing basis, including those related to revenue recognition, inventory valuation, collectability of receivables, stock-based compensation, warranty reserves and income taxes. We base our estimates on historical experience and on various assumptions that we believe to be reasonable under the circumstances. Actual results may differ from these estimates. A summary of our critical accounting policies is set forth in the “Critical Accounting Policies and Estimates” section of our Management’s Discussion and Analysis of Financial Condition and Results of Operations contained in our Annual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8" w:name="page29"/>
    <w:bookmarkEnd w:id="28"/>
    <w:p>
      <w:pPr>
        <w:spacing w:after="0" w:line="277" w:lineRule="auto"/>
        <w:rPr>
          <w:sz w:val="20"/>
          <w:szCs w:val="20"/>
          <w:color w:val="auto"/>
        </w:rPr>
      </w:pPr>
      <w:r>
        <w:rPr>
          <w:rFonts w:ascii="Arial" w:cs="Arial" w:eastAsia="Arial" w:hAnsi="Arial"/>
          <w:sz w:val="18"/>
          <w:szCs w:val="18"/>
          <w:color w:val="auto"/>
        </w:rPr>
        <w:t>Report on Form 10-K for the year ended March 31, 2021. For the nine months ended December 31, 2021, there were no material changes in our accounting policies.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right="20" w:firstLine="493"/>
        <w:spacing w:after="0" w:line="277" w:lineRule="auto"/>
        <w:rPr>
          <w:sz w:val="20"/>
          <w:szCs w:val="20"/>
          <w:color w:val="auto"/>
        </w:rPr>
      </w:pPr>
      <w:r>
        <w:rPr>
          <w:rFonts w:ascii="Arial" w:cs="Arial" w:eastAsia="Arial" w:hAnsi="Arial"/>
          <w:sz w:val="18"/>
          <w:szCs w:val="18"/>
          <w:color w:val="auto"/>
        </w:rPr>
        <w:t>For a complete discussion of recent accounting pronouncements, refer to Note 3 in the Condensed Consolidated Financial Statements included elsewhere in this report.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9" w:name="page30"/>
    <w:bookmarkEnd w:id="29"/>
    <w:p>
      <w:pPr>
        <w:spacing w:after="0"/>
        <w:tabs>
          <w:tab w:leader="none" w:pos="13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75" w:lineRule="exact"/>
        <w:rPr>
          <w:sz w:val="20"/>
          <w:szCs w:val="20"/>
          <w:color w:val="auto"/>
        </w:rPr>
      </w:pPr>
    </w:p>
    <w:p>
      <w:pPr>
        <w:jc w:val="both"/>
        <w:ind w:firstLine="493"/>
        <w:spacing w:after="0" w:line="308" w:lineRule="auto"/>
        <w:rPr>
          <w:sz w:val="20"/>
          <w:szCs w:val="20"/>
          <w:color w:val="auto"/>
        </w:rPr>
      </w:pPr>
      <w:r>
        <w:rPr>
          <w:rFonts w:ascii="Arial" w:cs="Arial" w:eastAsia="Arial" w:hAnsi="Arial"/>
          <w:sz w:val="17"/>
          <w:szCs w:val="17"/>
          <w:color w:val="auto"/>
        </w:rPr>
        <w:t>Our exposure to market risk was discussed in the “Quantitative and Qualitative Disclosures About Market Risk” section contained in our Annual Report on Form 10-K for the year ended March 31, 2021. There have been no material changes to such exposures since March 31, 2021.</w:t>
      </w:r>
    </w:p>
    <w:p>
      <w:pPr>
        <w:spacing w:after="0" w:line="18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Our disclosure controls and procedures are designed to ensure that information required to be disclosed by us in the reports that we file or submit under the Exchange Act is accumulated and communicated to our management, including the Chief Executive Officer and Chief Financial Officer, as appropriate, to allow timely decisions regarding required disclosure.</w:t>
      </w:r>
    </w:p>
    <w:p>
      <w:pPr>
        <w:spacing w:after="0" w:line="130" w:lineRule="exact"/>
        <w:rPr>
          <w:sz w:val="20"/>
          <w:szCs w:val="20"/>
          <w:color w:val="auto"/>
        </w:rPr>
      </w:pPr>
    </w:p>
    <w:p>
      <w:pPr>
        <w:jc w:val="both"/>
        <w:ind w:firstLine="493"/>
        <w:spacing w:after="0" w:line="259" w:lineRule="auto"/>
        <w:rPr>
          <w:sz w:val="20"/>
          <w:szCs w:val="20"/>
          <w:color w:val="auto"/>
        </w:rPr>
      </w:pPr>
      <w:r>
        <w:rPr>
          <w:rFonts w:ascii="Arial" w:cs="Arial" w:eastAsia="Arial" w:hAnsi="Arial"/>
          <w:sz w:val="18"/>
          <w:szCs w:val="18"/>
          <w:color w:val="auto"/>
        </w:rPr>
        <w:t>As of December 31, 2021, an evaluation was conducted under the supervision and with the participation of our management, including our Chief Executive Officer and Chief Financial Officer, of the effectiveness of our disclosure controls and procedures (as defined in Rule 13a-15(e) and Rule 15d-15(e) of the Exchange Act). Based on this evaluation, such officers have concluded that our disclosure controls and procedures were effective as of December 31, 2021.</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firstLine="493"/>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 13a-15(e) and Rule 15d-15(e) of the Exchange Act) for the quarter ended December 31, 2021, that materially affected, or are reasonably likely to materially affect, our internal control over financial reporting.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75" w:lineRule="exact"/>
        <w:rPr>
          <w:sz w:val="20"/>
          <w:szCs w:val="20"/>
          <w:color w:val="auto"/>
        </w:rPr>
      </w:pPr>
    </w:p>
    <w:p>
      <w:pPr>
        <w:jc w:val="both"/>
        <w:ind w:firstLine="493"/>
        <w:spacing w:after="0" w:line="308" w:lineRule="auto"/>
        <w:rPr>
          <w:sz w:val="20"/>
          <w:szCs w:val="20"/>
          <w:color w:val="auto"/>
        </w:rPr>
      </w:pPr>
      <w:r>
        <w:rPr>
          <w:rFonts w:ascii="Arial" w:cs="Arial" w:eastAsia="Arial" w:hAnsi="Arial"/>
          <w:sz w:val="17"/>
          <w:szCs w:val="17"/>
          <w:color w:val="auto"/>
        </w:rPr>
        <w:t>We are subject to various claims and legal proceedings arising in the ordinary course of business. As of the date of this report, we do not believe that the final resolution of any of such claims or legal proceedings will have a material adverse effect on our future results of operations.</w:t>
      </w:r>
    </w:p>
    <w:p>
      <w:pPr>
        <w:spacing w:after="0" w:line="9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See Note 15 – Commitments and Contingencies, to the Condensed Consolidated Financial Statements in Item 1 of this Quarterly Report on Form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10-Q.</w:t>
      </w:r>
    </w:p>
    <w:p>
      <w:pPr>
        <w:spacing w:after="0" w:line="24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75" w:lineRule="exact"/>
        <w:rPr>
          <w:sz w:val="20"/>
          <w:szCs w:val="20"/>
          <w:color w:val="auto"/>
        </w:rPr>
      </w:pPr>
    </w:p>
    <w:p>
      <w:pPr>
        <w:jc w:val="both"/>
        <w:ind w:firstLine="493"/>
        <w:spacing w:after="0" w:line="275" w:lineRule="auto"/>
        <w:rPr>
          <w:sz w:val="20"/>
          <w:szCs w:val="20"/>
          <w:color w:val="auto"/>
        </w:rPr>
      </w:pPr>
      <w:r>
        <w:rPr>
          <w:rFonts w:ascii="Arial" w:cs="Arial" w:eastAsia="Arial" w:hAnsi="Arial"/>
          <w:sz w:val="17"/>
          <w:szCs w:val="17"/>
          <w:color w:val="auto"/>
        </w:rPr>
        <w:t>We operate in a rapidly changing environment that involves a number of risks that could materially affect our business, financial condition or future results, some of which are beyond our control. In addition to the other information set forth in this Quarterly Report on Form 10-Q, the risks and uncertainties that we believe are most important for you to consider are discussed in Part I - Item 1A under the heading “Risk Factors” in our Annual Report on Form 10-K for the fiscal year ended March 31, 2021, which we filed with the SEC on June 1, 2021 and in Part 1 - Item 2 under the heading "Management's Discussion and Analysis of Financial Condition and Results of Operations" in this Form 10-Q.</w:t>
      </w:r>
    </w:p>
    <w:p>
      <w:pPr>
        <w:spacing w:after="0" w:line="21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62"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spacing w:after="0"/>
        <w:tabs>
          <w:tab w:leader="none" w:pos="13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71" w:lineRule="exact"/>
        <w:rPr>
          <w:sz w:val="20"/>
          <w:szCs w:val="20"/>
          <w:color w:val="auto"/>
        </w:rPr>
      </w:pPr>
    </w:p>
    <w:p>
      <w:pPr>
        <w:ind w:left="400" w:hanging="392"/>
        <w:spacing w:after="0"/>
        <w:tabs>
          <w:tab w:leader="none" w:pos="4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ind w:left="100"/>
              <w:spacing w:after="0"/>
              <w:rPr>
                <w:sz w:val="20"/>
                <w:szCs w:val="20"/>
                <w:color w:val="auto"/>
              </w:rPr>
            </w:pPr>
            <w:r>
              <w:rPr>
                <w:rFonts w:ascii="Arial" w:cs="Arial" w:eastAsia="Arial" w:hAnsi="Arial"/>
                <w:sz w:val="18"/>
                <w:szCs w:val="18"/>
                <w:color w:val="auto"/>
              </w:rPr>
              <w:t>10.1</w:t>
            </w:r>
          </w:p>
        </w:tc>
        <w:tc>
          <w:tcPr>
            <w:tcW w:w="10100" w:type="dxa"/>
            <w:vAlign w:val="bottom"/>
            <w:tcBorders>
              <w:bottom w:val="single" w:sz="8" w:color="0000EE"/>
            </w:tcBorders>
            <w:gridSpan w:val="7"/>
          </w:tcPr>
          <w:p>
            <w:pPr>
              <w:spacing w:after="0"/>
              <w:rPr>
                <w:rFonts w:ascii="Arial" w:cs="Arial" w:eastAsia="Arial" w:hAnsi="Arial"/>
                <w:sz w:val="18"/>
                <w:szCs w:val="18"/>
                <w:color w:val="0000EE"/>
                <w:w w:val="90"/>
              </w:rPr>
            </w:pPr>
            <w:hyperlink r:id="rId64">
              <w:r>
                <w:rPr>
                  <w:rFonts w:ascii="Arial" w:cs="Arial" w:eastAsia="Arial" w:hAnsi="Arial"/>
                  <w:sz w:val="18"/>
                  <w:szCs w:val="18"/>
                  <w:color w:val="0000EE"/>
                  <w:w w:val="90"/>
                </w:rPr>
                <w:t>Executive Employment and Severance Agreement, effective as of November 11, 2021, between Orion Energy Systems, Inc. and Michael H.</w:t>
              </w:r>
            </w:hyperlink>
          </w:p>
        </w:tc>
      </w:tr>
      <w:tr>
        <w:trPr>
          <w:trHeight w:val="196"/>
        </w:trPr>
        <w:tc>
          <w:tcPr>
            <w:tcW w:w="1080" w:type="dxa"/>
            <w:vAlign w:val="bottom"/>
          </w:tcPr>
          <w:p>
            <w:pPr>
              <w:spacing w:after="0"/>
              <w:rPr>
                <w:sz w:val="17"/>
                <w:szCs w:val="17"/>
                <w:color w:val="auto"/>
              </w:rPr>
            </w:pPr>
          </w:p>
        </w:tc>
        <w:tc>
          <w:tcPr>
            <w:tcW w:w="896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64">
              <w:r>
                <w:rPr>
                  <w:rFonts w:ascii="Arial" w:cs="Arial" w:eastAsia="Arial" w:hAnsi="Arial"/>
                  <w:sz w:val="18"/>
                  <w:szCs w:val="18"/>
                  <w:color w:val="0000EE"/>
                  <w:w w:val="91"/>
                </w:rPr>
                <w:t>Jenkins, filed as Exhibit 10.1 to the Registrant's Form 8-K filed on November 4, 2021, is hereby incorporated by reference.*</w:t>
              </w:r>
            </w:hyperlink>
          </w:p>
        </w:tc>
        <w:tc>
          <w:tcPr>
            <w:tcW w:w="1140" w:type="dxa"/>
            <w:vAlign w:val="bottom"/>
            <w:gridSpan w:val="5"/>
          </w:tcPr>
          <w:p>
            <w:pPr>
              <w:spacing w:after="0"/>
              <w:rPr>
                <w:sz w:val="17"/>
                <w:szCs w:val="17"/>
                <w:color w:val="auto"/>
              </w:rPr>
            </w:pPr>
          </w:p>
        </w:tc>
      </w:tr>
      <w:tr>
        <w:trPr>
          <w:trHeight w:val="318"/>
        </w:trPr>
        <w:tc>
          <w:tcPr>
            <w:tcW w:w="1080" w:type="dxa"/>
            <w:vAlign w:val="bottom"/>
          </w:tcPr>
          <w:p>
            <w:pPr>
              <w:ind w:left="100"/>
              <w:spacing w:after="0"/>
              <w:rPr>
                <w:sz w:val="20"/>
                <w:szCs w:val="20"/>
                <w:color w:val="auto"/>
              </w:rPr>
            </w:pPr>
            <w:r>
              <w:rPr>
                <w:rFonts w:ascii="Arial" w:cs="Arial" w:eastAsia="Arial" w:hAnsi="Arial"/>
                <w:sz w:val="18"/>
                <w:szCs w:val="18"/>
                <w:color w:val="auto"/>
              </w:rPr>
              <w:t>31.1</w:t>
            </w:r>
          </w:p>
        </w:tc>
        <w:tc>
          <w:tcPr>
            <w:tcW w:w="1010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34">
              <w:r>
                <w:rPr>
                  <w:rFonts w:ascii="Arial" w:cs="Arial" w:eastAsia="Arial" w:hAnsi="Arial"/>
                  <w:sz w:val="18"/>
                  <w:szCs w:val="18"/>
                  <w:color w:val="0000EE"/>
                  <w:w w:val="91"/>
                </w:rPr>
                <w:t>Certification of Chief Executive Officer of Orion Energy Systems, Inc. pursuant to Rule 13a-14(a) or Rule 15d-14(a) promulgated under the</w:t>
              </w:r>
            </w:hyperlink>
          </w:p>
        </w:tc>
      </w:tr>
      <w:tr>
        <w:trPr>
          <w:trHeight w:val="196"/>
        </w:trPr>
        <w:tc>
          <w:tcPr>
            <w:tcW w:w="1080" w:type="dxa"/>
            <w:vAlign w:val="bottom"/>
          </w:tcPr>
          <w:p>
            <w:pPr>
              <w:spacing w:after="0"/>
              <w:rPr>
                <w:sz w:val="17"/>
                <w:szCs w:val="17"/>
                <w:color w:val="auto"/>
              </w:rPr>
            </w:pPr>
          </w:p>
        </w:tc>
        <w:tc>
          <w:tcPr>
            <w:tcW w:w="346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Securities Exchange Act of 1934, as amended.+</w:t>
              </w:r>
            </w:hyperlink>
          </w:p>
        </w:tc>
        <w:tc>
          <w:tcPr>
            <w:tcW w:w="6640" w:type="dxa"/>
            <w:vAlign w:val="bottom"/>
            <w:gridSpan w:val="6"/>
          </w:tcPr>
          <w:p>
            <w:pPr>
              <w:spacing w:after="0"/>
              <w:rPr>
                <w:sz w:val="17"/>
                <w:szCs w:val="17"/>
                <w:color w:val="auto"/>
              </w:rPr>
            </w:pPr>
          </w:p>
        </w:tc>
      </w:tr>
      <w:tr>
        <w:trPr>
          <w:trHeight w:val="318"/>
        </w:trPr>
        <w:tc>
          <w:tcPr>
            <w:tcW w:w="1080" w:type="dxa"/>
            <w:vAlign w:val="bottom"/>
          </w:tcPr>
          <w:p>
            <w:pPr>
              <w:ind w:left="100"/>
              <w:spacing w:after="0"/>
              <w:rPr>
                <w:sz w:val="20"/>
                <w:szCs w:val="20"/>
                <w:color w:val="auto"/>
              </w:rPr>
            </w:pPr>
            <w:r>
              <w:rPr>
                <w:rFonts w:ascii="Arial" w:cs="Arial" w:eastAsia="Arial" w:hAnsi="Arial"/>
                <w:sz w:val="18"/>
                <w:szCs w:val="18"/>
                <w:color w:val="auto"/>
              </w:rPr>
              <w:t>31.2</w:t>
            </w:r>
          </w:p>
        </w:tc>
        <w:tc>
          <w:tcPr>
            <w:tcW w:w="10100" w:type="dxa"/>
            <w:vAlign w:val="bottom"/>
            <w:gridSpan w:val="7"/>
          </w:tcPr>
          <w:p>
            <w:pPr>
              <w:spacing w:after="0"/>
              <w:rPr>
                <w:rFonts w:ascii="Arial" w:cs="Arial" w:eastAsia="Arial" w:hAnsi="Arial"/>
                <w:sz w:val="18"/>
                <w:szCs w:val="18"/>
                <w:color w:val="0000EE"/>
                <w:w w:val="92"/>
              </w:rPr>
            </w:pPr>
            <w:hyperlink w:anchor="page35">
              <w:r>
                <w:rPr>
                  <w:rFonts w:ascii="Arial" w:cs="Arial" w:eastAsia="Arial" w:hAnsi="Arial"/>
                  <w:sz w:val="18"/>
                  <w:szCs w:val="18"/>
                  <w:color w:val="0000EE"/>
                  <w:w w:val="92"/>
                </w:rPr>
                <w:t>Certification of Chief Financial Officer of Orion Energy Systems, Inc. pursuant to Rule 13a-14(a) or Rule 15d-14(a) promulgated under the</w:t>
              </w:r>
            </w:hyperlink>
          </w:p>
        </w:tc>
      </w:tr>
      <w:tr>
        <w:trPr>
          <w:trHeight w:val="196"/>
        </w:trPr>
        <w:tc>
          <w:tcPr>
            <w:tcW w:w="1080" w:type="dxa"/>
            <w:vAlign w:val="bottom"/>
          </w:tcPr>
          <w:p>
            <w:pPr>
              <w:spacing w:after="0"/>
              <w:rPr>
                <w:sz w:val="17"/>
                <w:szCs w:val="17"/>
                <w:color w:val="auto"/>
              </w:rPr>
            </w:pPr>
          </w:p>
        </w:tc>
        <w:tc>
          <w:tcPr>
            <w:tcW w:w="3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Securities Exchange Act of 1934, as amended.+</w:t>
              </w:r>
            </w:hyperlink>
          </w:p>
        </w:tc>
        <w:tc>
          <w:tcPr>
            <w:tcW w:w="6580" w:type="dxa"/>
            <w:vAlign w:val="bottom"/>
            <w:tcBorders>
              <w:top w:val="single" w:sz="8" w:color="0000EE"/>
            </w:tcBorders>
            <w:gridSpan w:val="5"/>
          </w:tcPr>
          <w:p>
            <w:pPr>
              <w:spacing w:after="0"/>
              <w:rPr>
                <w:sz w:val="17"/>
                <w:szCs w:val="17"/>
                <w:color w:val="auto"/>
              </w:rPr>
            </w:pPr>
          </w:p>
        </w:tc>
        <w:tc>
          <w:tcPr>
            <w:tcW w:w="60" w:type="dxa"/>
            <w:vAlign w:val="bottom"/>
          </w:tcPr>
          <w:p>
            <w:pPr>
              <w:spacing w:after="0"/>
              <w:rPr>
                <w:sz w:val="17"/>
                <w:szCs w:val="17"/>
                <w:color w:val="auto"/>
              </w:rPr>
            </w:pPr>
          </w:p>
        </w:tc>
      </w:tr>
      <w:tr>
        <w:trPr>
          <w:trHeight w:val="318"/>
        </w:trPr>
        <w:tc>
          <w:tcPr>
            <w:tcW w:w="1080" w:type="dxa"/>
            <w:vAlign w:val="bottom"/>
          </w:tcPr>
          <w:p>
            <w:pPr>
              <w:ind w:left="100"/>
              <w:spacing w:after="0"/>
              <w:rPr>
                <w:sz w:val="20"/>
                <w:szCs w:val="20"/>
                <w:color w:val="auto"/>
              </w:rPr>
            </w:pPr>
            <w:r>
              <w:rPr>
                <w:rFonts w:ascii="Arial" w:cs="Arial" w:eastAsia="Arial" w:hAnsi="Arial"/>
                <w:sz w:val="18"/>
                <w:szCs w:val="18"/>
                <w:color w:val="auto"/>
              </w:rPr>
              <w:t>32.1</w:t>
            </w:r>
          </w:p>
        </w:tc>
        <w:tc>
          <w:tcPr>
            <w:tcW w:w="954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36">
              <w:r>
                <w:rPr>
                  <w:rFonts w:ascii="Arial" w:cs="Arial" w:eastAsia="Arial" w:hAnsi="Arial"/>
                  <w:sz w:val="18"/>
                  <w:szCs w:val="18"/>
                  <w:color w:val="0000EE"/>
                  <w:w w:val="91"/>
                </w:rPr>
                <w:t>Certification of Chief Executive Officer of Orion Energy Systems, Inc. pursuant to Rule 13a-14(b) promulgated under the Securities</w:t>
              </w:r>
            </w:hyperlink>
          </w:p>
        </w:tc>
        <w:tc>
          <w:tcPr>
            <w:tcW w:w="560" w:type="dxa"/>
            <w:vAlign w:val="bottom"/>
            <w:gridSpan w:val="3"/>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996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Exchange Act of 1934, as amended, and 18 U.S.C. Section 1350, as adopted pursuant to Section 906 of the Sarbanes-Oxley Act of 2002.+</w:t>
              </w:r>
            </w:hyperlink>
          </w:p>
        </w:tc>
        <w:tc>
          <w:tcPr>
            <w:tcW w:w="140" w:type="dxa"/>
            <w:vAlign w:val="bottom"/>
            <w:gridSpan w:val="2"/>
          </w:tcPr>
          <w:p>
            <w:pPr>
              <w:spacing w:after="0"/>
              <w:rPr>
                <w:sz w:val="17"/>
                <w:szCs w:val="17"/>
                <w:color w:val="auto"/>
              </w:rPr>
            </w:pPr>
          </w:p>
        </w:tc>
      </w:tr>
      <w:tr>
        <w:trPr>
          <w:trHeight w:val="318"/>
        </w:trPr>
        <w:tc>
          <w:tcPr>
            <w:tcW w:w="1080" w:type="dxa"/>
            <w:vAlign w:val="bottom"/>
          </w:tcPr>
          <w:p>
            <w:pPr>
              <w:ind w:left="100"/>
              <w:spacing w:after="0"/>
              <w:rPr>
                <w:sz w:val="20"/>
                <w:szCs w:val="20"/>
                <w:color w:val="auto"/>
              </w:rPr>
            </w:pPr>
            <w:r>
              <w:rPr>
                <w:rFonts w:ascii="Arial" w:cs="Arial" w:eastAsia="Arial" w:hAnsi="Arial"/>
                <w:sz w:val="18"/>
                <w:szCs w:val="18"/>
                <w:color w:val="auto"/>
              </w:rPr>
              <w:t>32.2</w:t>
            </w:r>
          </w:p>
        </w:tc>
        <w:tc>
          <w:tcPr>
            <w:tcW w:w="10100" w:type="dxa"/>
            <w:vAlign w:val="bottom"/>
            <w:gridSpan w:val="7"/>
          </w:tcPr>
          <w:p>
            <w:pPr>
              <w:spacing w:after="0"/>
              <w:rPr>
                <w:rFonts w:ascii="Arial" w:cs="Arial" w:eastAsia="Arial" w:hAnsi="Arial"/>
                <w:sz w:val="18"/>
                <w:szCs w:val="18"/>
                <w:color w:val="0000EE"/>
                <w:w w:val="97"/>
              </w:rPr>
            </w:pPr>
            <w:hyperlink w:anchor="page37">
              <w:r>
                <w:rPr>
                  <w:rFonts w:ascii="Arial" w:cs="Arial" w:eastAsia="Arial" w:hAnsi="Arial"/>
                  <w:sz w:val="18"/>
                  <w:szCs w:val="18"/>
                  <w:color w:val="0000EE"/>
                  <w:w w:val="97"/>
                </w:rPr>
                <w:t>Certification of Chief Financial Officer of Orion Energy Systems, Inc. pursuant to Rule 13a-14(b) promulgated under the Securities</w:t>
              </w:r>
            </w:hyperlink>
          </w:p>
        </w:tc>
      </w:tr>
      <w:tr>
        <w:trPr>
          <w:trHeight w:val="20"/>
        </w:trPr>
        <w:tc>
          <w:tcPr>
            <w:tcW w:w="1080" w:type="dxa"/>
            <w:vAlign w:val="bottom"/>
          </w:tcPr>
          <w:p>
            <w:pPr>
              <w:spacing w:after="0" w:line="20" w:lineRule="exact"/>
              <w:rPr>
                <w:sz w:val="1"/>
                <w:szCs w:val="1"/>
                <w:color w:val="auto"/>
              </w:rPr>
            </w:pPr>
          </w:p>
        </w:tc>
        <w:tc>
          <w:tcPr>
            <w:tcW w:w="9480" w:type="dxa"/>
            <w:vAlign w:val="bottom"/>
            <w:gridSpan w:val="3"/>
            <w:shd w:val="clear" w:color="auto" w:fill="0000EE"/>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996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Exchange Act of 1934, as amended, and 18 U.S.C. Section 1350, as adopted pursuant to Section 906 of the Sarbanes-Oxley Act of 2002.+</w:t>
              </w:r>
            </w:hyperlink>
          </w:p>
        </w:tc>
        <w:tc>
          <w:tcPr>
            <w:tcW w:w="140" w:type="dxa"/>
            <w:vAlign w:val="bottom"/>
            <w:gridSpan w:val="2"/>
          </w:tcPr>
          <w:p>
            <w:pPr>
              <w:spacing w:after="0"/>
              <w:rPr>
                <w:sz w:val="17"/>
                <w:szCs w:val="17"/>
                <w:color w:val="auto"/>
              </w:rPr>
            </w:pPr>
          </w:p>
        </w:tc>
      </w:tr>
      <w:tr>
        <w:trPr>
          <w:trHeight w:val="358"/>
        </w:trPr>
        <w:tc>
          <w:tcPr>
            <w:tcW w:w="1080" w:type="dxa"/>
            <w:vAlign w:val="bottom"/>
          </w:tcPr>
          <w:p>
            <w:pPr>
              <w:spacing w:after="0"/>
              <w:rPr>
                <w:sz w:val="20"/>
                <w:szCs w:val="20"/>
                <w:color w:val="auto"/>
              </w:rPr>
            </w:pPr>
            <w:r>
              <w:rPr>
                <w:rFonts w:ascii="Arial" w:cs="Arial" w:eastAsia="Arial" w:hAnsi="Arial"/>
                <w:sz w:val="18"/>
                <w:szCs w:val="18"/>
                <w:color w:val="auto"/>
              </w:rPr>
              <w:t>101.INS</w:t>
            </w:r>
          </w:p>
        </w:tc>
        <w:tc>
          <w:tcPr>
            <w:tcW w:w="10100" w:type="dxa"/>
            <w:vAlign w:val="bottom"/>
            <w:gridSpan w:val="7"/>
          </w:tcPr>
          <w:p>
            <w:pPr>
              <w:spacing w:after="0"/>
              <w:rPr>
                <w:sz w:val="20"/>
                <w:szCs w:val="20"/>
                <w:color w:val="auto"/>
              </w:rPr>
            </w:pPr>
            <w:r>
              <w:rPr>
                <w:rFonts w:ascii="Arial" w:cs="Arial" w:eastAsia="Arial" w:hAnsi="Arial"/>
                <w:sz w:val="18"/>
                <w:szCs w:val="18"/>
                <w:color w:val="auto"/>
              </w:rPr>
              <w:t>Inline XBRL Instance Document+</w:t>
            </w:r>
          </w:p>
        </w:tc>
      </w:tr>
      <w:tr>
        <w:trPr>
          <w:trHeight w:val="338"/>
        </w:trPr>
        <w:tc>
          <w:tcPr>
            <w:tcW w:w="1080" w:type="dxa"/>
            <w:vAlign w:val="bottom"/>
          </w:tcPr>
          <w:p>
            <w:pPr>
              <w:spacing w:after="0"/>
              <w:rPr>
                <w:sz w:val="20"/>
                <w:szCs w:val="20"/>
                <w:color w:val="auto"/>
              </w:rPr>
            </w:pPr>
            <w:r>
              <w:rPr>
                <w:rFonts w:ascii="Arial" w:cs="Arial" w:eastAsia="Arial" w:hAnsi="Arial"/>
                <w:sz w:val="18"/>
                <w:szCs w:val="18"/>
                <w:color w:val="auto"/>
              </w:rPr>
              <w:t>101.SCH</w:t>
            </w:r>
          </w:p>
        </w:tc>
        <w:tc>
          <w:tcPr>
            <w:tcW w:w="1010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38"/>
        </w:trPr>
        <w:tc>
          <w:tcPr>
            <w:tcW w:w="1080" w:type="dxa"/>
            <w:vAlign w:val="bottom"/>
          </w:tcPr>
          <w:p>
            <w:pPr>
              <w:spacing w:after="0"/>
              <w:rPr>
                <w:sz w:val="20"/>
                <w:szCs w:val="20"/>
                <w:color w:val="auto"/>
              </w:rPr>
            </w:pPr>
            <w:r>
              <w:rPr>
                <w:rFonts w:ascii="Arial" w:cs="Arial" w:eastAsia="Arial" w:hAnsi="Arial"/>
                <w:sz w:val="18"/>
                <w:szCs w:val="18"/>
                <w:color w:val="auto"/>
              </w:rPr>
              <w:t>101.CAL</w:t>
            </w:r>
          </w:p>
        </w:tc>
        <w:tc>
          <w:tcPr>
            <w:tcW w:w="1010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38"/>
        </w:trPr>
        <w:tc>
          <w:tcPr>
            <w:tcW w:w="1080" w:type="dxa"/>
            <w:vAlign w:val="bottom"/>
          </w:tcPr>
          <w:p>
            <w:pPr>
              <w:spacing w:after="0"/>
              <w:rPr>
                <w:sz w:val="20"/>
                <w:szCs w:val="20"/>
                <w:color w:val="auto"/>
              </w:rPr>
            </w:pPr>
            <w:r>
              <w:rPr>
                <w:rFonts w:ascii="Arial" w:cs="Arial" w:eastAsia="Arial" w:hAnsi="Arial"/>
                <w:sz w:val="18"/>
                <w:szCs w:val="18"/>
                <w:color w:val="auto"/>
              </w:rPr>
              <w:t>101.DEF</w:t>
            </w:r>
          </w:p>
        </w:tc>
        <w:tc>
          <w:tcPr>
            <w:tcW w:w="1010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38"/>
        </w:trPr>
        <w:tc>
          <w:tcPr>
            <w:tcW w:w="1080" w:type="dxa"/>
            <w:vAlign w:val="bottom"/>
          </w:tcPr>
          <w:p>
            <w:pPr>
              <w:spacing w:after="0"/>
              <w:rPr>
                <w:sz w:val="20"/>
                <w:szCs w:val="20"/>
                <w:color w:val="auto"/>
              </w:rPr>
            </w:pPr>
            <w:r>
              <w:rPr>
                <w:rFonts w:ascii="Arial" w:cs="Arial" w:eastAsia="Arial" w:hAnsi="Arial"/>
                <w:sz w:val="18"/>
                <w:szCs w:val="18"/>
                <w:color w:val="auto"/>
              </w:rPr>
              <w:t>101.LAB</w:t>
            </w:r>
          </w:p>
        </w:tc>
        <w:tc>
          <w:tcPr>
            <w:tcW w:w="10100" w:type="dxa"/>
            <w:vAlign w:val="bottom"/>
            <w:gridSpan w:val="7"/>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38"/>
        </w:trPr>
        <w:tc>
          <w:tcPr>
            <w:tcW w:w="1080" w:type="dxa"/>
            <w:vAlign w:val="bottom"/>
          </w:tcPr>
          <w:p>
            <w:pPr>
              <w:spacing w:after="0"/>
              <w:rPr>
                <w:sz w:val="20"/>
                <w:szCs w:val="20"/>
                <w:color w:val="auto"/>
              </w:rPr>
            </w:pPr>
            <w:r>
              <w:rPr>
                <w:rFonts w:ascii="Arial" w:cs="Arial" w:eastAsia="Arial" w:hAnsi="Arial"/>
                <w:sz w:val="18"/>
                <w:szCs w:val="18"/>
                <w:color w:val="auto"/>
              </w:rPr>
              <w:t>101.PRE</w:t>
            </w:r>
          </w:p>
        </w:tc>
        <w:tc>
          <w:tcPr>
            <w:tcW w:w="1010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07" w:lineRule="exact"/>
        <w:rPr>
          <w:sz w:val="20"/>
          <w:szCs w:val="20"/>
          <w:color w:val="auto"/>
        </w:rPr>
      </w:pPr>
    </w:p>
    <w:p>
      <w:pPr>
        <w:ind w:left="1080" w:hanging="1072"/>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cover page from the Company’s Quarterly Report on Form 10-Q for the quarter ended December 31, 2021, has been formatted in Inline XBRL.</w:t>
      </w:r>
    </w:p>
    <w:p>
      <w:pPr>
        <w:spacing w:after="0" w:line="170"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ind w:firstLine="49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February 9,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ORION ENERGY SYSTEMS, INC.</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 Per Brodin</w:t>
            </w:r>
          </w:p>
        </w:tc>
      </w:tr>
      <w:tr>
        <w:trPr>
          <w:trHeight w:val="195"/>
        </w:trPr>
        <w:tc>
          <w:tcPr>
            <w:tcW w:w="580" w:type="dxa"/>
            <w:vAlign w:val="bottom"/>
          </w:tcPr>
          <w:p>
            <w:pPr>
              <w:spacing w:after="0"/>
              <w:rPr>
                <w:sz w:val="16"/>
                <w:szCs w:val="16"/>
                <w:color w:val="auto"/>
              </w:rPr>
            </w:pPr>
          </w:p>
        </w:tc>
        <w:tc>
          <w:tcPr>
            <w:tcW w:w="5600" w:type="dxa"/>
            <w:vAlign w:val="bottom"/>
          </w:tcPr>
          <w:p>
            <w:pPr>
              <w:spacing w:after="0" w:line="195" w:lineRule="exact"/>
              <w:rPr>
                <w:sz w:val="20"/>
                <w:szCs w:val="20"/>
                <w:color w:val="auto"/>
              </w:rPr>
            </w:pPr>
            <w:r>
              <w:rPr>
                <w:rFonts w:ascii="Arial" w:cs="Arial" w:eastAsia="Arial" w:hAnsi="Arial"/>
                <w:sz w:val="18"/>
                <w:szCs w:val="18"/>
                <w:color w:val="auto"/>
              </w:rPr>
              <w:t>J. Per Brodin</w:t>
            </w:r>
          </w:p>
        </w:tc>
      </w:tr>
      <w:tr>
        <w:trPr>
          <w:trHeight w:val="216"/>
        </w:trPr>
        <w:tc>
          <w:tcPr>
            <w:tcW w:w="58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8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(Principal Financial Officer and Authorized Signatory)</w:t>
            </w: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553"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Certification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 Michael W. Altschaefl, certify that:</w:t>
      </w:r>
    </w:p>
    <w:p>
      <w:pPr>
        <w:spacing w:after="0" w:line="225" w:lineRule="exact"/>
        <w:rPr>
          <w:sz w:val="20"/>
          <w:szCs w:val="20"/>
          <w:color w:val="auto"/>
        </w:rPr>
      </w:pPr>
    </w:p>
    <w:p>
      <w:pPr>
        <w:ind w:left="480" w:hanging="472"/>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Orion Energy Systems, Inc.;</w:t>
      </w:r>
    </w:p>
    <w:p>
      <w:pPr>
        <w:spacing w:after="0" w:line="225" w:lineRule="exact"/>
        <w:rPr>
          <w:rFonts w:ascii="Arial" w:cs="Arial" w:eastAsia="Arial" w:hAnsi="Arial"/>
          <w:sz w:val="18"/>
          <w:szCs w:val="18"/>
          <w:color w:val="auto"/>
        </w:rPr>
      </w:pPr>
    </w:p>
    <w:p>
      <w:pPr>
        <w:jc w:val="both"/>
        <w:ind w:left="480" w:right="300" w:hanging="472"/>
        <w:spacing w:after="0" w:line="263" w:lineRule="auto"/>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80" w:right="260" w:hanging="472"/>
        <w:spacing w:after="0" w:line="308" w:lineRule="auto"/>
        <w:tabs>
          <w:tab w:leader="none" w:pos="48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80" w:right="280" w:hanging="472"/>
        <w:spacing w:after="0" w:line="263" w:lineRule="auto"/>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60" w:right="80" w:hanging="480"/>
        <w:spacing w:after="0" w:line="263" w:lineRule="auto"/>
        <w:tabs>
          <w:tab w:leader="none" w:pos="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960" w:right="400" w:hanging="480"/>
        <w:spacing w:after="0" w:line="263" w:lineRule="auto"/>
        <w:tabs>
          <w:tab w:leader="none" w:pos="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960" w:right="560" w:hanging="480"/>
        <w:spacing w:after="0" w:line="342" w:lineRule="auto"/>
        <w:tabs>
          <w:tab w:leader="none" w:pos="96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60" w:right="80" w:hanging="480"/>
        <w:spacing w:after="0" w:line="263" w:lineRule="auto"/>
        <w:tabs>
          <w:tab w:leader="none" w:pos="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80" w:right="180" w:hanging="472"/>
        <w:spacing w:after="0" w:line="308" w:lineRule="auto"/>
        <w:tabs>
          <w:tab w:leader="none" w:pos="4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60" w:right="800" w:hanging="480"/>
        <w:spacing w:after="0" w:line="342" w:lineRule="auto"/>
        <w:tabs>
          <w:tab w:leader="none" w:pos="96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60" w:right="500" w:hanging="480"/>
        <w:spacing w:after="0" w:line="277" w:lineRule="auto"/>
        <w:tabs>
          <w:tab w:leader="none" w:pos="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9, 2022</w:t>
      </w:r>
    </w:p>
    <w:p>
      <w:pPr>
        <w:spacing w:after="0" w:line="252"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/s/ Michael W. Altschaefl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14605</wp:posOffset>
            </wp:positionV>
            <wp:extent cx="229743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Michael W. Altschaefl</w:t>
      </w:r>
    </w:p>
    <w:p>
      <w:pPr>
        <w:spacing w:after="0" w:line="2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1"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Certification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 J. Per Brodin, certify that:</w:t>
      </w:r>
    </w:p>
    <w:p>
      <w:pPr>
        <w:spacing w:after="0" w:line="225" w:lineRule="exact"/>
        <w:rPr>
          <w:sz w:val="20"/>
          <w:szCs w:val="20"/>
          <w:color w:val="auto"/>
        </w:rPr>
      </w:pPr>
    </w:p>
    <w:p>
      <w:pPr>
        <w:ind w:left="480" w:hanging="472"/>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Orion Energy Systems, Inc.;</w:t>
      </w:r>
    </w:p>
    <w:p>
      <w:pPr>
        <w:spacing w:after="0" w:line="225" w:lineRule="exact"/>
        <w:rPr>
          <w:rFonts w:ascii="Arial" w:cs="Arial" w:eastAsia="Arial" w:hAnsi="Arial"/>
          <w:sz w:val="18"/>
          <w:szCs w:val="18"/>
          <w:color w:val="auto"/>
        </w:rPr>
      </w:pPr>
    </w:p>
    <w:p>
      <w:pPr>
        <w:jc w:val="both"/>
        <w:ind w:left="480" w:right="300" w:hanging="472"/>
        <w:spacing w:after="0" w:line="263" w:lineRule="auto"/>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80" w:right="260" w:hanging="472"/>
        <w:spacing w:after="0" w:line="308" w:lineRule="auto"/>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80" w:right="280" w:hanging="472"/>
        <w:spacing w:after="0" w:line="263" w:lineRule="auto"/>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60" w:right="80" w:hanging="480"/>
        <w:spacing w:after="0" w:line="263" w:lineRule="auto"/>
        <w:tabs>
          <w:tab w:leader="none" w:pos="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960" w:right="400" w:hanging="480"/>
        <w:spacing w:after="0" w:line="263" w:lineRule="auto"/>
        <w:tabs>
          <w:tab w:leader="none" w:pos="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960" w:right="560" w:hanging="480"/>
        <w:spacing w:after="0" w:line="342" w:lineRule="auto"/>
        <w:tabs>
          <w:tab w:leader="none" w:pos="96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60" w:right="80" w:hanging="480"/>
        <w:spacing w:after="0" w:line="263" w:lineRule="auto"/>
        <w:tabs>
          <w:tab w:leader="none" w:pos="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80" w:right="180" w:hanging="472"/>
        <w:spacing w:after="0" w:line="308" w:lineRule="auto"/>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60" w:right="800" w:hanging="480"/>
        <w:spacing w:after="0" w:line="342" w:lineRule="auto"/>
        <w:tabs>
          <w:tab w:leader="none" w:pos="96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60" w:right="500" w:hanging="480"/>
        <w:spacing w:after="0" w:line="277" w:lineRule="auto"/>
        <w:tabs>
          <w:tab w:leader="none" w:pos="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9, 2022</w:t>
      </w:r>
    </w:p>
    <w:p>
      <w:pPr>
        <w:spacing w:after="0" w:line="252"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/s/ J. Per Brodin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14605</wp:posOffset>
            </wp:positionV>
            <wp:extent cx="229743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J. Per Brodin</w:t>
      </w:r>
    </w:p>
    <w:p>
      <w:pPr>
        <w:spacing w:after="0" w:line="2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1"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Orion Energy Systems, Inc., a Wisconsin corporation (the “Company”), on Form 10-Q for the period ended December 31, 2021, as filed with the Securities and Exchange Commission on the date hereof (the “Report”), I, Michael W. Altschaefl, Chief Executive Officer of the Company, certify, pursuant to 18 U.S.C. 1350, as adopted pursuant to Section 906 of the Sarbanes-Oxley Act of 2002, that, based on my knowledge:</w:t>
      </w:r>
    </w:p>
    <w:p>
      <w:pPr>
        <w:spacing w:after="0" w:line="79" w:lineRule="exact"/>
        <w:rPr>
          <w:sz w:val="20"/>
          <w:szCs w:val="20"/>
          <w:color w:val="auto"/>
        </w:rPr>
      </w:pPr>
    </w:p>
    <w:p>
      <w:pPr>
        <w:ind w:left="960" w:hanging="480"/>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4" w:lineRule="exact"/>
        <w:rPr>
          <w:rFonts w:ascii="Arial" w:cs="Arial" w:eastAsia="Arial" w:hAnsi="Arial"/>
          <w:sz w:val="18"/>
          <w:szCs w:val="18"/>
          <w:color w:val="auto"/>
        </w:rPr>
      </w:pPr>
    </w:p>
    <w:p>
      <w:pPr>
        <w:ind w:left="960" w:right="620" w:hanging="480"/>
        <w:spacing w:after="0" w:line="277"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Date: February 9, 2022</w:t>
      </w:r>
    </w:p>
    <w:p>
      <w:pPr>
        <w:spacing w:after="0" w:line="225"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/s/ Michael W. Altschaefl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14605</wp:posOffset>
            </wp:positionV>
            <wp:extent cx="229743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Michael W. Altschaefl</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Chief Executive Officer</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32.2</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Quarterly Report of Orion Energy Systems, Inc., a Wisconsin corporation (the “Company”), on Form 10-Q for the period ended December 31, 2021, as filed with the Securities and Exchange Commission on the date hereof (the “Report”), I, J. Per Brodin, Chief Financial Officer of the Company, certify, pursuant to 18 U.S.C. 1350, as adopted pursuant to Section 906 of the Sarbanes-Oxley Act of 2002, that, based on my knowledge:</w:t>
      </w:r>
    </w:p>
    <w:p>
      <w:pPr>
        <w:spacing w:after="0" w:line="41" w:lineRule="exact"/>
        <w:rPr>
          <w:sz w:val="20"/>
          <w:szCs w:val="20"/>
          <w:color w:val="auto"/>
        </w:rPr>
      </w:pPr>
    </w:p>
    <w:p>
      <w:pPr>
        <w:ind w:left="960" w:hanging="480"/>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4" w:lineRule="exact"/>
        <w:rPr>
          <w:rFonts w:ascii="Arial" w:cs="Arial" w:eastAsia="Arial" w:hAnsi="Arial"/>
          <w:sz w:val="18"/>
          <w:szCs w:val="18"/>
          <w:color w:val="auto"/>
        </w:rPr>
      </w:pPr>
    </w:p>
    <w:p>
      <w:pPr>
        <w:ind w:left="960" w:right="620" w:hanging="480"/>
        <w:spacing w:after="0" w:line="277"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Date: February 9, 2022</w:t>
      </w:r>
    </w:p>
    <w:p>
      <w:pPr>
        <w:spacing w:after="0" w:line="225"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/s/ J. Per Brodin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14605</wp:posOffset>
            </wp:positionV>
            <wp:extent cx="229743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J. Per Brodin</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Chief Financial Officer</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lowerLetter"/>
      <w:start w:val="1"/>
    </w:lvl>
  </w:abstractNum>
  <w:abstractNum w:abstractNumId="4">
    <w:nsid w:val="7545E146"/>
    <w:multiLevelType w:val="hybridMultilevel"/>
    <w:lvl w:ilvl="0">
      <w:lvlJc w:val="left"/>
      <w:lvlText w:val="%1"/>
      <w:numFmt w:val="decimal"/>
      <w:start w:val="104"/>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64" Type="http://schemas.openxmlformats.org/officeDocument/2006/relationships/hyperlink" Target="http://www.sec.gov/Archives/edgar/data/0001409375/000119312521319367/d152064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2022-02-09T15:58:50Z</dcterms:created>
  <dcterms:modified xsi:type="dcterms:W3CDTF">2022-02-09T15:58:50Z</dcterms:modified>
</cp:coreProperties>
</file>