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90170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113665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49" w:lineRule="exact"/>
        <w:rPr>
          <w:sz w:val="24"/>
          <w:szCs w:val="24"/>
          <w:color w:val="auto"/>
        </w:rPr>
      </w:pPr>
    </w:p>
    <w:p>
      <w:pPr>
        <w:ind w:left="540" w:right="20" w:hanging="532"/>
        <w:spacing w:after="0" w:line="262" w:lineRule="auto"/>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40" w:hanging="532"/>
        <w:spacing w:after="0" w:line="262" w:lineRule="auto"/>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105410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99060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860" w:type="dxa"/>
            <w:vAlign w:val="bottom"/>
            <w:gridSpan w:val="3"/>
          </w:tcPr>
          <w:p>
            <w:pPr>
              <w:jc w:val="center"/>
              <w:ind w:left="681"/>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ind w:right="2285"/>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149"/>
        </w:trPr>
        <w:tc>
          <w:tcPr>
            <w:tcW w:w="4860" w:type="dxa"/>
            <w:vAlign w:val="bottom"/>
            <w:gridSpan w:val="3"/>
          </w:tcPr>
          <w:p>
            <w:pPr>
              <w:jc w:val="center"/>
              <w:ind w:left="6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jc w:val="center"/>
              <w:ind w:right="20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86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321"/>
        </w:trPr>
        <w:tc>
          <w:tcPr>
            <w:tcW w:w="4860" w:type="dxa"/>
            <w:vAlign w:val="bottom"/>
            <w:gridSpan w:val="3"/>
          </w:tcPr>
          <w:p>
            <w:pPr>
              <w:jc w:val="center"/>
              <w:ind w:left="681"/>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Wisconsin</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193"/>
        </w:trPr>
        <w:tc>
          <w:tcPr>
            <w:tcW w:w="486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jc w:val="center"/>
              <w:ind w:right="198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48"/>
        </w:trPr>
        <w:tc>
          <w:tcPr>
            <w:tcW w:w="114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(920) 892-9340</w:t>
            </w:r>
          </w:p>
        </w:tc>
        <w:tc>
          <w:tcPr>
            <w:tcW w:w="0" w:type="dxa"/>
            <w:vAlign w:val="bottom"/>
          </w:tcPr>
          <w:p>
            <w:pPr>
              <w:spacing w:after="0"/>
              <w:rPr>
                <w:sz w:val="1"/>
                <w:szCs w:val="1"/>
                <w:color w:val="auto"/>
              </w:rPr>
            </w:pPr>
          </w:p>
        </w:tc>
      </w:tr>
      <w:tr>
        <w:trPr>
          <w:trHeight w:val="500"/>
        </w:trPr>
        <w:tc>
          <w:tcPr>
            <w:tcW w:w="7900" w:type="dxa"/>
            <w:vAlign w:val="bottom"/>
            <w:gridSpan w:val="6"/>
          </w:tcPr>
          <w:p>
            <w:pPr>
              <w:jc w:val="center"/>
              <w:ind w:left="3461"/>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4860" w:type="dxa"/>
            <w:vAlign w:val="bottom"/>
            <w:gridSpan w:val="3"/>
            <w:vMerge w:val="restart"/>
          </w:tcPr>
          <w:p>
            <w:pPr>
              <w:jc w:val="center"/>
              <w:ind w:right="1200"/>
              <w:spacing w:after="0"/>
              <w:rPr>
                <w:sz w:val="20"/>
                <w:szCs w:val="20"/>
                <w:color w:val="auto"/>
              </w:rPr>
            </w:pPr>
            <w:r>
              <w:rPr>
                <w:rFonts w:ascii="Times New Roman" w:cs="Times New Roman" w:eastAsia="Times New Roman" w:hAnsi="Times New Roman"/>
                <w:sz w:val="14"/>
                <w:szCs w:val="14"/>
                <w:color w:val="auto"/>
              </w:rPr>
              <w:t>Common stock, no par value</w:t>
            </w:r>
          </w:p>
        </w:tc>
        <w:tc>
          <w:tcPr>
            <w:tcW w:w="3040" w:type="dxa"/>
            <w:vAlign w:val="bottom"/>
            <w:gridSpan w:val="3"/>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OESX</w:t>
            </w:r>
          </w:p>
        </w:tc>
        <w:tc>
          <w:tcPr>
            <w:tcW w:w="3520" w:type="dxa"/>
            <w:vAlign w:val="bottom"/>
          </w:tcPr>
          <w:p>
            <w:pPr>
              <w:jc w:val="center"/>
              <w:ind w:right="65"/>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4860" w:type="dxa"/>
            <w:vAlign w:val="bottom"/>
            <w:gridSpan w:val="3"/>
            <w:vMerge w:val="continue"/>
          </w:tcPr>
          <w:p>
            <w:pPr>
              <w:spacing w:after="0"/>
              <w:rPr>
                <w:sz w:val="16"/>
                <w:szCs w:val="16"/>
                <w:color w:val="auto"/>
              </w:rPr>
            </w:pPr>
          </w:p>
        </w:tc>
        <w:tc>
          <w:tcPr>
            <w:tcW w:w="3040" w:type="dxa"/>
            <w:vAlign w:val="bottom"/>
            <w:gridSpan w:val="3"/>
            <w:vMerge w:val="continue"/>
          </w:tcPr>
          <w:p>
            <w:pPr>
              <w:spacing w:after="0"/>
              <w:rPr>
                <w:sz w:val="16"/>
                <w:szCs w:val="16"/>
                <w:color w:val="auto"/>
              </w:rPr>
            </w:pPr>
          </w:p>
        </w:tc>
        <w:tc>
          <w:tcPr>
            <w:tcW w:w="3520" w:type="dxa"/>
            <w:vAlign w:val="bottom"/>
          </w:tcPr>
          <w:p>
            <w:pPr>
              <w:jc w:val="center"/>
              <w:ind w:right="45"/>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jc w:val="center"/>
              <w:ind w:right="1180"/>
              <w:spacing w:after="0"/>
              <w:rPr>
                <w:sz w:val="20"/>
                <w:szCs w:val="20"/>
                <w:color w:val="auto"/>
              </w:rPr>
            </w:pPr>
            <w:r>
              <w:rPr>
                <w:rFonts w:ascii="Times New Roman" w:cs="Times New Roman" w:eastAsia="Times New Roman" w:hAnsi="Times New Roman"/>
                <w:sz w:val="14"/>
                <w:szCs w:val="14"/>
                <w:color w:val="auto"/>
              </w:rPr>
              <w:t>Common stock purchase rights</w:t>
            </w: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4860" w:type="dxa"/>
            <w:vAlign w:val="bottom"/>
            <w:gridSpan w:val="3"/>
            <w:vMerge w:val="continue"/>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jc w:val="center"/>
              <w:ind w:right="45"/>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84"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80" w:type="dxa"/>
            <w:vAlign w:val="bottom"/>
          </w:tcPr>
          <w:p>
            <w:pPr>
              <w:ind w:left="1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760"/>
        <w:spacing w:after="0" w:line="24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There were 30,231,077 shares of the Registrant’s common stock outstanding on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1" w:name="page2"/>
    <w:bookmarkEnd w:id="1"/>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104"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2019</w:t>
      </w:r>
    </w:p>
    <w:p>
      <w:pPr>
        <w:spacing w:after="0" w:line="104"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September 30, 2019 and March 31, 2019</w:t>
              </w:r>
            </w:hyperlink>
          </w:p>
        </w:tc>
        <w:tc>
          <w:tcPr>
            <w:tcW w:w="2900" w:type="dxa"/>
            <w:vAlign w:val="bottom"/>
            <w:gridSpan w:val="4"/>
          </w:tcPr>
          <w:p>
            <w:pPr>
              <w:spacing w:after="0"/>
              <w:rPr>
                <w:sz w:val="22"/>
                <w:szCs w:val="22"/>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September 30, 2019 and September 30,</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2018</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Shareholders’ Equity for the Three and Six Months Ended September 30, 2019 and</w:t>
              </w:r>
            </w:hyperlink>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September 30, 2018</w:t>
              </w:r>
            </w:hyperlink>
          </w:p>
        </w:tc>
        <w:tc>
          <w:tcPr>
            <w:tcW w:w="7400" w:type="dxa"/>
            <w:vAlign w:val="bottom"/>
            <w:tcBorders>
              <w:top w:val="single" w:sz="8" w:color="0000EE"/>
            </w:tcBorders>
            <w:gridSpan w:val="8"/>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September 30, 2019 and September 30, 2018</w:t>
              </w:r>
            </w:hyperlink>
          </w:p>
        </w:tc>
      </w:tr>
      <w:tr>
        <w:trPr>
          <w:trHeight w:val="264"/>
        </w:trPr>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90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Condensed Consolidated Financial Statements</w:t>
              </w:r>
            </w:hyperlink>
          </w:p>
        </w:tc>
        <w:tc>
          <w:tcPr>
            <w:tcW w:w="3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2"/>
          </w:tcPr>
          <w:p>
            <w:pPr>
              <w:spacing w:after="0"/>
              <w:rPr>
                <w:sz w:val="22"/>
                <w:szCs w:val="22"/>
                <w:color w:val="auto"/>
              </w:rPr>
            </w:pPr>
          </w:p>
        </w:tc>
        <w:tc>
          <w:tcPr>
            <w:tcW w:w="2760" w:type="dxa"/>
            <w:vAlign w:val="bottom"/>
            <w:gridSpan w:val="3"/>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Controls and Procedures</w:t>
              </w:r>
            </w:hyperlink>
          </w:p>
        </w:tc>
        <w:tc>
          <w:tcPr>
            <w:tcW w:w="7440" w:type="dxa"/>
            <w:vAlign w:val="bottom"/>
            <w:gridSpan w:val="9"/>
          </w:tcPr>
          <w:p>
            <w:pPr>
              <w:spacing w:after="0"/>
              <w:rPr>
                <w:sz w:val="22"/>
                <w:szCs w:val="22"/>
                <w:color w:val="auto"/>
              </w:rPr>
            </w:pPr>
          </w:p>
        </w:tc>
      </w:tr>
      <w:tr>
        <w:trPr>
          <w:trHeight w:val="264"/>
        </w:trPr>
        <w:tc>
          <w:tcPr>
            <w:tcW w:w="2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PART II OTHER INFORMATION</w:t>
              </w:r>
            </w:hyperlink>
          </w:p>
        </w:tc>
        <w:tc>
          <w:tcPr>
            <w:tcW w:w="7780" w:type="dxa"/>
            <w:vAlign w:val="bottom"/>
            <w:gridSpan w:val="11"/>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Legal Proceedings</w:t>
              </w:r>
            </w:hyperlink>
          </w:p>
        </w:tc>
        <w:tc>
          <w:tcPr>
            <w:tcW w:w="7880" w:type="dxa"/>
            <w:vAlign w:val="bottom"/>
            <w:gridSpan w:val="12"/>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Risk Factors</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Unregistered Sale of Equity Securities and Use of Proceeds</w:t>
              </w:r>
            </w:hyperlink>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Other Information</w:t>
              </w:r>
            </w:hyperlink>
          </w:p>
        </w:tc>
        <w:tc>
          <w:tcPr>
            <w:tcW w:w="2960" w:type="dxa"/>
            <w:vAlign w:val="bottom"/>
            <w:tcBorders>
              <w:top w:val="single" w:sz="8" w:color="0000EE"/>
            </w:tcBorders>
            <w:gridSpan w:val="7"/>
          </w:tcPr>
          <w:p>
            <w:pPr>
              <w:spacing w:after="0"/>
              <w:rPr>
                <w:sz w:val="22"/>
                <w:szCs w:val="22"/>
                <w:color w:val="auto"/>
              </w:rPr>
            </w:pPr>
          </w:p>
        </w:tc>
        <w:tc>
          <w:tcPr>
            <w:tcW w:w="4940" w:type="dxa"/>
            <w:vAlign w:val="bottom"/>
            <w:gridSpan w:val="6"/>
          </w:tcPr>
          <w:p>
            <w:pPr>
              <w:spacing w:after="0"/>
              <w:rPr>
                <w:sz w:val="22"/>
                <w:szCs w:val="22"/>
                <w:color w:val="auto"/>
              </w:rPr>
            </w:pPr>
          </w:p>
        </w:tc>
      </w:tr>
      <w:tr>
        <w:trPr>
          <w:trHeight w:val="26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Exhibits</w:t>
              </w:r>
            </w:hyperlink>
          </w:p>
        </w:tc>
      </w:tr>
      <w:tr>
        <w:trPr>
          <w:trHeight w:val="264"/>
        </w:trPr>
        <w:tc>
          <w:tcPr>
            <w:tcW w:w="1100" w:type="dxa"/>
            <w:vAlign w:val="bottom"/>
            <w:gridSpan w:val="2"/>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SIGNATURE</w:t>
              </w:r>
            </w:hyperlink>
          </w:p>
        </w:tc>
        <w:tc>
          <w:tcPr>
            <w:tcW w:w="3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24765</wp:posOffset>
            </wp:positionV>
            <wp:extent cx="471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2">
            <w:col w:w="10320" w:space="500"/>
            <w:col w:w="60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60" w:type="dxa"/>
            <w:vAlign w:val="bottom"/>
          </w:tcPr>
          <w:p>
            <w:pPr>
              <w:spacing w:after="0"/>
              <w:rPr>
                <w:sz w:val="19"/>
                <w:szCs w:val="19"/>
                <w:color w:val="auto"/>
              </w:rPr>
            </w:pP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at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2019 and March 31, 2019; no shares issued and outstanding at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2019 and March 31, 2019</w:t>
            </w: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 September 30, 2019</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March 31, 2019; shares issued: 39,693,442 at September 30, 2019 and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39,037,969 at March 31, 2019; shares outstanding: 30,231,077 at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2019 and 29,600,158 at March 31, 2019</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common shares: 9,462,365 at September 30, 2019 and 9,437,811 at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2019</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(36,091)</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(91,078)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(101,767)</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ind w:left="260" w:right="244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5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156"/>
        </w:trPr>
        <w:tc>
          <w:tcPr>
            <w:tcW w:w="55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r>
      <w:tr>
        <w:trPr>
          <w:trHeight w:val="263"/>
        </w:trPr>
        <w:tc>
          <w:tcPr>
            <w:tcW w:w="5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Borders>
              <w:bottom w:val="single" w:sz="8" w:color="CFF0FC"/>
            </w:tcBorders>
          </w:tcPr>
          <w:p>
            <w:pPr>
              <w:spacing w:after="0"/>
              <w:rPr>
                <w:sz w:val="22"/>
                <w:szCs w:val="22"/>
                <w:color w:val="auto"/>
              </w:rPr>
            </w:pPr>
          </w:p>
        </w:tc>
      </w:tr>
      <w:tr>
        <w:trPr>
          <w:trHeight w:val="192"/>
        </w:trPr>
        <w:tc>
          <w:tcPr>
            <w:tcW w:w="5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Basic net income (loss) per share attributable to common</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30,189,067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29,488,363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29,957,541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29,280,421</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and share equivalents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30,830,381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29,488,363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30,757,863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29,280,421</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SHAREHOLDERS’ EQUITY (in thousands, except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3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29,600,158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(101,767)</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(24,628)</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30,121,487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(2,828)</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2019</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30,231,077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3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28,953,183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(3,867)</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effect of accounting change due to</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adoption of ASC 606</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29,403,485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155,231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(4,854)</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2018</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29,537,474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155,442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80" w:type="dxa"/>
            <w:vAlign w:val="bottom"/>
          </w:tcPr>
          <w:p>
            <w:pPr>
              <w:spacing w:after="0"/>
              <w:rPr>
                <w:sz w:val="19"/>
                <w:szCs w:val="19"/>
                <w:color w:val="auto"/>
              </w:rPr>
            </w:pP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(5,130)</w:t>
            </w:r>
          </w:p>
        </w:tc>
      </w:tr>
      <w:tr>
        <w:trPr>
          <w:trHeight w:val="211"/>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current and long-term</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(12,192)</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(1,941)</w:t>
            </w: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33,011</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of revolving credit facility</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(67,646)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(35,501)</w:t>
            </w: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 compensation</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proceeds from employee equity exercises</w:t>
            </w:r>
          </w:p>
        </w:tc>
        <w:tc>
          <w:tcPr>
            <w:tcW w:w="1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6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designs, manufactures, markets and manages the installation of LED solid-state lighting systems to commercial and industrial businesses, and federal and local governments, predominantly in North America.</w:t>
      </w:r>
    </w:p>
    <w:p>
      <w:pPr>
        <w:spacing w:after="0" w:line="122"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leases office space in Jacksonville, Florida.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Orion Energy Systems, Inc. and its wholly-owned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2020 or other interim periods.</w:t>
      </w:r>
    </w:p>
    <w:p>
      <w:pPr>
        <w:spacing w:after="0" w:line="130"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at March 31, 2019 has been derived from the audited consolidated financial statements at that date but does not include all of the information required by GAAP for complete financial statements.</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2019 filed with the SEC on June 5, 2019.</w:t>
      </w:r>
    </w:p>
    <w:p>
      <w:pPr>
        <w:spacing w:after="0" w:line="122"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In the warranty rollforward in Note 10 – Accrued Expenses and Other, certain prior period balances have been reclassified to conform to current period presentation. The reclassifications were immaterial to the condensed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income taxes, impairment analyses, and certain equity transactions. Accordingly, actual results could differ from those estimates.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drivers, chips, ballasts, lamps and other LED components, from multiple suppliers. For the three months ended September 30, 2019, one supplier accounted for 17.2% and one supplier accounted for 10.0% of total cost of revenue. For the six months ended September 30, 2019, one supplier accounted for 15.5% of total cost of revenue. For the three and six months ended September 30, 2018, no supplier accounted for more than 10.0% of total cost of revenue.</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one customer accounted for 81.1% of total revenue. For the six months ended September 30, 2019, one customer accounted for 79.2% of total revenue. For the three months ended September 30, 2018, one customer accounted for 14.0% of total revenue. For the six months ended September 30, 2018, no customer accounted for more than 10.0% of total revenue.</w:t>
      </w:r>
    </w:p>
    <w:p>
      <w:pPr>
        <w:spacing w:after="0" w:line="122"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As of September 30, 2019, one customer accounted for 78.4% of Accounts receivable. As of March 31, 2019, one customer accounted for 56.2% of Accounts receivable.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On April 1, 2019, Orion adopted Accounting Standards Update 2016-02, and subsequent amendments, which is included in the Accounting Standards Codification (“ASC”) as Topic 842, Leases (“ASC 842”), retrospectively through a cumulative-effect adjustment. Orion elected the package of practical expedients provided for in ASU 842, which among other things, allows companies to carry forward their historical lease classification. Previously, Orion followed the guidance set forth in ASC 840, Leases.</w:t>
      </w:r>
    </w:p>
    <w:p>
      <w:pPr>
        <w:spacing w:after="0" w:line="126"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For Orion, the most significant difference between ASC 840 and ASC 842 is the requirement that lessees recognize right-of-use assets and liabilities on the balance sheet for the rights and obligations created by long-term operating leases. Previously, the financial impact associated with operating leases was recorded only in Orion’s statement of operations. Determining whether a contract includes a lease, and assessing whether the lease should be accounted for as a finance lease or an operating lease, is a matter of judgment based on whether the risks and rewards, as well as substantive control of the associated assets specified in the contract, have been transferred from the lessor to the lessee.</w:t>
      </w:r>
    </w:p>
    <w:p>
      <w:pPr>
        <w:spacing w:after="0" w:line="130"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Adoption of ASC 842 resulted in the recording of additional lease assets and lease liabilities of approximately $0.2 million as of April 1, 2019. There was no impact to retained earnings. The adoption of ASC 842 did not materially impact Orion’s consolidated results of operations and had no impact on Orion’s cash flows. Orion has updated its processes and controls necessary for implementing ASC 842, including the increased footnote disclosure requirements.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the opening balance of retained deficit within Orion’s Condensed Consolidated Statement of Shareholders’ Equity.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Orion generates revenues primarily by selling commercial LED lighting fixtures and components, including controls and integrated IoT capabilities, and by installing these fixtures in its customer’s facilities on a turnkey basis via a dedicated installation and support team.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based on historical experience, customer rebates based on agreed upon terms applied to actual and projected sales levels over the rebate period, and any amounts paid to customers in conjunction with fulfilling a performance obligation.</w:t>
      </w:r>
    </w:p>
    <w:p>
      <w:pPr>
        <w:spacing w:after="0" w:line="108"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30"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lighting fixtures and components is classified as Product revenue in the Condensed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0"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108"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31" w:lineRule="exact"/>
        <w:rPr>
          <w:sz w:val="20"/>
          <w:szCs w:val="20"/>
          <w:color w:val="auto"/>
        </w:rPr>
      </w:pPr>
    </w:p>
    <w:p>
      <w:pPr>
        <w:ind w:left="900" w:hanging="392"/>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 legal transfer of ownership;</w:t>
      </w:r>
    </w:p>
    <w:p>
      <w:pPr>
        <w:spacing w:after="0" w:line="27" w:lineRule="exact"/>
        <w:rPr>
          <w:rFonts w:ascii="Times New Roman" w:cs="Times New Roman" w:eastAsia="Times New Roman" w:hAnsi="Times New Roman"/>
          <w:sz w:val="18"/>
          <w:szCs w:val="18"/>
          <w:color w:val="auto"/>
        </w:rPr>
      </w:pPr>
    </w:p>
    <w:p>
      <w:pPr>
        <w:ind w:left="900" w:hanging="392"/>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obtains physical possession of the products;</w:t>
      </w:r>
    </w:p>
    <w:p>
      <w:pPr>
        <w:spacing w:after="0" w:line="9" w:lineRule="exact"/>
        <w:rPr>
          <w:rFonts w:ascii="Times New Roman" w:cs="Times New Roman" w:eastAsia="Times New Roman" w:hAnsi="Times New Roman"/>
          <w:sz w:val="18"/>
          <w:szCs w:val="18"/>
          <w:color w:val="auto"/>
        </w:rPr>
      </w:pPr>
    </w:p>
    <w:p>
      <w:pPr>
        <w:ind w:left="900" w:hanging="392"/>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starts to receive the benefit of the products;</w:t>
      </w:r>
    </w:p>
    <w:p>
      <w:pPr>
        <w:spacing w:after="0" w:line="9" w:lineRule="exact"/>
        <w:rPr>
          <w:rFonts w:ascii="Times New Roman" w:cs="Times New Roman" w:eastAsia="Times New Roman" w:hAnsi="Times New Roman"/>
          <w:sz w:val="18"/>
          <w:szCs w:val="18"/>
          <w:color w:val="auto"/>
        </w:rPr>
      </w:pPr>
    </w:p>
    <w:p>
      <w:pPr>
        <w:ind w:left="900" w:hanging="392"/>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duration of physical control that Orion maintains on the products after they are shipped to, and received at, the customer’s facility;</w:t>
      </w:r>
    </w:p>
    <w:p>
      <w:pPr>
        <w:ind w:left="900" w:hanging="392"/>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Orion is required to maintain insurance on the lighting fixtures when they are in transit and after they are delivered to the customer’s facility;</w:t>
      </w:r>
    </w:p>
    <w:p>
      <w:pPr>
        <w:ind w:left="900" w:hanging="392"/>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each light fixture is physically installed and working correctly;</w:t>
      </w:r>
    </w:p>
    <w:p>
      <w:pPr>
        <w:spacing w:after="0" w:line="9" w:lineRule="exact"/>
        <w:rPr>
          <w:rFonts w:ascii="Times New Roman" w:cs="Times New Roman" w:eastAsia="Times New Roman" w:hAnsi="Times New Roman"/>
          <w:sz w:val="18"/>
          <w:szCs w:val="18"/>
          <w:color w:val="auto"/>
        </w:rPr>
      </w:pPr>
    </w:p>
    <w:p>
      <w:pPr>
        <w:ind w:left="900" w:hanging="392"/>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formally accepts the product; and</w:t>
      </w:r>
    </w:p>
    <w:p>
      <w:pPr>
        <w:spacing w:after="0" w:line="9" w:lineRule="exact"/>
        <w:rPr>
          <w:rFonts w:ascii="Times New Roman" w:cs="Times New Roman" w:eastAsia="Times New Roman" w:hAnsi="Times New Roman"/>
          <w:sz w:val="18"/>
          <w:szCs w:val="18"/>
          <w:color w:val="auto"/>
        </w:rPr>
      </w:pPr>
    </w:p>
    <w:p>
      <w:pPr>
        <w:ind w:left="900" w:hanging="392"/>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Orion receives payment from the customer for the light fixtures.</w:t>
      </w:r>
    </w:p>
    <w:p>
      <w:pPr>
        <w:spacing w:after="0" w:line="153"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or installed under the contract.</w:t>
      </w:r>
    </w:p>
    <w:p>
      <w:pPr>
        <w:spacing w:after="0" w:line="126"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and six months ended September 30, 2019 or September 30, 2018.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9" w:name="page10"/>
    <w:bookmarkEnd w:id="9"/>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3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 and not as a separate performance obligation. Any shipping and handling costs charged to customers are recorded in Product revenue. Shipping and handling costs are accrued and included in Cost of product revenue.</w:t>
      </w:r>
    </w:p>
    <w:p>
      <w:pPr>
        <w:spacing w:after="0" w:line="126"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See Note 10, Accrued Expenses and Other for a discussion of Orion’s accounting for the warranty it provides to customers for its products and services.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governmental authorities are accounted for on a net (excluded from revenues) basis.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Fulfillment Costs</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are accumulated in inventory as the fixtures are manufactured and are transferred to Cost of product revenue at the time revenue is recorded. See Note 5, Inventories, Net. Costs associated with installation sales are expensed as incurred.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Orion’s Product revenue includes revenue from contracts with customers accounted for under the scope of ASC 606 and revenue which is accounted for under other guidance. For the three and six months ended September 30, 2019, Product revenue included $0.6 million and $1.0 million, respectively, derived from sales-type leases for light fixtures, $64 thousand derived from the sale of tax credits generated from Orion’s legacy operation for distributing solar energy, and $19 thousand and $38 thousand, respectively, derived from the amortization of federal grants received in 2010 and 2011 as reimbursement for a portion of the costs to construct the legacy solar facilities which are not under the scope of ASC 606.</w:t>
      </w:r>
    </w:p>
    <w:p>
      <w:pPr>
        <w:spacing w:after="0" w:line="130"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September 30, 2018, Product revenue included $0.3 million and $1.0 million, respectively, derived from sales-type leases for light fixtures, $0.1 million and $0.2 million, respectively, derived from the sale of tax credits generated from Orion’s legacy operation for distributing solar energy, and $19 thousand and $38 thousand, respectively,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primary end-users of Orion’s lighting products and services are (a) commercial or industrial companies, and (b) the federal government.</w:t>
      </w:r>
    </w:p>
    <w:p>
      <w:pPr>
        <w:spacing w:after="0" w:line="171"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17, Segments, for additional discussion concerning Orion’s reportable segments.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 of Orion’s total revenues for the three and six months ended September 30, 2019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40" w:type="dxa"/>
            <w:vAlign w:val="bottom"/>
          </w:tcPr>
          <w:p>
            <w:pPr>
              <w:spacing w:after="0"/>
              <w:rPr>
                <w:sz w:val="15"/>
                <w:szCs w:val="15"/>
                <w:color w:val="auto"/>
              </w:rPr>
            </w:pPr>
          </w:p>
        </w:tc>
        <w:tc>
          <w:tcPr>
            <w:tcW w:w="30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September 30, 2019</w:t>
            </w:r>
          </w:p>
        </w:tc>
      </w:tr>
      <w:tr>
        <w:trPr>
          <w:trHeight w:val="156"/>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Lighting revenues, by end user</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government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88,433</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lighting</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89,555</w:t>
            </w: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47,696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140" w:type="dxa"/>
            <w:vAlign w:val="bottom"/>
          </w:tcPr>
          <w:p>
            <w:pPr>
              <w:spacing w:after="0"/>
              <w:rPr>
                <w:sz w:val="24"/>
                <w:szCs w:val="24"/>
                <w:color w:val="auto"/>
              </w:rPr>
            </w:pPr>
          </w:p>
        </w:tc>
        <w:tc>
          <w:tcPr>
            <w:tcW w:w="30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September 30, 2018</w:t>
            </w:r>
          </w:p>
        </w:tc>
      </w:tr>
      <w:tr>
        <w:trPr>
          <w:trHeight w:val="156"/>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Lighting revenues, by end user</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Federal government</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1"/>
        </w:trPr>
        <w:tc>
          <w:tcPr>
            <w:tcW w:w="2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11,110</w:t>
            </w:r>
          </w:p>
        </w:tc>
        <w:tc>
          <w:tcPr>
            <w:tcW w:w="4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w:t>
            </w:r>
          </w:p>
        </w:tc>
        <w:tc>
          <w:tcPr>
            <w:tcW w:w="3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12,718</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23,011</w:t>
            </w:r>
          </w:p>
        </w:tc>
        <w:tc>
          <w:tcPr>
            <w:tcW w:w="4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2,622</w:t>
            </w: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-306705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20" w:space="720"/>
            <w:col w:w="6680"/>
          </w:cols>
          <w:pgMar w:left="240" w:top="499" w:right="2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lighting</w:t>
            </w:r>
          </w:p>
        </w:tc>
        <w:tc>
          <w:tcPr>
            <w:tcW w:w="7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2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2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25,748</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r>
      <w:tr>
        <w:trPr>
          <w:trHeight w:val="237"/>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7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2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2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FF0FC"/>
            </w:tcBorders>
          </w:tcPr>
          <w:p>
            <w:pPr>
              <w:spacing w:after="0"/>
              <w:rPr>
                <w:sz w:val="20"/>
                <w:szCs w:val="20"/>
                <w:color w:val="auto"/>
              </w:rPr>
            </w:pPr>
          </w:p>
        </w:tc>
      </w:tr>
      <w:tr>
        <w:trPr>
          <w:trHeight w:val="237"/>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100" w:type="dxa"/>
            <w:vAlign w:val="bottom"/>
            <w:shd w:val="clear" w:color="auto" w:fill="CFF0FC"/>
          </w:tcPr>
          <w:p>
            <w:pPr>
              <w:spacing w:after="0"/>
              <w:rPr>
                <w:sz w:val="20"/>
                <w:szCs w:val="20"/>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Considerations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Customer payments for material-only orders are due shortly after shipment.</w:t>
      </w:r>
    </w:p>
    <w:p>
      <w:pPr>
        <w:spacing w:after="0" w:line="171"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Turnkey projects where the end-user is a commercial or industrial company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22"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08"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3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payments associated with these transactions that are due during the twelve months subsequent to September 30, 2019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type w:val="continuous"/>
        </w:sectPr>
      </w:pPr>
    </w:p>
    <w:bookmarkStart w:id="11" w:name="page12"/>
    <w:bookmarkEnd w:id="11"/>
    <w:p>
      <w:pPr>
        <w:jc w:val="both"/>
        <w:ind w:firstLine="501"/>
        <w:spacing w:after="0" w:line="277" w:lineRule="auto"/>
        <w:rPr>
          <w:sz w:val="20"/>
          <w:szCs w:val="20"/>
          <w:color w:val="auto"/>
        </w:rPr>
      </w:pPr>
      <w:r>
        <w:rPr>
          <w:rFonts w:ascii="Times New Roman" w:cs="Times New Roman" w:eastAsia="Times New Roman" w:hAnsi="Times New Roman"/>
          <w:sz w:val="17"/>
          <w:szCs w:val="17"/>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14"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three and six months ended September 30, 2019, was $0.9 million and $3.7 million, respectively. Orion’s losses on these sales were $23 thousand and $70 thousand for the three and six months ended September 30, 2019, respectively and are included in Interest expense in the Condensed Consolidated Statements of Operations.</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three and six months ended September 30, 2018 was $0.9 million and $2.9 million, respectively. Orion’s losses on these sales aggregated to $0.1 million and $0.2 million for the three and six months ended September 30, 2018 and is included in Interest expense in the Condensed Consolidated Statement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22"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has also adopted the practical expedient that provides an exemption to the disclosure requirement of the value assigned to performance obligations associated with contracts that were not complete as of April 1, 2018.</w:t>
      </w:r>
    </w:p>
    <w:p>
      <w:pPr>
        <w:spacing w:after="0" w:line="10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08"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 billed as of September 30, 2019 and March 31, 2019 includes $0.3 million and $0.7 million, respectively, which was not derived from contracts with customers and therefore not classified as a contract asset as defined by the new standards.</w:t>
      </w:r>
    </w:p>
    <w:p>
      <w:pPr>
        <w:spacing w:after="0" w:line="130"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Deferred revenue, current as of September 30, 2019 and March 31, 2019 includes $38 thousand and $48 thousand, respectively, of contract liabilities which represented consideration received from customers prior to the point that Orion has fulfilled the promises included in a performance obligation and recorded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 w:name="page13"/>
    <w:bookmarkEnd w:id="12"/>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March 31, 2019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820" w:type="dxa"/>
            <w:vAlign w:val="bottom"/>
            <w:tcBorders>
              <w:bottom w:val="single" w:sz="8" w:color="CFF0FC"/>
            </w:tcBorders>
          </w:tcPr>
          <w:p>
            <w:pPr>
              <w:spacing w:after="0"/>
              <w:rPr>
                <w:sz w:val="15"/>
                <w:szCs w:val="15"/>
                <w:color w:val="auto"/>
              </w:rPr>
            </w:pPr>
          </w:p>
        </w:tc>
        <w:tc>
          <w:tcPr>
            <w:tcW w:w="30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5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contract assets outside of standard reclassifications to Accounts receivable, net upon billing. There were no significant changes to contract liabilities.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As of September 30, 2019, and March 31, 2019, Orion's Accounts receivable and Allowance for doubtful accounts balances were as follows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8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2019, and March 31, 2019, Orion's Inventory balances were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Obsolescence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September 30, 2019</w:t>
            </w:r>
          </w:p>
        </w:tc>
        <w:tc>
          <w:tcPr>
            <w:tcW w:w="2140" w:type="dxa"/>
            <w:vAlign w:val="bottom"/>
            <w:tcBorders>
              <w:top w:val="single" w:sz="8" w:color="CFF0FC"/>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2019</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96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deferred financing costs, prepaid insurance premiums, sales tax receivable, prepaid license fees, purchase deposits, and advance payments to contractors.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2019, and March 31, 2019, Property and equipment, net, included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380" w:type="dxa"/>
            <w:vAlign w:val="bottom"/>
            <w:tcBorders>
              <w:bottom w:val="single" w:sz="8" w:color="CFF0FC"/>
            </w:tcBorders>
          </w:tcPr>
          <w:p>
            <w:pPr>
              <w:spacing w:after="0"/>
              <w:rPr>
                <w:sz w:val="15"/>
                <w:szCs w:val="15"/>
                <w:color w:val="auto"/>
              </w:rPr>
            </w:pPr>
          </w:p>
        </w:tc>
        <w:tc>
          <w:tcPr>
            <w:tcW w:w="24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2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(23,083)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(22,481)</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recorded depreciation expense of $0.3 and $0.6 million for the three and six months ended September 30, 2019 and $0.4 and $0.7 million for the three and six months ended September 30, 2018,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 Effective April 1, 2019, leases are accounted for, and reported upon, following the requirements of ASC 842, Leases. Previously, leases were accounted for, and reported upon, following the requirements of ASC 840, Leases.</w:t>
      </w:r>
    </w:p>
    <w:p>
      <w:pPr>
        <w:spacing w:after="0" w:line="122"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For Orion, the most significant difference between ASC 840 and ASC 842 is the requirement that it recognize right-of-use (“ROU”) assets and lease liabilities on the balance sheet whenever it leases assets from a third party. Previously, under ASC 840, only assets leased from third parties that meet certain requirements, referred to as finance leases, were recorded on Orion’s balance sheet. Previously, the financial impact of all other leases, referred to as operating leases, was limited to Orion’s results of operations.</w:t>
      </w:r>
    </w:p>
    <w:p>
      <w:pPr>
        <w:spacing w:after="0" w:line="126"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judgement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judgement are the lease term when the agreement includes renewal or termination options and the interest rate used when initially determining the ROU asset and lease liability.</w:t>
      </w:r>
    </w:p>
    <w:p>
      <w:pPr>
        <w:spacing w:after="0" w:line="134"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31"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recognizes lease expense for leases with an initial term of 12 months or less, referred to as short term leases, on a straight-line basis over the lease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4" w:name="page15"/>
    <w:bookmarkEnd w:id="14"/>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34"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from Other Parties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On March 31, 2016, Orion entered into a purchase and sale agreement with a third party to sell and leaseback Orion's primary manufacturing and distribution facility in Manitowoc, WI for gross cash proceeds of $2.6 million. The transaction closed on June 30, 2016. Pursuant to the Lease Agreement, Orion is leasing approximately 196,000 square feet with rent at $2.00 per square foot per annum. Orion's monthly payment under this lease is approximately $38 thousand. Orion is responsible for the costs of insurance and utilities for its portion of the facility. These costs are considered variable lease costs in the quantitative disclosures below. On March 22, 2018, both parties agreed to extend the lease until December 31, 2020 with no change in payment terms.</w:t>
      </w:r>
    </w:p>
    <w:p>
      <w:pPr>
        <w:spacing w:after="0" w:line="130"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lease agreement provides the lessor the right to terminate the lease agreement at any time with twelve months’ notice to Orion. As a result, the agreement is classified as a short-term lease.</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In February 2014, Orion entered into a multi-year lease agreement for use of approximately 10,500 square feet of office space in a multi-use office building in Jacksonville Florida. The lease has since been extended and presently terminates at June 30, 2020. The agreement was classified as an operating lease and represents the single largest operating asset established upon the adoption of ASC 842.</w:t>
      </w:r>
    </w:p>
    <w:p>
      <w:pPr>
        <w:spacing w:after="0" w:line="122"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has leased other assets from third parties, principally office and production equipment. The terms of our other leases vary from contract to contract and expire at various dates through 2020.</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570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40" w:type="dxa"/>
            <w:vAlign w:val="bottom"/>
          </w:tcPr>
          <w:p>
            <w:pPr>
              <w:spacing w:after="0"/>
              <w:rPr>
                <w:sz w:val="15"/>
                <w:szCs w:val="15"/>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tcBorders>
              <w:top w:val="single" w:sz="8" w:color="CFF0FC"/>
            </w:tcBorders>
            <w:shd w:val="clear" w:color="auto" w:fill="CFF0FC"/>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570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shd w:val="clear" w:color="auto" w:fill="CFF0FC"/>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70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70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3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had operating lease costs of $0.1 million and $0.3 million for the three and six months ended September 30, 2019.</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to Other Parties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5" w:name="page16"/>
    <w:bookmarkEnd w:id="15"/>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22"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Revenues, and production and acquisition costs, associated with sales-type leases are included in Product revenue and Costs of product revenues in the Condensed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26"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The following chart shows the amount of revenue and cost of sales arising from sales-type leases during the three and six months ended September 30, 2019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3"/>
        </w:trPr>
        <w:tc>
          <w:tcPr>
            <w:tcW w:w="7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56"/>
        </w:trPr>
        <w:tc>
          <w:tcPr>
            <w:tcW w:w="78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ind w:right="81"/>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ind w:right="81"/>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FF0FC"/>
            </w:tcBorders>
          </w:tcPr>
          <w:p>
            <w:pPr>
              <w:spacing w:after="0"/>
              <w:rPr>
                <w:sz w:val="13"/>
                <w:szCs w:val="13"/>
                <w:color w:val="auto"/>
              </w:rPr>
            </w:pPr>
          </w:p>
        </w:tc>
      </w:tr>
      <w:tr>
        <w:trPr>
          <w:trHeight w:val="237"/>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FF0FC"/>
          </w:tcPr>
          <w:p>
            <w:pPr>
              <w:spacing w:after="0"/>
              <w:rPr>
                <w:sz w:val="20"/>
                <w:szCs w:val="20"/>
                <w:color w:val="auto"/>
              </w:rPr>
            </w:pPr>
          </w:p>
        </w:tc>
      </w:tr>
      <w:tr>
        <w:trPr>
          <w:trHeight w:val="24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r>
    </w:tbl>
    <w:p>
      <w:pPr>
        <w:spacing w:after="0" w:line="19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Condensed Consolidated Balance Sheets as of September 30, 2019 and March 31, 2019 do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Agreements where Orion is the Lessor</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not material in the six months ended September 30, 2019. Orion accounts for these transactions as operating leases.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INTANGIBLE ASSETS, NET</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As of September 30, 2019, and March 31, 2019, the components of, and changes in, the carrying amount of Other intangible assets, net, were as follows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120" w:type="dxa"/>
            <w:vAlign w:val="bottom"/>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6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$0.1 million for the three months ended September 30, 2019 and 2018. Amortization expense on intangible assets was $0.2 million for the six months ended September 30, 2019 and 2018.</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2019, the weighted average remaining useful life of intangible assets was 4.8 years.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color w:val="auto"/>
        </w:rPr>
        <w:t>The estimated amortization expense for the remainder of fiscal 2020, the next five fiscal years and beyond is shown below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2020 (period remaining)</w:t>
            </w:r>
          </w:p>
        </w:tc>
        <w:tc>
          <w:tcPr>
            <w:tcW w:w="80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2022</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EXPENSES AND OTHER</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2019, and March 31, 2019, Accrued expenses and other included the following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8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Sales tax</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returns reserve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 due to customers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501"/>
        <w:spacing w:after="0" w:line="266" w:lineRule="auto"/>
        <w:rPr>
          <w:sz w:val="20"/>
          <w:szCs w:val="20"/>
          <w:color w:val="auto"/>
        </w:rPr>
      </w:pPr>
      <w:r>
        <w:rPr>
          <w:rFonts w:ascii="Times New Roman" w:cs="Times New Roman" w:eastAsia="Times New Roman" w:hAnsi="Times New Roman"/>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chips and drivers, control devices, and other fixture related items, which are significant components in Orion's lighting products.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1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on adoption of ASC 606</w:t>
            </w: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w:t>
            </w:r>
          </w:p>
        </w:tc>
        <w:tc>
          <w:tcPr>
            <w:tcW w:w="1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8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11 — NET INCOME (LOSS) PER COMMON SHARE</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2018, Orion was in a net loss position; therefore, the Basic and Diluted weighted-average shares outstanding are equal because any increase to the basic shares would be anti-dilutive. Basic and Diluted net income (loss) per common share was calculated based upon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 thousands)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30,189,067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29,488,363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29,957,541</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29,280,421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shares and common share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30,830,381</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29,488,363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30,757,863</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29,280,421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4"/>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income (loss) per common share because their inclusion would have been anti-dilutive. The number of shares are as of the end of each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FF0FC"/>
            </w:tcBorders>
          </w:tcPr>
          <w:p>
            <w:pPr>
              <w:spacing w:after="0"/>
              <w:rPr>
                <w:sz w:val="15"/>
                <w:szCs w:val="15"/>
                <w:color w:val="auto"/>
              </w:rPr>
            </w:pPr>
          </w:p>
        </w:tc>
        <w:tc>
          <w:tcPr>
            <w:tcW w:w="1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1,850,514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5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(dollars in thousands):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FF0FC"/>
            </w:tcBorders>
          </w:tcPr>
          <w:p>
            <w:pPr>
              <w:spacing w:after="0"/>
              <w:rPr>
                <w:sz w:val="15"/>
                <w:szCs w:val="15"/>
                <w:color w:val="auto"/>
              </w:rPr>
            </w:pPr>
          </w:p>
        </w:tc>
        <w:tc>
          <w:tcPr>
            <w:tcW w:w="1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Equipment debt obligations</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501"/>
        <w:spacing w:after="0" w:line="254" w:lineRule="auto"/>
        <w:rPr>
          <w:sz w:val="20"/>
          <w:szCs w:val="20"/>
          <w:color w:val="auto"/>
        </w:rPr>
      </w:pPr>
      <w:r>
        <w:rPr>
          <w:rFonts w:ascii="Times New Roman" w:cs="Times New Roman" w:eastAsia="Times New Roman" w:hAnsi="Times New Roman"/>
          <w:sz w:val="18"/>
          <w:szCs w:val="18"/>
          <w:color w:val="auto"/>
        </w:rPr>
        <w:t>On October 26, 2018, Orion and its subsidiaries entered into a new secured revolving Business Financing Agreement with Western Alliance Bank, as lender (the “Credit Agreement”). The Credit Agreement replaced Orion’s existing Credit Agreement. On June 3, 2019, Orion and certain of its subsidiaries entered into an amendment (the “First Amendment”) to the Credit Agreement. The First Amendment amended the Credit Agreement to increase the maximum borrowing base credit available for certain of the customer receivables included in Orion’s borrowing base and to provide for a borrowing base credit of up to $3.0 million based on inventory, in each case, subject to certain conditions. On August 2, 2019, Orion and certain of its subsidiaries entered into an amendment (the “Second Amendment”) to the Credit Agreement. The Second Amendment amended the Credit Agreement to establish a rent reserve in an amount equal to three months’ rent payable at any leased location where Orion maintains inventory included in its borrowing base and to provide for a reduction of the borrowing base credit that Orion may receive for inventory if Orion defaults under the lease for any such location. As of September 30, 2019, this rent reserve equaled $0.1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8" w:name="page19"/>
    <w:bookmarkEnd w:id="18"/>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two-year revolving credit facility (the “Credit Facility”) that matures on October 26, 2020. Borrowings under the Credit Facility are currently limited to $20.15 million, subject to a borrowing base requirement based on eligible receivables and inventory. The Credit Agreement includes a $2.0 million sublimit for the issuance of letters of credit. As of September 30, 2019, Orion’s borrowing base was $20.0 million, and Orion had $3.8 million in borrowings outstanding which were included in non-current liabilities in the accompanying Condensed Consolidated Balance Sheets. Orion had no outstanding letters of credit leaving additional borrowing availability of $16.2 million.</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security interest in substantially all of Orion's and its subsidiaries’ personal property.</w:t>
      </w:r>
    </w:p>
    <w:p>
      <w:pPr>
        <w:spacing w:after="0" w:line="171"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generally bear interest at floating rates based upon the prime rate (but not less than 5.00% per year) plus an applicable margin determined by reference to Orion’s quick ratio (defined as the aggregate amount of unrestricted cash, unrestricted marketable securities and, with certain adjustments, receivables convertible into cash divided by total current liabilities, including the obligations under the Credit Agreement). As of September 30, 2019, the applicable interest rate was 6.0%. Among other fees, Orion is required to pay an annual facility fee equal to 0.45% of the credit limit under the Credit Agreement, which was paid at commencement (October 26, 2018) and is due on each anniversary thereof.</w:t>
      </w:r>
    </w:p>
    <w:p>
      <w:pPr>
        <w:spacing w:after="0" w:line="130"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Credit Agreement requires Orion to maintain nine months’ of “RML” as of the end of each month. For purposes of the Credit Agreement, RML is defined as, as of the applicable determination date, unrestricted cash on deposit with Western Alliance Bank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September 30, 2019, Orion was in compliance with this RML requirement.</w:t>
      </w:r>
    </w:p>
    <w:p>
      <w:pPr>
        <w:spacing w:after="0" w:line="130"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Western Alliance Bank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Debt Obligations</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In June 2015, Orion entered into an agreement with a financing company in the principal amount of $0.4 million to fund the purchase of certain equipment. The debt is secured by the related equipment. The debt bears interest at a rate of 5.94% and matures in June 2020.</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respectively, and both debts mature in January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Equipment Finance Notes Payable</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In December 2014, Orion entered into a secured borrowing agreement with a financing company in the principal amount of $0.4 million to fund completed customer contracts under its Orion Throughput Agreement (“OTA”) finance program that were previously funded under a different OTA credit agreement. The loan amount was secured by the OTA-related equipment and the expected future monthly payments under the supporting 25 individual OTA customer contracts. The borrowing agreement bore an interest rate of 8.36% and matured in April 2018.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Orion’s income tax provision was determined by applying an estimated annual effective tax rate based upon the facts and circumstances known to book income/loss before income tax, adjusting for discrete items. Orion’s actual effective tax rate is adjusted each interim period, as appropriate, for changes in facts and circumstances. For the three-month period ended September 30, 2019 and 2018, Orion recorded income tax expense of $19 thousand and $4 thousand, respectively, using this methodology. For the six-month period ended September 30, 2019 and 2018, Orion recorded income tax expense of $27 thousand and $26 thousand, respectively, using this methodology.</w:t>
      </w:r>
    </w:p>
    <w:p>
      <w:pPr>
        <w:spacing w:after="0" w:line="130"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As of September 30, 2019 and March 31, 2019 Orion had a full valuation allowance recorded against its deferred tax assets. Orion considers future taxable income and ongoing prudent and feasible tax planning strategies in assessing the need for the valuation allowance. In the event that Orion determines that the deferred tax assets are able to be realized, an adjustment to the valuation allowance would increase income in the period such determination is made.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As of September 30, 2019, Orion’s balance of gross unrecognized tax benefits was approximately $0.1 million, all of which would reduce Orion’s effective tax rate if recognized.</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firstLine="501"/>
        <w:spacing w:after="0" w:line="275"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Condensed Consolidated Balance Sheets, statements of operations, or liquidity.</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During fiscal 2019, Orion was notified of a pending sales and use tax audit by the California Department of Tax and Fee Administration for the period covering April 1, 2015 through March 31, 2018. During the quarter, the sales and use tax audit was finalized. The ultimate disposition of this matter did not have a material adverse effect on the Orion's Condensed Consolidated Balance Sheets, statements of operations,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w:t>
      </w:r>
    </w:p>
    <w:p>
      <w:pPr>
        <w:spacing w:after="0" w:line="175" w:lineRule="exact"/>
        <w:rPr>
          <w:sz w:val="20"/>
          <w:szCs w:val="20"/>
          <w:color w:val="auto"/>
        </w:rPr>
      </w:pPr>
    </w:p>
    <w:p>
      <w:pPr>
        <w:jc w:val="both"/>
        <w:ind w:right="20" w:firstLine="501"/>
        <w:spacing w:after="0" w:line="266" w:lineRule="auto"/>
        <w:rPr>
          <w:sz w:val="20"/>
          <w:szCs w:val="20"/>
          <w:color w:val="auto"/>
        </w:rPr>
      </w:pPr>
      <w:r>
        <w:rPr>
          <w:rFonts w:ascii="Times New Roman" w:cs="Times New Roman" w:eastAsia="Times New Roman" w:hAnsi="Times New Roman"/>
          <w:sz w:val="18"/>
          <w:szCs w:val="18"/>
          <w:color w:val="auto"/>
        </w:rPr>
        <w:t>On January 3, 2019, Orion entered into Amendment No. 1 to the Rights Agreement, which amended the Rights Agreement dated as of January 7, 2009. Under the amendment, each common share purchase right (a “Right”), if exercisable, will initially represent the right to purchase from Orion, one share of Orion’s common stock, no par value per share, for a purchase price of $7.00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0"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If a person becomes an Acquiring Person, holders of Rights (except as otherwise provided in the Rights Agreement) will have the right to purchase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purchase that number of shares of the acquiring company’s common stock which at the time of such transaction will have a market value of two times the then-current purchase price.</w:t>
      </w:r>
    </w:p>
    <w:p>
      <w:pPr>
        <w:spacing w:after="0" w:line="134"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In the three months ended September 30, 2019, Orion issued 570 shares under the ESPP plan at a closing market price of $2.85.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8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6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280" w:type="dxa"/>
            <w:vAlign w:val="bottom"/>
            <w:tcBorders>
              <w:bottom w:val="single" w:sz="8" w:color="CFF0FC"/>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June 30, 2019</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Quarter Ended September 30, 2019</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0" w:type="dxa"/>
            <w:vAlign w:val="bottom"/>
            <w:tcBorders>
              <w:bottom w:val="single" w:sz="8" w:color="CFF0FC"/>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issued in fiscal 2020</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0" w:type="dxa"/>
            <w:vAlign w:val="bottom"/>
            <w:tcBorders>
              <w:bottom w:val="single" w:sz="8" w:color="CFF0FC"/>
            </w:tcBorders>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$ 2.85 - 2.97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 OPTIONS AND RESTRICTED SHARES</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0"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2"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Prior to the 2016 Omnibus Incentive Plan, the Company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1" w:name="page22"/>
    <w:bookmarkEnd w:id="21"/>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amounts of stock-based compensation were recorded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1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9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2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6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76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first six months of fiscal 2020, Orion had the following activity related to its stock-based compensation: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2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1,312,593</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268,468</w:t>
            </w:r>
          </w:p>
        </w:tc>
        <w:tc>
          <w:tcPr>
            <w:tcW w:w="2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vested or exercised</w:t>
            </w:r>
          </w:p>
        </w:tc>
        <w:tc>
          <w:tcPr>
            <w:tcW w:w="2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(647,192)</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(15,150)</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(14,583)</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outstanding at September 30, 2019</w:t>
            </w:r>
          </w:p>
        </w:tc>
        <w:tc>
          <w:tcPr>
            <w:tcW w:w="2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918,719</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2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As of September 30, 2019, the amount of deferred stock-based compensation expense to be recognized, over a remaining period of 1.6 years, was approximately $1.3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Engineered Systems Division</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Distribution Services Division</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The ODS segment focuses on selling lighting products through manufacturer representative agencies and a network of North American broadline electrical distributors and contractors.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U.S. Markets Division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 USM segment sells commercial lighting systems and energy management systems to the wholesale contractor markets. USM customers include ESCOs and contractors.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420"/>
          </w:cols>
          <w:pgMar w:left="240" w:top="590" w:right="239" w:bottom="1440" w:gutter="0" w:footer="0" w:header="0"/>
        </w:sectPr>
      </w:pPr>
    </w:p>
    <w:p>
      <w:pPr>
        <w:spacing w:after="0" w:line="23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7620</wp:posOffset>
            </wp:positionV>
            <wp:extent cx="16205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wp:posOffset>
            </wp:positionV>
            <wp:extent cx="1620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8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7620</wp:posOffset>
            </wp:positionV>
            <wp:extent cx="16294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wp:posOffset>
            </wp:positionV>
            <wp:extent cx="16294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60"/>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1" w:lineRule="exact"/>
        <w:rPr>
          <w:sz w:val="20"/>
          <w:szCs w:val="20"/>
          <w:color w:val="auto"/>
        </w:rPr>
      </w:pPr>
    </w:p>
    <w:p>
      <w:pPr>
        <w:sectPr>
          <w:pgSz w:w="11900" w:h="16838" w:orient="portrait"/>
          <w:cols w:equalWidth="0" w:num="2">
            <w:col w:w="8400" w:space="720"/>
            <w:col w:w="230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260" w:type="dxa"/>
            <w:vAlign w:val="bottom"/>
          </w:tcPr>
          <w:p>
            <w:pPr>
              <w:spacing w:after="0"/>
              <w:rPr>
                <w:sz w:val="19"/>
                <w:szCs w:val="19"/>
                <w:color w:val="auto"/>
              </w:rPr>
            </w:pP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(983)</w:t>
            </w:r>
          </w:p>
        </w:tc>
      </w:tr>
      <w:tr>
        <w:trPr>
          <w:trHeight w:val="223"/>
        </w:trPr>
        <w:tc>
          <w:tcPr>
            <w:tcW w:w="59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0" w:right="239" w:bottom="1440" w:gutter="0" w:footer="0" w:header="0"/>
          <w:type w:val="continuous"/>
        </w:sectPr>
      </w:pPr>
    </w:p>
    <w:p>
      <w:pPr>
        <w:spacing w:after="0" w:line="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7620</wp:posOffset>
            </wp:positionV>
            <wp:extent cx="1620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wp:posOffset>
            </wp:positionV>
            <wp:extent cx="16205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638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7620</wp:posOffset>
            </wp:positionV>
            <wp:extent cx="16294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-3175</wp:posOffset>
            </wp:positionV>
            <wp:extent cx="16294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1" w:lineRule="exact"/>
        <w:rPr>
          <w:sz w:val="20"/>
          <w:szCs w:val="20"/>
          <w:color w:val="auto"/>
        </w:rPr>
      </w:pPr>
    </w:p>
    <w:p>
      <w:pPr>
        <w:sectPr>
          <w:pgSz w:w="11900" w:h="16838" w:orient="portrait"/>
          <w:cols w:equalWidth="0" w:num="2">
            <w:col w:w="8460" w:space="720"/>
            <w:col w:w="224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Engineered Systems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260" w:type="dxa"/>
            <w:vAlign w:val="bottom"/>
          </w:tcPr>
          <w:p>
            <w:pPr>
              <w:spacing w:after="0"/>
              <w:rPr>
                <w:sz w:val="19"/>
                <w:szCs w:val="19"/>
                <w:color w:val="auto"/>
              </w:rPr>
            </w:pP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(1,977)</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r>
      <w:tr>
        <w:trPr>
          <w:trHeight w:val="223"/>
        </w:trPr>
        <w:tc>
          <w:tcPr>
            <w:tcW w:w="59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23" w:name="page24"/>
    <w:bookmarkEnd w:id="23"/>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501"/>
        <w:spacing w:after="0" w:line="254" w:lineRule="auto"/>
        <w:rPr>
          <w:sz w:val="20"/>
          <w:szCs w:val="20"/>
          <w:color w:val="auto"/>
        </w:rPr>
      </w:pPr>
      <w:r>
        <w:rPr>
          <w:rFonts w:ascii="Times New Roman" w:cs="Times New Roman" w:eastAsia="Times New Roman" w:hAnsi="Times New Roman"/>
          <w:sz w:val="18"/>
          <w:szCs w:val="18"/>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2019.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wireless Internet of Things (“IoT”) enabled control solutions, project engineering and design and energy project management. We research, design, develop, manufacture, market, sell, install,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0"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Our principal customers include large national account end-users, electrical distributors and energy service companies ("ESCOs"). A substantial amount of our products are manufactured at our leased production facility located in Manitowoc, Wisconsin. In addition, certain products and components are sourced from third parties in order to provide versatility in our product development and portfolio.</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have significant experience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2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believe the market for LED lighting products and related services continues to grow. Due to their size and flexibility in application, we also believe that LED lighting systems can address opportunities for retrofit applications that cannot be satisfied by other lighting technologies. Our LED lighting technologies and related services have become the primary component of our revenue as we continue to strive to be a leader in the LED market.</w:t>
      </w:r>
    </w:p>
    <w:p>
      <w:pPr>
        <w:spacing w:after="0" w:line="122"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We generally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 w:name="page25"/>
    <w:bookmarkEnd w:id="24"/>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as well as project management services. We also sell our lighting systems on a wholesale basis, principally to electrical distributors and ESCOs to sell to their own customer bases.</w:t>
      </w:r>
    </w:p>
    <w:p>
      <w:pPr>
        <w:spacing w:after="0" w:line="122" w:lineRule="exact"/>
        <w:rPr>
          <w:sz w:val="20"/>
          <w:szCs w:val="20"/>
          <w:color w:val="auto"/>
        </w:rPr>
      </w:pPr>
    </w:p>
    <w:p>
      <w:pPr>
        <w:jc w:val="both"/>
        <w:ind w:right="20" w:firstLine="501"/>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22" w:lineRule="exact"/>
        <w:rPr>
          <w:sz w:val="20"/>
          <w:szCs w:val="20"/>
          <w:color w:val="auto"/>
        </w:rPr>
      </w:pPr>
    </w:p>
    <w:p>
      <w:pPr>
        <w:jc w:val="both"/>
        <w:ind w:right="20" w:firstLine="501"/>
        <w:spacing w:after="0" w:line="261" w:lineRule="auto"/>
        <w:rPr>
          <w:sz w:val="20"/>
          <w:szCs w:val="20"/>
          <w:color w:val="auto"/>
        </w:rPr>
      </w:pPr>
      <w:r>
        <w:rPr>
          <w:rFonts w:ascii="Times New Roman" w:cs="Times New Roman" w:eastAsia="Times New Roman" w:hAnsi="Times New Roman"/>
          <w:sz w:val="18"/>
          <w:szCs w:val="18"/>
          <w:color w:val="auto"/>
        </w:rPr>
        <w:t>Our fiscal year ends on March 31. We refer to our current fiscal year which will end on March 31, 2020 as "fiscal 2020". We refer to our most recently completed fiscal year, which ended on March 31, 2019, as “fiscal 2019”, and our prior fiscal year which ended on March 31, 2018 as "fiscal 2018". Our fiscal first quarter of each fiscal year ends on June 30, our fiscal second quarter ends on September 30, our fiscal third quarter ends on December 31, and our fiscal fourth quarter ends on March 31.</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Orion Distribution Services Division ("ODS"), and Orion U.S. Markets Division ("USM").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During fiscal 2019, we signed a series of contracts to retrofit multiple locations for a major national account customer with our state-of-the-art LED lighting systems and wireless IoT enabled control solutions at locations nationwide. We currently expect total revenue from the customer to be approximately $110 million, dependent on purchase orders, a significant amount of which we expect to be recognized during fiscal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Outlook</w:t>
      </w:r>
    </w:p>
    <w:p>
      <w:pPr>
        <w:spacing w:after="0" w:line="175"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We remain optimistic about our near-term and long-term financial performance. Our ability to achieve our desired revenue growth and profitability goals depends on our ability to effectively execute on the following key strategic initiatives:</w:t>
      </w:r>
    </w:p>
    <w:p>
      <w:pPr>
        <w:spacing w:after="0" w:line="106"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Focus on executing and marketing our turnkey LED retrofit capabilities to large national account customers. </w:t>
      </w:r>
      <w:r>
        <w:rPr>
          <w:rFonts w:ascii="Times New Roman" w:cs="Times New Roman" w:eastAsia="Times New Roman" w:hAnsi="Times New Roman"/>
          <w:sz w:val="18"/>
          <w:szCs w:val="18"/>
          <w:color w:val="auto"/>
        </w:rPr>
        <w:t>We believe one of our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advantages is our ability 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resulted in contracts to retrofit multiple locations for multiple national account customers. We believe that these contracts will help lead our growth momentum for fiscal 2020 and beyond. We also see the potential for maintenance and electrical services to be a component of our recurring revenue going forward as our customers recognize our ability to first deliver turnkey installations and then provide maintenance and other electrical services to their facilities.</w:t>
      </w:r>
    </w:p>
    <w:p>
      <w:pPr>
        <w:spacing w:after="0" w:line="129" w:lineRule="exact"/>
        <w:rPr>
          <w:sz w:val="20"/>
          <w:szCs w:val="20"/>
          <w:color w:val="auto"/>
        </w:rPr>
      </w:pPr>
    </w:p>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Support success of our ESCO and agent-driven distribution sales channels. </w:t>
      </w:r>
      <w:r>
        <w:rPr>
          <w:rFonts w:ascii="Times New Roman" w:cs="Times New Roman" w:eastAsia="Times New Roman" w:hAnsi="Times New Roman"/>
          <w:sz w:val="18"/>
          <w:szCs w:val="18"/>
          <w:color w:val="auto"/>
        </w:rPr>
        <w:t>We continue to focus on building our relationships and product 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20"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i w:val="1"/>
          <w:iCs w:val="1"/>
          <w:color w:val="auto"/>
        </w:rPr>
        <w:t>Continued Product Innovation</w:t>
      </w:r>
      <w:r>
        <w:rPr>
          <w:rFonts w:ascii="Times New Roman" w:cs="Times New Roman" w:eastAsia="Times New Roman" w:hAnsi="Times New Roman"/>
          <w:sz w:val="18"/>
          <w:szCs w:val="18"/>
          <w:color w:val="auto"/>
        </w:rPr>
        <w:t>. We continue to innovate, developing lighting fixtures and features that address specific customer requirements,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working to maintain a leadership position in energy efficiency, smart product design and installation benefits.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5" w:name="page26"/>
    <w:bookmarkEnd w:id="25"/>
    <w:p>
      <w:pPr>
        <w:jc w:val="both"/>
        <w:ind w:firstLine="501"/>
        <w:spacing w:after="0" w:line="261" w:lineRule="auto"/>
        <w:rPr>
          <w:sz w:val="20"/>
          <w:szCs w:val="20"/>
          <w:color w:val="auto"/>
        </w:rPr>
      </w:pPr>
      <w:r>
        <w:rPr>
          <w:rFonts w:ascii="Times New Roman" w:cs="Times New Roman" w:eastAsia="Times New Roman" w:hAnsi="Times New Roman"/>
          <w:sz w:val="18"/>
          <w:szCs w:val="18"/>
          <w:i w:val="1"/>
          <w:iCs w:val="1"/>
          <w:color w:val="auto"/>
        </w:rPr>
        <w:t>Leveraging of our Smart Lighting Systems to Support Internet of Things Applications</w:t>
      </w:r>
      <w:r>
        <w:rPr>
          <w:rFonts w:ascii="Times New Roman" w:cs="Times New Roman" w:eastAsia="Times New Roman" w:hAnsi="Times New Roman"/>
          <w:sz w:val="18"/>
          <w:szCs w:val="18"/>
          <w:color w:val="auto"/>
        </w:rPr>
        <w:t>. We believe we are ideally positioned to help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efficiently deploy new IoT controls and applications by leveraging the “Smart Ceiling” capabilities of our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w:t>
      </w:r>
    </w:p>
    <w:p>
      <w:pPr>
        <w:spacing w:after="0" w:line="126"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Managing Impacts of Tariffs and Trade Policies. </w:t>
      </w:r>
      <w:r>
        <w:rPr>
          <w:rFonts w:ascii="Times New Roman" w:cs="Times New Roman" w:eastAsia="Times New Roman" w:hAnsi="Times New Roman"/>
          <w:sz w:val="18"/>
          <w:szCs w:val="18"/>
          <w:color w:val="auto"/>
        </w:rPr>
        <w:t>There continues to be a great amount of debate regarding a wide range of policy options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monetary, regulatory, and trade, amongst others, that the U.S. federal government has and may pursue, including the imposition of tariffs on certain imports. Certain sourced finished products and certain of the components used in our products are impacted by the imposed tariffs on imports from certain countries. Our efforts to mitigate the impact of added costs include a variety of activities, such as sourcing from non-tariff impacted countries, value engineering our products to reduce cost and raising prices.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2019 versus Three Months Ended September 30, 2018</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206.9%</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73.6%</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266.1%</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648.9%</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403.2%</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vMerge w:val="continue"/>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6"/>
              </w:rPr>
              <w:t>NM</w:t>
            </w:r>
          </w:p>
        </w:tc>
        <w:tc>
          <w:tcPr>
            <w:tcW w:w="36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20" w:type="dxa"/>
            <w:vAlign w:val="bottom"/>
            <w:vMerge w:val="continue"/>
          </w:tcPr>
          <w:p>
            <w:pPr>
              <w:spacing w:after="0"/>
              <w:rPr>
                <w:sz w:val="19"/>
                <w:szCs w:val="19"/>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NM</w:t>
            </w:r>
          </w:p>
        </w:tc>
        <w:tc>
          <w:tcPr>
            <w:tcW w:w="360" w:type="dxa"/>
            <w:vAlign w:val="bottom"/>
            <w:vMerge w:val="continue"/>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375.0%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vMerge w:val="continue"/>
          </w:tcPr>
          <w:p>
            <w:pPr>
              <w:spacing w:after="0"/>
              <w:rPr>
                <w:sz w:val="19"/>
                <w:szCs w:val="19"/>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NM</w:t>
            </w:r>
          </w:p>
        </w:tc>
        <w:tc>
          <w:tcPr>
            <w:tcW w:w="360" w:type="dxa"/>
            <w:vAlign w:val="bottom"/>
            <w:vMerge w:val="continue"/>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52"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increased 206.9%, or $24.0 million, for the second quarter of fiscal 2020 versus the second quarter of fiscal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product revenue was the result of higher sales volume through our national account channel, and almost exclusively the result of a major retrofit project for multiple locations for one of our national account customers. Service revenue increased 692.9%, or $11.1 million, due to higher sales volume through our national account channel for the major retrofit project for one customer and the timing of those project installations. In the second quarter of fiscal 2020, sales to this one national account customer represented 81.1% of our total revenue. Total revenue increased by 266.1%, or $35.1 million, due to the items discussed above.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6" w:name="page27"/>
    <w:bookmarkEnd w:id="26"/>
    <w:p>
      <w:pPr>
        <w:jc w:val="both"/>
        <w:ind w:firstLine="5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increased 176.3%, or $16.5 million, in the second quarter of fiscal 2020 versus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2019 due to the significant increase in our sales. Cost of service revenue increased 648.9% or $8.4 million, in the second quarter of fiscal 2020 versus the second quarter of fiscal 2019 due to the increase in sales. Gross margin increased from 19.3% of revenue in fiscal 2019 to 26.5% in fiscal 2020, due to our higher sales levels covering fixed costs.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11.5%, or $0.3 million in the second quarter of fiscal 2020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of fiscal 2019, primarily due to higher bonus and employment costs.</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36.7%, or $0.8 million, in the second quarter of fiscal 2020 compared to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2019. This comparative increase was primarily due to an increase in commission expense on higher sales and higher employment costs.</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 the second quarter of fiscal 2020 remained relatively flat compared to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2019.</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in the second quarter of fiscal 2020 primarily represented product royalties received from licensing agreements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the second quarter of fiscal 2020 decreased by 48.5%, or $0.1 million, from the second quarter of fiscal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interest expense was primarily due to fewer sales of receivables in the second quarter of fiscal 2020 compared to the second quarter of fiscal 2019.</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debt issue costs</w:t>
      </w:r>
      <w:r>
        <w:rPr>
          <w:rFonts w:ascii="Times New Roman" w:cs="Times New Roman" w:eastAsia="Times New Roman" w:hAnsi="Times New Roman"/>
          <w:sz w:val="18"/>
          <w:szCs w:val="18"/>
          <w:color w:val="auto"/>
        </w:rPr>
        <w:t>. Amortization of debt issue costs in the second quarter of fiscal 2020 increased by $0.1 million from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2019. The increase in amortization of debt issue costs was due to the execution of our credit agreement.</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 the second quarter of fiscal 2020 remained relatively flat compared to the second quarter of fiscal 2019.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relates to interest earned on sweep bank accounts.</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375.0%, or $15 thousand, in the second quarter of fiscal 2020 compared to the second quarter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Our income tax expense is due primarily to minimum state tax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Engineered Systems Division</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OES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242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CFF0FC"/>
            </w:tcBorders>
          </w:tcPr>
          <w:p>
            <w:pPr>
              <w:spacing w:after="0"/>
              <w:rPr>
                <w:sz w:val="15"/>
                <w:szCs w:val="15"/>
                <w:color w:val="auto"/>
              </w:rPr>
            </w:pPr>
          </w:p>
        </w:tc>
        <w:tc>
          <w:tcPr>
            <w:tcW w:w="242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42,306</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723.9%</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4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340" w:type="dxa"/>
            <w:vAlign w:val="bottom"/>
          </w:tcPr>
          <w:p>
            <w:pPr>
              <w:spacing w:after="0"/>
              <w:rPr>
                <w:sz w:val="19"/>
                <w:szCs w:val="19"/>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(724)</w:t>
            </w: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95"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OES segment revenue in the second quarter of fiscal 2020 was $42.3 million, an increase of $37.2 million from the second quarter of fiscal 2019, as a result of the increase in volume of turnkey projects to one large national account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7" w:name="page28"/>
    <w:bookmarkEnd w:id="27"/>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OES segment operating income in the second quarter of fiscal 2020 was $7.8 million, an increase of $8.6 million from an operating loss of $0.7 million in the second quarter of fiscal 2019. The increase in the segment’s operating income was the result of higher sales in this segment, resulting in improved operating leverage.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Our ODS segment focuses on selling lighting products through manufacturer representative agencies and a network of North American broadline and electrical distributors and contractors.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00" w:type="dxa"/>
            <w:vAlign w:val="bottom"/>
            <w:tcBorders>
              <w:bottom w:val="single" w:sz="8" w:color="CFF0FC"/>
            </w:tcBorders>
          </w:tcPr>
          <w:p>
            <w:pPr>
              <w:spacing w:after="0"/>
              <w:rPr>
                <w:sz w:val="15"/>
                <w:szCs w:val="15"/>
                <w:color w:val="auto"/>
              </w:rPr>
            </w:pPr>
          </w:p>
        </w:tc>
        <w:tc>
          <w:tcPr>
            <w:tcW w:w="260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4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(931)</w:t>
            </w:r>
          </w:p>
        </w:tc>
        <w:tc>
          <w:tcPr>
            <w:tcW w:w="3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9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ODS segment revenue decreased in the second quarter of fiscal 2020 by 20.9%, or $1.0 million, compared to the second quarter of fiscal 2019, primarily due to a decrease in sales volume through our distribution channel.</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ODS segment operating loss in the second quarter of fiscal 2020 was $(0.1 million), a decrease of $0.8 million from an operating loss of $(0.9 million) in the second quarter of fiscal 2019. The decrease in the operating loss in the second quarter of fiscal 2020 as compared to the second quarter of fiscal 2019 was due to lower operating costs on lower employment expenses and commissions.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Our USM segment sells commercial lighting systems and energy management systems to the wholesale contractor markets. USM customers include ESCOs and contractors.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40" w:type="dxa"/>
            <w:vAlign w:val="bottom"/>
          </w:tcPr>
          <w:p>
            <w:pPr>
              <w:spacing w:after="0"/>
              <w:rPr>
                <w:sz w:val="19"/>
                <w:szCs w:val="19"/>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95" w:lineRule="exact"/>
        <w:rPr>
          <w:sz w:val="20"/>
          <w:szCs w:val="20"/>
          <w:color w:val="auto"/>
        </w:rPr>
      </w:pPr>
    </w:p>
    <w:p>
      <w:pPr>
        <w:ind w:right="20" w:firstLine="501"/>
        <w:spacing w:after="0" w:line="282" w:lineRule="auto"/>
        <w:rPr>
          <w:sz w:val="20"/>
          <w:szCs w:val="20"/>
          <w:color w:val="auto"/>
        </w:rPr>
      </w:pPr>
      <w:r>
        <w:rPr>
          <w:rFonts w:ascii="Times New Roman" w:cs="Times New Roman" w:eastAsia="Times New Roman" w:hAnsi="Times New Roman"/>
          <w:sz w:val="18"/>
          <w:szCs w:val="18"/>
          <w:color w:val="auto"/>
        </w:rPr>
        <w:t>USM segment revenue decreased from the second quarter of fiscal 2019 by 32.2 %, or $1.0 million. The decrease in revenue during the second quarter of fiscal 2020 compared to the second quarter of fiscal 2019 was due to a decrease in sales volume through the sales channel.</w:t>
      </w:r>
    </w:p>
    <w:p>
      <w:pPr>
        <w:spacing w:after="0" w:line="108"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USM segment operating income for the second quarter of fiscal 2020 was $0.3 million, a decrease of $0.1 million compared to the second quarter of fiscal 2019. The decrease from the second quarter of fiscal 2019 was due primarily to the decrease in sales volume.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September 30, 2019 versus Six Months Ended September 30, 2018</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0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6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769.1%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235.7%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828.2%</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21,022</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284.7%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2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325.9%</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220" w:type="dxa"/>
            <w:vAlign w:val="bottom"/>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20" w:type="dxa"/>
            <w:vAlign w:val="bottom"/>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52"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increased 178.3%, or $43.5 million, for the first six month of fiscal 2020 versus the first six month of fiscal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product revenue was the result of higher sales volume through our national account channel, and exclusively the result of a major retrofit project for multiple locations for one of our national account customers. Service revenue increased 769.1%, or $20.2 million, due to higher sales volume through our national account channel for the major retrofit project for one customer and the timing of those project installations. In the first six months of fiscal 2020, sales to this one national account customer represented 79.2% of our total revenue. Total revenue increased by 235.7%, or $63.7 million, due to the items discussed above.</w:t>
      </w:r>
    </w:p>
    <w:p>
      <w:pPr>
        <w:spacing w:after="0" w:line="129"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increased 160.3%, or $30.6 million, in the first six months of fiscal 2020 versus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of fiscal 2019 due to the increase in sales. Cost of service revenue increased 828.2% or $16.0 million, in the first six months of fiscal 2020 versus the first six months of fiscal 2019 due to the increase in sales. Gross margin increased from 22.2% of revenue in fiscal 2019 to 25.4% in fiscal 2020, due to our higher sales levels covering fixed costs.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3.7%, or $0.2 million, in the first six months of fiscal 2020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six months of fiscal 2019, primarily due to higher bonus and employment costs, partially offset by lower consulting and legal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19.3%, or $0.9 million, in the first six months of fiscal 2020 compared to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fiscal 2019. The comparative increase was primarily due to an increase in commission expense on higher sales and higher employment costs.</w:t>
      </w:r>
    </w:p>
    <w:p>
      <w:pPr>
        <w:spacing w:after="0" w:line="104" w:lineRule="exact"/>
        <w:rPr>
          <w:sz w:val="20"/>
          <w:szCs w:val="20"/>
          <w:color w:val="auto"/>
        </w:rPr>
      </w:pPr>
    </w:p>
    <w:p>
      <w:pPr>
        <w:jc w:val="both"/>
        <w:ind w:right="20"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5.5%, or $42 thousand, in the first six months of fiscal 2020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six months of fiscal 2019. The increase was primarily due to higher employment costs.</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in the first six months of fiscal 2020 primarily represented product royalties received from licensing agreements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w:t>
      </w:r>
    </w:p>
    <w:p>
      <w:pPr>
        <w:spacing w:after="0" w:line="104" w:lineRule="exact"/>
        <w:rPr>
          <w:sz w:val="20"/>
          <w:szCs w:val="20"/>
          <w:color w:val="auto"/>
        </w:rPr>
      </w:pPr>
    </w:p>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the first six months of fiscal 2020 decreased by 13.6%, or $35 thousand, from the first six months of fiscal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interest expense in the first six months of fiscal 2020 as compared to the first six months of fiscal 2019 was due primarily to fewer sales of receivables partially offset by higher interest expense of increased borrowings under our revolving credit agreement.</w:t>
      </w:r>
    </w:p>
    <w:p>
      <w:pPr>
        <w:spacing w:after="0" w:line="120"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debt issue costs</w:t>
      </w:r>
      <w:r>
        <w:rPr>
          <w:rFonts w:ascii="Times New Roman" w:cs="Times New Roman" w:eastAsia="Times New Roman" w:hAnsi="Times New Roman"/>
          <w:sz w:val="18"/>
          <w:szCs w:val="18"/>
          <w:color w:val="auto"/>
        </w:rPr>
        <w:t>. Amortization of debt issue costs in the first six months of fiscal 2020 increased by $0.1 million from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fiscal 2019. The increase in amortization of debt issue costs was due to the execution of our credit agreement.</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 the first six months of fiscal 2020 remained relatively flat compared to the first six months of fiscal 2019.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relates to interest earned on sweep bank accounts.</w:t>
      </w:r>
    </w:p>
    <w:p>
      <w:pPr>
        <w:spacing w:after="0" w:line="104"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3.8%, or $1 thousand, in the first six months of fiscal 2020 compared to the first six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Our income tax expense is due primarily to minimum state tax liabilities.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Engineered Systems Division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OES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242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CFF0FC"/>
            </w:tcBorders>
          </w:tcPr>
          <w:p>
            <w:pPr>
              <w:spacing w:after="0"/>
              <w:rPr>
                <w:sz w:val="15"/>
                <w:szCs w:val="15"/>
                <w:color w:val="auto"/>
              </w:rPr>
            </w:pPr>
          </w:p>
        </w:tc>
        <w:tc>
          <w:tcPr>
            <w:tcW w:w="2420" w:type="dxa"/>
            <w:vAlign w:val="bottom"/>
            <w:tcBorders>
              <w:bottom w:val="single" w:sz="8" w:color="CFF0FC"/>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77,094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2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12,687</w:t>
            </w:r>
          </w:p>
        </w:tc>
        <w:tc>
          <w:tcPr>
            <w:tcW w:w="240" w:type="dxa"/>
            <w:vAlign w:val="bottom"/>
          </w:tcPr>
          <w:p>
            <w:pPr>
              <w:spacing w:after="0"/>
              <w:rPr>
                <w:sz w:val="19"/>
                <w:szCs w:val="19"/>
                <w:color w:val="auto"/>
              </w:rPr>
            </w:pPr>
          </w:p>
        </w:tc>
        <w:tc>
          <w:tcPr>
            <w:tcW w:w="90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(1,977)</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95"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OES segment revenue in the first six months of fiscal 2020 was $77.1 million, an increase of $68.7 million from the first six months of fiscal 2019, as a result of the increase in volume of turnkey projects, to one large national account customer.</w:t>
      </w:r>
    </w:p>
    <w:p>
      <w:pPr>
        <w:spacing w:after="0" w:line="108" w:lineRule="exact"/>
        <w:rPr>
          <w:sz w:val="20"/>
          <w:szCs w:val="20"/>
          <w:color w:val="auto"/>
        </w:rPr>
      </w:pPr>
    </w:p>
    <w:p>
      <w:pPr>
        <w:ind w:firstLine="501"/>
        <w:spacing w:after="0" w:line="282" w:lineRule="auto"/>
        <w:rPr>
          <w:sz w:val="20"/>
          <w:szCs w:val="20"/>
          <w:color w:val="auto"/>
        </w:rPr>
      </w:pPr>
      <w:r>
        <w:rPr>
          <w:rFonts w:ascii="Times New Roman" w:cs="Times New Roman" w:eastAsia="Times New Roman" w:hAnsi="Times New Roman"/>
          <w:sz w:val="18"/>
          <w:szCs w:val="18"/>
          <w:color w:val="auto"/>
        </w:rPr>
        <w:t>OES segment operating income in the first six months of fiscal 2020 was $12.7 million, an increase of $14.7 million from an operating loss of $2.0 million in the first six months of fiscal 2019. The increase in the segment’s operating income was the result of significantly higher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00" w:type="dxa"/>
            <w:vAlign w:val="bottom"/>
            <w:tcBorders>
              <w:bottom w:val="single" w:sz="8" w:color="CFF0FC"/>
            </w:tcBorders>
          </w:tcPr>
          <w:p>
            <w:pPr>
              <w:spacing w:after="0"/>
              <w:rPr>
                <w:sz w:val="15"/>
                <w:szCs w:val="15"/>
                <w:color w:val="auto"/>
              </w:rPr>
            </w:pPr>
          </w:p>
        </w:tc>
        <w:tc>
          <w:tcPr>
            <w:tcW w:w="260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14,100</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(846)</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0" w:name="page31"/>
    <w:bookmarkEnd w:id="30"/>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ODS segment revenue decreased in the first six months of fiscal 2020 by 46.4%, or $6.5 million, compared to the first six months of fiscal 2019, primarily due to a decrease in sales volume through our distribution channel.</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ODS segment operating loss in the first six months of fiscal 2020 was $(0.5 million), a decrease of $0.4 million from an operating loss of $(0.9 million) in the first six months of fiscal 2019. The decrease in the operating loss in the first six months of fiscal 2020 as compared to the first six months of fiscal 2019 was primarily due to the decrease in sales and related product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44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CFF0FC"/>
            </w:tcBorders>
          </w:tcPr>
          <w:p>
            <w:pPr>
              <w:spacing w:after="0"/>
              <w:rPr>
                <w:sz w:val="15"/>
                <w:szCs w:val="15"/>
                <w:color w:val="auto"/>
              </w:rPr>
            </w:pPr>
          </w:p>
        </w:tc>
        <w:tc>
          <w:tcPr>
            <w:tcW w:w="2440" w:type="dxa"/>
            <w:vAlign w:val="bottom"/>
            <w:tcBorders>
              <w:bottom w:val="single" w:sz="8" w:color="CFF0FC"/>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30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tcPr>
          <w:p>
            <w:pPr>
              <w:spacing w:after="0"/>
              <w:rPr>
                <w:sz w:val="19"/>
                <w:szCs w:val="19"/>
                <w:color w:val="auto"/>
              </w:rPr>
            </w:pPr>
          </w:p>
        </w:tc>
        <w:tc>
          <w:tcPr>
            <w:tcW w:w="94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19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USM segment revenue increased from the first six months of fiscal 2019 by 32.8%, or $1.5 million. The increase in revenue during the first six months of fiscal 2020 compared to the second quarter of fiscal 2019 was due to an increase in sales volume.</w:t>
      </w:r>
    </w:p>
    <w:p>
      <w:pPr>
        <w:spacing w:after="0" w:line="10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USM segment operating income for the first six months of fiscal 2020 was $1.2 million, an increase of $0.9 million over the first six months of fiscal 2019. The increase in operating income in the first six months of fiscal 2019 was due primarily to the increase in sales volume.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had approximately $11.1 million in cash and cash equivalents as of September 30, 2019, compared to $8.7 million at March 31, 2019. Our cash position increased as a result of our significantly increased net income, offset by working capital changes and the net repayment of $5.4 million on our revolving credit facility.</w:t>
      </w:r>
    </w:p>
    <w:p>
      <w:pPr>
        <w:spacing w:after="0" w:line="122"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2019, we listed our corporate office location in Manitowoc, Wisconsin for sale or lease to increase our liquidity by attempting to divest a non-core asset. Because of the uncertainty of a sale of our building in the next 12 months, the building continues to be classified as held and used as of September 30, 2019. However, any sale of our building will likely result in a non-cash impairment charge, as the building is currently listed for below its net book value.</w:t>
      </w:r>
    </w:p>
    <w:p>
      <w:pPr>
        <w:spacing w:after="0" w:line="12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September 30, 2019 and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20" w:type="dxa"/>
            <w:vAlign w:val="bottom"/>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4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(5,546)</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(2,533)</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5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provided by operating activities primarily consisted of a net income (loss) adjusted for certain non-cash items, including depreciation, amortization of intangible assets, stock-based compensation, amortization of debt issue costs, provisions for reserves, and the effect of changes in working capital and other activities.</w:t>
      </w:r>
    </w:p>
    <w:p>
      <w:pPr>
        <w:spacing w:after="0" w:line="122"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first six months of fiscal 2020 was $8.5 million and consisted of our net income adjusted for non-cash expense items of $12.1 million and net cash used by changes in operating assets and liabilities of $3.6 million. Cash used by changes in operating assets and liabilities consisted primarily of an increase of $12.2 million in Accounts receivable due to higher sales and the timing of collections, and an increase in Inventory of $4.4 million on anticipated third quarter sales. Cash provided by changes in operating assets and liabilities consisted primarily of an increase of $12.7 million in Accounts payable and $0.8 million in Accrued expenses other based on timing of payments.</w:t>
      </w:r>
    </w:p>
    <w:p>
      <w:pPr>
        <w:spacing w:after="0" w:line="130"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first six months of fiscal 2019 was ($1.1 million) and consisted of a net loss adjusted for non-cash expense items of ($3.8 million) and net cash provided by changes in operating assets and liabilities of $2.7 million. Cash used by changes in operating assets and liabilities consisted primarily of a decrease of ($1.9 million) in Accounts payable and ($0.6 million) in Accrued expenses due to the timing of payments. Cash provided by changes in operating assets and liabilities included a decrease of $3.2 million in Accounts receivable due to lower sales and the timing of customer collections, a decrease in Revenue earned but not billed of $1.7 million due to the timing of billing to customers, a decrease in Inventories of $0.4 million due to an increased focus on inventory management, and a decrease of $0.1 million in Prepaid expenses and other assets due to the timing of payment of those expenses.</w:t>
      </w:r>
    </w:p>
    <w:p>
      <w:pPr>
        <w:spacing w:after="0" w:line="133" w:lineRule="exact"/>
        <w:rPr>
          <w:sz w:val="20"/>
          <w:szCs w:val="20"/>
          <w:color w:val="auto"/>
        </w:rPr>
      </w:pPr>
    </w:p>
    <w:p>
      <w:pPr>
        <w:jc w:val="both"/>
        <w:ind w:right="20"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Cash Flows Related to Investing Activities</w:t>
      </w:r>
      <w:r>
        <w:rPr>
          <w:rFonts w:ascii="Times New Roman" w:cs="Times New Roman" w:eastAsia="Times New Roman" w:hAnsi="Times New Roman"/>
          <w:sz w:val="18"/>
          <w:szCs w:val="18"/>
          <w:color w:val="auto"/>
        </w:rPr>
        <w:t>. Cash used in investing activities of ($0.5 million) in the first six months of fiscal 2020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property and equipment.</w:t>
      </w:r>
    </w:p>
    <w:p>
      <w:pPr>
        <w:spacing w:after="0" w:line="106"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first six months of fiscal 2019 consisted of purchases of Property and equipment and additions to patents and licenses.</w:t>
      </w:r>
    </w:p>
    <w:p>
      <w:pPr>
        <w:spacing w:after="0" w:line="106" w:lineRule="exact"/>
        <w:rPr>
          <w:sz w:val="20"/>
          <w:szCs w:val="20"/>
          <w:color w:val="auto"/>
        </w:rPr>
      </w:pPr>
    </w:p>
    <w:p>
      <w:pPr>
        <w:jc w:val="both"/>
        <w:ind w:firstLine="5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used in financing activities was ($5.5 million) for the first six months of fiscal 2020. This use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primarily of net repayments of ($5.4 million) on our revolving credit facility.</w:t>
      </w:r>
    </w:p>
    <w:p>
      <w:pPr>
        <w:spacing w:after="0" w:line="106"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($2.5 million) for the first six months of fiscal 2019 was due primarily to the net repayment of our prior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8"/>
          <w:szCs w:val="18"/>
          <w:color w:val="auto"/>
        </w:rPr>
        <w:t>Our net working capital as of September 30, 2019 was $19.7 million, consisting of $60.6 million in current assets and $40.9 million in current liabilities. Our net working capital as of March 31, 2019 was $14.0 million, consisting of $41.3 million in current assets and $27.3 in current liabilities. Our current Accounts receivable, net balance increased by $12.2 million from the fiscal 2019 year-end primarily due to higher sales to one national account customer and the timing of customer collections. Our Inventories, net increased from the fiscal 2019 year-end by $4.2 million due primarily to the project roll-out for one national account customer and anticipated third quarter sales. Our Accounts payable increased $12.7 million due to the timing of purchases and payments during the quarter. Our Accrued expenses increased from our fiscal 2019 year-end by $0.9 million due primarily to higher accrued commissions and accrued bonus related to the roll-out for one national account customer.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jc w:val="both"/>
        <w:ind w:firstLine="501"/>
        <w:spacing w:after="0" w:line="254" w:lineRule="auto"/>
        <w:rPr>
          <w:sz w:val="20"/>
          <w:szCs w:val="20"/>
          <w:color w:val="auto"/>
        </w:rPr>
      </w:pPr>
      <w:r>
        <w:rPr>
          <w:rFonts w:ascii="Times New Roman" w:cs="Times New Roman" w:eastAsia="Times New Roman" w:hAnsi="Times New Roman"/>
          <w:sz w:val="18"/>
          <w:szCs w:val="18"/>
          <w:color w:val="auto"/>
        </w:rPr>
        <w:t>On October 26, 2018, we entered into a new secured revolving Business Financing Agreement with Western Alliance Bank, as lender (the “Credit Agreement”). The Credit Agreement replaced our prior Credit Agreement. On June 3, 2019, we and certain of our subsidiaries entered into an amendment (the “First Amendment”) to the Credit Agreement. The First Amendment amended the Credit Agreement to increase the maximum borrowing base credit available for certain of the customer receivables included in our borrowing base and to provide for a borrowing base credit of up to $3.0 million based on inventory, in each case, subject to certain conditions. On August 2, 2019, we and certain of our subsidiaries entered into an amendment (the “Second Amendment”) to the Credit Agreement. The Second Amendment amended the Credit Agreement to establish a rent reserve in an amount equal to three months’ rent payable at any leased location where we maintain inventory included in our borrowing base and to provide for a reduction of the borrowing base credit that we may receive for inventory if we default under the lease for any such location. As of the date of the Second Amendment, this rent reserve equaled $0.1 million.</w:t>
      </w:r>
    </w:p>
    <w:p>
      <w:pPr>
        <w:spacing w:after="0" w:line="13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two-year revolving credit facility (the “Credit Facility”) that matures on October 26, 2020. Borrowings under the Credit Facility are initially limited to $20.15 million subject to a borrowing base requirement based on eligible receivables and inventory. The Credit Agreement includes a $2.0 million sublimit for the issuance of letters of credit. As of September 30, 2019, our borrowing base was $20.0 million, and we had $3.8 million in borrowings outstanding which were included in non-current liabilities in the accompanying Condensed Consolidated Balance Sheets. As of September 30, 2019, we had no outstanding letters of credit leaving additional borrowing availability of $16.2 million.</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security interest in substantially all of our and our subsidiaries’ personal property.</w:t>
      </w:r>
    </w:p>
    <w:p>
      <w:pPr>
        <w:spacing w:after="0" w:line="171"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generally bear interest at floating rates based upon the prime rate (but not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Credit Agreement). As of September 30, 2019, the applicable interest rate was 6.0%. Among other fees, we are required to pay an annual facility fee equal to 0.45% of the credit limit under the Credit Agreement due on October 26, 2018 and on each anniversary thereof.</w:t>
      </w:r>
    </w:p>
    <w:p>
      <w:pPr>
        <w:spacing w:after="0" w:line="130"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Credit Agreement requires us to maintain nine months’ of “RML” as of the end of each month. For purposes of the Credit Agreement, RML is defined as, as of the applicable determination date, unrestricted cash on deposit with Western Alliance Bank plus availability under the Credit Agreement divided by an amount equal to, for the applicable trailing three-month period, consolidated net profit before tax, plus depreciation expense, amortization expense and stock-based compensation, minus capital lease principal payments, tested as of the end of each month. As of September 30, 2019, we were in compliance with this RML requirement.</w:t>
      </w:r>
    </w:p>
    <w:p>
      <w:pPr>
        <w:spacing w:after="0" w:line="130" w:lineRule="exact"/>
        <w:rPr>
          <w:sz w:val="20"/>
          <w:szCs w:val="20"/>
          <w:color w:val="auto"/>
        </w:rPr>
      </w:pPr>
    </w:p>
    <w:p>
      <w:pPr>
        <w:jc w:val="both"/>
        <w:ind w:firstLine="501"/>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Western Alliance Bank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Capital Spending</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$0.5 million and $0.1 million for the six-month periods ended September 30, 2019, and 2018, respectively. We plan to incur approximately $0.6 million in capital expenditures in fiscal 2020. We expect to finance these capital expenditures primarily through our existing cash, equipment-secured loans and leases, to the extent needed, long-term debt financing, or by using our available capacity under our Credit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purchase orders. Backlog totaled $6.8 million and $10.8 million as of September 30, 2019 and March 31, 2019, respectively. We generally expect our backlog to be recognized as revenue within one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501"/>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2019. For the six months ended September 30, 2019, there were no material changes in our accounting policies.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For a complete discussion of recent accounting pronouncements, refer to Note 2 in the Condensed Consolidated Financial Statements included elsewhere in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Our exposure to market risk was discussed in the “Quantitative and Qualitative Disclosures About Market Risk” section contained in our Annual Report on Form 10-K for the year ended March 31, 2019. There have been no material changes to such exposures since March 31, 2019.</w:t>
      </w:r>
    </w:p>
    <w:p>
      <w:pPr>
        <w:spacing w:after="0" w:line="19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1"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08"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0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that assessment, our Chief Executive Officer and Chief Financial Officer concluded that our disclosure controls and procedures as of September 30, 2019 are effective.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8"/>
          <w:szCs w:val="18"/>
          <w:color w:val="auto"/>
        </w:rPr>
        <w:t>Effective April 1, 2019, we adopted Topic 842, “Leasing” ("ASC 842"). Although the adoption of this standard did not have a material impact on our financial results, we have implemented changes to our controls related to leases. These changes include enhanced reviews to ensure completeness of the lease population, evaluation of lease classification, and additional ongoing monitoring activities. These enhanced controls are designed to provide reasonable assurance of the fair presentation of our financial statements and related disclosures.</w:t>
      </w:r>
    </w:p>
    <w:p>
      <w:pPr>
        <w:spacing w:after="0" w:line="126"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There were no additional changes in our internal control over financial reporting during the quarter ended September 30, 2019,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501"/>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108" w:lineRule="exact"/>
        <w:rPr>
          <w:sz w:val="20"/>
          <w:szCs w:val="20"/>
          <w:color w:val="auto"/>
        </w:rPr>
      </w:pPr>
    </w:p>
    <w:p>
      <w:pPr>
        <w:jc w:val="both"/>
        <w:ind w:right="20" w:firstLine="501"/>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 Litigation", to the Condensed Consolidated Financial Statements in Item 1 of this Quarterly Report on Form 10-Q.</w:t>
      </w:r>
    </w:p>
    <w:p>
      <w:pPr>
        <w:spacing w:after="0" w:line="19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ind w:right="20" w:firstLine="501"/>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2019, which we filed with the SEC on June 5, 2019 and in Part 1 - Item 2 under the heading "Management's Discussion and Analysis of Financial Condition and Results of Operations" in this Form 10-Q.</w:t>
      </w:r>
    </w:p>
    <w:p>
      <w:pPr>
        <w:spacing w:after="0" w:line="22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Orion Energy Systems, Inc. 2016 Omnibus Incentive Plan, as amended and restated [Incorporated by reference to Annex A to the Registrant’s</w:t>
              </w:r>
            </w:hyperlink>
          </w:p>
        </w:tc>
      </w:tr>
      <w:tr>
        <w:trPr>
          <w:trHeight w:val="196"/>
        </w:trPr>
        <w:tc>
          <w:tcPr>
            <w:tcW w:w="11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definitive proxy statement filed with the Securities and Exchange Commission on Schedule 14A on June 21, 2019 (File No. 001-33887)]</w:t>
              </w:r>
            </w:hyperlink>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11"/>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Amendment No. 2 to Business Financing Agreement, dated as of August 2, 2019 among Orion Energy Systems, Inc., Western Alliance Bank,</w:t>
              </w:r>
            </w:hyperlink>
          </w:p>
        </w:tc>
      </w:tr>
      <w:tr>
        <w:trPr>
          <w:trHeight w:val="196"/>
        </w:trPr>
        <w:tc>
          <w:tcPr>
            <w:tcW w:w="112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as lender and the subsidiary borrowers party thereto [Incorporated by reference to Exhibit 10.2 to the Registrant's Quarterly Report on Form</w:t>
              </w:r>
            </w:hyperlink>
          </w:p>
        </w:tc>
        <w:tc>
          <w:tcPr>
            <w:tcW w:w="1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10-Q filed with Securities and Exchange Commission on August 5, 2019 (File No. 001-33887)]</w:t>
              </w:r>
            </w:hyperlink>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Certification of Chief Executive Officer of Orion Energy Systems, Inc. pursuant to Rule 13a-14(a) or Rule 15d-14(a) promulgated under the</w:t>
              </w:r>
            </w:hyperlink>
          </w:p>
        </w:tc>
        <w:tc>
          <w:tcPr>
            <w:tcW w:w="12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Securities Exchange Act of 1934, as amended.+</w:t>
              </w:r>
            </w:hyperlink>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18"/>
        </w:trPr>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1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Certification of Chief Financial Officer of Orion Energy Systems, Inc. pursuant to Rule 13a-14(a) or Rule 15d-14(a) promulgated under the</w:t>
              </w:r>
            </w:hyperlink>
          </w:p>
        </w:tc>
      </w:tr>
      <w:tr>
        <w:trPr>
          <w:trHeight w:val="196"/>
        </w:trPr>
        <w:tc>
          <w:tcPr>
            <w:tcW w:w="1120" w:type="dxa"/>
            <w:vAlign w:val="bottom"/>
          </w:tcPr>
          <w:p>
            <w:pPr>
              <w:spacing w:after="0"/>
              <w:rPr>
                <w:sz w:val="17"/>
                <w:szCs w:val="17"/>
                <w:color w:val="auto"/>
              </w:rPr>
            </w:pPr>
          </w:p>
        </w:tc>
        <w:tc>
          <w:tcPr>
            <w:tcW w:w="100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Securities Exchange Act of 1934, as amended.+</w:t>
              </w:r>
            </w:hyperlink>
          </w:p>
        </w:tc>
        <w:tc>
          <w:tcPr>
            <w:tcW w:w="18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18"/>
        </w:trPr>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11"/>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Certification of Chief Executive Officer of Orion Energy Systems, Inc. pursuant to Rule 13a-14(b) promulgated under the Securities</w:t>
              </w:r>
            </w:hyperlink>
          </w:p>
        </w:tc>
      </w:tr>
      <w:tr>
        <w:trPr>
          <w:trHeight w:val="20"/>
        </w:trPr>
        <w:tc>
          <w:tcPr>
            <w:tcW w:w="1120" w:type="dxa"/>
            <w:vAlign w:val="bottom"/>
          </w:tcPr>
          <w:p>
            <w:pPr>
              <w:spacing w:after="0" w:line="20" w:lineRule="exact"/>
              <w:rPr>
                <w:sz w:val="1"/>
                <w:szCs w:val="1"/>
                <w:color w:val="auto"/>
              </w:rPr>
            </w:pPr>
          </w:p>
        </w:tc>
        <w:tc>
          <w:tcPr>
            <w:tcW w:w="9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Exchange Act of 1934, as amended, and 18 U.S.C. Section 1350, as adopted pursuant to Section 906 of the Sarbanes-Oxley Act of 2002.+</w:t>
              </w:r>
            </w:hyperlink>
          </w:p>
        </w:tc>
      </w:tr>
      <w:tr>
        <w:trPr>
          <w:trHeight w:val="20"/>
        </w:trPr>
        <w:tc>
          <w:tcPr>
            <w:tcW w:w="1120" w:type="dxa"/>
            <w:vAlign w:val="bottom"/>
          </w:tcPr>
          <w:p>
            <w:pPr>
              <w:spacing w:after="0" w:line="20" w:lineRule="exact"/>
              <w:rPr>
                <w:sz w:val="1"/>
                <w:szCs w:val="1"/>
                <w:color w:val="auto"/>
              </w:rPr>
            </w:pPr>
          </w:p>
        </w:tc>
        <w:tc>
          <w:tcPr>
            <w:tcW w:w="920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18"/>
        </w:trPr>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Certification of Chief Financial Officer of Orion Energy Systems, Inc. pursuant to Rule 13a-14(b) promulgated under the Securities Exchange</w:t>
              </w:r>
            </w:hyperlink>
          </w:p>
        </w:tc>
      </w:tr>
      <w:tr>
        <w:trPr>
          <w:trHeight w:val="196"/>
        </w:trPr>
        <w:tc>
          <w:tcPr>
            <w:tcW w:w="1120" w:type="dxa"/>
            <w:vAlign w:val="bottom"/>
          </w:tcPr>
          <w:p>
            <w:pPr>
              <w:spacing w:after="0"/>
              <w:rPr>
                <w:sz w:val="17"/>
                <w:szCs w:val="17"/>
                <w:color w:val="auto"/>
              </w:rPr>
            </w:pPr>
          </w:p>
        </w:tc>
        <w:tc>
          <w:tcPr>
            <w:tcW w:w="9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Act of 1934, as amended, and 18 U.S.C. Section 1350, as adopted pursuant to Section 906 of the Sarbanes-Oxley Act of 2002.+</w:t>
              </w:r>
            </w:hyperlink>
          </w:p>
        </w:tc>
        <w:tc>
          <w:tcPr>
            <w:tcW w:w="1020" w:type="dxa"/>
            <w:vAlign w:val="bottom"/>
            <w:gridSpan w:val="8"/>
          </w:tcPr>
          <w:p>
            <w:pPr>
              <w:spacing w:after="0"/>
              <w:rPr>
                <w:sz w:val="17"/>
                <w:szCs w:val="17"/>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bl>
    <w:p>
      <w:pPr>
        <w:spacing w:after="0" w:line="198"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20" w:firstLine="50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6, 2019.</w:t>
      </w:r>
    </w:p>
    <w:p>
      <w:pPr>
        <w:spacing w:after="0" w:line="1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Registrant</w:t>
      </w:r>
    </w:p>
    <w:p>
      <w:pPr>
        <w:spacing w:after="0" w:line="193"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T. Hull</w:t>
            </w:r>
          </w:p>
        </w:tc>
      </w:tr>
      <w:tr>
        <w:trPr>
          <w:trHeight w:val="191"/>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T. Hull</w:t>
            </w: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tc>
      </w:tr>
      <w:tr>
        <w:trPr>
          <w:trHeight w:val="648"/>
        </w:trPr>
        <w:tc>
          <w:tcPr>
            <w:tcW w:w="340" w:type="dxa"/>
            <w:vAlign w:val="bottom"/>
          </w:tcPr>
          <w:p>
            <w:pPr>
              <w:spacing w:after="0"/>
              <w:rPr>
                <w:sz w:val="24"/>
                <w:szCs w:val="24"/>
                <w:color w:val="auto"/>
              </w:rPr>
            </w:pPr>
          </w:p>
        </w:tc>
        <w:tc>
          <w:tcPr>
            <w:tcW w:w="592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420"/>
          </w:cols>
          <w:pgMar w:left="240" w:top="33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480" w:right="460" w:hanging="472"/>
        <w:spacing w:after="0" w:line="26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80" w:right="440" w:hanging="472"/>
        <w:spacing w:after="0" w:line="282"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80" w:right="40" w:hanging="472"/>
        <w:spacing w:after="0" w:line="26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60" w:right="260" w:hanging="479"/>
        <w:spacing w:after="0" w:line="266"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60" w:right="580" w:hanging="479"/>
        <w:spacing w:after="0" w:line="266"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60" w:right="740" w:hanging="479"/>
        <w:spacing w:after="0" w:line="313" w:lineRule="auto"/>
        <w:tabs>
          <w:tab w:leader="none" w:pos="9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60" w:right="240" w:hanging="479"/>
        <w:spacing w:after="0" w:line="266"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80" w:right="360" w:hanging="472"/>
        <w:spacing w:after="0" w:line="282"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160" w:hanging="479"/>
        <w:spacing w:after="0" w:line="282"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120" w:hanging="479"/>
        <w:spacing w:after="0" w:line="282"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5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T. Hull, certify that:</w:t>
      </w:r>
    </w:p>
    <w:p>
      <w:pPr>
        <w:spacing w:after="0" w:line="225"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25" w:lineRule="exact"/>
        <w:rPr>
          <w:rFonts w:ascii="Times New Roman" w:cs="Times New Roman" w:eastAsia="Times New Roman" w:hAnsi="Times New Roman"/>
          <w:sz w:val="18"/>
          <w:szCs w:val="18"/>
          <w:color w:val="auto"/>
        </w:rPr>
      </w:pPr>
    </w:p>
    <w:p>
      <w:pPr>
        <w:jc w:val="both"/>
        <w:ind w:left="480" w:right="460" w:hanging="472"/>
        <w:spacing w:after="0" w:line="26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80" w:right="440" w:hanging="472"/>
        <w:spacing w:after="0" w:line="282"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80" w:right="40" w:hanging="472"/>
        <w:spacing w:after="0" w:line="26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60" w:right="260" w:hanging="479"/>
        <w:spacing w:after="0" w:line="266" w:lineRule="auto"/>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60" w:right="580" w:hanging="479"/>
        <w:spacing w:after="0" w:line="266" w:lineRule="auto"/>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60" w:right="740" w:hanging="479"/>
        <w:spacing w:after="0" w:line="313" w:lineRule="auto"/>
        <w:tabs>
          <w:tab w:leader="none" w:pos="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60" w:right="240" w:hanging="479"/>
        <w:spacing w:after="0" w:line="266" w:lineRule="auto"/>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80" w:right="360" w:hanging="472"/>
        <w:spacing w:after="0" w:line="282"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160" w:hanging="479"/>
        <w:spacing w:after="0" w:line="282" w:lineRule="auto"/>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120" w:hanging="479"/>
        <w:spacing w:after="0" w:line="282" w:lineRule="auto"/>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5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September 30, 2019,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2" w:lineRule="exact"/>
        <w:rPr>
          <w:sz w:val="20"/>
          <w:szCs w:val="20"/>
          <w:color w:val="auto"/>
        </w:rPr>
      </w:pPr>
    </w:p>
    <w:p>
      <w:pPr>
        <w:ind w:left="960" w:hanging="479"/>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September 30, 2019,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68" w:lineRule="exact"/>
        <w:rPr>
          <w:sz w:val="20"/>
          <w:szCs w:val="20"/>
          <w:color w:val="auto"/>
        </w:rPr>
      </w:pPr>
    </w:p>
    <w:p>
      <w:pPr>
        <w:ind w:left="960" w:hanging="479"/>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-130810</wp:posOffset>
            </wp:positionV>
            <wp:extent cx="22980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4" Type="http://schemas.openxmlformats.org/officeDocument/2006/relationships/hyperlink" Target="http://www.sec.gov/Archives/edgar/data/1409375/000119312519178044/d769736ddef14a.htm" TargetMode="External"/><Relationship Id="rId65" Type="http://schemas.openxmlformats.org/officeDocument/2006/relationships/hyperlink" Target="http://www.sec.gov/Archives/edgar/data/1409375/000156459019028788/oesx-ex102_2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2019-12-28T02:24:42Z</dcterms:created>
  <dcterms:modified xsi:type="dcterms:W3CDTF">2019-12-28T02:24:42Z</dcterms:modified>
</cp:coreProperties>
</file>