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156845</wp:posOffset>
            </wp:positionH>
            <wp:positionV relativeFrom="page">
              <wp:posOffset>173355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190500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36830</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61595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12" w:lineRule="exact"/>
        <w:rPr>
          <w:sz w:val="24"/>
          <w:szCs w:val="24"/>
          <w:color w:val="auto"/>
        </w:rPr>
      </w:pPr>
    </w:p>
    <w:p>
      <w:pPr>
        <w:ind w:left="4160" w:right="2220" w:hanging="4153"/>
        <w:spacing w:after="0" w:line="293" w:lineRule="auto"/>
        <w:tabs>
          <w:tab w:leader="none" w:pos="5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March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3"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6" w:lineRule="exact"/>
        <w:rPr>
          <w:sz w:val="24"/>
          <w:szCs w:val="24"/>
          <w:color w:val="auto"/>
        </w:rPr>
      </w:pPr>
    </w:p>
    <w:p>
      <w:pPr>
        <w:ind w:left="36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3789045</wp:posOffset>
            </wp:positionH>
            <wp:positionV relativeFrom="paragraph">
              <wp:posOffset>-8890</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49530</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Orion Energy Systems, Inc.</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64770</wp:posOffset>
            </wp:positionV>
            <wp:extent cx="1456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57" w:lineRule="exact"/>
        <w:rPr>
          <w:sz w:val="24"/>
          <w:szCs w:val="24"/>
          <w:color w:val="auto"/>
        </w:rPr>
      </w:pPr>
    </w:p>
    <w:tbl>
      <w:tblPr>
        <w:tblLayout w:type="fixed"/>
        <w:tblInd w:w="1780" w:type="dxa"/>
        <w:tblCellMar>
          <w:top w:w="0" w:type="dxa"/>
          <w:left w:w="0" w:type="dxa"/>
          <w:bottom w:w="0" w:type="dxa"/>
          <w:right w:w="0" w:type="dxa"/>
        </w:tblCellMar>
      </w:tblPr>
      <w:tr>
        <w:trPr>
          <w:trHeight w:val="209"/>
        </w:trPr>
        <w:tc>
          <w:tcPr>
            <w:tcW w:w="4420" w:type="dxa"/>
            <w:vAlign w:val="bottom"/>
          </w:tcPr>
          <w:p>
            <w:pPr>
              <w:jc w:val="center"/>
              <w:ind w:right="1442"/>
              <w:spacing w:after="0"/>
              <w:rPr>
                <w:sz w:val="20"/>
                <w:szCs w:val="20"/>
                <w:color w:val="auto"/>
              </w:rPr>
            </w:pPr>
            <w:r>
              <w:rPr>
                <w:rFonts w:ascii="Arial" w:cs="Arial" w:eastAsia="Arial" w:hAnsi="Arial"/>
                <w:sz w:val="18"/>
                <w:szCs w:val="18"/>
                <w:b w:val="1"/>
                <w:bCs w:val="1"/>
                <w:color w:val="auto"/>
                <w:w w:val="86"/>
              </w:rPr>
              <w:t>Wisconsin</w:t>
            </w:r>
          </w:p>
        </w:tc>
        <w:tc>
          <w:tcPr>
            <w:tcW w:w="2620" w:type="dxa"/>
            <w:vAlign w:val="bottom"/>
          </w:tcPr>
          <w:p>
            <w:pPr>
              <w:jc w:val="right"/>
              <w:ind w:right="42"/>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7"/>
        </w:trPr>
        <w:tc>
          <w:tcPr>
            <w:tcW w:w="4420" w:type="dxa"/>
            <w:vAlign w:val="bottom"/>
          </w:tcPr>
          <w:p>
            <w:pPr>
              <w:jc w:val="center"/>
              <w:ind w:right="144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620" w:type="dxa"/>
            <w:vAlign w:val="bottom"/>
          </w:tcPr>
          <w:p>
            <w:pPr>
              <w:jc w:val="center"/>
              <w:ind w:left="1442"/>
              <w:spacing w:after="0" w:line="147"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51"/>
        </w:trPr>
        <w:tc>
          <w:tcPr>
            <w:tcW w:w="4420" w:type="dxa"/>
            <w:vAlign w:val="bottom"/>
          </w:tcPr>
          <w:p>
            <w:pPr>
              <w:jc w:val="center"/>
              <w:ind w:right="1442"/>
              <w:spacing w:after="0" w:line="151" w:lineRule="exact"/>
              <w:rPr>
                <w:sz w:val="20"/>
                <w:szCs w:val="20"/>
                <w:color w:val="auto"/>
              </w:rPr>
            </w:pPr>
            <w:r>
              <w:rPr>
                <w:rFonts w:ascii="Arial" w:cs="Arial" w:eastAsia="Arial" w:hAnsi="Arial"/>
                <w:sz w:val="14"/>
                <w:szCs w:val="14"/>
                <w:b w:val="1"/>
                <w:bCs w:val="1"/>
                <w:color w:val="auto"/>
                <w:w w:val="93"/>
              </w:rPr>
              <w:t>incorporation or organization)</w:t>
            </w:r>
          </w:p>
        </w:tc>
        <w:tc>
          <w:tcPr>
            <w:tcW w:w="2620" w:type="dxa"/>
            <w:vAlign w:val="bottom"/>
          </w:tcPr>
          <w:p>
            <w:pPr>
              <w:jc w:val="center"/>
              <w:ind w:left="1442"/>
              <w:spacing w:after="0" w:line="151" w:lineRule="exact"/>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30"/>
        </w:trPr>
        <w:tc>
          <w:tcPr>
            <w:tcW w:w="4420" w:type="dxa"/>
            <w:vAlign w:val="bottom"/>
          </w:tcPr>
          <w:p>
            <w:pPr>
              <w:jc w:val="center"/>
              <w:ind w:right="1422"/>
              <w:spacing w:after="0"/>
              <w:rPr>
                <w:sz w:val="20"/>
                <w:szCs w:val="20"/>
                <w:color w:val="auto"/>
              </w:rPr>
            </w:pPr>
            <w:r>
              <w:rPr>
                <w:rFonts w:ascii="Arial" w:cs="Arial" w:eastAsia="Arial" w:hAnsi="Arial"/>
                <w:sz w:val="18"/>
                <w:szCs w:val="18"/>
                <w:b w:val="1"/>
                <w:bCs w:val="1"/>
                <w:color w:val="auto"/>
                <w:w w:val="92"/>
              </w:rPr>
              <w:t>2210 Woodland Drive, Manitowoc, WI</w:t>
            </w:r>
          </w:p>
        </w:tc>
        <w:tc>
          <w:tcPr>
            <w:tcW w:w="2620" w:type="dxa"/>
            <w:vAlign w:val="bottom"/>
          </w:tcPr>
          <w:p>
            <w:pPr>
              <w:jc w:val="right"/>
              <w:ind w:right="262"/>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230"/>
        </w:trPr>
        <w:tc>
          <w:tcPr>
            <w:tcW w:w="4420" w:type="dxa"/>
            <w:vAlign w:val="bottom"/>
            <w:vMerge w:val="restart"/>
          </w:tcPr>
          <w:p>
            <w:pPr>
              <w:jc w:val="center"/>
              <w:ind w:right="1442"/>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2620" w:type="dxa"/>
            <w:vAlign w:val="bottom"/>
          </w:tcPr>
          <w:p>
            <w:pPr>
              <w:jc w:val="center"/>
              <w:ind w:left="1442"/>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7"/>
        </w:trPr>
        <w:tc>
          <w:tcPr>
            <w:tcW w:w="4420" w:type="dxa"/>
            <w:vAlign w:val="bottom"/>
            <w:vMerge w:val="continue"/>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(920) 892-9340</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5" w:lineRule="exact"/>
        <w:rPr>
          <w:sz w:val="24"/>
          <w:szCs w:val="24"/>
          <w:color w:val="auto"/>
        </w:rPr>
      </w:pPr>
    </w:p>
    <w:tbl>
      <w:tblPr>
        <w:tblLayout w:type="fixed"/>
        <w:tblInd w:w="1440" w:type="dxa"/>
        <w:tblCellMar>
          <w:top w:w="0" w:type="dxa"/>
          <w:left w:w="0" w:type="dxa"/>
          <w:bottom w:w="0" w:type="dxa"/>
          <w:right w:w="0" w:type="dxa"/>
        </w:tblCellMar>
      </w:tblPr>
      <w:tr>
        <w:trPr>
          <w:trHeight w:val="16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 Symbol (s)</w:t>
            </w:r>
          </w:p>
        </w:tc>
        <w:tc>
          <w:tcPr>
            <w:tcW w:w="180" w:type="dxa"/>
            <w:vAlign w:val="bottom"/>
          </w:tcPr>
          <w:p>
            <w:pPr>
              <w:spacing w:after="0"/>
              <w:rPr>
                <w:sz w:val="14"/>
                <w:szCs w:val="14"/>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OESX</w:t>
            </w:r>
          </w:p>
        </w:tc>
        <w:tc>
          <w:tcPr>
            <w:tcW w:w="2900" w:type="dxa"/>
            <w:vAlign w:val="bottom"/>
          </w:tcPr>
          <w:p>
            <w:pPr>
              <w:jc w:val="center"/>
              <w:spacing w:after="0" w:line="121"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1"/>
        </w:trPr>
        <w:tc>
          <w:tcPr>
            <w:tcW w:w="38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Common stock, no par value</w:t>
            </w:r>
          </w:p>
        </w:tc>
        <w:tc>
          <w:tcPr>
            <w:tcW w:w="1780" w:type="dxa"/>
            <w:vAlign w:val="bottom"/>
            <w:gridSpan w:val="2"/>
            <w:vMerge w:val="continue"/>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color w:val="auto"/>
                <w:w w:val="97"/>
              </w:rPr>
              <w:t>(NASDAQ Capital Market)</w:t>
            </w: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tcPr>
          <w:p>
            <w:pPr>
              <w:jc w:val="center"/>
              <w:spacing w:after="0" w:line="153"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1"/>
        </w:trPr>
        <w:tc>
          <w:tcPr>
            <w:tcW w:w="38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Common stock purchase rights</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color w:val="auto"/>
                <w:w w:val="97"/>
              </w:rPr>
              <w:t>(NASDAQ Capital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74930</wp:posOffset>
            </wp:positionV>
            <wp:extent cx="1456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p>
      <w:pPr>
        <w:spacing w:after="0" w:line="179" w:lineRule="exact"/>
        <w:rPr>
          <w:sz w:val="24"/>
          <w:szCs w:val="24"/>
          <w:color w:val="auto"/>
        </w:rPr>
      </w:pPr>
    </w:p>
    <w:p>
      <w:pPr>
        <w:ind w:left="52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2" w:lineRule="exact"/>
        <w:rPr>
          <w:sz w:val="24"/>
          <w:szCs w:val="24"/>
          <w:color w:val="auto"/>
        </w:rPr>
      </w:pPr>
    </w:p>
    <w:p>
      <w:pPr>
        <w:sectPr>
          <w:pgSz w:w="11900" w:h="16838" w:orient="portrait"/>
          <w:cols w:equalWidth="0" w:num="4">
            <w:col w:w="7220" w:space="140"/>
            <w:col w:w="200" w:space="60"/>
            <w:col w:w="140" w:space="140"/>
            <w:col w:w="3520"/>
          </w:cols>
          <w:pgMar w:left="240" w:top="321" w:right="239" w:bottom="1440" w:gutter="0" w:footer="0" w:header="0"/>
          <w:type w:val="continuous"/>
        </w:sectPr>
      </w:pPr>
    </w:p>
    <w:p>
      <w:pPr>
        <w:spacing w:after="0" w:line="25"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2" w:lineRule="exact"/>
        <w:rPr>
          <w:sz w:val="24"/>
          <w:szCs w:val="24"/>
          <w:color w:val="auto"/>
        </w:rPr>
      </w:pPr>
    </w:p>
    <w:p>
      <w:pPr>
        <w:sectPr>
          <w:pgSz w:w="11900" w:h="16838" w:orient="portrait"/>
          <w:cols w:equalWidth="0" w:num="5">
            <w:col w:w="6900" w:space="140"/>
            <w:col w:w="220" w:space="60"/>
            <w:col w:w="140" w:space="140"/>
            <w:col w:w="180" w:space="60"/>
            <w:col w:w="3580"/>
          </w:cols>
          <w:pgMar w:left="240" w:top="321" w:right="239" w:bottom="1440" w:gutter="0" w:footer="0" w:header="0"/>
          <w:type w:val="continuous"/>
        </w:sectPr>
      </w:pPr>
    </w:p>
    <w:p>
      <w:pPr>
        <w:ind w:firstLine="518"/>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firstLine="518"/>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firstLine="518"/>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7"/>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2"/>
        </w:trPr>
        <w:tc>
          <w:tcPr>
            <w:tcW w:w="19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00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3" w:lineRule="exact"/>
        <w:rPr>
          <w:sz w:val="24"/>
          <w:szCs w:val="24"/>
          <w:color w:val="auto"/>
        </w:rPr>
      </w:pPr>
    </w:p>
    <w:p>
      <w:pPr>
        <w:ind w:firstLine="518"/>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left="520"/>
        <w:spacing w:after="0" w:line="161" w:lineRule="exact"/>
        <w:tabs>
          <w:tab w:leader="none" w:pos="7140" w:val="left"/>
          <w:tab w:leader="none" w:pos="77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1" w:lineRule="exact"/>
        <w:rPr>
          <w:sz w:val="24"/>
          <w:szCs w:val="24"/>
          <w:color w:val="auto"/>
        </w:rPr>
      </w:pPr>
    </w:p>
    <w:p>
      <w:pPr>
        <w:ind w:firstLine="518"/>
        <w:spacing w:after="0" w:line="247" w:lineRule="auto"/>
        <w:rPr>
          <w:sz w:val="20"/>
          <w:szCs w:val="20"/>
          <w:color w:val="auto"/>
        </w:rPr>
      </w:pPr>
      <w:r>
        <w:rPr>
          <w:rFonts w:ascii="Arial" w:cs="Arial" w:eastAsia="Arial" w:hAnsi="Arial"/>
          <w:sz w:val="14"/>
          <w:szCs w:val="14"/>
          <w:color w:val="auto"/>
        </w:rPr>
        <w:t>The aggregate market value of shares of the Registrant’s common stock held by non-affiliates as of September 30, 2018, the last business day of the Registrant’s most recently completed second fiscal quarter, was approximately $19,881,105.</w:t>
      </w:r>
    </w:p>
    <w:p>
      <w:pPr>
        <w:spacing w:after="0" w:line="29"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May 31, 2019, there were 29,601,669 shares of the Registrant’s common stock outstanding.</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73" w:lineRule="exact"/>
        <w:rPr>
          <w:sz w:val="24"/>
          <w:szCs w:val="24"/>
          <w:color w:val="auto"/>
        </w:rPr>
      </w:pPr>
    </w:p>
    <w:p>
      <w:pPr>
        <w:ind w:firstLine="518"/>
        <w:spacing w:after="0" w:line="247" w:lineRule="auto"/>
        <w:rPr>
          <w:sz w:val="20"/>
          <w:szCs w:val="20"/>
          <w:color w:val="auto"/>
        </w:rPr>
      </w:pPr>
      <w:r>
        <w:rPr>
          <w:rFonts w:ascii="Arial" w:cs="Arial" w:eastAsia="Arial" w:hAnsi="Arial"/>
          <w:sz w:val="14"/>
          <w:szCs w:val="14"/>
          <w:color w:val="auto"/>
        </w:rPr>
        <w:t>Portions of the Registrant's Proxy Statement for the 2019 Annual Meeting of Shareholders to be held on August 7, 2019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46990</wp:posOffset>
            </wp:positionV>
            <wp:extent cx="7248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271145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8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w w:val="98"/>
              </w:rPr>
              <w:t>ORION ENERGY SYSTEMS, INC.</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8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w w:val="98"/>
              </w:rPr>
              <w:t>ANNUAL REPORT ON FORM 10-K</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8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w w:val="97"/>
              </w:rPr>
              <w:t>FOR THE YEAR ENDED MARCH 31, 2019</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88"/>
              </w:rPr>
              <w:t>Table of Contents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6"/>
            <w:vMerge w:val="restart"/>
          </w:tcPr>
          <w:p>
            <w:pPr>
              <w:jc w:val="center"/>
              <w:ind w:right="4420"/>
              <w:spacing w:after="0"/>
              <w:rPr>
                <w:sz w:val="20"/>
                <w:szCs w:val="20"/>
                <w:color w:val="auto"/>
              </w:rPr>
            </w:pPr>
            <w:r>
              <w:rPr>
                <w:rFonts w:ascii="Arial" w:cs="Arial" w:eastAsia="Arial" w:hAnsi="Arial"/>
                <w:sz w:val="18"/>
                <w:szCs w:val="18"/>
                <w:color w:val="auto"/>
                <w:w w:val="92"/>
              </w:rPr>
              <w:t>PART I</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40" w:type="dxa"/>
            <w:vAlign w:val="bottom"/>
            <w:gridSpan w:val="6"/>
            <w:vMerge w:val="continue"/>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140" w:type="dxa"/>
            <w:vAlign w:val="bottom"/>
            <w:tcBorders>
              <w:bottom w:val="single" w:sz="8" w:color="0000EE"/>
            </w:tcBorders>
            <w:gridSpan w:val="2"/>
          </w:tcPr>
          <w:p>
            <w:pPr>
              <w:spacing w:after="0" w:line="16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1 Business</w:t>
              </w:r>
            </w:hyperlink>
          </w:p>
        </w:tc>
        <w:tc>
          <w:tcPr>
            <w:tcW w:w="9640" w:type="dxa"/>
            <w:vAlign w:val="bottom"/>
            <w:gridSpan w:val="21"/>
          </w:tcPr>
          <w:p>
            <w:pPr>
              <w:spacing w:after="0"/>
              <w:rPr>
                <w:sz w:val="16"/>
                <w:szCs w:val="16"/>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13">
              <w:r>
                <w:rPr>
                  <w:rFonts w:ascii="Arial" w:cs="Arial" w:eastAsia="Arial" w:hAnsi="Arial"/>
                  <w:sz w:val="18"/>
                  <w:szCs w:val="18"/>
                  <w:color w:val="0000EE"/>
                </w:rPr>
                <w:t>Item 1A Risk Factors</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23">
              <w:r>
                <w:rPr>
                  <w:rFonts w:ascii="Arial" w:cs="Arial" w:eastAsia="Arial" w:hAnsi="Arial"/>
                  <w:sz w:val="18"/>
                  <w:szCs w:val="18"/>
                  <w:color w:val="0000EE"/>
                </w:rPr>
                <w:t>Item 1B Unresolved Staff Comments</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640" w:type="dxa"/>
            <w:vAlign w:val="bottom"/>
            <w:tcBorders>
              <w:top w:val="single" w:sz="8" w:color="0000EE"/>
            </w:tcBorders>
            <w:gridSpan w:val="12"/>
          </w:tcPr>
          <w:p>
            <w:pPr>
              <w:spacing w:after="0" w:line="194" w:lineRule="exact"/>
              <w:rPr>
                <w:rFonts w:ascii="Arial" w:cs="Arial" w:eastAsia="Arial" w:hAnsi="Arial"/>
                <w:sz w:val="18"/>
                <w:szCs w:val="18"/>
                <w:color w:val="0000EE"/>
              </w:rPr>
            </w:pPr>
            <w:hyperlink w:anchor="page23">
              <w:r>
                <w:rPr>
                  <w:rFonts w:ascii="Arial" w:cs="Arial" w:eastAsia="Arial" w:hAnsi="Arial"/>
                  <w:sz w:val="18"/>
                  <w:szCs w:val="18"/>
                  <w:color w:val="0000EE"/>
                </w:rPr>
                <w:t>Item 2 Properties</w:t>
              </w:r>
            </w:hyperlink>
          </w:p>
        </w:tc>
        <w:tc>
          <w:tcPr>
            <w:tcW w:w="8140" w:type="dxa"/>
            <w:vAlign w:val="bottom"/>
            <w:gridSpan w:val="11"/>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23">
              <w:r>
                <w:rPr>
                  <w:rFonts w:ascii="Arial" w:cs="Arial" w:eastAsia="Arial" w:hAnsi="Arial"/>
                  <w:sz w:val="18"/>
                  <w:szCs w:val="18"/>
                  <w:color w:val="0000EE"/>
                </w:rPr>
                <w:t>Item 3 Legal Proceedings</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24">
              <w:r>
                <w:rPr>
                  <w:rFonts w:ascii="Arial" w:cs="Arial" w:eastAsia="Arial" w:hAnsi="Arial"/>
                  <w:sz w:val="18"/>
                  <w:szCs w:val="18"/>
                  <w:color w:val="0000EE"/>
                </w:rPr>
                <w:t>Item 4 Mine Safety Disclosures</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40" w:type="dxa"/>
            <w:vAlign w:val="bottom"/>
            <w:gridSpan w:val="6"/>
          </w:tcPr>
          <w:p>
            <w:pPr>
              <w:jc w:val="center"/>
              <w:ind w:right="4420"/>
              <w:spacing w:after="0"/>
              <w:rPr>
                <w:sz w:val="20"/>
                <w:szCs w:val="20"/>
                <w:color w:val="auto"/>
              </w:rPr>
            </w:pPr>
            <w:r>
              <w:rPr>
                <w:rFonts w:ascii="Arial" w:cs="Arial" w:eastAsia="Arial" w:hAnsi="Arial"/>
                <w:sz w:val="18"/>
                <w:szCs w:val="18"/>
                <w:color w:val="auto"/>
                <w:w w:val="91"/>
              </w:rPr>
              <w:t>PART II</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8480" w:type="dxa"/>
            <w:vAlign w:val="bottom"/>
            <w:tcBorders>
              <w:bottom w:val="single" w:sz="8" w:color="0000EE"/>
            </w:tcBorders>
            <w:gridSpan w:val="22"/>
          </w:tcPr>
          <w:p>
            <w:pPr>
              <w:spacing w:after="0" w:line="168"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5 Market for Registrant’s Common Equity, Related Shareholder Matters and Issuer Purchases of Equity Securities</w:t>
              </w:r>
            </w:hyperlink>
          </w:p>
        </w:tc>
        <w:tc>
          <w:tcPr>
            <w:tcW w:w="2300" w:type="dxa"/>
            <w:vAlign w:val="bottom"/>
          </w:tcPr>
          <w:p>
            <w:pPr>
              <w:spacing w:after="0"/>
              <w:rPr>
                <w:sz w:val="16"/>
                <w:szCs w:val="16"/>
                <w:color w:val="auto"/>
              </w:rPr>
            </w:pPr>
          </w:p>
        </w:tc>
        <w:tc>
          <w:tcPr>
            <w:tcW w:w="580" w:type="dxa"/>
            <w:vAlign w:val="bottom"/>
          </w:tcPr>
          <w:p>
            <w:pPr>
              <w:jc w:val="right"/>
              <w:spacing w:after="0" w:line="168"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4"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Item 6 Selected Financial Data</w:t>
              </w:r>
            </w:hyperlink>
          </w:p>
        </w:tc>
        <w:tc>
          <w:tcPr>
            <w:tcW w:w="8580" w:type="dxa"/>
            <w:vAlign w:val="bottom"/>
            <w:gridSpan w:val="15"/>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28">
              <w:r>
                <w:rPr>
                  <w:rFonts w:ascii="Arial" w:cs="Arial" w:eastAsia="Arial" w:hAnsi="Arial"/>
                  <w:sz w:val="18"/>
                  <w:szCs w:val="18"/>
                  <w:color w:val="0000EE"/>
                </w:rPr>
                <w:t>Item 7 Management’s Discussion and Analysis of Financial Condition and Results of Operations</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7"/>
          </w:tcPr>
          <w:p>
            <w:pPr>
              <w:spacing w:after="0" w:line="194"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7A Quantitative and Qualitative Disclosures About Market Risk</w:t>
              </w:r>
            </w:hyperlink>
          </w:p>
        </w:tc>
        <w:tc>
          <w:tcPr>
            <w:tcW w:w="1940" w:type="dxa"/>
            <w:vAlign w:val="bottom"/>
            <w:tcBorders>
              <w:top w:val="single" w:sz="8" w:color="0000EE"/>
            </w:tcBorders>
            <w:gridSpan w:val="2"/>
          </w:tcPr>
          <w:p>
            <w:pPr>
              <w:spacing w:after="0"/>
              <w:rPr>
                <w:sz w:val="17"/>
                <w:szCs w:val="17"/>
                <w:color w:val="auto"/>
              </w:rPr>
            </w:pPr>
          </w:p>
        </w:tc>
        <w:tc>
          <w:tcPr>
            <w:tcW w:w="3900" w:type="dxa"/>
            <w:vAlign w:val="bottom"/>
            <w:gridSpan w:val="4"/>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800" w:type="dxa"/>
            <w:vAlign w:val="bottom"/>
            <w:tcBorders>
              <w:bottom w:val="single" w:sz="8" w:color="0000EE"/>
            </w:tcBorders>
            <w:gridSpan w:val="15"/>
          </w:tcPr>
          <w:p>
            <w:pPr>
              <w:spacing w:after="0" w:line="194"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Item 8 Financial Statements and Supplementary Data</w:t>
              </w:r>
            </w:hyperlink>
          </w:p>
        </w:tc>
        <w:tc>
          <w:tcPr>
            <w:tcW w:w="6980" w:type="dxa"/>
            <w:vAlign w:val="bottom"/>
            <w:gridSpan w:val="8"/>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83">
              <w:r>
                <w:rPr>
                  <w:rFonts w:ascii="Arial" w:cs="Arial" w:eastAsia="Arial" w:hAnsi="Arial"/>
                  <w:sz w:val="18"/>
                  <w:szCs w:val="18"/>
                  <w:color w:val="0000EE"/>
                </w:rPr>
                <w:t>Item 9 Changes in and Disagreements with Accountants on Accounting and Financial Disclosure</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1"/>
          </w:tcPr>
          <w:p>
            <w:pPr>
              <w:spacing w:after="0" w:line="194"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Item 9A Controls and Procedures</w:t>
              </w:r>
            </w:hyperlink>
          </w:p>
        </w:tc>
        <w:tc>
          <w:tcPr>
            <w:tcW w:w="4520" w:type="dxa"/>
            <w:vAlign w:val="bottom"/>
            <w:tcBorders>
              <w:top w:val="single" w:sz="8" w:color="0000EE"/>
            </w:tcBorders>
            <w:gridSpan w:val="9"/>
          </w:tcPr>
          <w:p>
            <w:pPr>
              <w:spacing w:after="0"/>
              <w:rPr>
                <w:sz w:val="17"/>
                <w:szCs w:val="17"/>
                <w:color w:val="auto"/>
              </w:rPr>
            </w:pPr>
          </w:p>
        </w:tc>
        <w:tc>
          <w:tcPr>
            <w:tcW w:w="3880" w:type="dxa"/>
            <w:vAlign w:val="bottom"/>
            <w:gridSpan w:val="3"/>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85">
              <w:r>
                <w:rPr>
                  <w:rFonts w:ascii="Arial" w:cs="Arial" w:eastAsia="Arial" w:hAnsi="Arial"/>
                  <w:sz w:val="18"/>
                  <w:szCs w:val="18"/>
                  <w:color w:val="0000EE"/>
                </w:rPr>
                <w:t>Item 9B Other Information</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40" w:type="dxa"/>
            <w:vAlign w:val="bottom"/>
            <w:gridSpan w:val="6"/>
          </w:tcPr>
          <w:p>
            <w:pPr>
              <w:jc w:val="center"/>
              <w:ind w:right="4420"/>
              <w:spacing w:after="0"/>
              <w:rPr>
                <w:sz w:val="20"/>
                <w:szCs w:val="20"/>
                <w:color w:val="auto"/>
              </w:rPr>
            </w:pPr>
            <w:r>
              <w:rPr>
                <w:rFonts w:ascii="Arial" w:cs="Arial" w:eastAsia="Arial" w:hAnsi="Arial"/>
                <w:sz w:val="18"/>
                <w:szCs w:val="18"/>
                <w:color w:val="auto"/>
                <w:w w:val="96"/>
              </w:rPr>
              <w:t>PART III</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640" w:type="dxa"/>
            <w:vAlign w:val="bottom"/>
            <w:tcBorders>
              <w:bottom w:val="single" w:sz="8" w:color="0000EE"/>
            </w:tcBorders>
            <w:gridSpan w:val="16"/>
          </w:tcPr>
          <w:p>
            <w:pPr>
              <w:spacing w:after="0" w:line="168"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Item 10 Directors, Executive Officers and Corporate Governance</w:t>
              </w:r>
            </w:hyperlink>
          </w:p>
        </w:tc>
        <w:tc>
          <w:tcPr>
            <w:tcW w:w="6140" w:type="dxa"/>
            <w:vAlign w:val="bottom"/>
            <w:gridSpan w:val="7"/>
          </w:tcPr>
          <w:p>
            <w:pPr>
              <w:spacing w:after="0"/>
              <w:rPr>
                <w:sz w:val="16"/>
                <w:szCs w:val="16"/>
                <w:color w:val="auto"/>
              </w:rPr>
            </w:pPr>
          </w:p>
        </w:tc>
        <w:tc>
          <w:tcPr>
            <w:tcW w:w="580" w:type="dxa"/>
            <w:vAlign w:val="bottom"/>
          </w:tcPr>
          <w:p>
            <w:pPr>
              <w:jc w:val="right"/>
              <w:spacing w:after="0" w:line="168"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86">
              <w:r>
                <w:rPr>
                  <w:rFonts w:ascii="Arial" w:cs="Arial" w:eastAsia="Arial" w:hAnsi="Arial"/>
                  <w:sz w:val="18"/>
                  <w:szCs w:val="18"/>
                  <w:color w:val="0000EE"/>
                </w:rPr>
                <w:t>Item 11 Executive Compensation</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Pr>
          <w:p>
            <w:pPr>
              <w:spacing w:after="0"/>
              <w:rPr>
                <w:sz w:val="17"/>
                <w:szCs w:val="17"/>
                <w:color w:val="auto"/>
              </w:rPr>
            </w:pPr>
          </w:p>
        </w:tc>
        <w:tc>
          <w:tcPr>
            <w:tcW w:w="7800" w:type="dxa"/>
            <w:vAlign w:val="bottom"/>
            <w:tcBorders>
              <w:bottom w:val="single" w:sz="8" w:color="0000EE"/>
            </w:tcBorders>
            <w:gridSpan w:val="21"/>
          </w:tcPr>
          <w:p>
            <w:pPr>
              <w:spacing w:after="0" w:line="194"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Item 12 Security Ownership of Certain Beneficial Owners and Management and Related Shareholder Matters</w:t>
              </w:r>
            </w:hyperlink>
          </w:p>
        </w:tc>
        <w:tc>
          <w:tcPr>
            <w:tcW w:w="2980" w:type="dxa"/>
            <w:vAlign w:val="bottom"/>
            <w:gridSpan w:val="2"/>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5980" w:type="dxa"/>
            <w:vAlign w:val="bottom"/>
            <w:tcBorders>
              <w:bottom w:val="single" w:sz="8" w:color="0000EE"/>
            </w:tcBorders>
            <w:gridSpan w:val="18"/>
          </w:tcPr>
          <w:p>
            <w:pPr>
              <w:spacing w:after="0" w:line="194"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Item 13 Certain Relationships and Related Transactions, and Director Independence</w:t>
              </w:r>
            </w:hyperlink>
          </w:p>
        </w:tc>
        <w:tc>
          <w:tcPr>
            <w:tcW w:w="4800" w:type="dxa"/>
            <w:vAlign w:val="bottom"/>
            <w:gridSpan w:val="5"/>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86">
              <w:r>
                <w:rPr>
                  <w:rFonts w:ascii="Arial" w:cs="Arial" w:eastAsia="Arial" w:hAnsi="Arial"/>
                  <w:sz w:val="18"/>
                  <w:szCs w:val="18"/>
                  <w:color w:val="0000EE"/>
                </w:rPr>
                <w:t>Item 14 Principal Accountant Fees and Services</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40" w:type="dxa"/>
            <w:vAlign w:val="bottom"/>
            <w:gridSpan w:val="6"/>
          </w:tcPr>
          <w:p>
            <w:pPr>
              <w:jc w:val="center"/>
              <w:ind w:right="4420"/>
              <w:spacing w:after="0"/>
              <w:rPr>
                <w:sz w:val="20"/>
                <w:szCs w:val="20"/>
                <w:color w:val="auto"/>
              </w:rPr>
            </w:pPr>
            <w:r>
              <w:rPr>
                <w:rFonts w:ascii="Arial" w:cs="Arial" w:eastAsia="Arial" w:hAnsi="Arial"/>
                <w:sz w:val="18"/>
                <w:szCs w:val="18"/>
                <w:color w:val="auto"/>
                <w:w w:val="94"/>
              </w:rPr>
              <w:t>PART IV</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720" w:type="dxa"/>
            <w:vAlign w:val="bottom"/>
            <w:tcBorders>
              <w:bottom w:val="single" w:sz="8" w:color="0000EE"/>
            </w:tcBorders>
            <w:gridSpan w:val="14"/>
          </w:tcPr>
          <w:p>
            <w:pPr>
              <w:spacing w:after="0" w:line="168"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Item 15 Exhibits and Financial Statement Schedules</w:t>
              </w:r>
            </w:hyperlink>
          </w:p>
        </w:tc>
        <w:tc>
          <w:tcPr>
            <w:tcW w:w="7060" w:type="dxa"/>
            <w:vAlign w:val="bottom"/>
            <w:gridSpan w:val="9"/>
          </w:tcPr>
          <w:p>
            <w:pPr>
              <w:spacing w:after="0"/>
              <w:rPr>
                <w:sz w:val="16"/>
                <w:szCs w:val="16"/>
                <w:color w:val="auto"/>
              </w:rPr>
            </w:pPr>
          </w:p>
        </w:tc>
        <w:tc>
          <w:tcPr>
            <w:tcW w:w="580" w:type="dxa"/>
            <w:vAlign w:val="bottom"/>
          </w:tcPr>
          <w:p>
            <w:pPr>
              <w:jc w:val="right"/>
              <w:spacing w:after="0" w:line="168"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4"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Item 16 10-K Summary</w:t>
              </w:r>
            </w:hyperlink>
          </w:p>
        </w:tc>
        <w:tc>
          <w:tcPr>
            <w:tcW w:w="9080" w:type="dxa"/>
            <w:vAlign w:val="bottom"/>
            <w:gridSpan w:val="18"/>
          </w:tcPr>
          <w:p>
            <w:pPr>
              <w:spacing w:after="0"/>
              <w:rPr>
                <w:sz w:val="17"/>
                <w:szCs w:val="17"/>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0780" w:type="dxa"/>
            <w:vAlign w:val="bottom"/>
            <w:gridSpan w:val="23"/>
          </w:tcPr>
          <w:p>
            <w:pPr>
              <w:spacing w:after="0" w:line="194" w:lineRule="exact"/>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580" w:type="dxa"/>
            <w:vAlign w:val="bottom"/>
          </w:tcPr>
          <w:p>
            <w:pPr>
              <w:jc w:val="right"/>
              <w:spacing w:after="0" w:line="194"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7"/>
        </w:trPr>
        <w:tc>
          <w:tcPr>
            <w:tcW w:w="6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6" w:lineRule="exact"/>
        <w:rPr>
          <w:sz w:val="20"/>
          <w:szCs w:val="20"/>
          <w:color w:val="auto"/>
        </w:rPr>
      </w:pPr>
    </w:p>
    <w:p>
      <w:pPr>
        <w:jc w:val="both"/>
        <w:ind w:firstLine="507"/>
        <w:spacing w:after="0" w:line="264" w:lineRule="auto"/>
        <w:rPr>
          <w:sz w:val="20"/>
          <w:szCs w:val="20"/>
          <w:color w:val="auto"/>
        </w:rPr>
      </w:pPr>
      <w:r>
        <w:rPr>
          <w:rFonts w:ascii="Arial" w:cs="Arial" w:eastAsia="Arial" w:hAnsi="Arial"/>
          <w:sz w:val="17"/>
          <w:szCs w:val="17"/>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83" w:lineRule="exact"/>
        <w:rPr>
          <w:sz w:val="20"/>
          <w:szCs w:val="20"/>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expected revenue growth, gross margin and other financial objectives in fiscal 2020 and beyond;</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and expected fiscal 2020 reliance on revenue generated from the retrofit of a single national account customer;</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 and positive cash flows;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levels of cash and our limited borrowing capacity under our revolving line of credit;</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additional debt financing and/or equity capital;</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major sources of recurring revenue, our dependence on a limited number of key customers, and the potential consequences of the loss of one or more key customers or suppliers, including key contacts at such customers;</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of potential loss related to single or focused exposure within the current customer base and product offerings;</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the ongoing decreases in the average selling prices of our products as a result of competitive pressures in the evolving light emitting diode ("LED") market;</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differentiate our products in a highly competitive market, expand our customer base and gain market share;</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and avoid inventory obsolescence in a rapidly evolving LED market;</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increasing convergence in the LED market;</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reduction or elimination of investments in, or incentives to adopt, LED lighting technologies;</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emphasis on selling more of our products through third party distributors and sales agents, including our ability to attract and retain effective third party distributors and sales agents to execute our sales model;</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participate in new product and technology offerings or applications in a cost effective and timely manner;</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deterioration of market conditions, including our dependence on customers' capital budgets for sales of products and services, and adverse impacts on costs and the demand for our products as a result of the implementation of tariffs;</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reliance on third parties for the manufacture and development of products and product components;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safe and secure information technology systems;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covenants in our revolving credit agreement;</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fluctuating quarterly results of operations as we continue to implement cost reductions, and continue to focus investing in our third party distribution sales channel;</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hire and retain talented individuals in all disciplines of our company;</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balance customer demand and production capacity;</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fluctuations (including as a result of tariffs), shortages or interruptions of component supplies and raw materials used to manufacture our products;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 w:name="page4"/>
    <w:bookmarkEnd w:id="3"/>
    <w:p>
      <w:pPr>
        <w:ind w:left="880" w:hanging="36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defend our patent portfolio;</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reduction in the price of electricity;</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comply with, and the effects of, any current and future industry and government regulations, laws and policies; and</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warranty claims in excess of our reserve estimates.</w:t>
      </w:r>
    </w:p>
    <w:p>
      <w:pPr>
        <w:spacing w:after="0" w:line="220" w:lineRule="exact"/>
        <w:rPr>
          <w:sz w:val="20"/>
          <w:szCs w:val="20"/>
          <w:color w:val="auto"/>
        </w:rPr>
      </w:pPr>
    </w:p>
    <w:p>
      <w:pPr>
        <w:ind w:firstLine="507"/>
        <w:spacing w:after="0" w:line="267" w:lineRule="auto"/>
        <w:rPr>
          <w:sz w:val="20"/>
          <w:szCs w:val="20"/>
          <w:color w:val="auto"/>
        </w:rPr>
      </w:pPr>
      <w:r>
        <w:rPr>
          <w:rFonts w:ascii="Arial" w:cs="Arial" w:eastAsia="Arial" w:hAnsi="Arial"/>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80" w:lineRule="exact"/>
        <w:rPr>
          <w:sz w:val="20"/>
          <w:szCs w:val="20"/>
          <w:color w:val="auto"/>
        </w:rPr>
      </w:pPr>
    </w:p>
    <w:p>
      <w:pPr>
        <w:ind w:firstLine="507"/>
        <w:spacing w:after="0" w:line="297" w:lineRule="auto"/>
        <w:rPr>
          <w:sz w:val="20"/>
          <w:szCs w:val="20"/>
          <w:color w:val="auto"/>
        </w:rPr>
      </w:pPr>
      <w:r>
        <w:rPr>
          <w:rFonts w:ascii="Arial" w:cs="Arial" w:eastAsia="Arial" w:hAnsi="Arial"/>
          <w:sz w:val="17"/>
          <w:szCs w:val="17"/>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We provide state-of-the-art LED lighting, wireless Internet of Things (“IoT”) enabled control solutions,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93"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Our lighting products consist primarily of light emitting diode ("LED") lighting fixtures, many of which include IoT enabled control systems. Our principal customers include large national account end-users, electrical distributors and energy service companies ("ESCOs"). Currently, substantially all of our products are manufactured at our leased production facility located in Manitowoc, Wisconsin, although as the LED market continues to evolve, we are increasingly sourcing products and components from third parties in order to provide versatility in our product development.</w:t>
      </w:r>
    </w:p>
    <w:p>
      <w:pPr>
        <w:spacing w:after="0" w:line="177"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believe the market for LED lighting products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88"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We generally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79"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19"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and Orion Distribution Services Division ("ODS"), and Orion U.S. Markets Division ("USM").</w:t>
      </w:r>
    </w:p>
    <w:p>
      <w:pPr>
        <w:spacing w:after="0" w:line="172"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For financial results by reportable segment, please refer to Note 16, "Segment Data" in our consolidated financial statements included in Item 8. of this Annual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19"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are primarily ESCOs.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We provide enterprise-grade LED lighting and energy project solutions. We are primarily focused on providing commercial and industrial facilities lighting retrofit solutions in North America using solid-state LED technology. We believe the market for lighting products has shifted to LED lighting systems and continues to grow.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other technologies.</w:t>
      </w:r>
    </w:p>
    <w:p>
      <w:pPr>
        <w:spacing w:after="0" w:line="193"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Our products deliver energy savings and efficiency gains to our commercial and industrial customers without compromising their quantity or quality of light. We estimate that our energy management systems reduce our customers’ legacy lighting-related electricity costs by approximately 50% or greater, while maintaining their quantity of light after the reduced wattage and improving overall lighting quality when replacing traditional fixtures. Our customers with legacy lighting systems typically realize a one to four-year payback period, and most often 12 – 18 months, from electricity cost savings generated by our lighting systems without considering utility incentives or government subsidies.</w:t>
      </w:r>
    </w:p>
    <w:p>
      <w:pPr>
        <w:spacing w:after="0" w:line="193"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Energy-efficient lighting systems are cost-effective and environmentally responsible solutions allowing end users to reduce operating expenses. Based on a July 2015 report published by the United States Department of Energy, or DOE, we estimate the potential North American LED retrofit market within our primary markets to be approximately 1.1 billion lighting fixtures. We serve government and private sector end-customers in the following primary markets: commercial office and retail, area lighting and industrial applications.</w:t>
      </w:r>
    </w:p>
    <w:p>
      <w:pPr>
        <w:spacing w:after="0" w:line="19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Commercial office and retail. </w:t>
      </w:r>
      <w:r>
        <w:rPr>
          <w:rFonts w:ascii="Arial" w:cs="Arial" w:eastAsia="Arial" w:hAnsi="Arial"/>
          <w:sz w:val="18"/>
          <w:szCs w:val="18"/>
          <w:color w:val="auto"/>
        </w:rPr>
        <w:t>Our commercial office and retail market includes commercial office buildings, retail store fronts, government offices,</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hospitals and other buildings with traditional 10 to 12 foot ceiling heights. The DOE estimates that there are approximately 987 million office "troffer" fixtures within the United States, which is a rectangular light fixture that fits into a modular dropped ceiling grid. We believe we have the opportunity to increase our revenue by serving this market with our LED Door Retrofit, or LDR</w:t>
      </w:r>
      <w:r>
        <w:rPr>
          <w:rFonts w:ascii="Arial" w:cs="Arial" w:eastAsia="Arial" w:hAnsi="Arial"/>
          <w:sz w:val="15"/>
          <w:szCs w:val="15"/>
          <w:color w:val="auto"/>
        </w:rPr>
        <w:t>TM</w:t>
      </w:r>
      <w:r>
        <w:rPr>
          <w:rFonts w:ascii="Arial" w:cs="Arial" w:eastAsia="Arial" w:hAnsi="Arial"/>
          <w:sz w:val="18"/>
          <w:szCs w:val="18"/>
          <w:color w:val="auto"/>
        </w:rPr>
        <w:t>, lighting solutions.</w:t>
      </w:r>
    </w:p>
    <w:p>
      <w:pPr>
        <w:spacing w:after="0" w:line="191"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Area lighting. </w:t>
      </w:r>
      <w:r>
        <w:rPr>
          <w:rFonts w:ascii="Arial" w:cs="Arial" w:eastAsia="Arial" w:hAnsi="Arial"/>
          <w:sz w:val="18"/>
          <w:szCs w:val="18"/>
          <w:color w:val="auto"/>
        </w:rPr>
        <w:t>Our market for area lighting includes parking garages, surface lots, automobile dealerships and gas service stations. The DOE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there are approximately 66 million area lighting fixtures within the United States and an additional 45 million roadway lighting fixtures in the United States.</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Industrial applications. </w:t>
      </w:r>
      <w:r>
        <w:rPr>
          <w:rFonts w:ascii="Arial" w:cs="Arial" w:eastAsia="Arial" w:hAnsi="Arial"/>
          <w:sz w:val="18"/>
          <w:szCs w:val="18"/>
          <w:color w:val="auto"/>
        </w:rPr>
        <w:t>Our market for industrial facilities includes manufacturing facilities, distribution and warehouse facilities, government buildings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agricultural buildings. These facilities typically contain "high-bay" lighting fixtures. The DOE estimates that there are approximately 139 million low/high bay fixtures within the United States.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6" w:name="page7"/>
    <w:bookmarkEnd w:id="6"/>
    <w:p>
      <w:pPr>
        <w:jc w:val="both"/>
        <w:ind w:firstLine="507"/>
        <w:spacing w:after="0" w:line="251" w:lineRule="auto"/>
        <w:rPr>
          <w:sz w:val="20"/>
          <w:szCs w:val="20"/>
          <w:color w:val="auto"/>
        </w:rPr>
      </w:pPr>
      <w:r>
        <w:rPr>
          <w:rFonts w:ascii="Arial" w:cs="Arial" w:eastAsia="Arial" w:hAnsi="Arial"/>
          <w:sz w:val="18"/>
          <w:szCs w:val="18"/>
          <w:color w:val="auto"/>
        </w:rPr>
        <w:t>Commercial and industrial facilities in the United States employ a variety of lighting technologies, including HID, traditional fluorescents, LED and incandescent lighting fixtures. We estimate that approximately 50% of this market still utilizes inefficient high intensity discharge ("HID") lighting technologies. Our lighting systems typically replace less efficient HID, HIF fixtures, and earlier generation of LED fixtures. According to the Electric Power Research Institute, or EPRI, HID fixtures only convert approximately 36% of the energy they consume into visible light. We estimate that our energy management systems reduce our customers’ legacy lighting-related electricity costs by approximately 50% or greater, while improving overall lighting quality when replacing traditional fixtures.</w:t>
      </w:r>
    </w:p>
    <w:p>
      <w:pPr>
        <w:spacing w:after="0" w:line="195"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50 states, through legislation, regulation or voluntary action, have seen their utilities design and fund programs that promote or deliver energy efficiency. Our products are not solely dependent upon these incentive programs, but we do believe that these incentive programs provide an important benefit as our customers evaluate their out-of-pocket cash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 xml:space="preserve">Value Proposition. </w:t>
      </w:r>
      <w:r>
        <w:rPr>
          <w:rFonts w:ascii="Arial" w:cs="Arial" w:eastAsia="Arial" w:hAnsi="Arial"/>
          <w:sz w:val="18"/>
          <w:szCs w:val="18"/>
          <w:color w:val="auto"/>
        </w:rPr>
        <w:t>We estimate our LED lighting systems generally reduce lighting-related electricity costs by approximately 50% or greater,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legacy fixtures, while improving overall lighting quality.</w:t>
      </w:r>
    </w:p>
    <w:p>
      <w:pPr>
        <w:spacing w:after="0" w:line="180"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7"/>
          <w:szCs w:val="17"/>
          <w:i w:val="1"/>
          <w:iCs w:val="1"/>
          <w:color w:val="auto"/>
        </w:rPr>
        <w:t xml:space="preserve">Multi-Facility Roll-Out Capability. </w:t>
      </w:r>
      <w:r>
        <w:rPr>
          <w:rFonts w:ascii="Arial" w:cs="Arial" w:eastAsia="Arial" w:hAnsi="Arial"/>
          <w:sz w:val="17"/>
          <w:szCs w:val="17"/>
          <w:color w:val="auto"/>
        </w:rPr>
        <w:t>We offer our customers a single source, turnkey solution for project implementation in which we manage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responsibility 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72"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Rapid Payback Period. </w:t>
      </w:r>
      <w:r>
        <w:rPr>
          <w:rFonts w:ascii="Arial" w:cs="Arial" w:eastAsia="Arial" w:hAnsi="Arial"/>
          <w:sz w:val="18"/>
          <w:szCs w:val="18"/>
          <w:color w:val="auto"/>
        </w:rPr>
        <w:t>In most retrofit projects where we replace HID and HIF fixtures, our customers typically realize a one to four year, but most</w:t>
      </w:r>
      <w:r>
        <w:rPr>
          <w:rFonts w:ascii="Arial" w:cs="Arial" w:eastAsia="Arial" w:hAnsi="Arial"/>
          <w:sz w:val="18"/>
          <w:szCs w:val="18"/>
          <w:i w:val="1"/>
          <w:iCs w:val="1"/>
          <w:color w:val="auto"/>
        </w:rPr>
        <w:t xml:space="preserve"> </w:t>
      </w:r>
      <w:r>
        <w:rPr>
          <w:rFonts w:ascii="Arial" w:cs="Arial" w:eastAsia="Arial" w:hAnsi="Arial"/>
          <w:sz w:val="18"/>
          <w:szCs w:val="18"/>
          <w:color w:val="auto"/>
        </w:rPr>
        <w:t>often 12 – 18 months, payback period on our lighting systems. These returns are achieved without considering utility incentives or government subsidies (although subsidies and incentives are continually being made available to our customers in connection with the installation of our systems that further shorten payback periods).</w:t>
      </w:r>
    </w:p>
    <w:p>
      <w:pPr>
        <w:spacing w:after="0" w:line="191"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i w:val="1"/>
          <w:iCs w:val="1"/>
          <w:color w:val="auto"/>
        </w:rPr>
        <w:t xml:space="preserve">Easy Installation, Implementation and Maintenance. </w:t>
      </w:r>
      <w:r>
        <w:rPr>
          <w:rFonts w:ascii="Arial" w:cs="Arial" w:eastAsia="Arial" w:hAnsi="Arial"/>
          <w:sz w:val="17"/>
          <w:szCs w:val="17"/>
          <w:color w:val="auto"/>
        </w:rPr>
        <w:t>Most of our fixtures are designed with a lightweight construction and modular plug-and-play</w:t>
      </w:r>
      <w:r>
        <w:rPr>
          <w:rFonts w:ascii="Arial" w:cs="Arial" w:eastAsia="Arial" w:hAnsi="Arial"/>
          <w:sz w:val="17"/>
          <w:szCs w:val="17"/>
          <w:i w:val="1"/>
          <w:iCs w:val="1"/>
          <w:color w:val="auto"/>
        </w:rPr>
        <w:t xml:space="preserve"> </w:t>
      </w:r>
      <w:r>
        <w:rPr>
          <w:rFonts w:ascii="Arial" w:cs="Arial" w:eastAsia="Arial" w:hAnsi="Arial"/>
          <w:sz w:val="17"/>
          <w:szCs w:val="17"/>
          <w:color w:val="auto"/>
        </w:rPr>
        <w:t>architecture that allows for fast and easy installation, facilitates maintenance, and integration of other components of our energy management system. Our office LED Troffer Door Retrofit (</w:t>
      </w:r>
      <w:r>
        <w:rPr>
          <w:rFonts w:ascii="Arial" w:cs="Arial" w:eastAsia="Arial" w:hAnsi="Arial"/>
          <w:sz w:val="17"/>
          <w:szCs w:val="17"/>
          <w:i w:val="1"/>
          <w:iCs w:val="1"/>
          <w:color w:val="auto"/>
        </w:rPr>
        <w:t>"</w:t>
      </w:r>
      <w:r>
        <w:rPr>
          <w:rFonts w:ascii="Arial" w:cs="Arial" w:eastAsia="Arial" w:hAnsi="Arial"/>
          <w:sz w:val="17"/>
          <w:szCs w:val="17"/>
          <w:color w:val="auto"/>
        </w:rPr>
        <w:t>LDR</w:t>
      </w:r>
      <w:r>
        <w:rPr>
          <w:rFonts w:ascii="Arial" w:cs="Arial" w:eastAsia="Arial" w:hAnsi="Arial"/>
          <w:sz w:val="14"/>
          <w:szCs w:val="14"/>
          <w:color w:val="auto"/>
        </w:rPr>
        <w:t>TM</w:t>
      </w:r>
      <w:r>
        <w:rPr>
          <w:rFonts w:ascii="Arial" w:cs="Arial" w:eastAsia="Arial" w:hAnsi="Arial"/>
          <w:sz w:val="17"/>
          <w:szCs w:val="17"/>
          <w:color w:val="auto"/>
        </w:rPr>
        <w:t>") products are designed to allow for a fast and easy installation without disrupting the ceiling space or the office workspace.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81"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i w:val="1"/>
          <w:iCs w:val="1"/>
          <w:color w:val="auto"/>
        </w:rPr>
        <w:t xml:space="preserve">Expanded Product Offerings. </w:t>
      </w:r>
      <w:r>
        <w:rPr>
          <w:rFonts w:ascii="Arial" w:cs="Arial" w:eastAsia="Arial" w:hAnsi="Arial"/>
          <w:sz w:val="16"/>
          <w:szCs w:val="16"/>
          <w:color w:val="auto"/>
        </w:rPr>
        <w:t>We are committed to continue developing LED product offerings in all of the markets we serve. Our third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ISON® class of LED interior fixture delivers a market leading 214 lumens per watt. This advancement means our customers can get more light with less energy, and sometimes fewer fixtures, than with any other product on the market. In fiscal 2018 and 2019, we launched a variety of new products, features and functionality targeting healthcare, food service, high and low temperature environments and other market segments. See "Products and Services" below.</w:t>
      </w:r>
    </w:p>
    <w:p>
      <w:pPr>
        <w:spacing w:after="0" w:line="162"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Environmental Benefits. </w:t>
      </w:r>
      <w:r>
        <w:rPr>
          <w:rFonts w:ascii="Arial" w:cs="Arial" w:eastAsia="Arial" w:hAnsi="Arial"/>
          <w:sz w:val="18"/>
          <w:szCs w:val="18"/>
          <w:color w:val="auto"/>
        </w:rPr>
        <w:t>By allowing for the permanent reduction of electricity consumption, our energy management systems reduce indirect CO2</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are a negative by-product of energy generation. We estimate that one of our LED lighting systems, when replacing a standard HID fixture, displaces 0.352 kW of electricity, which, based on information provided by the EPA, reduces a customer’s indirect CO2 emissions by approximately 1.5 tons per year.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Competitive Strengths</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Compelling Value Proposition. </w:t>
      </w:r>
      <w:r>
        <w:rPr>
          <w:rFonts w:ascii="Arial" w:cs="Arial" w:eastAsia="Arial" w:hAnsi="Arial"/>
          <w:sz w:val="18"/>
          <w:szCs w:val="18"/>
          <w:color w:val="auto"/>
        </w:rPr>
        <w:t>By permanently reducing lighting-related electricity usage, our systems enable our customers to achieve significant cost</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without compromising quantity and quality of light in their facilities. As a result, our products offer our customers a rapid return on their investment, without relying on government subsidies or utility incentives.</w:t>
      </w:r>
    </w:p>
    <w:p>
      <w:pPr>
        <w:spacing w:after="0" w:line="188"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i w:val="1"/>
          <w:iCs w:val="1"/>
          <w:color w:val="auto"/>
        </w:rPr>
        <w:t xml:space="preserve">Comprehensive Project Management. </w:t>
      </w:r>
      <w:r>
        <w:rPr>
          <w:rFonts w:ascii="Arial" w:cs="Arial" w:eastAsia="Arial" w:hAnsi="Arial"/>
          <w:sz w:val="16"/>
          <w:szCs w:val="16"/>
          <w:color w:val="auto"/>
        </w:rPr>
        <w:t>We offer our customers a single source solution whereby we manage and are responsible for an entire retrofit</w:t>
      </w:r>
      <w:r>
        <w:rPr>
          <w:rFonts w:ascii="Arial" w:cs="Arial" w:eastAsia="Arial" w:hAnsi="Arial"/>
          <w:sz w:val="16"/>
          <w:szCs w:val="16"/>
          <w:i w:val="1"/>
          <w:iCs w:val="1"/>
          <w:color w:val="auto"/>
        </w:rPr>
        <w:t xml:space="preserve"> </w:t>
      </w:r>
      <w:r>
        <w:rPr>
          <w:rFonts w:ascii="Arial" w:cs="Arial" w:eastAsia="Arial" w:hAnsi="Arial"/>
          <w:sz w:val="16"/>
          <w:szCs w:val="16"/>
          <w:color w:val="auto"/>
        </w:rPr>
        <w:t>lighting project, from initial site surveys and energy audits through to installation and controls integration. Our ability to offer such comprehensive turnkey project management services, coupled with best-in-class customer service, allows us to deliver energy reductions and cost savings to our customers in timely, orderly and planned multi-facility roll-outs nationwide. We experienced substantial success with offering these services in fiscal 2019 with one national account customer entering into commitments to retrofit multiple locations beginning in the fourth quarter of fiscal 2019 and continuing throughout our fiscal 2020.</w:t>
      </w:r>
    </w:p>
    <w:p>
      <w:pPr>
        <w:spacing w:after="0" w:line="165"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i w:val="1"/>
          <w:iCs w:val="1"/>
          <w:color w:val="auto"/>
        </w:rPr>
        <w:t xml:space="preserve">Large and Growing Customer Base. </w:t>
      </w:r>
      <w:r>
        <w:rPr>
          <w:rFonts w:ascii="Arial" w:cs="Arial" w:eastAsia="Arial" w:hAnsi="Arial"/>
          <w:sz w:val="17"/>
          <w:szCs w:val="17"/>
          <w:color w:val="auto"/>
        </w:rPr>
        <w:t>We have developed a large and growing national customer base, and have installed our products in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14,500 commercial and 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81" w:lineRule="exact"/>
        <w:rPr>
          <w:sz w:val="20"/>
          <w:szCs w:val="20"/>
          <w:color w:val="auto"/>
        </w:rPr>
      </w:pPr>
    </w:p>
    <w:p>
      <w:pPr>
        <w:jc w:val="both"/>
        <w:ind w:firstLine="507"/>
        <w:spacing w:after="0" w:line="282" w:lineRule="auto"/>
        <w:rPr>
          <w:sz w:val="20"/>
          <w:szCs w:val="20"/>
          <w:color w:val="auto"/>
        </w:rPr>
      </w:pPr>
      <w:r>
        <w:rPr>
          <w:rFonts w:ascii="Arial" w:cs="Arial" w:eastAsia="Arial" w:hAnsi="Arial"/>
          <w:sz w:val="16"/>
          <w:szCs w:val="16"/>
          <w:i w:val="1"/>
          <w:iCs w:val="1"/>
          <w:color w:val="auto"/>
        </w:rPr>
        <w:t xml:space="preserve">Innovative Technology. </w:t>
      </w:r>
      <w:r>
        <w:rPr>
          <w:rFonts w:ascii="Arial" w:cs="Arial" w:eastAsia="Arial" w:hAnsi="Arial"/>
          <w:sz w:val="16"/>
          <w:szCs w:val="16"/>
          <w:color w:val="auto"/>
        </w:rPr>
        <w:t>We have developed a portfolio of 104 United States patents primarily covering various elements of our products.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innovations allow our products to produce more light output per unit of input energy compared to our competition. We also have 15 patents pending that primarily cover various elements of our newly developed LED products and certain business methods. To complement our innovative energy management products, our integrated energy management services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 Beyond the benefits of our lighting fixtures, we believe that there is also an opportunity to utilize our system platform as a “connected ceiling” or “smart ceiling”, or a framework or network that can support the installation and integration of other solutions on a digital platform. This “smart ceiling” can be integrated with other technologies to collect data and manage assets and resources more efficiently. This anticipated potential growth opportunity is also known as the “Industrial Internet of Things” or IoT and is in the early adoption phase in the marketplace as businesses and municipalities explore use of these new technologies to optimize operations or develop “smart cities”. Orion’s percentage of systems utilizing IoT enabled devices has grown significantly over the past few years and we expect this trend to continue. Our IoT enabled devices not only contain energy management control functions, but also have the ability to collect facility usage and traffic data as well as collect data from other facility mechanical systems.</w:t>
      </w:r>
    </w:p>
    <w:p>
      <w:pPr>
        <w:spacing w:after="0" w:line="177"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Expanded Sales and Distribution Network. </w:t>
      </w:r>
      <w:r>
        <w:rPr>
          <w:rFonts w:ascii="Arial" w:cs="Arial" w:eastAsia="Arial" w:hAnsi="Arial"/>
          <w:sz w:val="18"/>
          <w:szCs w:val="18"/>
          <w:color w:val="auto"/>
        </w:rPr>
        <w:t>In addition to selling directly to national accounts and ESCOs, we sell our lighting products 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distributors through a North American network of independent lighting agencies. As of the end of fiscal 2019, we had approximately 50 different independent lighting agencies representing us in substantially all of North America. We intend to continue to selectively build our sales network in the future, with a focus on geographic regions where we do not currently have a strong sales presence.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Our ability to achieve our desired revenue growth and profitability goals depends on our ability to effectively execute on the following key strategic initiatives:</w:t>
      </w:r>
    </w:p>
    <w:p>
      <w:pPr>
        <w:spacing w:after="0" w:line="180"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i w:val="1"/>
          <w:iCs w:val="1"/>
          <w:color w:val="auto"/>
        </w:rPr>
        <w:t xml:space="preserve">Focus on executing and marketing our turnkey LED retrofit capabilities to large national account customers. </w:t>
      </w:r>
      <w:r>
        <w:rPr>
          <w:rFonts w:ascii="Arial" w:cs="Arial" w:eastAsia="Arial" w:hAnsi="Arial"/>
          <w:sz w:val="18"/>
          <w:szCs w:val="18"/>
          <w:color w:val="auto"/>
        </w:rPr>
        <w:t>We believe one of our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is our ability 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resulted in our contract to retrofit multiple locations for a single national account. This contract will lead our growth momentum for fiscal 2020 and beyond.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8" w:name="page9"/>
    <w:bookmarkEnd w:id="8"/>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88"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Continued Product Innovation. </w:t>
      </w:r>
      <w:r>
        <w:rPr>
          <w:rFonts w:ascii="Arial" w:cs="Arial" w:eastAsia="Arial" w:hAnsi="Arial"/>
          <w:sz w:val="18"/>
          <w:szCs w:val="18"/>
          <w:color w:val="auto"/>
        </w:rPr>
        <w:t>We continue to innovate, developing lighting fixtures and features that address specific customer requirements,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also working to maintain a leadership position in energy efficiency, smart product design and installation benefits.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91"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i w:val="1"/>
          <w:iCs w:val="1"/>
          <w:color w:val="auto"/>
        </w:rPr>
        <w:t xml:space="preserve">Leveraging of Orion’s Smart Lighting Systems to Support Internet of Things Applications. </w:t>
      </w:r>
      <w:r>
        <w:rPr>
          <w:rFonts w:ascii="Arial" w:cs="Arial" w:eastAsia="Arial" w:hAnsi="Arial"/>
          <w:sz w:val="16"/>
          <w:szCs w:val="16"/>
          <w:color w:val="auto"/>
        </w:rPr>
        <w:t>We believe we are ideally positioned to help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19"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Our primary focus has been, and will continue to be, emphasizing our LED lighting fixtures. Currently, substantially all of our products are manufactured at our leased production facility location in Manitowoc, Wisconsin, although as the LED market continues to evolve, we also source products and components from third parties in order to have versatility in our product development. We are focused on researching, developing and/or acquiring new innovative LED products and technologies for the retrofit markets, such as the LDR</w:t>
      </w:r>
      <w:r>
        <w:rPr>
          <w:rFonts w:ascii="Arial" w:cs="Arial" w:eastAsia="Arial" w:hAnsi="Arial"/>
          <w:sz w:val="13"/>
          <w:szCs w:val="13"/>
          <w:color w:val="auto"/>
        </w:rPr>
        <w:t>TM</w:t>
      </w:r>
      <w:r>
        <w:rPr>
          <w:rFonts w:ascii="Arial" w:cs="Arial" w:eastAsia="Arial" w:hAnsi="Arial"/>
          <w:sz w:val="16"/>
          <w:szCs w:val="16"/>
          <w:color w:val="auto"/>
        </w:rPr>
        <w:t>. We plan to focus our efforts on developing creative new LED retrofit products in order to offer our customers a variety of integrated energy management services, such as system design, project management and installation.</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description of our primary products:</w:t>
      </w:r>
    </w:p>
    <w:p>
      <w:pPr>
        <w:spacing w:after="0" w:line="21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The LED Troffer Door Retrofit (LDR</w:t>
      </w:r>
      <w:r>
        <w:rPr>
          <w:rFonts w:ascii="Arial" w:cs="Arial" w:eastAsia="Arial" w:hAnsi="Arial"/>
          <w:sz w:val="15"/>
          <w:szCs w:val="15"/>
          <w:i w:val="1"/>
          <w:iCs w:val="1"/>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The LDR</w:t>
      </w:r>
      <w:r>
        <w:rPr>
          <w:rFonts w:ascii="Arial" w:cs="Arial" w:eastAsia="Arial" w:hAnsi="Arial"/>
          <w:sz w:val="15"/>
          <w:szCs w:val="15"/>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to replace existing 4 foot by 2 foot and 2 foot by 2 foot fluorescent troffers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frequently found in office or retail grid ceilings. Our LDR</w:t>
      </w:r>
      <w:r>
        <w:rPr>
          <w:rFonts w:ascii="Arial" w:cs="Arial" w:eastAsia="Arial" w:hAnsi="Arial"/>
          <w:sz w:val="15"/>
          <w:szCs w:val="15"/>
          <w:color w:val="auto"/>
        </w:rPr>
        <w:t>TM</w:t>
      </w:r>
      <w:r>
        <w:rPr>
          <w:rFonts w:ascii="Arial" w:cs="Arial" w:eastAsia="Arial" w:hAnsi="Arial"/>
          <w:sz w:val="18"/>
          <w:szCs w:val="18"/>
          <w:color w:val="auto"/>
        </w:rPr>
        <w:t xml:space="preserve"> product is unique in that the LED optics and electronics are housed within the doorframe that allows for installation of the product in approximately one to two minutes. Our LDR</w:t>
      </w:r>
      <w:r>
        <w:rPr>
          <w:rFonts w:ascii="Arial" w:cs="Arial" w:eastAsia="Arial" w:hAnsi="Arial"/>
          <w:sz w:val="15"/>
          <w:szCs w:val="15"/>
          <w:color w:val="auto"/>
        </w:rPr>
        <w:t>TM</w:t>
      </w:r>
      <w:r>
        <w:rPr>
          <w:rFonts w:ascii="Arial" w:cs="Arial" w:eastAsia="Arial" w:hAnsi="Arial"/>
          <w:sz w:val="18"/>
          <w:szCs w:val="18"/>
          <w:color w:val="auto"/>
        </w:rPr>
        <w:t xml:space="preserve"> product also provides reduced maintenance expenses based upon improved LED chips.</w:t>
      </w:r>
    </w:p>
    <w:p>
      <w:pPr>
        <w:spacing w:after="0" w:line="191"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7"/>
          <w:szCs w:val="17"/>
          <w:i w:val="1"/>
          <w:iCs w:val="1"/>
          <w:color w:val="auto"/>
        </w:rPr>
        <w:t xml:space="preserve">Interior LED High Bay Fixtures: </w:t>
      </w:r>
      <w:r>
        <w:rPr>
          <w:rFonts w:ascii="Arial" w:cs="Arial" w:eastAsia="Arial" w:hAnsi="Arial"/>
          <w:sz w:val="17"/>
          <w:szCs w:val="17"/>
          <w:color w:val="auto"/>
        </w:rPr>
        <w:t>Our LED interior high bay lighting products consist of our Harris high bay, Apollo</w:t>
      </w:r>
      <w:r>
        <w:rPr>
          <w:rFonts w:ascii="Arial" w:cs="Arial" w:eastAsia="Arial" w:hAnsi="Arial"/>
          <w:sz w:val="14"/>
          <w:szCs w:val="14"/>
          <w:color w:val="auto"/>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high bay and ISON® high bay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Our ISON® class of LED interior fixture offers a full package of premium features, including low total cost of ownership, optics that currently exceed competitors in terms of lumen package, delivered light, modularity and advanced thermal management. Our third generation of ISON® class of LED interior fixture delivers up to an exceptional 214 lumens per watt. This advancement means our customers can get more light with less energy, and sometimes fewer fixtures, compared to other products on the market. Our Apollo</w:t>
      </w:r>
      <w:r>
        <w:rPr>
          <w:rFonts w:ascii="Arial" w:cs="Arial" w:eastAsia="Arial" w:hAnsi="Arial"/>
          <w:sz w:val="14"/>
          <w:szCs w:val="14"/>
          <w:color w:val="auto"/>
        </w:rPr>
        <w:t>TM</w:t>
      </w:r>
      <w:r>
        <w:rPr>
          <w:rFonts w:ascii="Arial" w:cs="Arial" w:eastAsia="Arial" w:hAnsi="Arial"/>
          <w:sz w:val="17"/>
          <w:szCs w:val="17"/>
          <w:color w:val="auto"/>
        </w:rPr>
        <w:t xml:space="preserve"> class of LED interior fixtures is designed for new construction and retrofit projects where initial cost is the largest factor in the purchase decision. Our Harris high bay is ideal for customers seeking a cost-effective solution to deliver energy savings and maintenance reductions. In addition, our LED interior lighting products are lightweight and easy to handle, which further reduces installation and maintenance costs and helps to build brand loyalty with electrical contractors and installers.</w:t>
      </w:r>
    </w:p>
    <w:p>
      <w:pPr>
        <w:spacing w:after="0" w:line="181" w:lineRule="exact"/>
        <w:rPr>
          <w:sz w:val="20"/>
          <w:szCs w:val="20"/>
          <w:color w:val="auto"/>
        </w:rPr>
      </w:pPr>
    </w:p>
    <w:p>
      <w:pPr>
        <w:jc w:val="both"/>
        <w:ind w:firstLine="507"/>
        <w:spacing w:after="0" w:line="305" w:lineRule="auto"/>
        <w:rPr>
          <w:sz w:val="20"/>
          <w:szCs w:val="20"/>
          <w:color w:val="auto"/>
        </w:rPr>
      </w:pPr>
      <w:r>
        <w:rPr>
          <w:rFonts w:ascii="Arial" w:cs="Arial" w:eastAsia="Arial" w:hAnsi="Arial"/>
          <w:sz w:val="16"/>
          <w:szCs w:val="16"/>
          <w:i w:val="1"/>
          <w:iCs w:val="1"/>
          <w:color w:val="auto"/>
        </w:rPr>
        <w:t xml:space="preserve">Smart Lighting Controls. </w:t>
      </w:r>
      <w:r>
        <w:rPr>
          <w:rFonts w:ascii="Arial" w:cs="Arial" w:eastAsia="Arial" w:hAnsi="Arial"/>
          <w:sz w:val="16"/>
          <w:szCs w:val="16"/>
          <w:color w:val="auto"/>
        </w:rPr>
        <w:t>We offer a broad array of smart building control systems that have either been developed by us under the InteLite</w:t>
      </w:r>
      <w:r>
        <w:rPr>
          <w:rFonts w:ascii="Arial" w:cs="Arial" w:eastAsia="Arial" w:hAnsi="Arial"/>
          <w:sz w:val="13"/>
          <w:szCs w:val="13"/>
          <w:color w:val="auto"/>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brand or</w:t>
      </w:r>
      <w:r>
        <w:rPr>
          <w:rFonts w:ascii="Arial" w:cs="Arial" w:eastAsia="Arial" w:hAnsi="Arial"/>
          <w:sz w:val="16"/>
          <w:szCs w:val="16"/>
          <w:i w:val="1"/>
          <w:iCs w:val="1"/>
          <w:color w:val="auto"/>
        </w:rPr>
        <w:t xml:space="preserve"> </w:t>
      </w:r>
      <w:r>
        <w:rPr>
          <w:rFonts w:ascii="Arial" w:cs="Arial" w:eastAsia="Arial" w:hAnsi="Arial"/>
          <w:sz w:val="16"/>
          <w:szCs w:val="16"/>
          <w:color w:val="auto"/>
        </w:rPr>
        <w:t>procured from third parties. These control systems provide both lighting control options (such as occupancy, daylight, or schedule control) and data intelligence capabilities for building managers to log, monitor, and analyze use of space, energy savings, and provide physical security of the space.</w:t>
      </w:r>
    </w:p>
    <w:p>
      <w:pPr>
        <w:spacing w:after="0" w:line="15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 xml:space="preserve">Other Products. </w:t>
      </w:r>
      <w:r>
        <w:rPr>
          <w:rFonts w:ascii="Arial" w:cs="Arial" w:eastAsia="Arial" w:hAnsi="Arial"/>
          <w:sz w:val="18"/>
          <w:szCs w:val="18"/>
          <w:color w:val="auto"/>
        </w:rPr>
        <w:t>We also offer our customers a variety of other LED and HIF fixtures to address their lighting and energy management needs,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fixtures designed for agribusinesses, parking lots, roadways, retail, mezzanine, outdoor applications and private label resale.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 w:name="page10"/>
    <w:bookmarkEnd w:id="9"/>
    <w:p>
      <w:pPr>
        <w:jc w:val="both"/>
        <w:ind w:firstLine="507"/>
        <w:spacing w:after="0" w:line="252" w:lineRule="auto"/>
        <w:rPr>
          <w:sz w:val="20"/>
          <w:szCs w:val="20"/>
          <w:color w:val="auto"/>
        </w:rPr>
      </w:pPr>
      <w:r>
        <w:rPr>
          <w:rFonts w:ascii="Arial" w:cs="Arial" w:eastAsia="Arial" w:hAnsi="Arial"/>
          <w:sz w:val="18"/>
          <w:szCs w:val="18"/>
          <w:i w:val="1"/>
          <w:iCs w:val="1"/>
          <w:color w:val="auto"/>
        </w:rPr>
        <w:t>Warranty Policy</w:t>
      </w:r>
      <w:r>
        <w:rPr>
          <w:rFonts w:ascii="Arial" w:cs="Arial" w:eastAsia="Arial" w:hAnsi="Arial"/>
          <w:sz w:val="18"/>
          <w:szCs w:val="18"/>
          <w:color w:val="auto"/>
        </w:rPr>
        <w:t>. Our warranty policy generally provides for a limited one-year warranty on our HIF products and a limited five-year warranty on our</w:t>
      </w:r>
      <w:r>
        <w:rPr>
          <w:rFonts w:ascii="Arial" w:cs="Arial" w:eastAsia="Arial" w:hAnsi="Arial"/>
          <w:sz w:val="18"/>
          <w:szCs w:val="18"/>
          <w:i w:val="1"/>
          <w:iCs w:val="1"/>
          <w:color w:val="auto"/>
        </w:rPr>
        <w:t xml:space="preserve"> </w:t>
      </w:r>
      <w:r>
        <w:rPr>
          <w:rFonts w:ascii="Arial" w:cs="Arial" w:eastAsia="Arial" w:hAnsi="Arial"/>
          <w:sz w:val="18"/>
          <w:szCs w:val="18"/>
          <w:color w:val="auto"/>
        </w:rPr>
        <w:t>LED products, although we do offer warranties ranging up to 10 years for certain LED products. Ballasts, lamps, drivers, LED chips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Services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provide a range of fee-based lighting-related energy management services to our customers, including:</w:t>
      </w:r>
    </w:p>
    <w:p>
      <w:pPr>
        <w:spacing w:after="0" w:line="113" w:lineRule="exact"/>
        <w:rPr>
          <w:sz w:val="20"/>
          <w:szCs w:val="20"/>
          <w:color w:val="auto"/>
        </w:rPr>
      </w:pPr>
    </w:p>
    <w:p>
      <w:pPr>
        <w:ind w:left="880" w:hanging="367"/>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comprehensive site assessment, which includes a review of the current lighting requirements and energy usage at the customer’s facility;</w:t>
      </w:r>
    </w:p>
    <w:p>
      <w:pPr>
        <w:spacing w:after="0" w:line="124" w:lineRule="exact"/>
        <w:rPr>
          <w:rFonts w:ascii="Arial" w:cs="Arial" w:eastAsia="Arial" w:hAnsi="Arial"/>
          <w:sz w:val="17"/>
          <w:szCs w:val="17"/>
          <w:color w:val="auto"/>
        </w:rPr>
      </w:pPr>
    </w:p>
    <w:p>
      <w:pPr>
        <w:ind w:left="880" w:hanging="367"/>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site field verification, or SFV, during which we perform a test implementation of our energy management system at a customer’s facility;</w:t>
      </w:r>
    </w:p>
    <w:p>
      <w:pPr>
        <w:spacing w:after="0" w:line="124" w:lineRule="exact"/>
        <w:rPr>
          <w:rFonts w:ascii="Arial" w:cs="Arial" w:eastAsia="Arial" w:hAnsi="Arial"/>
          <w:sz w:val="17"/>
          <w:szCs w:val="17"/>
          <w:color w:val="auto"/>
        </w:rPr>
      </w:pPr>
    </w:p>
    <w:p>
      <w:pPr>
        <w:ind w:left="880" w:hanging="367"/>
        <w:spacing w:after="0" w:line="26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utility incentive and government subsidy management, where we assist our customers in identifying, applying for and obtaining available utility incentives or government subsidies;</w:t>
      </w:r>
    </w:p>
    <w:p>
      <w:pPr>
        <w:spacing w:after="0" w:line="72" w:lineRule="exact"/>
        <w:rPr>
          <w:rFonts w:ascii="Arial" w:cs="Arial" w:eastAsia="Arial" w:hAnsi="Arial"/>
          <w:sz w:val="18"/>
          <w:szCs w:val="18"/>
          <w:color w:val="auto"/>
        </w:rPr>
      </w:pPr>
    </w:p>
    <w:p>
      <w:pPr>
        <w:jc w:val="both"/>
        <w:ind w:left="880" w:hanging="367"/>
        <w:spacing w:after="0" w:line="25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81" w:lineRule="exact"/>
        <w:rPr>
          <w:rFonts w:ascii="Arial" w:cs="Arial" w:eastAsia="Arial" w:hAnsi="Arial"/>
          <w:sz w:val="18"/>
          <w:szCs w:val="18"/>
          <w:color w:val="auto"/>
        </w:rPr>
      </w:pPr>
    </w:p>
    <w:p>
      <w:pPr>
        <w:ind w:left="880" w:hanging="367"/>
        <w:spacing w:after="0" w:line="297"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49" w:lineRule="exact"/>
        <w:rPr>
          <w:rFonts w:ascii="Arial" w:cs="Arial" w:eastAsia="Arial" w:hAnsi="Arial"/>
          <w:sz w:val="17"/>
          <w:szCs w:val="17"/>
          <w:color w:val="auto"/>
        </w:rPr>
      </w:pPr>
    </w:p>
    <w:p>
      <w:pPr>
        <w:ind w:left="880" w:hanging="36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installation services, for our products, which we provide through our national network of qualified third-party installers; and</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recycling in connection with our retrofit installations, where we remove, dispose of and recycle our customer’s legacy lighting fixtures.</w:t>
      </w:r>
    </w:p>
    <w:p>
      <w:pPr>
        <w:spacing w:after="0" w:line="231"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We also provide other services that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19"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We primarily target commercial, institutional and industrial customers who have warehousing, retail, manufacturing, and office facilities. In fiscal 2019, one customer accounted for 20.7% of total revenue. We expect this customer will continue to account for even a substantially higher percentage of our fiscal 2020 total revenue. In fiscal 2018, two customers accounted for 11.7% and 10.8% of total revenue. In fiscal 2017, there was no single customer that accounted for more than 10% of our total revenue. While we continue to seek to diversify our customer base by expanding our reach to national accounts, ESCOs and the agent driven distribution channel, we expect to continue to derive a significant percentage of our revenue from contracts with one customer. These contracts are entered into in the ordinary course of business and provide that we will deliver products and services on a work order or purchase order basis and any purchase order may be terminated prior to shipment. The contracts do not guarantee that the customer will buy our products or services.</w:t>
      </w:r>
    </w:p>
    <w:p>
      <w:pPr>
        <w:spacing w:after="0" w:line="167"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amount and concentration of our revenues with one or more customer may fluctuate on a year to year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and Marketing</w:t>
      </w:r>
    </w:p>
    <w:p>
      <w:pPr>
        <w:spacing w:after="0" w:line="119"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We sell our products in one of three ways: (i) directly with our relationships with our national account partners; (ii) indirectly through independent sales agencies and broadline North American distributors; and (iii) through ESCOs. Our ODS segment focuses on developing and expanding customer relationships with independent manufacturer’s agents and broadline distributors. During fiscal 2019 and fiscal 2018, we engaged approximately 50 manufacturer representative agencies to expand our reach with broadline distributors and further enhance our ability to increase our revenue. We attempt to leverage the customer relationships of these distributors to further extend the geographic scope of our selling efforts. We work cooperatively with our indirect channels through participation in national trade organizations and by providing training on our sales methodologies.</w:t>
      </w:r>
    </w:p>
    <w:p>
      <w:pPr>
        <w:spacing w:after="0" w:line="17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market for energy-efficient lighting products and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w:t>
      </w:r>
    </w:p>
    <w:p>
      <w:pPr>
        <w:spacing w:after="0" w:line="188"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There are a number of lighting fixture manufacturers that sell LED and HIF products that compete with our lighting product lines. Lighting companies such as Acuity Brands, Inc., Carmanah Technology Corporation, Energy Focus, Inc., Eaton Corporation plc, Cree, Inc., LSI Industries, Inc., Revolution Lighting Technologies Inc., TCP International Holdings, Inc., and Hubbell Incorporated are some of our main competitors within the commercial office, retail and industrial markets. We are also facing increased competition from manufacturers in low-cost countries.</w:t>
      </w:r>
    </w:p>
    <w:p>
      <w:pPr>
        <w:spacing w:after="0" w:line="177"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We also face competition from companies who provide energy management services. Some of these competitors, such as Ameresco, Inc., Johnson Controls, Inc. and Honeywell International, provide basic systems and controls designed to further energy efficiency.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As of March 31, 2019, we had been issued 104 United States patents and have applied for 15 additional United States patents. The patented and patent pending technologies cover various innovative elements of our products, including our HIF and LED fixtures. Our patented LDR</w:t>
      </w:r>
      <w:r>
        <w:rPr>
          <w:rFonts w:ascii="Arial" w:cs="Arial" w:eastAsia="Arial" w:hAnsi="Arial"/>
          <w:sz w:val="15"/>
          <w:szCs w:val="15"/>
          <w:color w:val="auto"/>
        </w:rPr>
        <w:t>TM</w:t>
      </w:r>
      <w:r>
        <w:rPr>
          <w:rFonts w:ascii="Arial" w:cs="Arial" w:eastAsia="Arial" w:hAnsi="Arial"/>
          <w:sz w:val="18"/>
          <w:szCs w:val="18"/>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91"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believe that our patent portfolio as a whole is material to our business. We also believe that our patents covering our ability to manage the thermal and optical performance of our LED and HIF lighting products are material to our business, and that the loss of these patents could significantly and adversely affect our business, operating results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9"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Our backlog as of March 31, 2019 and March 31, 2018 totaled $10.8 million and $3.3 million, respectively. We generally expect our backlog to be recognized as revenue within one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We lease an approximately 197,000 square foot manufacturing and distribution facility located in Manitowoc, Wisconsin, where substantially all of our products are manufactured.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1" w:name="page12"/>
    <w:bookmarkEnd w:id="11"/>
    <w:p>
      <w:pPr>
        <w:jc w:val="both"/>
        <w:ind w:firstLine="507"/>
        <w:spacing w:after="0" w:line="297" w:lineRule="auto"/>
        <w:rPr>
          <w:sz w:val="20"/>
          <w:szCs w:val="20"/>
          <w:color w:val="auto"/>
        </w:rPr>
      </w:pPr>
      <w:r>
        <w:rPr>
          <w:rFonts w:ascii="Arial" w:cs="Arial" w:eastAsia="Arial" w:hAnsi="Arial"/>
          <w:sz w:val="17"/>
          <w:szCs w:val="17"/>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our development on additional LED products, resulting in our development and commercialization of several new suites of LED interior high bay products.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operate research and development lab and test facilities in our Jacksonville, Florida and Manitowoc, Wisconsin locations.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19"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77" w:lineRule="exact"/>
        <w:rPr>
          <w:sz w:val="20"/>
          <w:szCs w:val="20"/>
          <w:color w:val="auto"/>
        </w:rPr>
      </w:pPr>
    </w:p>
    <w:p>
      <w:pPr>
        <w:jc w:val="both"/>
        <w:ind w:firstLine="507"/>
        <w:spacing w:after="0" w:line="304"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and Other Available Information</w:t>
      </w:r>
    </w:p>
    <w:p>
      <w:pPr>
        <w:spacing w:after="0" w:line="119"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 We are not including the information contained on our website as part of, or incorporating it by reference into, this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As of March 31, 2019, we had approximately 186 full-time and 135 temporary employees, of which 202 work in manufacturing. Our employees are not represented by any labor union, and we have never experienced a work stoppage or strike. We consider our relations with our employees to be good.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1A.RISK FACTORS</w:t>
      </w:r>
    </w:p>
    <w:p>
      <w:pPr>
        <w:spacing w:after="0" w:line="119"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had a history of losses and we may be unable to achieve profitability or positive cash flows in the future.</w:t>
      </w:r>
    </w:p>
    <w:p>
      <w:pPr>
        <w:spacing w:after="0" w:line="119"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We have experienced net losses for the past five fiscal years. Generating net income and positive cash flows in the future will depend on our ability to successfully complete and execute our strategic plan and continue to control costs pursuant to our cost reduction initiatives. The continued implementation of our cost reduction initiatives may negatively impact our sales. In addition, our cost reduction initiatives may not be sufficient to offset our negative cash flows and may plateau over time, reducing our ability to further offset negative cash flows. There is no guarantee that we will be able to achieve profitability or positive cash flows in the future. Our inability to successfully achieve profitability and positive cash flows will likely result in our experiencing a serious liquidity deficiency and could threaten our viability.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performance is dependent on our ability to execute on our strategy and achieve profitability.</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Our ability to achieve our desired growth and profitability goals depends on our ability to effectively manage our turnkey LED retrofit capabilities to large national account customers, engage distribution and sales agents, develop recurring revenue streams, expand our customer base and improve our marketing, new product development, project execution, customer service, margin enhancement and operating expense management, as well as other factors. If we are unable to successfully execute in any of these areas or on our growth and profitability strategy, then our business and financial performance will likely be materially adversely affected.</w:t>
      </w:r>
    </w:p>
    <w:p>
      <w:pPr>
        <w:spacing w:after="0" w:line="294"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We may not be able to obtain equity capital or debt financing necessary to fund our ongoing operations, effectively pursue our strategy and sustain our growth initiatives.</w:t>
      </w:r>
    </w:p>
    <w:p>
      <w:pPr>
        <w:spacing w:after="0" w:line="67"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Our existing liquidity and capital resources may not be sufficient to allow us to fund our ongoing operations, effectively pursue our strategy or sustain our growth initiatives. As of March 31, 2019, we had $8.7 million of cash and approximately $9.2 million of outstanding borrowings and $1.4 million of remaining borrowing capacity available under our revolving credit facility, compared to $9.4 million of cash and approximately $3.9 million of outstanding borrowings and $0.1 million of remaining borrowing availability as of March 31, 2018. If we require additional capital resources, we may not be able to obtain sufficient equity capital and/or debt financing to allow us to continue our normal course of operations or we may not be able to obtain such equity capital or debt financing on acceptable terms or conditions. Factors affecting the availability to us of equity capital or debt financing on acceptable terms and conditions include:</w:t>
      </w:r>
    </w:p>
    <w:p>
      <w:pPr>
        <w:spacing w:after="0" w:line="91" w:lineRule="exact"/>
        <w:rPr>
          <w:sz w:val="20"/>
          <w:szCs w:val="20"/>
          <w:color w:val="auto"/>
        </w:rPr>
      </w:pPr>
    </w:p>
    <w:p>
      <w:pPr>
        <w:ind w:left="880" w:hanging="36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and future financial results and position.</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collateral availability and softening of our otherwise unsecured assets.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market’s, investors and lenders' view of our company, industry and products.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perception in the equity and debt markets of our ability to execute our business plan or achieve our operating results expectations.</w:t>
      </w:r>
    </w:p>
    <w:p>
      <w:pPr>
        <w:spacing w:after="0" w:line="124" w:lineRule="exact"/>
        <w:rPr>
          <w:rFonts w:ascii="Arial" w:cs="Arial" w:eastAsia="Arial" w:hAnsi="Arial"/>
          <w:sz w:val="17"/>
          <w:szCs w:val="17"/>
          <w:color w:val="auto"/>
        </w:rPr>
      </w:pPr>
    </w:p>
    <w:p>
      <w:pPr>
        <w:ind w:left="880" w:hanging="36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volatility and trading volume and history of our common stock.</w:t>
      </w:r>
    </w:p>
    <w:p>
      <w:pPr>
        <w:spacing w:after="0" w:line="22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Our inability to obtain the equity capital or debt financing necessary to fund our ongoing operations or pursue our strategies could force us to scale back our operations or our sales initiatives. If we are unable to pursue our strategy and sustain our growth initiatives, our business and operating results will be materially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3" w:name="page14"/>
    <w:bookmarkEnd w:id="13"/>
    <w:p>
      <w:pPr>
        <w:jc w:val="both"/>
        <w:spacing w:after="0" w:line="304" w:lineRule="auto"/>
        <w:rPr>
          <w:sz w:val="20"/>
          <w:szCs w:val="20"/>
          <w:color w:val="auto"/>
        </w:rPr>
      </w:pPr>
      <w:r>
        <w:rPr>
          <w:rFonts w:ascii="Arial" w:cs="Arial" w:eastAsia="Arial" w:hAnsi="Arial"/>
          <w:sz w:val="17"/>
          <w:szCs w:val="17"/>
          <w:b w:val="1"/>
          <w:bCs w:val="1"/>
          <w:color w:val="auto"/>
        </w:rPr>
        <w:t>We do not have major sources of recurring revenue and depend upon a limited number of customers in any given period to generate a substantial portion of our revenue. The loss of significant customers or a major customer could have an adverse effect on our operations.</w:t>
      </w:r>
    </w:p>
    <w:p>
      <w:pPr>
        <w:spacing w:after="0" w:line="44" w:lineRule="exact"/>
        <w:rPr>
          <w:sz w:val="20"/>
          <w:szCs w:val="20"/>
          <w:color w:val="auto"/>
        </w:rPr>
      </w:pPr>
    </w:p>
    <w:p>
      <w:pPr>
        <w:jc w:val="both"/>
        <w:ind w:firstLine="507"/>
        <w:spacing w:after="0" w:line="26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As a result, we generate a substantial portion of our revenue by securing large retrofit and multi-facility roll-out projects from new and existing customers and our dependence on individual key customers can vary from period to period as a result of the significant size of some of our retrofit and multi-facility roll-out projects. Our top 10 customers accounted for approximately 48%, 42%, and 33% respectively, of our total revenue for fiscal 2019, 2018 and 2017. In fiscal 2019, one customer accounted for 20.7% of total revenue. We expect this customer will continue to account for even a substantially higher percentage of our fiscal 2020 revenue. As a result, we will continue to experience significant customer concentration in fiscal 2020. The loss of this customer or our failure to satisfy its installation requirements in fiscal 2020 could have a material adverse effect on our results of operations and financial condition. In fiscal 2018, two customers accounted for 11.7% and 10.8% of total revenue. In fiscal 2017, there was no single customer that accounted for more than 10% of our revenue. We expect large retrofit and rollout projects to continue to remain a significant component of our total revenue.</w:t>
      </w:r>
    </w:p>
    <w:p>
      <w:pPr>
        <w:spacing w:after="0" w:line="184"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The agreements we enter into with several of our key customers (including our largest customer) provide that we will provide products and services on a work order or purchase order basis. These agreements do not guarantee that our key customers will make purchases from us and provide that any purchase order or work order may be terminated prior to shipment. As a result, the amount and concentration of our revenues may fluctuate year over year depending on the number of purchase orders or work orders issued by our customers, which may fluctuate due to factors such as our customers’ capital expenditure budgets and general economic conditions. Additionally, commercial office lighting retrofits provide for single large project opportunities. The loss of, or substantial reduction in sales to, any of our significant customers, or a major customer, or the termination or delay of a significant volume of purchase orders by one or more key customers, could have a material adverse effect on our results of operations in any given future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 of our business depends upon market acceptance of our energy management products and services.</w:t>
      </w:r>
    </w:p>
    <w:p>
      <w:pPr>
        <w:spacing w:after="0" w:line="226"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Our future success depends on continued commercial acceptance of our energy management products and services and obtaining additional project management retrofit contracts to supplement our contract for our single largest customer in fiscal 2019 and fiscal 2020. If we are unable to convince current and potential customers of the advantages of our lighting systems and energy management products and services, then our ability to sell our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lighting systems and energy management products and services does not continue to develop, or if the market does not accept our products, then our ability to grow our business could be limited and we may not be able to increase our revenue or achieve profitability.</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conditions in the global economy have negatively impacted, and could in the future negatively impact, our customers, suppliers and business.</w:t>
      </w:r>
    </w:p>
    <w:p>
      <w:pPr>
        <w:spacing w:after="0" w:line="165"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Our operations and performance are impacted by worldwide economic conditions. Uncertainty about global economic conditions could result in customers postponing purchases of our products and services in response to tighter credit, unemployment, negative financial news and/or declines in income or asset values and other macroeconomic factors, which could have a material negative effect on demand for our products and services and, accordingly, on our business, results of operations or financial condition. For example, any economic and political uncertainty caused by the United States tariffs imposed on other countries, and any corresponding tariffs from such other countries in response, may negatively impact demand and/or increase the cost for our products and components used in our products.</w:t>
      </w:r>
    </w:p>
    <w:p>
      <w:pPr>
        <w:spacing w:after="0" w:line="195"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There continues to be a great amount of debate regarding a wide range of policy options with respect to monetary, regulatory, and trade, amongst others, that the U.S. federal government has and may pursue, including the recent imposition of tariffs on certain imports. Certain sourced finished products and certain of the components used in our products are impacted by the recently imposed tariffs on China imports. Our efforts to mitigate the impact of added costs include a variety of activities, such as sourcing from non-tariff impacted countries and raising prices. If we are unable to successfully mitigate the impacts of these tariffs and other trade policies, our results of operations may be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4" w:name="page15"/>
    <w:bookmarkEnd w:id="14"/>
    <w:p>
      <w:pPr>
        <w:jc w:val="both"/>
        <w:ind w:firstLine="507"/>
        <w:spacing w:after="0" w:line="267" w:lineRule="auto"/>
        <w:rPr>
          <w:sz w:val="20"/>
          <w:szCs w:val="20"/>
          <w:color w:val="auto"/>
        </w:rPr>
      </w:pPr>
      <w:r>
        <w:rPr>
          <w:rFonts w:ascii="Arial" w:cs="Arial" w:eastAsia="Arial" w:hAnsi="Arial"/>
          <w:sz w:val="17"/>
          <w:szCs w:val="17"/>
          <w:color w:val="auto"/>
        </w:rPr>
        <w:t>In addition, global economic and political uncertainty has led many customers to adopt strategies for conserving cash, including limits on capital spending. Our lighting systems are often purchased as capital assets and therefore are subject to capital availability. Uncertainty around such availability has led customers to delay purchase decisions, which has elongated the duration of our sales cycles. Weak economic conditions in the past have adversely affected our customers’ capital budgets, purchasing decisions and facilities managers and, therefore, have adversely affected our results of operations.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281"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The success of our LED lighting retrofit solutions depend, in part, on our ability to claim market share ahead of our competitors. If we are unable to expand our customer base and increase sales in our targeted markets, our revenues and profitability will be adversely affected.</w:t>
      </w:r>
    </w:p>
    <w:p>
      <w:pPr>
        <w:spacing w:after="0" w:line="44"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reduce our revenue and profitability, which could have a material adverse effect on our results of operations and financial condition.</w:t>
      </w:r>
    </w:p>
    <w:p>
      <w:pPr>
        <w:spacing w:after="0" w:line="16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In addition, as we continue to seek to expand our customer base within agent/distribution channels, national accounts and ESCOs, our success will depend in part on our ability to attract and retain talent to execute on our sales model. If we are unable to attract and retain sufficient talent, we may be unable to broaden our customer base, which will adversely affect our revenue and profitability.</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are increasing our emphasis on indirect distribution channels to sell our products and services. 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80" w:lineRule="exact"/>
        <w:rPr>
          <w:sz w:val="20"/>
          <w:szCs w:val="20"/>
          <w:color w:val="auto"/>
        </w:rPr>
      </w:pPr>
    </w:p>
    <w:p>
      <w:pPr>
        <w:jc w:val="both"/>
        <w:ind w:firstLine="507"/>
        <w:spacing w:after="0" w:line="266" w:lineRule="auto"/>
        <w:rPr>
          <w:sz w:val="20"/>
          <w:szCs w:val="20"/>
          <w:color w:val="auto"/>
        </w:rPr>
      </w:pPr>
      <w:r>
        <w:rPr>
          <w:rFonts w:ascii="Arial" w:cs="Arial" w:eastAsia="Arial" w:hAnsi="Arial"/>
          <w:sz w:val="17"/>
          <w:szCs w:val="17"/>
          <w:color w:val="auto"/>
        </w:rPr>
        <w:t>We have significantly expanded the number of our manufacturer representative agencies that sell our products through distributors, many of which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which were often made in competition with sales agents and distributors. In order to attract and form lasting partnerships with sales agents and distributors, we will be required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Our financial performance is dependent on our ability to achieve growth in our average sales margins on our products.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7"/>
          <w:szCs w:val="17"/>
          <w:color w:val="auto"/>
        </w:rPr>
        <w:t>The gross margins of our products can vary significantly, with margins ranging from 10% to 50%. While we continue to implement our strategy of transitioning to higher-margin products and reducing the material cost of our products, a change in the total mix of our sales toward lower margin products, a decrease in the margins on our products as a result of competitive pressures driving down the average selling price of our products, lower sales volumes and promotional programs to increase sales volumes could reduce our profitability and result in a material adverse effect on our business and financial performance. Furthermore, average selling prices may be negatively impacted by market over-supply conditions, product feature cannibalization by competitors or component providers, low-cost non-traditional sales methods by new market entrants, and comparison of our retrofit fixture products with replacement lamp equivalents. In a competitive lighting industry, we must be able to innovate and release new products on a regular basis with features and benefits that generate increases in average selling price or average margins.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a highly competitive industry and, if we are unable to compete successfully, our revenue and profitability will be adversely affected.</w:t>
      </w:r>
    </w:p>
    <w:p>
      <w:pPr>
        <w:spacing w:after="0" w:line="142"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We face strong competition primarily from manufacturers and distributors of energy management products and services, as well as from electrical contractors. We are also facing increased competition from manufacturers in low-cost countries. We compete primarily on the basis of customer relationships, price, quality, energy efficiency, customer service and marketing support. Our products are in direct competition with the expanding availability of LED products, HID technology, as well as HIF products and older fluorescent technology in the lighting systems retrofit market.</w:t>
      </w:r>
    </w:p>
    <w:p>
      <w:pPr>
        <w:spacing w:after="0" w:line="177"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7"/>
          <w:szCs w:val="17"/>
          <w:color w:val="auto"/>
        </w:rPr>
        <w:t>Many of our competitors are better capitalized than we are,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average selling prices in order to remain competitive, and reduce our revenue and profitability, any of which could have a material adverse effect on our results of operations and financial condition.</w:t>
      </w:r>
    </w:p>
    <w:p>
      <w:pPr>
        <w:spacing w:after="0" w:line="28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success of our business depends upon our adaptation to the quickly changing market conditions in the lighting industry and on market acceptance of our lighting retrofit solutions using new LED technologies.</w:t>
      </w:r>
    </w:p>
    <w:p>
      <w:pPr>
        <w:spacing w:after="0" w:line="67"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market for lighting products has experienced a significant technology shift to LED lighting systems. In addition, we continue to explore utilizing our system platform as a “connected ceiling” or “smart ceiling”, or a framework or network that can support the installation and integration of other business solutions on our digital platform.</w:t>
      </w:r>
    </w:p>
    <w:p>
      <w:pPr>
        <w:spacing w:after="0" w:line="188"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7"/>
          <w:szCs w:val="17"/>
          <w:color w:val="auto"/>
        </w:rPr>
        <w:t>As a result, our future success depends significantly upon the adoption rate of LED products within our primary markets and our ability to participate in this ongoing market trend. To be an effective participant in the LED market, we must keep up with the evolution of LED technology, which continues to move at a fast pace. We may be unable to successfully develop and market new LED products or services that keep pace with technological or industry changes, differentiate ourselves from our competition, satisfy changes in customer demands or comply with present or emerging government and industry regulations and technology standards. The development and introduction of new LED products may result in increased warranty expenses and other new product introduction expenses. In addition, we will likely continue to incur substantial costs to research and develop new LED products, which will increase our expenses, without guarantee that our new products and services will be commercially viable. We may also spend time and resources to develop and release new LED products only to discover that a competitor has also introduced similar new products with superior performance. Moreover, if new sources of lighting are developed, our current products and technologies could become less competitive or obsolete, which could result in reduced revenue, reduced earnings or increased losses and/or inventory and other impairment charges.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6" w:name="page17"/>
    <w:bookmarkEnd w:id="16"/>
    <w:p>
      <w:pPr>
        <w:jc w:val="both"/>
        <w:ind w:firstLine="507"/>
        <w:spacing w:after="0" w:line="251" w:lineRule="auto"/>
        <w:rPr>
          <w:sz w:val="20"/>
          <w:szCs w:val="20"/>
          <w:color w:val="auto"/>
        </w:rPr>
      </w:pPr>
      <w:r>
        <w:rPr>
          <w:rFonts w:ascii="Arial" w:cs="Arial" w:eastAsia="Arial" w:hAnsi="Arial"/>
          <w:sz w:val="18"/>
          <w:szCs w:val="18"/>
          <w:color w:val="auto"/>
        </w:rPr>
        <w:t>As we attempt to adapt and respond to this quickly evolving market, we have been managing through significant change in our vendor supply chain as we place most of our focus on this LED product line. We currently believe that our continuing efforts to negotiate further lower material input costs will help maintain or improve our LED product gross margins. However, we may not be able to realize the gross margin benefits in the amounts or on the timetable anticipated and we may experience higher warranty expenses in the future as we implement our manufacturing and assembly process changes. It is also possible that, as we continue to focus our sales efforts on our LED product lines, we may increase our risk of inventory obsolescence for our legacy lighting product lines or even for outmoded LED products.</w:t>
      </w:r>
    </w:p>
    <w:p>
      <w:pPr>
        <w:spacing w:after="0" w:line="195"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Finally, in connection with our primary focus on selling our LED products, we expect our results of operations to continue to fluctuate from quarter to quarter as customers may continue to delay purchasing decisions as they evaluate their return on investment from purchasing new LED products compared to alternative lighting solutions, the pricing of LED products continues to fall and LED products continue to gain more widespread customer acceptance. Similarly, these circumstances have impacted, and may continue to adversely impact, our product gross margins and our profitability from quarter to quarter.</w:t>
      </w:r>
    </w:p>
    <w:p>
      <w:pPr>
        <w:spacing w:after="0" w:line="162"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7"/>
          <w:szCs w:val="17"/>
          <w:color w:val="auto"/>
        </w:rPr>
        <w:t>If we are unable to achieve market acceptance of our lighting retrofit solutions using new LED technologies or realize the expected benefits from our focus on promoting our LED technologies, our results of operations and financial condition will likely be materially adversely affected.</w:t>
      </w:r>
    </w:p>
    <w:p>
      <w:pPr>
        <w:spacing w:after="0" w:line="25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materially and adversely affect our revenues, profits and margins.</w:t>
      </w:r>
    </w:p>
    <w:p>
      <w:pPr>
        <w:spacing w:after="0" w:line="80"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Reductions in (including as a result of any budgetary constraints), or the elimination of, government investment and favorable energy policies designed to accelerate the adoption of LED lighting could result in decreased demand for our products and decrease our revenues, profits and margins.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increasingly rely on third-party manufacturers for the manufacture and development of our products and product components.</w:t>
      </w:r>
    </w:p>
    <w:p>
      <w:pPr>
        <w:spacing w:after="0" w:line="11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have increased our utilization of third-party manufacturers for the manufacture and development of our products and product components. Our business, prospects, results of operations, financial condition or cash flows could be materially adversely affected if our manufacturers were to experience problems with product quality, credit or liquidity issues, or disruptions or delays in the manufacturing process or delivery of the finished products and components or the raw materials used to make such products and components.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government budget priorities and political gridlock could negatively impact our sales and profitability.</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Actual and perceived changes in governmental budget priorities could adversely affect our business and results of operations. Government agencies purchase product directly from us. When the government changes budget priorities, such as in times of war or financial crisis, or reallocates spending to areas unrelated to our business, our sales and profitability can be negatively impacted. For example, demand and payment for our products and services may be affected by public sector budgetary cycles, funding authorizations or rebates. Funding reductions or delays, including delays caused by political gridlock, could negatively impact demand and payment for our products and services.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use components and raw materials that may be subject to price fluctuations, shortages or interruptions of supply.</w:t>
      </w:r>
    </w:p>
    <w:p>
      <w:pPr>
        <w:spacing w:after="0" w:line="11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may be vulnerable to price increases for components or raw materials that we require for our products, including aluminum, copper, certain rare earth minerals, electronic drivers, chips, ballasts, power supplies and lamps. In particular, our cost of aluminum can be subject to commodity price fluctuation. We also source certain finished goods externally. Limitations inherent within the supply chain of certain of these component parts, including competitive, governmental, and legal limitations, natural disasters,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7" w:name="page18"/>
    <w:bookmarkEnd w:id="17"/>
    <w:p>
      <w:pPr>
        <w:jc w:val="both"/>
        <w:spacing w:after="0" w:line="284" w:lineRule="auto"/>
        <w:rPr>
          <w:sz w:val="20"/>
          <w:szCs w:val="20"/>
          <w:color w:val="auto"/>
        </w:rPr>
      </w:pPr>
      <w:r>
        <w:rPr>
          <w:rFonts w:ascii="Arial" w:cs="Arial" w:eastAsia="Arial" w:hAnsi="Arial"/>
          <w:sz w:val="16"/>
          <w:szCs w:val="16"/>
          <w:color w:val="auto"/>
        </w:rPr>
        <w:t>other events, could impact costs, and future increases in the costs of these items, including through the adoption of new tariffs by the United States and other countries, could adversely affect our profitability, as there can be no assurance that future price increases will be successfully passed through to customers. Further, suppliers' inventories of certain components that our products require may be limited and are subject to acquisition by others. In the past,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 our results of operations and financial condition could be materially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balance customer demand and capacity and increased employee turnover could negatively impact our business.</w:t>
      </w:r>
    </w:p>
    <w:p>
      <w:pPr>
        <w:spacing w:after="0" w:line="11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In addition, as customer demand for our products changes, we must be able to adjust our production capacity, including increasing or decreasing our employee workforce, to meet demand. We are continually taking steps to address our manufacturing capacity needs for our products. If we are not able to increase or decrease our production capacity at our targeted rate or if there are unforeseen costs associated with adjusting our capacity levels, our ability to execute our operating plan could be adversely affected.</w:t>
      </w:r>
    </w:p>
    <w:p>
      <w:pPr>
        <w:spacing w:after="0" w:line="191"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We have, from time to time, experienced increased employee turnover. The increased turnover has resulted in the loss of numerous long-term employees, along with their institutional knowledge and expertise, and the reallocation of certain employment responsibilities, all of which could adversely affect operational efficiencies, employee performance and retention. Such turnover has also placed a significant burden on our continuing employees, has resulted in higher recruiting expenses as we have sought to recruit and train employees, and introduced increased instability in our operations as responsibilities were reallocated to new or different employees. To the extent that we are unable to effectively reallocate employee responsibilities, retain key employees and reduce employee turnover, our operations and our ability to execute our operating plan could be adversely affected.</w:t>
      </w:r>
    </w:p>
    <w:p>
      <w:pPr>
        <w:spacing w:after="0" w:line="26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67"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We rely upon the knowledge, experience and skills of key employees throughout our organization, particularly our senior management team, our sales group that require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of manufacturer representative agencies. If we are unable to attract and retain key employees, resellers, and manufacturer representative agencies because of competition or, in the case of employees, inadequate compensation or other factors, our results of operations and our ability to execute our operating plan could be adversely affected.</w:t>
      </w:r>
    </w:p>
    <w:p>
      <w:pPr>
        <w:spacing w:after="0" w:line="29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our business, results of operations and financial condition could be materially adversely affected.</w:t>
      </w:r>
    </w:p>
    <w:p>
      <w:pPr>
        <w:spacing w:after="0" w:line="80" w:lineRule="exact"/>
        <w:rPr>
          <w:sz w:val="20"/>
          <w:szCs w:val="20"/>
          <w:color w:val="auto"/>
        </w:rPr>
      </w:pPr>
    </w:p>
    <w:p>
      <w:pPr>
        <w:jc w:val="both"/>
        <w:ind w:firstLine="507"/>
        <w:spacing w:after="0" w:line="266" w:lineRule="auto"/>
        <w:rPr>
          <w:sz w:val="20"/>
          <w:szCs w:val="20"/>
          <w:color w:val="auto"/>
        </w:rPr>
      </w:pPr>
      <w:r>
        <w:rPr>
          <w:rFonts w:ascii="Arial" w:cs="Arial" w:eastAsia="Arial" w:hAnsi="Arial"/>
          <w:sz w:val="17"/>
          <w:szCs w:val="17"/>
          <w:color w:val="auto"/>
        </w:rPr>
        <w:t>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in the future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We take steps to prevent unauthorized access to our corporate systems, however,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cyber-attacks, or cyber intrusion,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including by computer hackers, foreign governments, and cyber terrorists, has generally increased as cyber-attacks have become more prevalent and harder to detect and fight against. In addition, hardware, software or applications we procure from third parties may contain defects in design or manufacture or other problems that could unexpectedly compromise network and data security.</w:t>
      </w:r>
    </w:p>
    <w:p>
      <w:pPr>
        <w:spacing w:after="0" w:line="2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our information technology systems fail, or if we experience an interruption in their operation, then our business, results of operations and financial condition could be materially adversely affected.</w:t>
      </w:r>
    </w:p>
    <w:p>
      <w:pPr>
        <w:spacing w:after="0" w:line="67"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72" w:lineRule="exact"/>
        <w:rPr>
          <w:sz w:val="20"/>
          <w:szCs w:val="20"/>
          <w:color w:val="auto"/>
        </w:rPr>
      </w:pPr>
    </w:p>
    <w:p>
      <w:pPr>
        <w:ind w:left="880" w:hanging="3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earthquake, fire, flood and other natural disasters;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or other theft;</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attacks by computer viruses or hackers;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outages; and</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w:t>
      </w:r>
    </w:p>
    <w:p>
      <w:pPr>
        <w:spacing w:after="0" w:line="220"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7"/>
          <w:szCs w:val="17"/>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claims could adversely affect our business, results of operations and financial condition.</w:t>
      </w:r>
    </w:p>
    <w:p>
      <w:pPr>
        <w:spacing w:after="0" w:line="119"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2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67"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188"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9" w:name="page20"/>
    <w:bookmarkEnd w:id="19"/>
    <w:p>
      <w:pPr>
        <w:jc w:val="both"/>
        <w:spacing w:after="0" w:line="267" w:lineRule="auto"/>
        <w:rPr>
          <w:sz w:val="20"/>
          <w:szCs w:val="20"/>
          <w:color w:val="auto"/>
        </w:rPr>
      </w:pPr>
      <w:r>
        <w:rPr>
          <w:rFonts w:ascii="Arial" w:cs="Arial" w:eastAsia="Arial" w:hAnsi="Arial"/>
          <w:sz w:val="18"/>
          <w:szCs w:val="18"/>
          <w:color w:val="auto"/>
        </w:rPr>
        <w:t>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80"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65"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91"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2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80"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Our credit agreement with Western Alliance Bank contains provisions that limit our future borrowing availability and require us to maintain a minimum amount of cash on deposit and available borrowing capacity under such credit agreement as of the end of each month. The credit agreement also contains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162"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retrofitting process frequently involves responsibility for the removal and disposal of components containing hazardous materials.</w:t>
      </w:r>
    </w:p>
    <w:p>
      <w:pPr>
        <w:spacing w:after="0" w:line="13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cash flows or reputation.</w:t>
      </w:r>
    </w:p>
    <w:p>
      <w:pPr>
        <w:spacing w:after="0" w:line="27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cost of compliance with environmental laws and regulations and any related environmental liabilities could adversely affect our results of operations or financial condition.</w:t>
      </w:r>
    </w:p>
    <w:p>
      <w:pPr>
        <w:spacing w:after="0" w:line="67"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or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corporate office building is currently listed for sale or lease; any sale of our building will likely result in a non-cash impairment charge.</w:t>
      </w:r>
    </w:p>
    <w:p>
      <w:pPr>
        <w:spacing w:after="0" w:line="131"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We currently own, but have listed for sale or lease, our corporate office building in Manitowoc, Wisconsin. We evaluate long-lived assets, including property, plant, and equipment, for impairment whenever events or circumstances indicate that the carrying value of the assets recognized in our financial statements may not be recoverable; as of March 31, 2019, the value of our long-lived assets was deemed recoverable. However, any sale of our building will likely result in a non-cash impairment charge, as the building is currently listed for below its net book value and, as a result, will have an adverse impact on our results of operations during the period the impairment charge is incurred.</w:t>
      </w:r>
    </w:p>
    <w:p>
      <w:pPr>
        <w:spacing w:after="0" w:line="29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67"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The results of one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269"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Our net operating loss carry-forwards provide a future benefit only if we are profitable and may be subject to limitation based upon ownership changes.</w:t>
      </w:r>
    </w:p>
    <w:p>
      <w:pPr>
        <w:spacing w:after="0" w:line="67"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We have significant federal net operating loss carry-forwards and state net operating loss carry-forwards. While our federal and state net operating loss carry-forwards are fully reserved for, if we are unable to return to and maintain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If we fail to establish and maintain effective internal controls over financial reporting, our business and financial results could be harmed.</w:t>
      </w:r>
    </w:p>
    <w:p>
      <w:pPr>
        <w:spacing w:after="0" w:line="131" w:lineRule="exact"/>
        <w:rPr>
          <w:sz w:val="20"/>
          <w:szCs w:val="20"/>
          <w:color w:val="auto"/>
        </w:rPr>
      </w:pPr>
    </w:p>
    <w:p>
      <w:pPr>
        <w:jc w:val="both"/>
        <w:ind w:firstLine="507"/>
        <w:spacing w:after="0" w:line="264"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As of March 31, 2019, our Chief Executive Officer and Chief Financial Officer concluded that our internal controls were designed and operating effectively. The material weaknesses previously identified as of March 31, 2017 and March 31, 2018 were the result of operating ineffectiveness of controls related to management's review over the accounting close process, contract costs, and forecasts used to support certain fair value estimates. The material weaknesses were not fully remedied as of March 31, 2018, but were remediated as of March 31, 2019. There can be no assurance that we will not experience another material weakness in the future.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A failure to maintain an effective system of internal control over financial reporting could limit our ability to report our financial results accurately and in a timely manner or to detect and prevent fraud, could result in a restatement of our financial statements, and could also cause a loss of investor confidence and decline in the market price of our common stock.</w:t>
      </w:r>
    </w:p>
    <w:p>
      <w:pPr>
        <w:spacing w:after="0" w:line="2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The trading market for our common stock will continue to depend in part on the research and reports that securities or industry analysts publish about our business or us.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9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market price of our common stock could be adversely affected by future sales of our common stock in the public market by us or our executive officers and directors.</w:t>
      </w:r>
    </w:p>
    <w:p>
      <w:pPr>
        <w:spacing w:after="0" w:line="67"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would have on the market price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not currently paying dividends and will likely continue not paying dividends for the foreseeable future.</w:t>
      </w:r>
    </w:p>
    <w:p>
      <w:pPr>
        <w:spacing w:after="0" w:line="119"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 on and decision not to pay dividends may impact our ability to attract investors and raise funds, if necessary, in the capital markets.</w:t>
      </w: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83"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88"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65"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On March 31, 2016, we entered into a purchase and sale agreement with a third party to sell and leaseback our manufacturing and distribution facility located in Manitowoc, Wisconsin. The transaction closed on June 30, 2016. Pursuant to the agreement, a lease was entered into on June 30, 2016, in which we are leasing approximately 197,000 square feet of the building for not less than three years. The lease contains options by either party to reduce the amount of leased space after March 1, 2017. On March 22, 2018, we renewed the lease for our manufacturing and distribution facility for an additional 18 months until December 31, 2020.</w:t>
      </w:r>
    </w:p>
    <w:p>
      <w:pPr>
        <w:spacing w:after="0" w:line="193"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7"/>
          <w:szCs w:val="17"/>
          <w:color w:val="auto"/>
        </w:rPr>
        <w:t>We own our approximately 70,000 square foot technology center and corporate headquarters adjacent to our leased Manitowoc manufacturing and distribution facility, of which we sub-lease a portion to third parties. We also lease 10,500 square feet of office space in Jacksonville, Florida.</w:t>
      </w:r>
    </w:p>
    <w:p>
      <w:pPr>
        <w:spacing w:after="0" w:line="156"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In fiscal 2018, we did not renew the leases for our 5,600 square foot of office space in Houston, Texas and our 3,100 square foot of office space in Chicago, Illinois. The leases terminated as of April 30, 2018 and May 31, 2018, respectively.</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facilities noted above are utilized by all our business segments.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are subject to various claims and legal proceedings arising in the ordinary course of business. As of the date of this report, we are unable to currently assess whether the final resolution of any of such claims or legal proceedings may have a material adverse effect on our future results of operations. In addition to ordinary-course litigation, we were a party to the proceedings described below.</w:t>
      </w:r>
    </w:p>
    <w:p>
      <w:pPr>
        <w:spacing w:after="0" w:line="188"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On November 10, 2017, a purported shareholder, Stephen Narten, filed a civil lawsuit in the Circuit Court for Manitowoc County against those individuals who served on our board of directors during fiscal years 2015, 2016, and 2017 and certain current and former officers during the same period. The plaintiff, who purported to bring the suit derivatively on behalf of us, alleged that the director defendants breached their fiduciary duties in connection with granting certain stock-based incentive awards under our 2004 Stock and Incentive Awards Plan and that the directors and current and former officers breached their fiduciary duties by accepting those awards. During the first quarter of fiscal 2019, the parties reached a settlement of the claims and the case was dismissed. The settlement did not have a material impact on our results of operations, cash flows or financial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both"/>
        <w:ind w:left="760" w:hanging="759"/>
        <w:spacing w:after="0" w:line="274"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of our common stock are traded on the NASDAQ Capital Market under the symbol “OESX”.</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As of May 31, 2019, there were approximately 210 record holders of the 29,601,669 outstanding shares of our common stock. The number of record holders does not include shareholders for whom shares are held in a “nominee” or “street” name.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9"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following table represents shares outstanding under our 2003 Stock Option Plan, our 2004 Stock and Incentive Awards Incentive Plan, and our 2016 Omnibus Incentive Plan as of March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960" w:type="dxa"/>
            <w:vAlign w:val="bottom"/>
            <w:gridSpan w:val="3"/>
          </w:tcPr>
          <w:p>
            <w:pPr>
              <w:ind w:left="40"/>
              <w:spacing w:after="0"/>
              <w:rPr>
                <w:sz w:val="20"/>
                <w:szCs w:val="20"/>
                <w:color w:val="auto"/>
              </w:rPr>
            </w:pPr>
            <w:r>
              <w:rPr>
                <w:rFonts w:ascii="Arial" w:cs="Arial" w:eastAsia="Arial" w:hAnsi="Arial"/>
                <w:sz w:val="14"/>
                <w:szCs w:val="14"/>
                <w:b w:val="1"/>
                <w:bCs w:val="1"/>
                <w:color w:val="auto"/>
              </w:rPr>
              <w:t>Equity Compensation Plan Information</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Securities to be</w:t>
            </w:r>
          </w:p>
        </w:tc>
        <w:tc>
          <w:tcPr>
            <w:tcW w:w="120" w:type="dxa"/>
            <w:vAlign w:val="bottom"/>
          </w:tcPr>
          <w:p>
            <w:pPr>
              <w:spacing w:after="0"/>
              <w:rPr>
                <w:sz w:val="12"/>
                <w:szCs w:val="12"/>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Issued Upon</w:t>
            </w: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tcPr>
          <w:p>
            <w:pPr>
              <w:jc w:val="center"/>
              <w:ind w:right="24"/>
              <w:spacing w:after="0" w:line="147"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Exercise of</w:t>
            </w:r>
          </w:p>
        </w:tc>
        <w:tc>
          <w:tcPr>
            <w:tcW w:w="120" w:type="dxa"/>
            <w:vAlign w:val="bottom"/>
          </w:tcPr>
          <w:p>
            <w:pPr>
              <w:spacing w:after="0"/>
              <w:rPr>
                <w:sz w:val="12"/>
                <w:szCs w:val="12"/>
                <w:color w:val="auto"/>
              </w:rPr>
            </w:pPr>
          </w:p>
        </w:tc>
        <w:tc>
          <w:tcPr>
            <w:tcW w:w="14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6"/>
              </w:rPr>
              <w:t>Average</w:t>
            </w:r>
          </w:p>
        </w:tc>
        <w:tc>
          <w:tcPr>
            <w:tcW w:w="1460" w:type="dxa"/>
            <w:vAlign w:val="bottom"/>
          </w:tcPr>
          <w:p>
            <w:pPr>
              <w:jc w:val="center"/>
              <w:ind w:right="44"/>
              <w:spacing w:after="0" w:line="147"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Exercise Price of</w:t>
            </w:r>
          </w:p>
        </w:tc>
        <w:tc>
          <w:tcPr>
            <w:tcW w:w="1460" w:type="dxa"/>
            <w:vAlign w:val="bottom"/>
          </w:tcPr>
          <w:p>
            <w:pPr>
              <w:jc w:val="center"/>
              <w:ind w:right="44"/>
              <w:spacing w:after="0" w:line="147"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Options and</w:t>
            </w:r>
          </w:p>
        </w:tc>
        <w:tc>
          <w:tcPr>
            <w:tcW w:w="120" w:type="dxa"/>
            <w:vAlign w:val="bottom"/>
          </w:tcPr>
          <w:p>
            <w:pPr>
              <w:spacing w:after="0"/>
              <w:rPr>
                <w:sz w:val="12"/>
                <w:szCs w:val="12"/>
                <w:color w:val="auto"/>
              </w:rPr>
            </w:pPr>
          </w:p>
        </w:tc>
        <w:tc>
          <w:tcPr>
            <w:tcW w:w="14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Outstanding</w:t>
            </w:r>
          </w:p>
        </w:tc>
        <w:tc>
          <w:tcPr>
            <w:tcW w:w="1460" w:type="dxa"/>
            <w:vAlign w:val="bottom"/>
          </w:tcPr>
          <w:p>
            <w:pPr>
              <w:jc w:val="center"/>
              <w:ind w:right="44"/>
              <w:spacing w:after="0" w:line="147" w:lineRule="exact"/>
              <w:rPr>
                <w:sz w:val="20"/>
                <w:szCs w:val="20"/>
                <w:color w:val="auto"/>
              </w:rPr>
            </w:pPr>
            <w:r>
              <w:rPr>
                <w:rFonts w:ascii="Arial" w:cs="Arial" w:eastAsia="Arial" w:hAnsi="Arial"/>
                <w:sz w:val="14"/>
                <w:szCs w:val="14"/>
                <w:b w:val="1"/>
                <w:bCs w:val="1"/>
                <w:color w:val="auto"/>
                <w:w w:val="88"/>
              </w:rPr>
              <w:t>Future Issuances</w:t>
            </w: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Vesting of</w:t>
            </w:r>
          </w:p>
        </w:tc>
        <w:tc>
          <w:tcPr>
            <w:tcW w:w="120" w:type="dxa"/>
            <w:vAlign w:val="bottom"/>
          </w:tcPr>
          <w:p>
            <w:pPr>
              <w:spacing w:after="0"/>
              <w:rPr>
                <w:sz w:val="12"/>
                <w:szCs w:val="12"/>
                <w:color w:val="auto"/>
              </w:rPr>
            </w:pPr>
          </w:p>
        </w:tc>
        <w:tc>
          <w:tcPr>
            <w:tcW w:w="14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Options and</w:t>
            </w:r>
          </w:p>
        </w:tc>
        <w:tc>
          <w:tcPr>
            <w:tcW w:w="1460" w:type="dxa"/>
            <w:vAlign w:val="bottom"/>
          </w:tcPr>
          <w:p>
            <w:pPr>
              <w:jc w:val="center"/>
              <w:ind w:right="44"/>
              <w:spacing w:after="0" w:line="147" w:lineRule="exact"/>
              <w:rPr>
                <w:sz w:val="20"/>
                <w:szCs w:val="20"/>
                <w:color w:val="auto"/>
              </w:rPr>
            </w:pPr>
            <w:r>
              <w:rPr>
                <w:rFonts w:ascii="Arial" w:cs="Arial" w:eastAsia="Arial" w:hAnsi="Arial"/>
                <w:sz w:val="14"/>
                <w:szCs w:val="14"/>
                <w:b w:val="1"/>
                <w:bCs w:val="1"/>
                <w:color w:val="auto"/>
                <w:w w:val="94"/>
              </w:rPr>
              <w:t>Under the Equity</w:t>
            </w: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520" w:type="dxa"/>
            <w:vAlign w:val="bottom"/>
            <w:gridSpan w:val="2"/>
            <w:vMerge w:val="restart"/>
          </w:tcPr>
          <w:p>
            <w:pPr>
              <w:spacing w:after="0"/>
              <w:rPr>
                <w:sz w:val="12"/>
                <w:szCs w:val="12"/>
                <w:color w:val="auto"/>
              </w:rPr>
            </w:pPr>
          </w:p>
        </w:tc>
        <w:tc>
          <w:tcPr>
            <w:tcW w:w="2360" w:type="dxa"/>
            <w:vAlign w:val="bottom"/>
          </w:tcPr>
          <w:p>
            <w:pPr>
              <w:spacing w:after="0"/>
              <w:rPr>
                <w:sz w:val="12"/>
                <w:szCs w:val="12"/>
                <w:color w:val="auto"/>
              </w:rPr>
            </w:pPr>
          </w:p>
        </w:tc>
        <w:tc>
          <w:tcPr>
            <w:tcW w:w="16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14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Restricted</w:t>
            </w:r>
          </w:p>
        </w:tc>
        <w:tc>
          <w:tcPr>
            <w:tcW w:w="1460" w:type="dxa"/>
            <w:vAlign w:val="bottom"/>
          </w:tcPr>
          <w:p>
            <w:pPr>
              <w:jc w:val="center"/>
              <w:ind w:right="24"/>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vMerge w:val="continue"/>
          </w:tcPr>
          <w:p>
            <w:pPr>
              <w:spacing w:after="0"/>
              <w:rPr>
                <w:sz w:val="15"/>
                <w:szCs w:val="15"/>
                <w:color w:val="auto"/>
              </w:rPr>
            </w:pPr>
          </w:p>
        </w:tc>
        <w:tc>
          <w:tcPr>
            <w:tcW w:w="3520" w:type="dxa"/>
            <w:vAlign w:val="bottom"/>
            <w:gridSpan w:val="2"/>
            <w:vMerge w:val="continue"/>
          </w:tcPr>
          <w:p>
            <w:pPr>
              <w:spacing w:after="0"/>
              <w:rPr>
                <w:sz w:val="15"/>
                <w:szCs w:val="15"/>
                <w:color w:val="auto"/>
              </w:rPr>
            </w:pPr>
          </w:p>
        </w:tc>
        <w:tc>
          <w:tcPr>
            <w:tcW w:w="2360" w:type="dxa"/>
            <w:vAlign w:val="bottom"/>
          </w:tcPr>
          <w:p>
            <w:pPr>
              <w:spacing w:after="0"/>
              <w:rPr>
                <w:sz w:val="15"/>
                <w:szCs w:val="15"/>
                <w:color w:val="auto"/>
              </w:rPr>
            </w:pPr>
          </w:p>
        </w:tc>
        <w:tc>
          <w:tcPr>
            <w:tcW w:w="16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5"/>
                <w:szCs w:val="15"/>
                <w:color w:val="auto"/>
              </w:rPr>
            </w:pPr>
          </w:p>
        </w:tc>
        <w:tc>
          <w:tcPr>
            <w:tcW w:w="148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w w:val="85"/>
              </w:rPr>
              <w:t>Shares</w:t>
            </w:r>
          </w:p>
        </w:tc>
        <w:tc>
          <w:tcPr>
            <w:tcW w:w="1460" w:type="dxa"/>
            <w:vAlign w:val="bottom"/>
          </w:tcPr>
          <w:p>
            <w:pPr>
              <w:jc w:val="center"/>
              <w:ind w:right="44"/>
              <w:spacing w:after="0" w:line="156" w:lineRule="exact"/>
              <w:rPr>
                <w:sz w:val="20"/>
                <w:szCs w:val="20"/>
                <w:color w:val="auto"/>
              </w:rPr>
            </w:pPr>
            <w:r>
              <w:rPr>
                <w:rFonts w:ascii="Arial" w:cs="Arial" w:eastAsia="Arial" w:hAnsi="Arial"/>
                <w:sz w:val="14"/>
                <w:szCs w:val="14"/>
                <w:b w:val="1"/>
                <w:bCs w:val="1"/>
                <w:color w:val="auto"/>
                <w:w w:val="92"/>
              </w:rPr>
              <w:t>Plans (1)</w:t>
            </w:r>
          </w:p>
        </w:tc>
        <w:tc>
          <w:tcPr>
            <w:tcW w:w="0" w:type="dxa"/>
            <w:vAlign w:val="bottom"/>
          </w:tcPr>
          <w:p>
            <w:pPr>
              <w:spacing w:after="0"/>
              <w:rPr>
                <w:sz w:val="1"/>
                <w:szCs w:val="1"/>
                <w:color w:val="auto"/>
              </w:rPr>
            </w:pPr>
          </w:p>
        </w:tc>
      </w:tr>
      <w:tr>
        <w:trPr>
          <w:trHeight w:val="213"/>
        </w:trPr>
        <w:tc>
          <w:tcPr>
            <w:tcW w:w="44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6"/>
              </w:rPr>
              <w:t>Equity Compensation plans approved by security holders</w:t>
            </w:r>
          </w:p>
        </w:tc>
        <w:tc>
          <w:tcPr>
            <w:tcW w:w="23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8"/>
                <w:szCs w:val="18"/>
                <w:color w:val="auto"/>
              </w:rPr>
              <w:t>1,780,429</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1.64</w:t>
            </w:r>
          </w:p>
        </w:tc>
        <w:tc>
          <w:tcPr>
            <w:tcW w:w="16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107,860</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w w:val="90"/>
              </w:rPr>
              <w:t>Equity Compensation plans not approved by security holders</w:t>
            </w:r>
          </w:p>
        </w:tc>
        <w:tc>
          <w:tcPr>
            <w:tcW w:w="236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1,780,429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107,860</w:t>
            </w:r>
          </w:p>
        </w:tc>
        <w:tc>
          <w:tcPr>
            <w:tcW w:w="0" w:type="dxa"/>
            <w:vAlign w:val="bottom"/>
          </w:tcPr>
          <w:p>
            <w:pPr>
              <w:spacing w:after="0"/>
              <w:rPr>
                <w:sz w:val="1"/>
                <w:szCs w:val="1"/>
                <w:color w:val="auto"/>
              </w:rPr>
            </w:pPr>
          </w:p>
        </w:tc>
      </w:tr>
      <w:tr>
        <w:trPr>
          <w:trHeight w:val="20"/>
        </w:trPr>
        <w:tc>
          <w:tcPr>
            <w:tcW w:w="88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60" w:hanging="653"/>
        <w:spacing w:after="0" w:line="26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shares reflected in the column titled “Number of Securities to be Issued Upon Exercise of Outstanding Options and Vesting of Restricted Shares”.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purchase shares of our common stock during the fiscal year ended March 31,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19" w:lineRule="exact"/>
        <w:rPr>
          <w:sz w:val="20"/>
          <w:szCs w:val="20"/>
          <w:color w:val="auto"/>
        </w:rPr>
      </w:pPr>
    </w:p>
    <w:p>
      <w:pPr>
        <w:ind w:firstLine="507"/>
        <w:spacing w:after="0" w:line="267" w:lineRule="auto"/>
        <w:rPr>
          <w:sz w:val="20"/>
          <w:szCs w:val="20"/>
          <w:color w:val="auto"/>
        </w:rPr>
      </w:pPr>
      <w:r>
        <w:rPr>
          <w:rFonts w:ascii="Arial" w:cs="Arial" w:eastAsia="Arial" w:hAnsi="Arial"/>
          <w:sz w:val="18"/>
          <w:szCs w:val="18"/>
          <w:color w:val="auto"/>
        </w:rPr>
        <w:t>We did not make any unregistered sales of our common stock during the year ended March 31, 2019 that were not previously disclosed in a Quarterly Report on form 10-Q or a current report on Form 8-K during such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The following graph shows the total shareholder return of an investment of $100 in cash on March 31, 2014 through March 31, 2019, for (1) our common stock, (2) the Russell 2000 Index and (3) The NASDAQ Clean Edge Green Energy Index. Data for the Russell 2000 Index and the NASDAQ Clean Edge Green Energy Index assume reinvestment of dividends. The stock price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1477645</wp:posOffset>
            </wp:positionH>
            <wp:positionV relativeFrom="paragraph">
              <wp:posOffset>147955</wp:posOffset>
            </wp:positionV>
            <wp:extent cx="4623435" cy="3674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3435" cy="367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9" w:lineRule="exact"/>
        <w:rPr>
          <w:sz w:val="20"/>
          <w:szCs w:val="20"/>
          <w:color w:val="auto"/>
        </w:rPr>
      </w:pPr>
    </w:p>
    <w:p>
      <w:pPr>
        <w:jc w:val="both"/>
        <w:ind w:right="40" w:firstLine="507"/>
        <w:spacing w:after="0" w:line="279" w:lineRule="auto"/>
        <w:rPr>
          <w:sz w:val="20"/>
          <w:szCs w:val="20"/>
          <w:color w:val="auto"/>
        </w:rPr>
      </w:pPr>
      <w:r>
        <w:rPr>
          <w:rFonts w:ascii="Arial" w:cs="Arial" w:eastAsia="Arial" w:hAnsi="Arial"/>
          <w:sz w:val="17"/>
          <w:szCs w:val="17"/>
          <w:color w:val="auto"/>
        </w:rPr>
        <w:t>You should read the following selected consolidated financial data in conjunction with Item 7. "Management’s Discussion and Analysis of Financial Condition and Results of Operations" and our consolidated financial statements and the related notes included in Item 8. "Financial Statements and Supplementary Data" of this report. The selected historical consolidated financial data are not necessarily indicative of future results.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Fiscal Year Ended March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2"/>
              <w:spacing w:after="0" w:line="153"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2"/>
              <w:spacing w:after="0" w:line="153"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2"/>
              <w:spacing w:after="0" w:line="153"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6"/>
          </w:tcPr>
          <w:p>
            <w:pPr>
              <w:jc w:val="right"/>
              <w:ind w:right="31"/>
              <w:spacing w:after="0" w:line="153" w:lineRule="exact"/>
              <w:rPr>
                <w:sz w:val="20"/>
                <w:szCs w:val="20"/>
                <w:color w:val="auto"/>
              </w:rPr>
            </w:pPr>
            <w:r>
              <w:rPr>
                <w:rFonts w:ascii="Arial" w:cs="Arial" w:eastAsia="Arial" w:hAnsi="Arial"/>
                <w:sz w:val="14"/>
                <w:szCs w:val="14"/>
                <w:b w:val="1"/>
                <w:bCs w:val="1"/>
                <w:color w:val="auto"/>
                <w:w w:val="92"/>
              </w:rPr>
              <w:t>(in thousands, except per share amounts)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Product revenue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56,261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55,595</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66,224</w:t>
            </w:r>
          </w:p>
        </w:tc>
        <w:tc>
          <w:tcPr>
            <w:tcW w:w="3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64,897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65,881</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9,493</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3,987</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2,745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9"/>
        </w:trPr>
        <w:tc>
          <w:tcPr>
            <w:tcW w:w="4320" w:type="dxa"/>
            <w:vAlign w:val="bottom"/>
          </w:tcPr>
          <w:p>
            <w:pPr>
              <w:spacing w:after="0"/>
              <w:rPr>
                <w:sz w:val="20"/>
                <w:szCs w:val="20"/>
                <w:color w:val="auto"/>
              </w:rPr>
            </w:pPr>
            <w:r>
              <w:rPr>
                <w:rFonts w:ascii="Arial" w:cs="Arial" w:eastAsia="Arial" w:hAnsi="Arial"/>
                <w:sz w:val="18"/>
                <w:szCs w:val="18"/>
                <w:color w:val="auto"/>
              </w:rPr>
              <w:t>Total revenue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65,754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60,300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70,211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67,642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72,210</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 (1)(2)</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44,111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41,415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49,630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49,630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8"/>
              </w:rPr>
              <w:t>68,388</w:t>
            </w:r>
          </w:p>
        </w:tc>
        <w:tc>
          <w:tcPr>
            <w:tcW w:w="0" w:type="dxa"/>
            <w:vAlign w:val="bottom"/>
          </w:tcPr>
          <w:p>
            <w:pPr>
              <w:spacing w:after="0"/>
              <w:rPr>
                <w:sz w:val="1"/>
                <w:szCs w:val="1"/>
                <w:color w:val="auto"/>
              </w:rPr>
            </w:pPr>
          </w:p>
        </w:tc>
      </w:tr>
      <w:tr>
        <w:trPr>
          <w:trHeight w:val="226"/>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7,091</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4,213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3,244</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51,202</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45,628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52,874</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51,645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98"/>
              </w:rPr>
              <w:t>73,347</w:t>
            </w:r>
          </w:p>
        </w:tc>
        <w:tc>
          <w:tcPr>
            <w:tcW w:w="0" w:type="dxa"/>
            <w:vAlign w:val="bottom"/>
          </w:tcPr>
          <w:p>
            <w:pPr>
              <w:spacing w:after="0"/>
              <w:rPr>
                <w:sz w:val="1"/>
                <w:szCs w:val="1"/>
                <w:color w:val="auto"/>
              </w:rPr>
            </w:pPr>
          </w:p>
        </w:tc>
      </w:tr>
      <w:tr>
        <w:trPr>
          <w:trHeight w:val="219"/>
        </w:trPr>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14,552</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14,672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17,337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15,997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 (1)(3)</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10,231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14,777</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16,884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8"/>
              </w:rPr>
              <w:t>14,908</w:t>
            </w:r>
          </w:p>
        </w:tc>
        <w:tc>
          <w:tcPr>
            <w:tcW w:w="0" w:type="dxa"/>
            <w:vAlign w:val="bottom"/>
          </w:tcPr>
          <w:p>
            <w:pPr>
              <w:spacing w:after="0"/>
              <w:rPr>
                <w:sz w:val="1"/>
                <w:szCs w:val="1"/>
                <w:color w:val="auto"/>
              </w:rPr>
            </w:pP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Impairment of assets (4)</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related expenses (5)</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Sales and marketing expenses (1) (5)</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9,104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12,833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13,290</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 (6)</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1,374</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2,004</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9"/>
        </w:trPr>
        <w:tc>
          <w:tcPr>
            <w:tcW w:w="4320" w:type="dxa"/>
            <w:vAlign w:val="bottom"/>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(31,936)</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Dividend and interest income</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(32,012)</w:t>
            </w:r>
          </w:p>
        </w:tc>
        <w:tc>
          <w:tcPr>
            <w:tcW w:w="0" w:type="dxa"/>
            <w:vAlign w:val="bottom"/>
          </w:tcPr>
          <w:p>
            <w:pPr>
              <w:spacing w:after="0"/>
              <w:rPr>
                <w:sz w:val="1"/>
                <w:szCs w:val="1"/>
                <w:color w:val="auto"/>
              </w:rPr>
            </w:pPr>
          </w:p>
        </w:tc>
      </w:tr>
      <w:tr>
        <w:trPr>
          <w:trHeight w:val="226"/>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(12,288)</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(32,061)</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Net loss per share attributable to common</w:t>
            </w: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tcPr>
          <w:p>
            <w:pPr>
              <w:ind w:left="140"/>
              <w:spacing w:after="0"/>
              <w:rPr>
                <w:sz w:val="20"/>
                <w:szCs w:val="20"/>
                <w:color w:val="auto"/>
              </w:rPr>
            </w:pPr>
            <w:r>
              <w:rPr>
                <w:rFonts w:ascii="Arial" w:cs="Arial" w:eastAsia="Arial" w:hAnsi="Arial"/>
                <w:sz w:val="18"/>
                <w:szCs w:val="18"/>
                <w:b w:val="1"/>
                <w:bCs w:val="1"/>
                <w:color w:val="auto"/>
              </w:rPr>
              <w:t>shareholders: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color w:val="auto"/>
              </w:rPr>
              <w:t>Diluted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8"/>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29,430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28,784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28,156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27,628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22,353</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29,430</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28,784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28,156</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27,628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8"/>
              </w:rPr>
              <w:t>22,353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1930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0400" cy="8255"/>
                    </a:xfrm>
                    <a:prstGeom prst="rect">
                      <a:avLst/>
                    </a:prstGeom>
                    <a:noFill/>
                  </pic:spPr>
                </pic:pic>
              </a:graphicData>
            </a:graphic>
          </wp:anchor>
        </w:drawing>
      </w:r>
    </w:p>
    <w:p>
      <w:pPr>
        <w:spacing w:after="0" w:line="154" w:lineRule="exact"/>
        <w:rPr>
          <w:sz w:val="20"/>
          <w:szCs w:val="20"/>
          <w:color w:val="auto"/>
        </w:rPr>
      </w:pPr>
    </w:p>
    <w:p>
      <w:pPr>
        <w:ind w:left="660" w:right="20" w:hanging="653"/>
        <w:spacing w:after="0" w:line="26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stock-based compensation expense recognized under Financial Accounting Standards Board Accounting Standards Codification Topic 718, or ASC Topic 718,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476"/>
              <w:spacing w:after="0"/>
              <w:rPr>
                <w:sz w:val="20"/>
                <w:szCs w:val="20"/>
                <w:color w:val="auto"/>
              </w:rPr>
            </w:pPr>
            <w:r>
              <w:rPr>
                <w:rFonts w:ascii="Arial" w:cs="Arial" w:eastAsia="Arial" w:hAnsi="Arial"/>
                <w:sz w:val="14"/>
                <w:szCs w:val="14"/>
                <w:b w:val="1"/>
                <w:bCs w:val="1"/>
                <w:color w:val="auto"/>
                <w:w w:val="93"/>
              </w:rPr>
              <w:t>Fiscal Year Ended March 31,</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6"/>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16"/>
              <w:spacing w:after="0" w:line="153"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4"/>
              <w:spacing w:after="0" w:line="153"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r>
      <w:tr>
        <w:trPr>
          <w:trHeight w:val="153"/>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188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9"/>
              </w:rPr>
              <w:t>764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9"/>
                <w:szCs w:val="19"/>
                <w:color w:val="auto"/>
              </w:rPr>
            </w:pP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19"/>
        </w:trPr>
        <w:tc>
          <w:tcPr>
            <w:tcW w:w="41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8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w w:val="99"/>
              </w:rPr>
              <w:t>825</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1,605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1,499</w:t>
            </w:r>
          </w:p>
        </w:tc>
        <w:tc>
          <w:tcPr>
            <w:tcW w:w="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6"/>
        </w:trPr>
        <w:tc>
          <w:tcPr>
            <w:tcW w:w="4100" w:type="dxa"/>
            <w:vAlign w:val="bottom"/>
          </w:tcPr>
          <w:p>
            <w:pPr>
              <w:spacing w:after="0"/>
              <w:rPr>
                <w:sz w:val="24"/>
                <w:szCs w:val="24"/>
                <w:color w:val="auto"/>
              </w:rPr>
            </w:pPr>
          </w:p>
        </w:tc>
        <w:tc>
          <w:tcPr>
            <w:tcW w:w="1880" w:type="dxa"/>
            <w:vAlign w:val="bottom"/>
            <w:gridSpan w:val="2"/>
          </w:tcPr>
          <w:p>
            <w:pPr>
              <w:jc w:val="right"/>
              <w:ind w:right="109"/>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26" w:name="page27"/>
    <w:bookmarkEnd w:id="26"/>
    <w:p>
      <w:pPr>
        <w:jc w:val="both"/>
        <w:ind w:left="680" w:right="20" w:hanging="673"/>
        <w:spacing w:after="0" w:line="25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2018 includes expenses of $34 thousand related to restructuring expense. Fiscal 2017 includes expenses of $2.2 million related to an increase in inventory reserves and other inventory adjustments. Fiscal 2015 includes expenses of $12.1 million related to the impairment of wireless control inventory, fixed assets and intangible assets.</w:t>
      </w:r>
    </w:p>
    <w:p>
      <w:pPr>
        <w:spacing w:after="0" w:line="81" w:lineRule="exact"/>
        <w:rPr>
          <w:rFonts w:ascii="Arial" w:cs="Arial" w:eastAsia="Arial" w:hAnsi="Arial"/>
          <w:sz w:val="18"/>
          <w:szCs w:val="18"/>
          <w:color w:val="auto"/>
        </w:rPr>
      </w:pPr>
    </w:p>
    <w:p>
      <w:pPr>
        <w:ind w:left="660" w:right="20" w:hanging="653"/>
        <w:spacing w:after="0" w:line="26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2018 includes $1.8 million of restructuring expense and $1.4 million benefit on the reversal of an accrual for a loss contingency. Fiscal 2016 includes a $1.4 million loss contingency accrual.</w:t>
      </w:r>
    </w:p>
    <w:p>
      <w:pPr>
        <w:spacing w:after="0" w:line="72" w:lineRule="exact"/>
        <w:rPr>
          <w:rFonts w:ascii="Arial" w:cs="Arial" w:eastAsia="Arial" w:hAnsi="Arial"/>
          <w:sz w:val="18"/>
          <w:szCs w:val="18"/>
          <w:color w:val="auto"/>
        </w:rPr>
      </w:pPr>
    </w:p>
    <w:p>
      <w:pPr>
        <w:jc w:val="both"/>
        <w:ind w:left="660" w:right="20" w:hanging="653"/>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2018 includes an intangible asset impairment of $0.7 million. Fiscal 2017 includes an intangible asset impairment of $0.3 million. Fiscal 2016 includes expenses of $4.4 million related to the impairment of goodwill and $1.6 million related to the write-down to fair value of the manufacturing facility.</w:t>
      </w:r>
    </w:p>
    <w:p>
      <w:pPr>
        <w:spacing w:after="0" w:line="81" w:lineRule="exact"/>
        <w:rPr>
          <w:rFonts w:ascii="Arial" w:cs="Arial" w:eastAsia="Arial" w:hAnsi="Arial"/>
          <w:sz w:val="18"/>
          <w:szCs w:val="18"/>
          <w:color w:val="auto"/>
        </w:rPr>
      </w:pPr>
    </w:p>
    <w:p>
      <w:pPr>
        <w:ind w:left="660" w:hanging="65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2018 includes expenses of $0.2 million related to restructuring.</w:t>
      </w:r>
    </w:p>
    <w:p>
      <w:pPr>
        <w:spacing w:after="0" w:line="113" w:lineRule="exact"/>
        <w:rPr>
          <w:rFonts w:ascii="Arial" w:cs="Arial" w:eastAsia="Arial" w:hAnsi="Arial"/>
          <w:sz w:val="18"/>
          <w:szCs w:val="18"/>
          <w:color w:val="auto"/>
        </w:rPr>
      </w:pPr>
    </w:p>
    <w:p>
      <w:pPr>
        <w:ind w:left="660" w:hanging="65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2018 includes expenses of $0.1 million related to restructuring.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March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6"/>
              <w:spacing w:after="0" w:line="153"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r>
      <w:tr>
        <w:trPr>
          <w:trHeight w:val="153"/>
        </w:trPr>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8,729</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9,424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17,307</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15,542</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20,002</w:t>
            </w:r>
          </w:p>
        </w:tc>
        <w:tc>
          <w:tcPr>
            <w:tcW w:w="20" w:type="dxa"/>
            <w:vAlign w:val="bottom"/>
          </w:tcPr>
          <w:p>
            <w:pPr>
              <w:spacing w:after="0"/>
              <w:rPr>
                <w:sz w:val="19"/>
                <w:szCs w:val="19"/>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56,021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45,325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62,051</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70,875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87,805</w:t>
            </w:r>
          </w:p>
        </w:tc>
        <w:tc>
          <w:tcPr>
            <w:tcW w:w="20" w:type="dxa"/>
            <w:vAlign w:val="bottom"/>
          </w:tcPr>
          <w:p>
            <w:pPr>
              <w:spacing w:after="0"/>
              <w:rPr>
                <w:sz w:val="19"/>
                <w:szCs w:val="19"/>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Long term borrowings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9,283</w:t>
            </w:r>
          </w:p>
        </w:tc>
        <w:tc>
          <w:tcPr>
            <w:tcW w:w="3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4,013</w:t>
            </w:r>
          </w:p>
        </w:tc>
        <w:tc>
          <w:tcPr>
            <w:tcW w:w="200" w:type="dxa"/>
            <w:vAlign w:val="bottom"/>
          </w:tcPr>
          <w:p>
            <w:pPr>
              <w:spacing w:after="0"/>
              <w:rPr>
                <w:sz w:val="19"/>
                <w:szCs w:val="19"/>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6,819</w:t>
            </w:r>
          </w:p>
        </w:tc>
        <w:tc>
          <w:tcPr>
            <w:tcW w:w="30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4,021</w:t>
            </w:r>
          </w:p>
        </w:tc>
        <w:tc>
          <w:tcPr>
            <w:tcW w:w="3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3,222</w:t>
            </w:r>
          </w:p>
        </w:tc>
        <w:tc>
          <w:tcPr>
            <w:tcW w:w="20" w:type="dxa"/>
            <w:vAlign w:val="bottom"/>
          </w:tcPr>
          <w:p>
            <w:pPr>
              <w:spacing w:after="0"/>
              <w:rPr>
                <w:sz w:val="19"/>
                <w:szCs w:val="19"/>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Shareholder notes receivable</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5"/>
        </w:trPr>
        <w:tc>
          <w:tcPr>
            <w:tcW w:w="39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17,970</w:t>
            </w:r>
          </w:p>
        </w:tc>
        <w:tc>
          <w:tcPr>
            <w:tcW w:w="3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23,424</w:t>
            </w:r>
          </w:p>
        </w:tc>
        <w:tc>
          <w:tcPr>
            <w:tcW w:w="200" w:type="dxa"/>
            <w:vAlign w:val="bottom"/>
          </w:tcPr>
          <w:p>
            <w:pPr>
              <w:spacing w:after="0"/>
              <w:rPr>
                <w:sz w:val="19"/>
                <w:szCs w:val="19"/>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35,450</w:t>
            </w:r>
          </w:p>
        </w:tc>
        <w:tc>
          <w:tcPr>
            <w:tcW w:w="30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45,983</w:t>
            </w:r>
          </w:p>
        </w:tc>
        <w:tc>
          <w:tcPr>
            <w:tcW w:w="3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64,511</w:t>
            </w:r>
          </w:p>
        </w:tc>
        <w:tc>
          <w:tcPr>
            <w:tcW w:w="20" w:type="dxa"/>
            <w:vAlign w:val="bottom"/>
          </w:tcPr>
          <w:p>
            <w:pPr>
              <w:spacing w:after="0"/>
              <w:rPr>
                <w:sz w:val="19"/>
                <w:szCs w:val="19"/>
                <w:color w:val="auto"/>
              </w:rPr>
            </w:pPr>
          </w:p>
        </w:tc>
      </w:tr>
      <w:tr>
        <w:trPr>
          <w:trHeight w:val="667"/>
        </w:trPr>
        <w:tc>
          <w:tcPr>
            <w:tcW w:w="3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34"/>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2019. See also “Forward-Looking Statements” and Item 1A “Risk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We provide state-of-the-art LED lighting, wireless Internet of Things (“IoT”) enabled control solutions,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93"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Our lighting products consist primarily of light emitting diode ("LED") lighting fixtures, many of which include IoT enabled control systems. Our principal customers include large national account end-users, electrical distributors and energy service companies ("ESCOs"). Currently, substantially all of our products are manufactured at our leased production facility located in Manitowoc, Wisconsin, although as the LED market continues to evolve, we are increasingly sourcing products and components from third parties in order to provide versatility in our product development.</w:t>
      </w:r>
    </w:p>
    <w:p>
      <w:pPr>
        <w:spacing w:after="0" w:line="177"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believe the market for LED lighting products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88"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We generally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65"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88"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3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Our fiscal year ends on March 31. We refer to our just completed fiscal year, which ended on March 31, 2019, as "fiscal 2019", and our prior fiscal year which ended on March 31, 2018 as "fiscal 2018". Our fiscal first quarter of each fiscal year ends on June 30, our fiscal second quarter ends on September 30, our fiscal third quarter ends on December 31 and our fiscal fourth quarter ends on March 31.</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jc w:val="both"/>
        <w:ind w:right="20"/>
        <w:spacing w:after="0" w:line="267" w:lineRule="auto"/>
        <w:rPr>
          <w:sz w:val="20"/>
          <w:szCs w:val="20"/>
          <w:color w:val="auto"/>
        </w:rPr>
      </w:pPr>
      <w:r>
        <w:rPr>
          <w:rFonts w:ascii="Arial" w:cs="Arial" w:eastAsia="Arial" w:hAnsi="Arial"/>
          <w:sz w:val="18"/>
          <w:szCs w:val="18"/>
          <w:color w:val="auto"/>
        </w:rPr>
        <w:t>Orion has three reportable segments: Orion Engineered Systems Division ("OES"), and Orion Distribution Services Division ("ODS"), and Orion U.S. Markets Division (“USM”).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market shift in the past several years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82" w:lineRule="exact"/>
        <w:rPr>
          <w:sz w:val="20"/>
          <w:szCs w:val="20"/>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Mitigating LED product end user customer pricing pressure.</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LED product performance and reducing customer return on investment payback periods resulting in increased customer preference for LED lighting products compared to legacy HIF lighting products.</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IoT enabled control solutions.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Replacing earlier generation LED products.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broader and more diverse customer base and market opportunities compared to our historical commercial and industrial facility customers.</w:t>
      </w:r>
    </w:p>
    <w:p>
      <w:pPr>
        <w:spacing w:after="0" w:line="136" w:lineRule="exact"/>
        <w:rPr>
          <w:rFonts w:ascii="Arial" w:cs="Arial" w:eastAsia="Arial" w:hAnsi="Arial"/>
          <w:sz w:val="16"/>
          <w:szCs w:val="16"/>
          <w:color w:val="auto"/>
        </w:rPr>
      </w:pPr>
    </w:p>
    <w:p>
      <w:pPr>
        <w:ind w:left="880" w:hanging="367"/>
        <w:spacing w:after="0" w:line="26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spacing w:after="0" w:line="72"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113" w:lineRule="exact"/>
        <w:rPr>
          <w:rFonts w:ascii="Arial" w:cs="Arial" w:eastAsia="Arial" w:hAnsi="Arial"/>
          <w:sz w:val="18"/>
          <w:szCs w:val="18"/>
          <w:color w:val="auto"/>
        </w:rPr>
      </w:pPr>
    </w:p>
    <w:p>
      <w:pPr>
        <w:ind w:left="880" w:hanging="367"/>
        <w:spacing w:after="0" w:line="26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22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Developments in Fiscal 2019</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During fiscal 2019, we signed a series of contracts to retrofit multiple locations for a major national account customer with our state-of-the-art LED lighting systems and wireless IoT enabled control solutions at locations nationwide. We currently expect total revenue from the customer to be approximately $110 million, dependent on purchase orders, the majority of which we expect to be recognized during fiscal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Outlook</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Our ability to achieve our desired revenue growth and profitability goals depends on our ability to effectively execute on the following key strategic initiatives:</w:t>
      </w:r>
    </w:p>
    <w:p>
      <w:pPr>
        <w:spacing w:after="0" w:line="180"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Focus on executing and marketing our turnkey LED retrofit capabilities to large national account customers</w:t>
      </w:r>
      <w:r>
        <w:rPr>
          <w:rFonts w:ascii="Arial" w:cs="Arial" w:eastAsia="Arial" w:hAnsi="Arial"/>
          <w:sz w:val="18"/>
          <w:szCs w:val="18"/>
          <w:color w:val="auto"/>
        </w:rPr>
        <w:t>. We believe one of our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is our ability to deliver full turnkey LED lighting project capabilities. These turnkey services were the principal reason we obtained our $110 million revenue commitment to retrofit multiple locations for a major national account customer. Our success in the national account market segment centers on our turnkey design, engineering, manufacturing and project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9" w:name="page30"/>
    <w:bookmarkEnd w:id="29"/>
    <w:p>
      <w:pPr>
        <w:jc w:val="both"/>
        <w:spacing w:after="0" w:line="295" w:lineRule="auto"/>
        <w:rPr>
          <w:sz w:val="20"/>
          <w:szCs w:val="20"/>
          <w:color w:val="auto"/>
        </w:rPr>
      </w:pPr>
      <w:r>
        <w:rPr>
          <w:rFonts w:ascii="Arial" w:cs="Arial" w:eastAsia="Arial" w:hAnsi="Arial"/>
          <w:sz w:val="16"/>
          <w:szCs w:val="16"/>
          <w:color w:val="auto"/>
        </w:rPr>
        <w:t>management capabilities, which represent a very clear competitive advantage for us among large enterprises seeking to benefit from the illumination benefits and energy savings of LED lighting across locations nationwide.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control systems that provide even greater long-term value from their lighting system investments.</w:t>
      </w:r>
    </w:p>
    <w:p>
      <w:pPr>
        <w:spacing w:after="0" w:line="162"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Looking forward, we are focused on continuing to successfully execute on existing national account opportunities while also actively pursuing new national account opportunities that leverage our customized, comprehensive turnkey project solutions, and expanding our addressable market with high-quality, basic lighting systems to meet the needs of value-oriented customer segments served by our other market channels. Given our unique value proposition, capabilities and focus on customer service, we are optimistic about our business prospects and working to build sales momentum with existing and new customers.</w:t>
      </w:r>
    </w:p>
    <w:p>
      <w:pPr>
        <w:spacing w:after="0" w:line="19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Support success of our ESCO and agent-driven distribution sales channels. </w:t>
      </w:r>
      <w:r>
        <w:rPr>
          <w:rFonts w:ascii="Arial" w:cs="Arial" w:eastAsia="Arial" w:hAnsi="Arial"/>
          <w:sz w:val="18"/>
          <w:szCs w:val="18"/>
          <w:color w:val="auto"/>
        </w:rPr>
        <w:t>We continue to focus on building our relationships and product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88"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Continued Product Innovation. </w:t>
      </w:r>
      <w:r>
        <w:rPr>
          <w:rFonts w:ascii="Arial" w:cs="Arial" w:eastAsia="Arial" w:hAnsi="Arial"/>
          <w:sz w:val="18"/>
          <w:szCs w:val="18"/>
          <w:color w:val="auto"/>
        </w:rPr>
        <w:t>We continue to innovate, developing lighting fixtures and features that address specific customer requirements, while</w:t>
      </w:r>
      <w:r>
        <w:rPr>
          <w:rFonts w:ascii="Arial" w:cs="Arial" w:eastAsia="Arial" w:hAnsi="Arial"/>
          <w:sz w:val="18"/>
          <w:szCs w:val="18"/>
          <w:i w:val="1"/>
          <w:iCs w:val="1"/>
          <w:color w:val="auto"/>
        </w:rPr>
        <w:t xml:space="preserve"> </w:t>
      </w:r>
      <w:r>
        <w:rPr>
          <w:rFonts w:ascii="Arial" w:cs="Arial" w:eastAsia="Arial" w:hAnsi="Arial"/>
          <w:sz w:val="18"/>
          <w:szCs w:val="18"/>
          <w:color w:val="auto"/>
        </w:rPr>
        <w:t>also working to maintain a leadership position in energy efficiency, smart product design and installation benefits.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91"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i w:val="1"/>
          <w:iCs w:val="1"/>
          <w:color w:val="auto"/>
        </w:rPr>
        <w:t xml:space="preserve">Leveraging of Orion’s Smart Lighting Systems to Support Internet of Things Applications. </w:t>
      </w:r>
      <w:r>
        <w:rPr>
          <w:rFonts w:ascii="Arial" w:cs="Arial" w:eastAsia="Arial" w:hAnsi="Arial"/>
          <w:sz w:val="16"/>
          <w:szCs w:val="16"/>
          <w:color w:val="auto"/>
        </w:rPr>
        <w:t>We believe we are ideally positioned to help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w:t>
      </w:r>
    </w:p>
    <w:p>
      <w:pPr>
        <w:spacing w:after="0" w:line="162"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i w:val="1"/>
          <w:iCs w:val="1"/>
          <w:color w:val="auto"/>
        </w:rPr>
        <w:t xml:space="preserve">Tariffs and Trade Policies. </w:t>
      </w:r>
      <w:r>
        <w:rPr>
          <w:rFonts w:ascii="Arial" w:cs="Arial" w:eastAsia="Arial" w:hAnsi="Arial"/>
          <w:sz w:val="16"/>
          <w:szCs w:val="16"/>
          <w:color w:val="auto"/>
        </w:rPr>
        <w:t>The United States government has been implementing various monetary, regulatory, and trade importation restraints,</w:t>
      </w:r>
      <w:r>
        <w:rPr>
          <w:rFonts w:ascii="Arial" w:cs="Arial" w:eastAsia="Arial" w:hAnsi="Arial"/>
          <w:sz w:val="16"/>
          <w:szCs w:val="16"/>
          <w:i w:val="1"/>
          <w:iCs w:val="1"/>
          <w:color w:val="auto"/>
        </w:rPr>
        <w:t xml:space="preserve"> </w:t>
      </w:r>
      <w:r>
        <w:rPr>
          <w:rFonts w:ascii="Arial" w:cs="Arial" w:eastAsia="Arial" w:hAnsi="Arial"/>
          <w:sz w:val="16"/>
          <w:szCs w:val="16"/>
          <w:color w:val="auto"/>
        </w:rPr>
        <w:t>penalties, and tariffs. Certain sourced finished products and certain of the components used in our products have been impacted by the recently imposed tariffs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our results of operations may be adversely affected.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 Fiscal 2019 versus Fiscal 2018</w:t>
      </w:r>
    </w:p>
    <w:p>
      <w:pPr>
        <w:spacing w:after="0" w:line="119"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4"/>
              </w:rPr>
              <w:t>Fiscal Year Ended March 31,</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54"/>
              <w:spacing w:after="0" w:line="153"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ind w:right="154"/>
              <w:spacing w:after="0" w:line="153"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354"/>
              <w:spacing w:after="0" w:line="131"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220" w:type="dxa"/>
            <w:vAlign w:val="bottom"/>
          </w:tcPr>
          <w:p>
            <w:pPr>
              <w:jc w:val="center"/>
              <w:ind w:right="154"/>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9"/>
        </w:trPr>
        <w:tc>
          <w:tcPr>
            <w:tcW w:w="380" w:type="dxa"/>
            <w:vAlign w:val="bottom"/>
            <w:tcBorders>
              <w:bottom w:val="single" w:sz="8" w:color="CFF0FC"/>
            </w:tcBorders>
          </w:tcPr>
          <w:p>
            <w:pPr>
              <w:spacing w:after="0"/>
              <w:rPr>
                <w:sz w:val="14"/>
                <w:szCs w:val="14"/>
                <w:color w:val="auto"/>
              </w:rPr>
            </w:pPr>
          </w:p>
        </w:tc>
        <w:tc>
          <w:tcPr>
            <w:tcW w:w="346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0"/>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56,261</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55,595</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9,493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4,705</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1"/>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65,754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60,300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6"/>
        </w:trPr>
        <w:tc>
          <w:tcPr>
            <w:tcW w:w="384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44,111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41,415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7,091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4,213</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cost of revenue</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51,202</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45,628</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1"/>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14,552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14,672</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6"/>
        </w:trPr>
        <w:tc>
          <w:tcPr>
            <w:tcW w:w="38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13,159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intangible assets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ind w:left="700"/>
              <w:spacing w:after="0"/>
              <w:rPr>
                <w:sz w:val="20"/>
                <w:szCs w:val="20"/>
                <w:color w:val="auto"/>
              </w:rPr>
            </w:pPr>
            <w:r>
              <w:rPr>
                <w:rFonts w:ascii="Arial" w:cs="Arial" w:eastAsia="Arial" w:hAnsi="Arial"/>
                <w:sz w:val="18"/>
                <w:szCs w:val="18"/>
                <w:color w:val="auto"/>
              </w:rPr>
              <w:t>NM</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384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9"/>
        </w:trPr>
        <w:tc>
          <w:tcPr>
            <w:tcW w:w="38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3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income</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t>
            </w:r>
          </w:p>
        </w:tc>
        <w:tc>
          <w:tcPr>
            <w:tcW w:w="346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8"/>
                <w:szCs w:val="18"/>
                <w:color w:val="auto"/>
              </w:rPr>
              <w:t>NM = Not Meaningful</w:t>
            </w:r>
          </w:p>
        </w:tc>
        <w:tc>
          <w:tcPr>
            <w:tcW w:w="1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80" w:type="dxa"/>
            <w:vAlign w:val="bottom"/>
            <w:vMerge w:val="continue"/>
          </w:tcPr>
          <w:p>
            <w:pPr>
              <w:spacing w:after="0"/>
              <w:rPr>
                <w:sz w:val="24"/>
                <w:szCs w:val="24"/>
                <w:color w:val="auto"/>
              </w:rPr>
            </w:pPr>
          </w:p>
        </w:tc>
        <w:tc>
          <w:tcPr>
            <w:tcW w:w="34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1.2%, or $0.7 million, for fiscal 2019 versus fiscal 2018. The increase in product revenue was primarily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sales volume through our national account channel, and primarily the result of a major retrofit project for multiple locations for one of our national account customers. The contractual commitments from this customer will result in substantially higher revenue for us in fiscal 2020. Service revenue increased 101.8%, or $4.8 million, primarily due to higher sales volume through our national account channel and the timing of project installations. Total revenue increased by 9.0%, or $5.5 million, due to the items discussed above. Excluding the impact of the adoption of ASC 606, Product revenue increased 5.1%, or $2.9 million, Service revenue increased 56.2%, or $2.6 million, and Total revenue increased 9.1%, or $5.5 million, compared to fiscal year 2018.</w:t>
      </w:r>
    </w:p>
    <w:p>
      <w:pPr>
        <w:spacing w:after="0" w:line="169"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increased 6.5%, or $2.7 million, in fiscal 2019 versus the comparable period in fiscal 2018</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increase in sales. Cost of service revenue increased 68.3%, or $2.9 million, in fiscal 2019 versus fiscal 2018 primarily due to the increase in service revenue. Gross margin decreased from 24.3% of revenue in fiscal 2018 to 22.1% in fiscal 2019, primarily due to our product mix on higher sales to one large national account customer. Excluding the impact of the adoption of ASC 606, gross margin for fiscal 2019 was 24.4%.</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Expenses</w:t>
      </w:r>
    </w:p>
    <w:p>
      <w:pPr>
        <w:spacing w:after="0" w:line="113"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decreased 22.3%, or $2.9 million, in fiscal 2019 compared to fiscal 2018,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$1.8 million in employee separation costs incurred in fiscal 2018, offset by the release of a $1.4 million loss contingency accrual, which did not recur in fiscal 2019, as well as reduced employee costs and consulting expense as a result of our prior year cost reduction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31" w:name="page32"/>
    <w:bookmarkEnd w:id="31"/>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Impairment of assets. </w:t>
      </w:r>
      <w:r>
        <w:rPr>
          <w:rFonts w:ascii="Arial" w:cs="Arial" w:eastAsia="Arial" w:hAnsi="Arial"/>
          <w:sz w:val="18"/>
          <w:szCs w:val="18"/>
          <w:color w:val="auto"/>
        </w:rPr>
        <w:t>No impairment charge was recorded in fiscal 2019. During fiscal 2018, we performed a review of our definite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and intangible assets for impairment. In conjunction with this review, we determined that the carrying value of our Harris trade name intangible asset exceeded its fair value. As a result, we recorded an impairment charge of $0.7 million in fiscal 2018.</w:t>
      </w:r>
    </w:p>
    <w:p>
      <w:pPr>
        <w:spacing w:after="0" w:line="188"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23.4%, or $2.8 million, in fiscal 2019 compared to fiscal 2018. Excluding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adoption of ASC 606, Sales and marketing expenses decreased 11.1%, or $1.3 million, in fiscal 2019 compared to fiscal 2018. The decrease year over year was primarily due to reduced employee costs due to the impact of our prior year cost reduction plan, and lower travel and entertainment and marketing expenses.</w:t>
      </w:r>
    </w:p>
    <w:p>
      <w:pPr>
        <w:spacing w:after="0" w:line="191"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27.9%, or $0.5 million in fiscal 2019 compared to fiscal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employee costs as a result of our prior year cost reduction plan, as well as a decrease in testing costs based on timing of new product rollouts and reduced consulting expenses.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 fiscal 2019 and fiscal 2018 represented product royalties received from licensing agreements for our patents.</w:t>
      </w:r>
    </w:p>
    <w:p>
      <w:pPr>
        <w:spacing w:after="0" w:line="231"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2019 increased by 48.0%, or $0.2 million, from fiscal 2018. The increase in interest expense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third party financing costs related to the sale of receivables.</w:t>
      </w:r>
    </w:p>
    <w:p>
      <w:pPr>
        <w:spacing w:after="0" w:line="180"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i w:val="1"/>
          <w:iCs w:val="1"/>
          <w:color w:val="auto"/>
        </w:rPr>
        <w:t xml:space="preserve">Amortization of debt issue costs. </w:t>
      </w:r>
      <w:r>
        <w:rPr>
          <w:rFonts w:ascii="Arial" w:cs="Arial" w:eastAsia="Arial" w:hAnsi="Arial"/>
          <w:sz w:val="18"/>
          <w:szCs w:val="18"/>
          <w:color w:val="auto"/>
        </w:rPr>
        <w:t>Amortization of debt issue costs in fiscal 2019 increased 9.8%, or $9 thousand from fiscal 2018. The increase is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of our new revolving credit facility.</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fiscal 2019 remained relatively flat compared to fiscal 2018. Interest income relates to interest earned on sweep bank</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 fiscal 2019 increased immaterially from fiscal 2018. Both periods include income tax expense for minimum state</w:t>
      </w:r>
      <w:r>
        <w:rPr>
          <w:rFonts w:ascii="Arial" w:cs="Arial" w:eastAsia="Arial" w:hAnsi="Arial"/>
          <w:sz w:val="18"/>
          <w:szCs w:val="18"/>
          <w:i w:val="1"/>
          <w:iCs w:val="1"/>
          <w:color w:val="auto"/>
        </w:rPr>
        <w:t xml:space="preserve"> </w:t>
      </w:r>
      <w:r>
        <w:rPr>
          <w:rFonts w:ascii="Arial" w:cs="Arial" w:eastAsia="Arial" w:hAnsi="Arial"/>
          <w:sz w:val="18"/>
          <w:szCs w:val="18"/>
          <w:color w:val="auto"/>
        </w:rPr>
        <w:t>tax liabilities. In fiscal 2018 we received refunds from previously filed tax returns. In both periods, the impact of the Tax Cuts and Jobs Act on tax expense was immaterial due to the full valuation allowance.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 Fiscal 2018 versus Fiscal 2017</w:t>
      </w:r>
    </w:p>
    <w:p>
      <w:pPr>
        <w:spacing w:after="0" w:line="119"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4"/>
              </w:rPr>
              <w:t>Fiscal Year Ended March 31,</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54"/>
              <w:spacing w:after="0" w:line="153"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ind w:right="154"/>
              <w:spacing w:after="0" w:line="153" w:lineRule="exact"/>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354"/>
              <w:spacing w:after="0" w:line="131"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220" w:type="dxa"/>
            <w:vAlign w:val="bottom"/>
          </w:tcPr>
          <w:p>
            <w:pPr>
              <w:jc w:val="center"/>
              <w:ind w:right="154"/>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9"/>
        </w:trPr>
        <w:tc>
          <w:tcPr>
            <w:tcW w:w="384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55,595</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66,224</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4,705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3,987</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60,300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70,211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6"/>
        </w:trPr>
        <w:tc>
          <w:tcPr>
            <w:tcW w:w="38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41,415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49,630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4,213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45,628</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52,874</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14,672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17,337</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14,777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ind w:left="700"/>
              <w:spacing w:after="0"/>
              <w:rPr>
                <w:sz w:val="20"/>
                <w:szCs w:val="20"/>
                <w:color w:val="auto"/>
              </w:rPr>
            </w:pPr>
            <w:r>
              <w:rPr>
                <w:rFonts w:ascii="Arial" w:cs="Arial" w:eastAsia="Arial" w:hAnsi="Arial"/>
                <w:sz w:val="18"/>
                <w:szCs w:val="18"/>
                <w:color w:val="auto"/>
              </w:rPr>
              <w:t>NM</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3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12,833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38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(12,527)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384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1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(12,549)</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16.1%, or $10.6 million, for fiscal 2018 versus fiscal 2017. The decrease in product revenue was primarily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continued decline in fluorescent product sales, $6.5 million year over year, and a decrease of $3.9 million in LED lighting revenue. LED lighting revenue decreased 6.2% from $53.1 million in fiscal 2017 to $49.8 million in fiscal 2018, primarily as a result of a decrease in our LED Troffer Door Retrofit product as well as the impact of our transition of our distribution sales channel to an agent driven model. Service revenue increased 18.0%, or $0.7 million, primarily due to the timing of installation projects in fiscal 2018 compared to fiscal 2017. Total revenue decreased by 14.1%, or $9.9 million, due to the items discussed above.</w:t>
      </w:r>
    </w:p>
    <w:p>
      <w:pPr>
        <w:spacing w:after="0" w:line="195"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decreased 16.6%, or $8.2 million, in fiscal 2018 versus the comparable period in fiscal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decline in sales and the resulting lower overhead absorption compared to the prior year period. Cost of service revenue increased 29.9%, or $1.0 million, in fiscal 2018 versus fiscal 2017 primarily due to the timing of completion and costs on large projects. Gross margin decreased from 24.7% of revenue in fiscal 2017 to 24.3% in fiscal 2018. Our product gross margin decreased as a result of under-absorption within our manufacturing facility and an increase in sales of products sourced from third party manufacturers.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Operating Expenses</w:t>
      </w:r>
    </w:p>
    <w:p>
      <w:pPr>
        <w:spacing w:after="0" w:line="113"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10.9%, or $1.6 million, in fiscal 2018 compared to fiscal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decreases in employee costs of $1.6 million due to headcount reductions, the release of a loss contingency reserve for $1.4 million, and a decrease in amortization of $0.3 due to a lower intangible balance, partially offset by employee separation costs of $1.8 million. The decrease in employee costs of $1.6 million included the reduction of stock-based compensation expense of $0.4 million. Excluding the employee separation costs and the loss contingency release, general and administrative expenses decreased $2.0 million, or 13.8%.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33" w:name="page34"/>
    <w:bookmarkEnd w:id="33"/>
    <w:p>
      <w:pPr>
        <w:jc w:val="both"/>
        <w:ind w:firstLine="507"/>
        <w:spacing w:after="0" w:line="279" w:lineRule="auto"/>
        <w:rPr>
          <w:sz w:val="20"/>
          <w:szCs w:val="20"/>
          <w:color w:val="auto"/>
        </w:rPr>
      </w:pPr>
      <w:r>
        <w:rPr>
          <w:rFonts w:ascii="Arial" w:cs="Arial" w:eastAsia="Arial" w:hAnsi="Arial"/>
          <w:sz w:val="17"/>
          <w:szCs w:val="17"/>
          <w:i w:val="1"/>
          <w:iCs w:val="1"/>
          <w:color w:val="auto"/>
        </w:rPr>
        <w:t xml:space="preserve">Impairment of assets. </w:t>
      </w:r>
      <w:r>
        <w:rPr>
          <w:rFonts w:ascii="Arial" w:cs="Arial" w:eastAsia="Arial" w:hAnsi="Arial"/>
          <w:sz w:val="17"/>
          <w:szCs w:val="17"/>
          <w:color w:val="auto"/>
        </w:rPr>
        <w:t>During fiscal 2018 and fiscal 2017, we performed a review of our definite and indefinite-lived tangible and intangible assets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In conjunction with this review, we determined that the carrying value of our Harris trade name intangible asset exceeded its fair value. As a result, we recorded an impairment charge of $0.7 million and $0.3 million, respectively in fiscal 2018 and fiscal 2017.</w:t>
      </w:r>
    </w:p>
    <w:p>
      <w:pPr>
        <w:spacing w:after="0" w:line="172"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7.4%, or $0.9 million, in fiscal 2018 compared to fiscal 2017.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employee costs and reduced consulting and professional fees related to special events and field sales, partially offset by $0.2 million in employee separation costs.</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4.9%, or $0.1 million in fiscal 2018 compared to fiscal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decreased testing and supply costs, partially offset by $0.1 million in employee separation costs.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 fiscal 2018 and fiscal 2017 represented product royalties received from licensing agreements for our patents.</w:t>
      </w:r>
    </w:p>
    <w:p>
      <w:pPr>
        <w:spacing w:after="0" w:line="231"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2018 increased by 55.7%, or $0.1 million, from fiscal 2017. The increase in interest expense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third party financing costs.</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 xml:space="preserve">Amortization of debt issue costs. </w:t>
      </w:r>
      <w:r>
        <w:rPr>
          <w:rFonts w:ascii="Arial" w:cs="Arial" w:eastAsia="Arial" w:hAnsi="Arial"/>
          <w:sz w:val="18"/>
          <w:szCs w:val="18"/>
          <w:color w:val="auto"/>
        </w:rPr>
        <w:t>Amortization of debt issue costs in fiscal 2018 decreased 16.4%, or $9 thousand from fiscal 2017. The decrease is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revolving credit facility.</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fiscal 2018 decreased by 58.3%, or $21 thousand, from fiscal 2017. Our interest income decreased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run-off legacy customer financed projects.</w:t>
      </w:r>
    </w:p>
    <w:p>
      <w:pPr>
        <w:spacing w:after="0" w:line="180"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benefit in fiscal 2018 decreased $0.2 million from fiscal 2017. In fiscal 2017, we received refunds from previously filed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and reversed a valuation allowance resulting in a tax benefit in fiscal 2017. In fiscal 2018 we received refunds from previously filed tax returns. Both periods include income tax expense for minimum state tax liabilities. In fiscal 2018, the impact of the Tax Cuts and Jobs Act on tax expense was immaterial due to the full valuation allowance.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Fiscal year ended March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53"/>
        </w:trPr>
        <w:tc>
          <w:tcPr>
            <w:tcW w:w="64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6"/>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6"/>
              <w:spacing w:after="0" w:line="153" w:lineRule="exact"/>
              <w:rPr>
                <w:sz w:val="20"/>
                <w:szCs w:val="20"/>
                <w:color w:val="auto"/>
              </w:rPr>
            </w:pPr>
            <w:r>
              <w:rPr>
                <w:rFonts w:ascii="Arial" w:cs="Arial" w:eastAsia="Arial" w:hAnsi="Arial"/>
                <w:sz w:val="14"/>
                <w:szCs w:val="14"/>
                <w:b w:val="1"/>
                <w:bCs w:val="1"/>
                <w:color w:val="auto"/>
              </w:rPr>
              <w:t>2017</w:t>
            </w:r>
          </w:p>
        </w:tc>
      </w:tr>
      <w:tr>
        <w:trPr>
          <w:trHeight w:val="22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7"/>
              </w:rPr>
              <w:t>30,925</w:t>
            </w:r>
          </w:p>
        </w:tc>
        <w:tc>
          <w:tcPr>
            <w:tcW w:w="5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23,827</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29,501</w:t>
            </w:r>
          </w:p>
        </w:tc>
      </w:tr>
      <w:tr>
        <w:trPr>
          <w:trHeight w:val="226"/>
        </w:trPr>
        <w:tc>
          <w:tcPr>
            <w:tcW w:w="6460" w:type="dxa"/>
            <w:vAlign w:val="bottom"/>
          </w:tcPr>
          <w:p>
            <w:pPr>
              <w:spacing w:after="0"/>
              <w:rPr>
                <w:sz w:val="20"/>
                <w:szCs w:val="20"/>
                <w:color w:val="auto"/>
              </w:rPr>
            </w:pPr>
            <w:r>
              <w:rPr>
                <w:rFonts w:ascii="Arial" w:cs="Arial" w:eastAsia="Arial" w:hAnsi="Arial"/>
                <w:sz w:val="18"/>
                <w:szCs w:val="18"/>
                <w:color w:val="auto"/>
              </w:rPr>
              <w:t>Operating loss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(1,237)</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(3,792)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(3,647)</w:t>
            </w:r>
          </w:p>
        </w:tc>
      </w:tr>
      <w:tr>
        <w:trPr>
          <w:trHeight w:val="227"/>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r>
    </w:tbl>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OES revenue increased in fiscal 2019 by 29.8%, or $7.1 million, compared to fiscal 2018 primarily as a result of the increase in volume of turnkey projects, specifically to one large national account customer, which will continue in fiscal 2020.</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OES segment operating loss in fiscal 2019 was $1.2 million, an improvement of $2.6 million from fiscal 2018. The improvement in the segment’s operating loss was the result of increased sales, the benefit of lower corporate allocated costs due to the impact of cost reduction initiatives, and a non-recurring asset impairment charge of $0.5 million in fiscal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4" w:name="page35"/>
    <w:bookmarkEnd w:id="34"/>
    <w:p>
      <w:pPr>
        <w:ind w:left="300"/>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OES revenue decreased in fiscal 2018 by 19.2%, or $5.7 million, compared to fiscal 2017 primarily as a result of the timing of delivery of our turnkey projects and reduced florescent purchases by a large retail customer.</w:t>
      </w:r>
    </w:p>
    <w:p>
      <w:pPr>
        <w:spacing w:after="0" w:line="180"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OES segment operating loss in fiscal 2018 increased by $0.1 million from fiscal 2017. The segment's operating loss was the result of the decline in sales resulting in lost operating leverage and an intangible asset impairment in the second quarter of fiscal 2018 of $0.5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19" w:lineRule="exact"/>
        <w:rPr>
          <w:sz w:val="20"/>
          <w:szCs w:val="20"/>
          <w:color w:val="auto"/>
        </w:rPr>
      </w:pPr>
    </w:p>
    <w:p>
      <w:pPr>
        <w:jc w:val="both"/>
        <w:ind w:right="40" w:firstLine="507"/>
        <w:spacing w:after="0" w:line="26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Fiscal year ended March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53"/>
        </w:trPr>
        <w:tc>
          <w:tcPr>
            <w:tcW w:w="64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6"/>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6"/>
              <w:spacing w:after="0" w:line="153" w:lineRule="exact"/>
              <w:rPr>
                <w:sz w:val="20"/>
                <w:szCs w:val="20"/>
                <w:color w:val="auto"/>
              </w:rPr>
            </w:pPr>
            <w:r>
              <w:rPr>
                <w:rFonts w:ascii="Arial" w:cs="Arial" w:eastAsia="Arial" w:hAnsi="Arial"/>
                <w:sz w:val="14"/>
                <w:szCs w:val="14"/>
                <w:b w:val="1"/>
                <w:bCs w:val="1"/>
                <w:color w:val="auto"/>
              </w:rPr>
              <w:t>2017</w:t>
            </w:r>
          </w:p>
        </w:tc>
      </w:tr>
      <w:tr>
        <w:trPr>
          <w:trHeight w:val="22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7"/>
              </w:rPr>
              <w:t>24,173</w:t>
            </w:r>
          </w:p>
        </w:tc>
        <w:tc>
          <w:tcPr>
            <w:tcW w:w="5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27,906</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22,858</w:t>
            </w:r>
          </w:p>
        </w:tc>
      </w:tr>
      <w:tr>
        <w:trPr>
          <w:trHeight w:val="226"/>
        </w:trPr>
        <w:tc>
          <w:tcPr>
            <w:tcW w:w="6460" w:type="dxa"/>
            <w:vAlign w:val="bottom"/>
          </w:tcPr>
          <w:p>
            <w:pPr>
              <w:spacing w:after="0"/>
              <w:rPr>
                <w:sz w:val="20"/>
                <w:szCs w:val="20"/>
                <w:color w:val="auto"/>
              </w:rPr>
            </w:pPr>
            <w:r>
              <w:rPr>
                <w:rFonts w:ascii="Arial" w:cs="Arial" w:eastAsia="Arial" w:hAnsi="Arial"/>
                <w:sz w:val="18"/>
                <w:szCs w:val="18"/>
                <w:color w:val="auto"/>
              </w:rPr>
              <w:t>Operating loss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(1,742)</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(325)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(927)</w:t>
            </w:r>
          </w:p>
        </w:tc>
      </w:tr>
      <w:tr>
        <w:trPr>
          <w:trHeight w:val="227"/>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r>
    </w:tbl>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ODS segment revenue decreased in fiscal 2019 by 13.4%, or $3.7 million, compared to fiscal 2018, primarily due to a decrease in sales volume through our distribution channel.</w:t>
      </w:r>
    </w:p>
    <w:p>
      <w:pPr>
        <w:spacing w:after="0" w:line="180"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ODS segment operating loss in fiscal 2019 was $1.7 million, an increase of $1.4 million from fiscal 2018. The increase in segment operating loss was primarily due to decreased sales.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113" w:lineRule="exact"/>
        <w:rPr>
          <w:sz w:val="20"/>
          <w:szCs w:val="20"/>
          <w:color w:val="auto"/>
        </w:rPr>
      </w:pPr>
    </w:p>
    <w:p>
      <w:pPr>
        <w:jc w:val="both"/>
        <w:ind w:right="20" w:firstLine="507"/>
        <w:spacing w:after="0" w:line="257" w:lineRule="auto"/>
        <w:rPr>
          <w:sz w:val="20"/>
          <w:szCs w:val="20"/>
          <w:color w:val="auto"/>
        </w:rPr>
      </w:pPr>
      <w:r>
        <w:rPr>
          <w:rFonts w:ascii="Arial" w:cs="Arial" w:eastAsia="Arial" w:hAnsi="Arial"/>
          <w:sz w:val="18"/>
          <w:szCs w:val="18"/>
          <w:color w:val="auto"/>
        </w:rPr>
        <w:t>ODS segment revenue increased in fiscal 2018 from fiscal 2017 by $5.0 million. The increase in revenue was primarily due to our transition to a distribution channel sales model migrating direct sales through our manufacturer representative agents. In addition, ODS revenue grew as a result of our expanding manufacturer representative agencies and the continued ramp up of sales through these agencies.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ODS segment operating loss decreased by $0.6 million in fiscal 2018 compared to fiscal 2017, primarily due to a decrease in selling expenses.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19"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are primarily comprised of ESCOs.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Fiscal year ended March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68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6"/>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6"/>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r>
      <w:tr>
        <w:trPr>
          <w:trHeight w:val="22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40" w:type="dxa"/>
            <w:vAlign w:val="bottom"/>
            <w:gridSpan w:val="2"/>
            <w:shd w:val="clear" w:color="auto" w:fill="CFF0FC"/>
          </w:tcPr>
          <w:p>
            <w:pPr>
              <w:jc w:val="right"/>
              <w:ind w:right="64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87"/>
              </w:rPr>
              <w:t>10,656</w:t>
            </w:r>
          </w:p>
        </w:tc>
        <w:tc>
          <w:tcPr>
            <w:tcW w:w="4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8,567</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17,852</w:t>
            </w:r>
          </w:p>
        </w:tc>
        <w:tc>
          <w:tcPr>
            <w:tcW w:w="20" w:type="dxa"/>
            <w:vAlign w:val="bottom"/>
          </w:tcPr>
          <w:p>
            <w:pPr>
              <w:spacing w:after="0"/>
              <w:rPr>
                <w:sz w:val="19"/>
                <w:szCs w:val="19"/>
                <w:color w:val="auto"/>
              </w:rPr>
            </w:pPr>
          </w:p>
        </w:tc>
      </w:tr>
      <w:tr>
        <w:trPr>
          <w:trHeight w:val="226"/>
        </w:trPr>
        <w:tc>
          <w:tcPr>
            <w:tcW w:w="36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64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1,132</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(3,123)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r>
      <w:tr>
        <w:trPr>
          <w:trHeight w:val="227"/>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665"/>
        </w:trPr>
        <w:tc>
          <w:tcPr>
            <w:tcW w:w="3680" w:type="dxa"/>
            <w:vAlign w:val="bottom"/>
          </w:tcPr>
          <w:p>
            <w:pPr>
              <w:spacing w:after="0"/>
              <w:rPr>
                <w:sz w:val="24"/>
                <w:szCs w:val="24"/>
                <w:color w:val="auto"/>
              </w:rPr>
            </w:pPr>
          </w:p>
        </w:tc>
        <w:tc>
          <w:tcPr>
            <w:tcW w:w="2840" w:type="dxa"/>
            <w:vAlign w:val="bottom"/>
          </w:tcPr>
          <w:p>
            <w:pPr>
              <w:jc w:val="right"/>
              <w:ind w:right="631"/>
              <w:spacing w:after="0"/>
              <w:rPr>
                <w:sz w:val="20"/>
                <w:szCs w:val="20"/>
                <w:color w:val="auto"/>
              </w:rPr>
            </w:pPr>
            <w:r>
              <w:rPr>
                <w:rFonts w:ascii="Arial" w:cs="Arial" w:eastAsia="Arial" w:hAnsi="Arial"/>
                <w:sz w:val="18"/>
                <w:szCs w:val="18"/>
                <w:color w:val="auto"/>
              </w:rPr>
              <w:t>36</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5" w:name="page36"/>
    <w:bookmarkEnd w:id="35"/>
    <w:p>
      <w:pPr>
        <w:ind w:left="300"/>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USM segment revenue increased in fiscal 2019 by 24.3%, or $2.1 million, compared to fiscal 2018, primarily due to an increase in sales volume as a result of our reengagement in the sales channel.</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ODS segment operating income in fiscal 2019 was $1.1 million, an improvement of $4.3 million over the operating loss in fiscal 2018. The improvement was primarily due to better operating leverage on lower allocated corporate costs, as well as a non-recurring asset impairment charge of $0.2 million in fiscal 2018.</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113"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USM segment revenue decreased from fiscal 2017 by 52.0%, or $9.3 million. The decrease in revenue during fiscal 2018 compared to fiscal 2017 included the continued transition to our distribution sales model through the migration of sales to our ODS segment. Sales made through independent manufacturer representative agents are reflected within our ODS segment. The decrease also reflects a $1.3 million decline in sales to select large direct customers.</w:t>
      </w:r>
    </w:p>
    <w:p>
      <w:pPr>
        <w:spacing w:after="0" w:line="191"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USM segment’s operating loss increased $1.8 million in fiscal 2018 as compared to fiscal 2017. The segment’s operating loss was the result of the significant decline in sales due to the migration of customers to the distribution sales channel resulting in lost operating expense leverage and an intangible asset impairment in the second quarter of fiscal 2018 of $0.2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3"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We had $8.7 million in cash and cash equivalents as of March 31, 2019, compared to $9.4 million at March 31, 2018. Our cash position decreased primarily as a result of our net loss and the timing of working capital changes, offset by net proceeds of $5.3 million from our revolving credit facility.</w:t>
      </w:r>
    </w:p>
    <w:p>
      <w:pPr>
        <w:spacing w:after="0" w:line="13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On October 26, 2018, we entered into a new secured revolving Business Financing Agreement with Western Alliance Bank, as lender (the “New Credit Agreement”). The New Credit Agreement replaced our existing Credit Agreement.</w:t>
      </w:r>
    </w:p>
    <w:p>
      <w:pPr>
        <w:spacing w:after="0" w:line="180"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On June 3, 2019, we amended the New Credit Agreement to increase the maximum borrowing base credit available for certain of the customer receivables included in the borrowing base and provide for a borrowing base credit of up to $3.0 million based on inventory, in each case, subject to certain conditions. The amendment provides for additional availability under the New Credit Agreement; the impact of which, as of March 31, 2019, would have been to increase availability by $4.0 million, bringing unused borrowing capacity to $5.4 million.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information on our New Credit Agreement can be found in the “Indebtedness” section located below.</w:t>
      </w:r>
    </w:p>
    <w:p>
      <w:pPr>
        <w:spacing w:after="0" w:line="220"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higher working capital costs when we increase sales from existing levels. Based on our current expectations, we believe we have adequate availability to service our increasing working capital costs with regards to recently signed contracts, including with a large national account customer.</w:t>
      </w:r>
    </w:p>
    <w:p>
      <w:pPr>
        <w:spacing w:after="0" w:line="19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While we anticipate realizing improved operating results in the future, we also currently believe that we may experience negative working capital cash flows during some interim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36" w:name="page37"/>
    <w:bookmarkEnd w:id="36"/>
    <w:p>
      <w:pPr>
        <w:jc w:val="both"/>
        <w:ind w:firstLine="507"/>
        <w:spacing w:after="0" w:line="250" w:lineRule="auto"/>
        <w:rPr>
          <w:sz w:val="20"/>
          <w:szCs w:val="20"/>
          <w:color w:val="auto"/>
        </w:rPr>
      </w:pPr>
      <w:r>
        <w:rPr>
          <w:rFonts w:ascii="Arial" w:cs="Arial" w:eastAsia="Arial" w:hAnsi="Arial"/>
          <w:sz w:val="18"/>
          <w:szCs w:val="18"/>
          <w:color w:val="auto"/>
        </w:rPr>
        <w:t>While we believe that we will likely have adequate available cash and equivalents and credit availability under our New Credit Agreement to satisfy our currently anticipated working capital and liquidity requirements during the next 12 months based on our current cash flow forecast, there can be no assurance to that effect. We are pursuing various alternative sources of liquidity, including exploring a sale or mortgage of our tech center office building, to help ensure that we will have the best allocation of investing capital to satisfy our working capital needs. We have also amended our New Credit Agreement to expand our borrowing base and provide more available liquidity including increasing our borrowing availability by approximately $4 million. We are also implementing certain inventory management practices that we anticipate will help to reduce our inventory levels and enhance our cash position. If we experience significant liquidity constraints, we may be required to reduce our sales efforts, implement additional cost savings initiatives or undertake other efforts to conserve our cash.</w:t>
      </w:r>
    </w:p>
    <w:p>
      <w:pPr>
        <w:spacing w:after="0" w:line="195"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In February 2017, we filed a universal shelf registration statement with the Securities and Exchange Commission. Under our shelf registration statement, we currently have the flexibility to publicly offer and sell from time to time up to $75.0 million of debt and/or equity securities, although, we are currently limited to selling an amount of securities equal to one-third of our public float on such registration statement over a 12 month period.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our fiscal 2019, fiscal 2018 and fiscal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3"/>
              </w:rPr>
              <w:t>Fiscal Year Ended March 31,</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3"/>
        </w:trPr>
        <w:tc>
          <w:tcPr>
            <w:tcW w:w="67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97"/>
              <w:spacing w:after="0" w:line="153"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3" w:lineRule="exact"/>
              <w:rPr>
                <w:sz w:val="20"/>
                <w:szCs w:val="20"/>
                <w:color w:val="auto"/>
              </w:rPr>
            </w:pPr>
            <w:r>
              <w:rPr>
                <w:rFonts w:ascii="Arial" w:cs="Arial" w:eastAsia="Arial" w:hAnsi="Arial"/>
                <w:sz w:val="14"/>
                <w:szCs w:val="14"/>
                <w:b w:val="1"/>
                <w:bCs w:val="1"/>
                <w:color w:val="auto"/>
              </w:rPr>
              <w:t>2017</w:t>
            </w:r>
          </w:p>
        </w:tc>
      </w:tr>
      <w:tr>
        <w:trPr>
          <w:trHeight w:val="153"/>
        </w:trPr>
        <w:tc>
          <w:tcPr>
            <w:tcW w:w="6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(5,058)</w:t>
            </w: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r>
      <w:tr>
        <w:trPr>
          <w:trHeight w:val="226"/>
        </w:trPr>
        <w:tc>
          <w:tcPr>
            <w:tcW w:w="6760" w:type="dxa"/>
            <w:vAlign w:val="bottom"/>
          </w:tcPr>
          <w:p>
            <w:pPr>
              <w:spacing w:after="0"/>
              <w:rPr>
                <w:sz w:val="20"/>
                <w:szCs w:val="20"/>
                <w:color w:val="auto"/>
              </w:rPr>
            </w:pPr>
            <w:r>
              <w:rPr>
                <w:rFonts w:ascii="Arial" w:cs="Arial" w:eastAsia="Arial" w:hAnsi="Arial"/>
                <w:sz w:val="18"/>
                <w:szCs w:val="18"/>
                <w:color w:val="auto"/>
              </w:rPr>
              <w:t>Investing activities</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1,649</w:t>
            </w: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2,019</w:t>
            </w:r>
          </w:p>
        </w:tc>
      </w:tr>
      <w:tr>
        <w:trPr>
          <w:trHeight w:val="219"/>
        </w:trPr>
        <w:tc>
          <w:tcPr>
            <w:tcW w:w="676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(695)</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(7,883)</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1,765</w:t>
            </w:r>
          </w:p>
        </w:tc>
      </w:tr>
      <w:tr>
        <w:trPr>
          <w:trHeight w:val="20"/>
        </w:trPr>
        <w:tc>
          <w:tcPr>
            <w:tcW w:w="6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consisted of a net loss adjusted for certain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depreciation and amortization, stock-based compensation expenses, provisions for reserves, and the effect of changes in working capital and other activities.</w:t>
      </w:r>
    </w:p>
    <w:p>
      <w:pPr>
        <w:spacing w:after="0" w:line="188"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Cash used in operating activities for fiscal 2019 was $5.1 million and consisted of a net loss adjusted for non-cash expense items of $4.1 million and net cash used in changes in operating assets and liabilities of $1.0 million. Cash used by changes in operating assets and liabilities consisted of an increase of $5.8 million in Accounts receivable due to the timing of billing and customer collections on comparatively higher fourth quarter sales, an increase in Inventory of $4.7 million due to higher backlog for anticipated first quarter fiscal 2020 sales, and an increase of $1.4 million in Revenue earned but not billed due to timing on revenue recognition compared to invoicing. Cash provided by changes in operating assets and liabilities included an increase of $8.9 million in Accounts payable based on timing of payments and an increase of $2.0 million in Accrued expenses and other primarily due to increased accrued project costs on higher installation volume.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7" w:name="page38"/>
    <w:bookmarkEnd w:id="37"/>
    <w:p>
      <w:pPr>
        <w:jc w:val="both"/>
        <w:ind w:firstLine="507"/>
        <w:spacing w:after="0" w:line="267" w:lineRule="auto"/>
        <w:rPr>
          <w:sz w:val="20"/>
          <w:szCs w:val="20"/>
          <w:color w:val="auto"/>
        </w:rPr>
      </w:pPr>
      <w:r>
        <w:rPr>
          <w:rFonts w:ascii="Arial" w:cs="Arial" w:eastAsia="Arial" w:hAnsi="Arial"/>
          <w:sz w:val="17"/>
          <w:szCs w:val="17"/>
          <w:color w:val="auto"/>
        </w:rPr>
        <w:t>Cash used in operating activities for fiscal 2018 was $4.4 million and consisted of a net loss adjusted for non-cash expense items of $8.0 million and net cash provided by changes in operating assets and liabilities of $3.6 million. Cash used by changes in operating assets and liabilities consisted of a decrease of $1.7 million in Accrued expenses and other primarily due to the timing of payment of commissions and lower accrued bonuses in the current fiscal year, a decrease of $0.1 million in Deferred revenue, current and long term due to the timing of project completion and a decrease of $0.1 million in Deferred contract costs due to the timing of project completions. Cash provided by changes in operating assets and liabilities included a decrease of $0.4 million in Accounts receivable due to the decline in sales and the timing of customer collections, a decrease in Inventory of $4.7 million as a result of increased focus on inventory management in consideration of the lower sales volume, a decrease of $0.5 million in Prepaid and other current assets primarily due to the timing of project billings, and a negligible decrease in accounts payable.</w:t>
      </w:r>
    </w:p>
    <w:p>
      <w:pPr>
        <w:spacing w:after="0" w:line="181"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Cash used in operating activities for fiscal 2017 was $1.9 million and consisted of net cash provided by changes in operating assets and liabilities of $3.7 million and a net loss adjusted for non-cash expense items of $5.6 million. Cash provided by changes in operating assets and liabilities consisted of a decrease of $1.7 million in Accounts receivable due to the timing of collections from customers, a decrease in Inventory of $1.2 million due to decreasing inventory prices, a decrease in Prepaid expenses and other current assets of $2.1 million due to project billings that decreased unbilled revenue and an increase in Deferred revenue, current and long-term of $0.3 million. Cash used by changes in operating assets and liabilities included an increase in Deferred contract costs of $0.9 million due to projects still in process, a decrease in Accounts payable of $0.1 million due to the increase in purchases to support our anticipated growth in lighting product revenue, and decrease in Accrued expenses and other of $0.6 million for increased commissions as a result of Orion’s distribution model changes.</w:t>
      </w:r>
    </w:p>
    <w:p>
      <w:pPr>
        <w:spacing w:after="0" w:line="195"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in investing activities was $0.4 million in fiscal 2019 and consisted primarily of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of $0.4 million.</w:t>
      </w:r>
    </w:p>
    <w:p>
      <w:pPr>
        <w:spacing w:after="0" w:line="180"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Cash used in investing activities was $0.6 million in fiscal 2018 and consisted of purchases of property and equipment of $0.5 million and investment in patents and licenses of $0.1 million.</w:t>
      </w:r>
    </w:p>
    <w:p>
      <w:pPr>
        <w:spacing w:after="0" w:line="180"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Cash provided by investing activities was $1.6 million in fiscal 2017 and consisted of spend of $0.7 million for capital expenditures and $0.3 million of investment in patents, offset by $2.6 million of proceeds from the sale of the Manitowoc manufacturing facility.</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was $4.8 million for fiscal 2019. This cash provided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net proceeds of $5.3 million from our revolving credit facility, offset by $0.4 million in debt issue costs due to the new revolving credit facility and $0.1 million of payment of long-term debt.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used in financing activities was $2.9 million for fiscal 2018 and was due almost entirely to the net repayment of our revolving credit facility.</w:t>
      </w:r>
    </w:p>
    <w:p>
      <w:pPr>
        <w:spacing w:after="0" w:line="231"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Cash provided by financing activities was $2.0 million for fiscal 2017. This included net proceeds from the revolving credit facility of $2.9 million, offset by $0.9 million in cash used for the repayment of long-term debt and $11,000 for stock option related tax settlements.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7"/>
          <w:szCs w:val="17"/>
          <w:color w:val="auto"/>
        </w:rPr>
        <w:t>Our net working capital as of March 31, 2019 was $14.0 million, consisting of $41.4 million in current assets and $27.3 million in current liabilities. Our net working capital as of March 31, 2018 was $13.0 million, consisting of $29.4 million in current assets and $16.4 in current liabilities. Our current Accounts receivable, net balance increased by $6.1 million from the fiscal 2018 year-end due to the timing of billing and customer collections on comparatively higher fourth quarter sales. Our Revenue earned but not billed balance increased by $3.7 million from the fiscal 2018 year-end; the change included $2.4 million of reclassifications recorded April 1, 2018 in conjunction with the adoption of ASC 606. Our Inventories, net increased $5.6 million from the fiscal 2018 year-end due to higher backlog as of March 31, 2019 on anticipated fiscal 2020 sales to a large national account customer. Our Prepaid expenses and other current assets decreased $1.8 million from the fiscal 2018 year-end primarily due to the reclassification of Revenue earned but not billed of $1.9 million to its own balance sheet line item in conjunction with the adoption of ASC 606. Our Deferred contract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decreased $1.0 million from the fiscal 2018 year-end due to the adoption of ASC 606 and reclassification of these costs to either equity or inventory as part of the transition adjustment on April 1, 2018. Deferred contract costs is not used subsequent to the adoption of ASC 606. Our Accounts payable increased $8.0 million due to the timing of purchases during the quarter, offset by the reclassifications of $0.9 million as of April 1, 2018 in conjunction with the adoption of ASC 606. Our Accrued expenses increased $3.2 million from our fiscal 2018 year-end due to increased accrued project costs on higher installation volume, and as well as reclassifications of $1.3 million as of April 1, 2018 in conjunction with the adoption of ASC 606.</w:t>
      </w:r>
    </w:p>
    <w:p>
      <w:pPr>
        <w:spacing w:after="0" w:line="181"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October 26, 2018, we entered into the New Credit Agreement, which replaced our existing Credit Agreement.</w:t>
      </w:r>
    </w:p>
    <w:p>
      <w:pPr>
        <w:spacing w:after="0" w:line="220"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The New Credit Agreement provides for a two-year revolving credit facility (the “New Credit Facility”) that matures on October 26, 2020. Borrowings under the New Credit Facility are initially limited to $20.15 million subject to a borrowing base requirement based on eligible receivables and inventory. The New Credit Agreement includes a $2.0 million sublimit for the issuance of letters of credit. As of March 31, 2019, our borrowing base was $10.6 million, and we had $9.2 million in borrowings outstanding which were included in non-current liabilities in the accompanying Consolidated Balance Sheets. As of March 31, 2019, we had no outstanding letters of credit leaving additional borrowing availability of $1.4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New Credit Agreement is secured by a security interest in substantially all of our and our subsidiaries’ personal property.</w:t>
      </w:r>
    </w:p>
    <w:p>
      <w:pPr>
        <w:spacing w:after="0" w:line="220"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Borrowings under the New Credit Agreement generally bear interest at floating rates based upon the prime rate (but not be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New Credit Agreement). As of March 31, 2019, the interest rate was 6.0%. Among other fees, we are required to pay an annual facility fee equal to 0.45% of the credit limit under the New Credit Agreement due on October 26, 2018 and on each anniversary thereof. With certain exceptions, if the New Credit Agreement is terminated prior to the first anniversary of the closing date of the New Credit Agreement, we are required to pay a termination fee equal to 0.50% of the credit limit under the New Credit Agreement.</w:t>
      </w:r>
    </w:p>
    <w:p>
      <w:pPr>
        <w:spacing w:after="0" w:line="198"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The New Credit Agreement requires us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62"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The New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we become the subject of voluntary or involuntary proceedings under any bankruptcy or similar law, then any outstanding obligations under the New Credit Agreement will automatically become immediately due and payable.</w:t>
      </w:r>
    </w:p>
    <w:p>
      <w:pPr>
        <w:spacing w:after="0" w:line="17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On June 3, 2019, we and certain of our subsidiaries entered into an amendment (the “First Amendment”) to the New Credit Agreement. The First Amendment amended the New Credit Agreement to increase the maximum borrowing base credit available for certain of the customer receivables included in the borrowing base and to provide for a borrowing base credit of up to $3.0 million based on inventory, in each case, subject to certain conditions. The amendment provides for additional availability under the New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39" w:name="page40"/>
    <w:bookmarkEnd w:id="39"/>
    <w:p>
      <w:pPr>
        <w:jc w:val="both"/>
        <w:spacing w:after="0" w:line="267" w:lineRule="auto"/>
        <w:rPr>
          <w:sz w:val="20"/>
          <w:szCs w:val="20"/>
          <w:color w:val="auto"/>
        </w:rPr>
      </w:pPr>
      <w:r>
        <w:rPr>
          <w:rFonts w:ascii="Arial" w:cs="Arial" w:eastAsia="Arial" w:hAnsi="Arial"/>
          <w:sz w:val="18"/>
          <w:szCs w:val="18"/>
          <w:color w:val="auto"/>
        </w:rPr>
        <w:t>Credit Agreement; the impact of which, as of March 31, 2019, would have been to increase availability by $4.0 million, bringing unused borrowing capacity to $5.4 million.</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foregoing is a summary of the First Amendment and is qualified in its entirety by reference to the full text of the First Amendment, a copy of which is filed herewith as Exhibit 10.2 and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3"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Over the past three fiscal years, we have made capital expenditures primarily for production equipment and tooling, for information technology systems, and for general corporate purposes for our corporate headquarters and technology center. Our capital expenditures totaled $0.5 million in fiscal 2019 and fiscal 2018 and $0.7 million in fiscal 2017. We plan to incur approximately $0.6 million in capital expenditures in fiscal 2020. Our capital spending plans predominantly consist of investments related to new product development tooling and investments in information technology systems. We expect to finance these capital expenditures primarily through our existing cash, equipment secured loans and leases, to the extent needed, long-term debt financing, or by using our New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Information regarding our known contractual obligations of the types described below as of March 31, 2019 is set forth in the following table (dollars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Payments Due By Period</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840" w:type="dxa"/>
            <w:vAlign w:val="bottom"/>
          </w:tcPr>
          <w:p>
            <w:pPr>
              <w:jc w:val="right"/>
              <w:ind w:right="116"/>
              <w:spacing w:after="0" w:line="131" w:lineRule="exact"/>
              <w:rPr>
                <w:sz w:val="20"/>
                <w:szCs w:val="20"/>
                <w:color w:val="auto"/>
              </w:rPr>
            </w:pPr>
            <w:r>
              <w:rPr>
                <w:rFonts w:ascii="Arial" w:cs="Arial" w:eastAsia="Arial" w:hAnsi="Arial"/>
                <w:sz w:val="14"/>
                <w:szCs w:val="14"/>
                <w:b w:val="1"/>
                <w:bCs w:val="1"/>
                <w:color w:val="auto"/>
                <w:w w:val="94"/>
              </w:rPr>
              <w:t>Less than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9"/>
              </w:rPr>
              <w:t>1-3 Years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100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Bank debt obligations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9,202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9,202</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660" w:type="dxa"/>
            <w:vAlign w:val="bottom"/>
          </w:tcPr>
          <w:p>
            <w:pPr>
              <w:spacing w:after="0"/>
              <w:rPr>
                <w:sz w:val="20"/>
                <w:szCs w:val="20"/>
                <w:color w:val="auto"/>
              </w:rPr>
            </w:pPr>
            <w:r>
              <w:rPr>
                <w:rFonts w:ascii="Arial" w:cs="Arial" w:eastAsia="Arial" w:hAnsi="Arial"/>
                <w:sz w:val="18"/>
                <w:szCs w:val="18"/>
                <w:color w:val="auto"/>
              </w:rPr>
              <w:t>Other debt obligations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Cash interest payments on debt</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6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Purchase order and capital expenditure commitments (1)</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13,592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23,818</w:t>
            </w:r>
          </w:p>
        </w:tc>
        <w:tc>
          <w:tcPr>
            <w:tcW w:w="12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14,203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9,583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60" w:hanging="653"/>
        <w:spacing w:after="0" w:line="26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non-cancellable purchase commitments primarily for certain inventory items entered into in order to secure better pricing and ensure materials on hand.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 off-balance sheet arrangements.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0" w:name="page41"/>
    <w:bookmarkEnd w:id="40"/>
    <w:p>
      <w:pPr>
        <w:jc w:val="both"/>
        <w:ind w:firstLine="507"/>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generate revenue primarily by selling commercial lighting fixtures and components and by installing these fixtures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facilities. We recognize revenue in accordance with the guidance in “Revenue from Contracts with Customers” (Topic 606) (“ASC 606”) when control of the goods or services being provided (which we refer to as a performance obligation) is transferred to a customer at an amount that reflects the consideration we expect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6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93"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Revenue derived from customer contracts which include only performance obligation(s) for the sale of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62"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we refer to as a turnkey project) is allocated between each lighting fixture and the installation performance obligation based on relative standalone selling prices.</w:t>
      </w:r>
    </w:p>
    <w:p>
      <w:pPr>
        <w:spacing w:after="0" w:line="156"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our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02" w:lineRule="exact"/>
        <w:rPr>
          <w:sz w:val="20"/>
          <w:szCs w:val="20"/>
          <w:color w:val="auto"/>
        </w:rPr>
      </w:pPr>
    </w:p>
    <w:p>
      <w:pPr>
        <w:ind w:left="880" w:hanging="36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duration of physical control that we maintain on the products after they are shipped to, and received at, the customer’s facility;</w:t>
      </w:r>
    </w:p>
    <w:p>
      <w:pPr>
        <w:spacing w:after="0" w:line="136" w:lineRule="exact"/>
        <w:rPr>
          <w:rFonts w:ascii="Arial" w:cs="Arial" w:eastAsia="Arial" w:hAnsi="Arial"/>
          <w:sz w:val="16"/>
          <w:szCs w:val="16"/>
          <w:color w:val="auto"/>
        </w:rPr>
      </w:pPr>
    </w:p>
    <w:p>
      <w:pPr>
        <w:ind w:left="880" w:hanging="367"/>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we are required to maintain insurance on the lighting fixtures when they are in transit and after they are delivered to the customer’s facility;</w:t>
      </w:r>
    </w:p>
    <w:p>
      <w:pPr>
        <w:spacing w:after="0" w:line="136" w:lineRule="exact"/>
        <w:rPr>
          <w:rFonts w:ascii="Arial" w:cs="Arial" w:eastAsia="Arial" w:hAnsi="Arial"/>
          <w:sz w:val="16"/>
          <w:szCs w:val="16"/>
          <w:color w:val="auto"/>
        </w:rPr>
      </w:pPr>
    </w:p>
    <w:p>
      <w:pPr>
        <w:ind w:left="880" w:hanging="36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we receive payment from the customer for the light fixtures.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1" w:name="page42"/>
    <w:bookmarkEnd w:id="41"/>
    <w:p>
      <w:pPr>
        <w:jc w:val="both"/>
        <w:ind w:firstLine="507"/>
        <w:spacing w:after="0" w:line="254"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installed as of the measurement date in comparison to the total number of light fixtures to be installed under the contract.</w:t>
      </w:r>
    </w:p>
    <w:p>
      <w:pPr>
        <w:spacing w:after="0" w:line="19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Most products are manufactured in accordance with our standard specifications. However, some products are manufactured to a customer’s specific requirements with no alternative use to us. In such cases, and when we have an enforceable right to payment, Product revenue is recorded on an over-time basis measured using an input methodology that calculates the costs incurred to date as compared to total expected costs. There was no over-time revenue related to custom products recognized in fiscal year 2019.</w:t>
      </w:r>
    </w:p>
    <w:p>
      <w:pPr>
        <w:spacing w:after="0" w:line="191"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7"/>
          <w:szCs w:val="17"/>
          <w:color w:val="auto"/>
        </w:rPr>
        <w:t>We offer a financing program, called an Orion Throughput Agreement, or OTA, for a customer’s lease of our energy management systems. The OTA is structured as a sales-type lease and upon successful installation of the system and customer acknowledgment that the system is operating as specified, revenue is recognized at our net investment in the lease, which typically is the net present value of the future cash flows.</w:t>
      </w:r>
    </w:p>
    <w:p>
      <w:pPr>
        <w:spacing w:after="0" w:line="172"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We also record revenue in conjunction with several limited power purchase agreements (“PPAs”) still outstanding. Those PPAs are supply-side agreements for the generation of electricity. Our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We also recognize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67"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are stated at the lower of cost or net realizable value and include raw materials, work in process and finished goods. Items are</w:t>
      </w:r>
      <w:r>
        <w:rPr>
          <w:rFonts w:ascii="Arial" w:cs="Arial" w:eastAsia="Arial" w:hAnsi="Arial"/>
          <w:sz w:val="16"/>
          <w:szCs w:val="16"/>
          <w:i w:val="1"/>
          <w:iCs w:val="1"/>
          <w:color w:val="auto"/>
        </w:rPr>
        <w:t xml:space="preserve"> </w:t>
      </w:r>
      <w:r>
        <w:rPr>
          <w:rFonts w:ascii="Arial" w:cs="Arial" w:eastAsia="Arial" w:hAnsi="Arial"/>
          <w:sz w:val="16"/>
          <w:szCs w:val="16"/>
          <w:color w:val="auto"/>
        </w:rPr>
        <w:t>removed 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If the net realizable value, which is based upon the estimated selling price, less estimated costs of completion, disposal, and transportation, falls below cost, then the inventory value is reduced to its net realizable value. Our inventory obsolescence reserves at March 31, 2019 were $2.8 million, or 17.4% of gross inventory, and $3.4 million, or 30.1% of gross inventory, at March 31, 2018.</w:t>
      </w:r>
    </w:p>
    <w:p>
      <w:pPr>
        <w:spacing w:after="0" w:line="169"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ongoing evaluations of our customers and continuously monitor collections and payments and estimate an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$0.2 million, or 1.4% of gross receivables, at March 31, 2019 and $0.2 million, or 1.7% of gross receivables, at March 31, 2018.</w:t>
      </w:r>
    </w:p>
    <w:p>
      <w:pPr>
        <w:spacing w:after="0" w:line="198" w:lineRule="exact"/>
        <w:rPr>
          <w:sz w:val="20"/>
          <w:szCs w:val="20"/>
          <w:color w:val="auto"/>
        </w:rPr>
      </w:pPr>
    </w:p>
    <w:p>
      <w:pPr>
        <w:jc w:val="both"/>
        <w:ind w:firstLine="507"/>
        <w:spacing w:after="0" w:line="284" w:lineRule="auto"/>
        <w:rPr>
          <w:sz w:val="20"/>
          <w:szCs w:val="20"/>
          <w:color w:val="auto"/>
        </w:rPr>
      </w:pPr>
      <w:r>
        <w:rPr>
          <w:rFonts w:ascii="Arial" w:cs="Arial" w:eastAsia="Arial" w:hAnsi="Arial"/>
          <w:sz w:val="16"/>
          <w:szCs w:val="16"/>
          <w:i w:val="1"/>
          <w:iCs w:val="1"/>
          <w:color w:val="auto"/>
        </w:rPr>
        <w:t xml:space="preserve">Recoverability of Long-Lived Assets. </w:t>
      </w:r>
      <w:r>
        <w:rPr>
          <w:rFonts w:ascii="Arial" w:cs="Arial" w:eastAsia="Arial" w:hAnsi="Arial"/>
          <w:sz w:val="16"/>
          <w:szCs w:val="16"/>
          <w:color w:val="auto"/>
        </w:rPr>
        <w:t>We evaluate long-lived assets such as property, equipment and definite lived intangible assets, such as patents,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relationships, developed technology, and non-competition agreements,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such as the loss of a customer in the case of customer relationships.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first determine if the total estimated future cash flows on an undiscounted basis are less than the carrying amounts of the asset or assets. If so, an impairment loss is measured and recognized.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2" w:name="page43"/>
    <w:bookmarkEnd w:id="42"/>
    <w:p>
      <w:pPr>
        <w:jc w:val="both"/>
        <w:ind w:firstLine="507"/>
        <w:spacing w:after="0" w:line="288" w:lineRule="auto"/>
        <w:rPr>
          <w:sz w:val="20"/>
          <w:szCs w:val="20"/>
          <w:color w:val="auto"/>
        </w:rPr>
      </w:pPr>
      <w:r>
        <w:rPr>
          <w:rFonts w:ascii="Arial" w:cs="Arial" w:eastAsia="Arial" w:hAnsi="Arial"/>
          <w:sz w:val="16"/>
          <w:szCs w:val="16"/>
          <w:color w:val="auto"/>
        </w:rPr>
        <w:t>During the second quarter of fiscal 2019, a triggering event occurred requiring us to evaluate our long-lived assets for impairment. Due to the central nature of our operations, our tangible and intangible definite-lived assets support our full operations, are utilized by all three of our reportable segments, and do not generate separately identifiable cash flows. As such, these assets together represent a single asset group. In reviewing the asset group for impairment, we elected to bypass the qualitative impairment assessment and went directly to performing the Step 1 recoverability test. We performed the Step 1 recoverability test for the asset group by calculating the carrying value to the group’s expected future undiscounted cash flows. We concluded that the undiscounted cash flows of the definite lived asset group exceeded the carrying value. As such the asset group was deemed recoverable and no impairment was recorded.</w:t>
      </w:r>
    </w:p>
    <w:p>
      <w:pPr>
        <w:spacing w:after="0" w:line="169"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During the second quarter of fiscal 2019, we listed our corporate office building in Manitowoc, Wisconsin for sale or lease to increase liquidity through the divestiture of a non-core asset. Because of the uncertainty of a sale of our building, management concluded that the sale is not probable within the next twelve months, therefore the building continues to be classified as held for use as of March 31, 2019. The building is included in our long-lived asset group, which was evaluated for impairment during the second quarter of fiscal 2019; the asset group was deemed recoverable and no impairment was recorded. However, as the building is currently listed for below its net book value, the sale of our building could result in a non-cash impairment charge.</w:t>
      </w:r>
    </w:p>
    <w:p>
      <w:pPr>
        <w:spacing w:after="0" w:line="165"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80"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i w:val="1"/>
          <w:iCs w:val="1"/>
          <w:color w:val="auto"/>
        </w:rPr>
        <w:t xml:space="preserve">Indefinite Lived Intangible Assets. </w:t>
      </w:r>
      <w:r>
        <w:rPr>
          <w:rFonts w:ascii="Arial" w:cs="Arial" w:eastAsia="Arial" w:hAnsi="Arial"/>
          <w:sz w:val="18"/>
          <w:szCs w:val="18"/>
          <w:color w:val="auto"/>
        </w:rPr>
        <w:t>We test indefinite lived intangible assets for impairment at least annually on the first day of our fiscal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or when indications 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95"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performed a qualitative assessment in conjunction with our annual impairment test of our indefinite lived intangible assets as of January 1, 2019. This qualitative assessment considered our operating results for the first nine months of fiscal 2019 in comparison to prior years as well as its anticipated fourth quarter results and fiscal 2019 plan. As a result of the conditions that existed as of the assessment date, an asset impairment was not deemed to be more likely than not and a quantitative analysis was not required.</w:t>
      </w:r>
    </w:p>
    <w:p>
      <w:pPr>
        <w:spacing w:after="0" w:line="191"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currently issue restricted stock awards to our employees, executive officers and directors. Prior to fiscal 2015, we also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issued stock options to these individuals. We apply the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to these restricted stock and stock option awards which requires us to expense the estimated fair value of stock options and similar awards based on the fair value of the award on the date of grant. Compensation costs for equity incentives are recognized in earnings, on a straight-line basis over the requisite service period.</w:t>
      </w:r>
    </w:p>
    <w:p>
      <w:pPr>
        <w:spacing w:after="0" w:line="177"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 taxes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6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2019, 2018, and 2017 we have recorded a full valuation allowance against our net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3" w:name="page44"/>
    <w:bookmarkEnd w:id="43"/>
    <w:p>
      <w:pPr>
        <w:jc w:val="both"/>
        <w:spacing w:after="0" w:line="331" w:lineRule="auto"/>
        <w:rPr>
          <w:sz w:val="20"/>
          <w:szCs w:val="20"/>
          <w:color w:val="auto"/>
        </w:rPr>
      </w:pPr>
      <w:r>
        <w:rPr>
          <w:rFonts w:ascii="Arial" w:cs="Arial" w:eastAsia="Arial" w:hAnsi="Arial"/>
          <w:sz w:val="16"/>
          <w:szCs w:val="16"/>
          <w:color w:val="auto"/>
        </w:rPr>
        <w:t>federal and net state deferred tax assets due to our cumulative three-year taxable losses. In making these determinations, we considered all available positive and negative evidence, including projected future taxable income, tax planning strategies, recent financial performance and ownership changes.</w:t>
      </w:r>
    </w:p>
    <w:p>
      <w:pPr>
        <w:spacing w:after="0" w:line="133"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91"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As of March 31, 2019, we had net operating loss carry-forwards of approximately $88.1 million for federal tax purposes and $74.1 million for state tax purposes. As of the prior fiscal year, this amount is representative of the entire loss carryforward on the filed returns.</w:t>
      </w:r>
    </w:p>
    <w:p>
      <w:pPr>
        <w:spacing w:after="0" w:line="180"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also had federal tax credit carry-forwards of $1.3 million and state tax credit carry-forwards of $0.8 million, which are fully reserved for as part of our valuation allowance. Of these tax attributes, $7.1 million of the federal and state net operating loss carry-forwards are not subject to time restrictions on use but may only be used to offset 80% of future adjusted taxable income. The $155.1 federal and state net operating loss and tax credit carry-forwards will begin to expire in varying amounts between 2020 and 2039.</w:t>
      </w:r>
    </w:p>
    <w:p>
      <w:pPr>
        <w:spacing w:after="0" w:line="191"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We recognize penalties and interest related to uncertain tax liabilities in income tax expense. Penalties and interest were immaterial as of the date of adoption and are included in unrecognized tax benefits.</w:t>
      </w:r>
    </w:p>
    <w:p>
      <w:pPr>
        <w:spacing w:after="0" w:line="180"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7"/>
          <w:szCs w:val="17"/>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2019, the balance of gross unrecognized tax benefits was approximately $0.1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18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The Tax Cut and Jobs Act ("Act") was enacted on December 22, 2017. The Act significantly changes U.S. tax law by, among other things, reducing the U.S. federal corporate tax rate from 35% to 21%, imposing a one-time transition tax on earnings of certain foreign subsidiaries that were previously tax deferred, and creating new taxes on certain foreign sourced earnings. On December 22, 2017, the SEC staff issued Staff Accounting Bulletin No. 118 ("SAB 118") to address accounting for income tax effects of the Tax Reform Act. As of December 31, 2018, Orion did not adjust its estimates and considers all changes due to the Act final.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See Note 2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Our results from operations have not historically been, and we do not expect them to be, materially affected by inflation.</w:t>
      </w:r>
    </w:p>
    <w:p>
      <w:pPr>
        <w:spacing w:after="0" w:line="220"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have been nominal.</w:t>
      </w:r>
    </w:p>
    <w:p>
      <w:pPr>
        <w:spacing w:after="0" w:line="180"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investments consist primarily of investments in money market funds. While the instruments we hold are subject to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77"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As of March 31, 2019, $9.1 million of our $9.2 million of outstanding debt was at floating interest rates. An increase of 1.0% in the prime rate would result in an increase in our interest expense of approximately $0.1 million.</w:t>
      </w:r>
    </w:p>
    <w:p>
      <w:pPr>
        <w:spacing w:after="0" w:line="180"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We are exposed to certain commodity price risks associated with our purchases of raw materials, most significantly our</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purchases. A hypothetical 20% fluctuation in aluminum prices would have an impact of $0.4 million on earnings in fiscal 2020.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40" w:type="dxa"/>
            <w:vAlign w:val="bottom"/>
          </w:tcPr>
          <w:p>
            <w:pPr>
              <w:jc w:val="right"/>
              <w:ind w:right="349"/>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190"/>
        </w:trPr>
        <w:tc>
          <w:tcPr>
            <w:tcW w:w="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1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r>
      <w:tr>
        <w:trPr>
          <w:trHeight w:val="212"/>
        </w:trPr>
        <w:tc>
          <w:tcPr>
            <w:tcW w:w="60" w:type="dxa"/>
            <w:vAlign w:val="bottom"/>
          </w:tcPr>
          <w:p>
            <w:pPr>
              <w:spacing w:after="0"/>
              <w:rPr>
                <w:sz w:val="18"/>
                <w:szCs w:val="18"/>
                <w:color w:val="auto"/>
              </w:rPr>
            </w:pPr>
          </w:p>
        </w:tc>
        <w:tc>
          <w:tcPr>
            <w:tcW w:w="520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Reports of Independent Registered Public Accounting Firms</w:t>
              </w:r>
            </w:hyperlink>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60"/>
        </w:trPr>
        <w:tc>
          <w:tcPr>
            <w:tcW w:w="60" w:type="dxa"/>
            <w:vAlign w:val="bottom"/>
          </w:tcPr>
          <w:p>
            <w:pPr>
              <w:spacing w:after="0"/>
              <w:rPr>
                <w:sz w:val="22"/>
                <w:szCs w:val="22"/>
                <w:color w:val="auto"/>
              </w:rPr>
            </w:pPr>
          </w:p>
        </w:tc>
        <w:tc>
          <w:tcPr>
            <w:tcW w:w="4300" w:type="dxa"/>
            <w:vAlign w:val="bottom"/>
            <w:tcBorders>
              <w:top w:val="single" w:sz="8" w:color="0000EE"/>
            </w:tcBorders>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w:t>
              </w:r>
            </w:hyperlink>
          </w:p>
        </w:tc>
        <w:tc>
          <w:tcPr>
            <w:tcW w:w="900" w:type="dxa"/>
            <w:vAlign w:val="bottom"/>
            <w:gridSpan w:val="2"/>
          </w:tcPr>
          <w:p>
            <w:pPr>
              <w:spacing w:after="0"/>
              <w:rPr>
                <w:sz w:val="22"/>
                <w:szCs w:val="22"/>
                <w:color w:val="auto"/>
              </w:rPr>
            </w:pP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60" w:type="dxa"/>
            <w:vAlign w:val="bottom"/>
          </w:tcPr>
          <w:p>
            <w:pPr>
              <w:spacing w:after="0"/>
              <w:rPr>
                <w:sz w:val="22"/>
                <w:szCs w:val="22"/>
                <w:color w:val="auto"/>
              </w:rPr>
            </w:pPr>
          </w:p>
        </w:tc>
        <w:tc>
          <w:tcPr>
            <w:tcW w:w="48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Statements of Operations and Comprehensive Income</w:t>
              </w:r>
            </w:hyperlink>
          </w:p>
        </w:tc>
        <w:tc>
          <w:tcPr>
            <w:tcW w:w="380" w:type="dxa"/>
            <w:vAlign w:val="bottom"/>
          </w:tcPr>
          <w:p>
            <w:pPr>
              <w:spacing w:after="0"/>
              <w:rPr>
                <w:sz w:val="22"/>
                <w:szCs w:val="22"/>
                <w:color w:val="auto"/>
              </w:rPr>
            </w:pP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2"/>
                <w:szCs w:val="22"/>
                <w:color w:val="auto"/>
              </w:rPr>
            </w:pPr>
          </w:p>
        </w:tc>
      </w:tr>
      <w:tr>
        <w:trPr>
          <w:trHeight w:val="260"/>
        </w:trPr>
        <w:tc>
          <w:tcPr>
            <w:tcW w:w="60" w:type="dxa"/>
            <w:vAlign w:val="bottom"/>
          </w:tcPr>
          <w:p>
            <w:pPr>
              <w:spacing w:after="0"/>
              <w:rPr>
                <w:sz w:val="22"/>
                <w:szCs w:val="22"/>
                <w:color w:val="auto"/>
              </w:rPr>
            </w:pPr>
          </w:p>
        </w:tc>
        <w:tc>
          <w:tcPr>
            <w:tcW w:w="52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Shareholders’ Equity</w:t>
              </w:r>
            </w:hyperlink>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2"/>
                <w:szCs w:val="22"/>
                <w:color w:val="auto"/>
              </w:rPr>
            </w:pPr>
          </w:p>
        </w:tc>
      </w:tr>
      <w:tr>
        <w:trPr>
          <w:trHeight w:val="260"/>
        </w:trPr>
        <w:tc>
          <w:tcPr>
            <w:tcW w:w="60" w:type="dxa"/>
            <w:vAlign w:val="bottom"/>
          </w:tcPr>
          <w:p>
            <w:pPr>
              <w:spacing w:after="0"/>
              <w:rPr>
                <w:sz w:val="22"/>
                <w:szCs w:val="22"/>
                <w:color w:val="auto"/>
              </w:rPr>
            </w:pPr>
          </w:p>
        </w:tc>
        <w:tc>
          <w:tcPr>
            <w:tcW w:w="2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Statements of Cash Flows</w:t>
              </w:r>
            </w:hyperlink>
          </w:p>
        </w:tc>
        <w:tc>
          <w:tcPr>
            <w:tcW w:w="660" w:type="dxa"/>
            <w:vAlign w:val="bottom"/>
            <w:tcBorders>
              <w:top w:val="single" w:sz="8" w:color="0000EE"/>
            </w:tcBorders>
            <w:gridSpan w:val="2"/>
          </w:tcPr>
          <w:p>
            <w:pPr>
              <w:spacing w:after="0"/>
              <w:rPr>
                <w:sz w:val="22"/>
                <w:szCs w:val="22"/>
                <w:color w:val="auto"/>
              </w:rPr>
            </w:pPr>
          </w:p>
        </w:tc>
        <w:tc>
          <w:tcPr>
            <w:tcW w:w="1700" w:type="dxa"/>
            <w:vAlign w:val="bottom"/>
            <w:gridSpan w:val="3"/>
          </w:tcPr>
          <w:p>
            <w:pPr>
              <w:spacing w:after="0"/>
              <w:rPr>
                <w:sz w:val="22"/>
                <w:szCs w:val="22"/>
                <w:color w:val="auto"/>
              </w:rPr>
            </w:pP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2"/>
                <w:szCs w:val="22"/>
                <w:color w:val="auto"/>
              </w:rPr>
            </w:pPr>
          </w:p>
        </w:tc>
      </w:tr>
      <w:tr>
        <w:trPr>
          <w:trHeight w:val="260"/>
        </w:trPr>
        <w:tc>
          <w:tcPr>
            <w:tcW w:w="60" w:type="dxa"/>
            <w:vAlign w:val="bottom"/>
          </w:tcPr>
          <w:p>
            <w:pPr>
              <w:spacing w:after="0"/>
              <w:rPr>
                <w:sz w:val="22"/>
                <w:szCs w:val="22"/>
                <w:color w:val="auto"/>
              </w:rPr>
            </w:pPr>
          </w:p>
        </w:tc>
        <w:tc>
          <w:tcPr>
            <w:tcW w:w="520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2"/>
                <w:szCs w:val="22"/>
                <w:color w:val="auto"/>
              </w:rPr>
            </w:pPr>
          </w:p>
        </w:tc>
      </w:tr>
      <w:tr>
        <w:trPr>
          <w:trHeight w:val="472"/>
        </w:trPr>
        <w:tc>
          <w:tcPr>
            <w:tcW w:w="60" w:type="dxa"/>
            <w:vAlign w:val="bottom"/>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20" w:type="dxa"/>
            <w:vAlign w:val="bottom"/>
          </w:tcPr>
          <w:p>
            <w:pPr>
              <w:jc w:val="right"/>
              <w:ind w:right="4391"/>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sheets of Orion Energy Systems, Inc. (the “Company”) as of March 31, 2019 and 2018, the related consolidated statements of operations, shareholders’ equity, and cash flows for each of the three years in the period ended March 31, 2019, and the related notes (collectively referred to as the “consolidated financial statements”). In our opinion, the consolidated financial statements present fairly, in all material respects, the financial position of the Company at March 31, 2019 and 2018, and the results of its operations and its cash flows for each of the three years in the period ended March 31, 2019</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March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June 4, 2019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June 4, 2019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Orion Energy Systems, Inc.’s (the “Company’s”) internal control over financial reporting as of March 31, 2019,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 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opinion, the Company maintained, in all material respects, effective internal control over financial reporting as of March 31, 2019, based on the COSO criteria</w:t>
      </w:r>
      <w:r>
        <w:rPr>
          <w:rFonts w:ascii="Arial" w:cs="Arial" w:eastAsia="Arial" w:hAnsi="Arial"/>
          <w:sz w:val="18"/>
          <w:szCs w:val="18"/>
          <w:i w:val="1"/>
          <w:iCs w:val="1"/>
          <w:color w:val="auto"/>
        </w:rPr>
        <w:t>.</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March 31, 2019 and 2018, the related consolidated statements of operations, shareholders’ equity, and cash flows for each of the three years in the period ended March 31, 2019, and the related notes and our report dated June 4, 2019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June 4, 2019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2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2"/>
              <w:spacing w:after="0" w:line="153"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6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8,729</w:t>
            </w:r>
          </w:p>
        </w:tc>
        <w:tc>
          <w:tcPr>
            <w:tcW w:w="18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14,804</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3,746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13,403</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41,377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12,010</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2,469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5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3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346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56,021</w:t>
            </w:r>
          </w:p>
        </w:tc>
        <w:tc>
          <w:tcPr>
            <w:tcW w:w="180" w:type="dxa"/>
            <w:vAlign w:val="bottom"/>
          </w:tcPr>
          <w:p>
            <w:pPr>
              <w:spacing w:after="0"/>
              <w:rPr>
                <w:sz w:val="22"/>
                <w:szCs w:val="22"/>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45,325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5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Accounts payable</w:t>
            </w:r>
          </w:p>
        </w:tc>
        <w:tc>
          <w:tcPr>
            <w:tcW w:w="346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19,706</w:t>
            </w:r>
          </w:p>
        </w:tc>
        <w:tc>
          <w:tcPr>
            <w:tcW w:w="18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7,410</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25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27,335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9,202</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long-term</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5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642</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5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38,051</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20" w:type="dxa"/>
            <w:vAlign w:val="bottom"/>
          </w:tcPr>
          <w:p>
            <w:pPr>
              <w:spacing w:after="0"/>
              <w:rPr>
                <w:sz w:val="20"/>
                <w:szCs w:val="20"/>
                <w:color w:val="auto"/>
              </w:rPr>
            </w:pPr>
            <w:r>
              <w:rPr>
                <w:rFonts w:ascii="Arial" w:cs="Arial" w:eastAsia="Arial" w:hAnsi="Arial"/>
                <w:sz w:val="18"/>
                <w:szCs w:val="18"/>
                <w:color w:val="auto"/>
                <w:w w:val="92"/>
              </w:rPr>
              <w:t>Preferred stock, $0.01 par value: Shares authorized: 30,000,000 shares</w:t>
            </w: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8"/>
                <w:szCs w:val="18"/>
                <w:color w:val="auto"/>
                <w:w w:val="98"/>
              </w:rPr>
              <w:t>at March 31, 2019 and 2018; no shares issued and outstanding at</w:t>
            </w: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March 31, 2019 and 2018</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 par value: Shares authorized: 200,000,000 at</w:t>
            </w:r>
          </w:p>
        </w:tc>
        <w:tc>
          <w:tcPr>
            <w:tcW w:w="2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2019 and 2018; shares issued: 39,037,969 and</w:t>
            </w:r>
          </w:p>
        </w:tc>
        <w:tc>
          <w:tcPr>
            <w:tcW w:w="2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38,384,575 at March 31, 2019 and 2018; shares outstanding:</w:t>
            </w:r>
          </w:p>
        </w:tc>
        <w:tc>
          <w:tcPr>
            <w:tcW w:w="2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29,600,158 and 28,953,183 at March 31, 2019 and 2018</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155,828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155,003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9,437,811 and 9,431,392 common shares at</w:t>
            </w:r>
          </w:p>
        </w:tc>
        <w:tc>
          <w:tcPr>
            <w:tcW w:w="2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2019 and 2018</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(36,091)</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Retained deficit</w:t>
            </w:r>
          </w:p>
        </w:tc>
        <w:tc>
          <w:tcPr>
            <w:tcW w:w="25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(101,767)</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25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17,970</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346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56,021</w:t>
            </w:r>
          </w:p>
        </w:tc>
        <w:tc>
          <w:tcPr>
            <w:tcW w:w="18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45,325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540" w:type="dxa"/>
            <w:vAlign w:val="bottom"/>
            <w:vMerge w:val="restart"/>
          </w:tcPr>
          <w:p>
            <w:pPr>
              <w:jc w:val="right"/>
              <w:ind w:right="1971"/>
              <w:spacing w:after="0"/>
              <w:rPr>
                <w:sz w:val="20"/>
                <w:szCs w:val="20"/>
                <w:color w:val="auto"/>
              </w:rPr>
            </w:pPr>
            <w:r>
              <w:rPr>
                <w:rFonts w:ascii="Arial" w:cs="Arial" w:eastAsia="Arial" w:hAnsi="Arial"/>
                <w:sz w:val="18"/>
                <w:szCs w:val="18"/>
                <w:color w:val="auto"/>
              </w:rPr>
              <w:t>50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53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8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2"/>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56,261</w:t>
            </w: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55,595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4,705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60,300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41,415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7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4,213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1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45,628</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14,672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13,159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11,879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1,905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7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20,709</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27,653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Pr>
          <w:p>
            <w:pPr>
              <w:spacing w:after="0"/>
              <w:rPr>
                <w:sz w:val="20"/>
                <w:szCs w:val="20"/>
                <w:color w:val="auto"/>
              </w:rPr>
            </w:pPr>
            <w:r>
              <w:rPr>
                <w:rFonts w:ascii="Arial" w:cs="Arial" w:eastAsia="Arial" w:hAnsi="Arial"/>
                <w:sz w:val="18"/>
                <w:szCs w:val="18"/>
                <w:color w:val="auto"/>
              </w:rPr>
              <w:t>Loss from operations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w:t>
            </w:r>
          </w:p>
        </w:tc>
        <w:tc>
          <w:tcPr>
            <w:tcW w:w="1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1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net loss per share attributable to common shareholders</w:t>
            </w:r>
          </w:p>
        </w:tc>
        <w:tc>
          <w:tcPr>
            <w:tcW w:w="1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vMerge w:val="continue"/>
          </w:tcPr>
          <w:p>
            <w:pPr>
              <w:spacing w:after="0"/>
              <w:rPr>
                <w:sz w:val="17"/>
                <w:szCs w:val="17"/>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7"/>
                <w:szCs w:val="17"/>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29,429,540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28,783,830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28,156,382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share equivalents</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29,429,540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28,783,830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28,156,382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5"/>
        </w:trPr>
        <w:tc>
          <w:tcPr>
            <w:tcW w:w="4980" w:type="dxa"/>
            <w:vAlign w:val="bottom"/>
          </w:tcPr>
          <w:p>
            <w:pPr>
              <w:spacing w:after="0"/>
              <w:rPr>
                <w:sz w:val="24"/>
                <w:szCs w:val="24"/>
                <w:color w:val="auto"/>
              </w:rPr>
            </w:pPr>
          </w:p>
        </w:tc>
        <w:tc>
          <w:tcPr>
            <w:tcW w:w="1780" w:type="dxa"/>
            <w:vAlign w:val="bottom"/>
          </w:tcPr>
          <w:p>
            <w:pPr>
              <w:jc w:val="right"/>
              <w:ind w:right="871"/>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SHAREHOLDERS’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Shareholders’ Equity</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2260" w:type="dxa"/>
            <w:vAlign w:val="bottom"/>
            <w:tcBorders>
              <w:bottom w:val="single" w:sz="8" w:color="auto"/>
            </w:tcBorders>
            <w:gridSpan w:val="4"/>
          </w:tcPr>
          <w:p>
            <w:pPr>
              <w:jc w:val="right"/>
              <w:ind w:right="633"/>
              <w:spacing w:after="0" w:line="153"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Shareholder</w:t>
            </w:r>
          </w:p>
        </w:tc>
        <w:tc>
          <w:tcPr>
            <w:tcW w:w="160" w:type="dxa"/>
            <w:vAlign w:val="bottom"/>
          </w:tcPr>
          <w:p>
            <w:pPr>
              <w:spacing w:after="0"/>
              <w:rPr>
                <w:sz w:val="13"/>
                <w:szCs w:val="13"/>
                <w:color w:val="auto"/>
              </w:rPr>
            </w:pPr>
          </w:p>
        </w:tc>
        <w:tc>
          <w:tcPr>
            <w:tcW w:w="92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center"/>
              <w:ind w:right="213"/>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73"/>
              <w:spacing w:after="0" w:line="131"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10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93"/>
              <w:spacing w:after="0" w:line="147"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2"/>
                <w:szCs w:val="12"/>
                <w:color w:val="auto"/>
              </w:rPr>
            </w:pPr>
          </w:p>
        </w:tc>
        <w:tc>
          <w:tcPr>
            <w:tcW w:w="920" w:type="dxa"/>
            <w:vAlign w:val="bottom"/>
          </w:tcPr>
          <w:p>
            <w:pPr>
              <w:jc w:val="center"/>
              <w:ind w:right="174"/>
              <w:spacing w:after="0" w:line="147" w:lineRule="exact"/>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2"/>
                <w:szCs w:val="12"/>
                <w:color w:val="auto"/>
              </w:rPr>
            </w:pPr>
          </w:p>
        </w:tc>
        <w:tc>
          <w:tcPr>
            <w:tcW w:w="1100" w:type="dxa"/>
            <w:vAlign w:val="bottom"/>
            <w:gridSpan w:val="2"/>
          </w:tcPr>
          <w:p>
            <w:pPr>
              <w:jc w:val="center"/>
              <w:ind w:right="33"/>
              <w:spacing w:after="0" w:line="147"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Receivable</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2016</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27,767,138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152,140</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(70,078)</w:t>
            </w:r>
          </w:p>
        </w:tc>
        <w:tc>
          <w:tcPr>
            <w:tcW w:w="3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Issuance of stock for services</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110,566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5,156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444,102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10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28,317,490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153,901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(82,366)</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35,450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Issuance of stock for services</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24,747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612,601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Collections on stockholder notes</w:t>
            </w:r>
          </w:p>
        </w:tc>
        <w:tc>
          <w:tcPr>
            <w:tcW w:w="106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40" w:type="dxa"/>
            <w:vAlign w:val="bottom"/>
          </w:tcPr>
          <w:p>
            <w:pPr>
              <w:spacing w:after="0"/>
              <w:rPr>
                <w:sz w:val="20"/>
                <w:szCs w:val="20"/>
                <w:color w:val="auto"/>
              </w:rPr>
            </w:pPr>
            <w:r>
              <w:rPr>
                <w:rFonts w:ascii="Arial" w:cs="Arial" w:eastAsia="Arial" w:hAnsi="Arial"/>
                <w:sz w:val="18"/>
                <w:szCs w:val="18"/>
                <w:color w:val="auto"/>
              </w:rPr>
              <w:t>Balance, March 31, 2018</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28,953,183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155,003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653,394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Collections on stockholder notes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40" w:type="dxa"/>
            <w:vAlign w:val="bottom"/>
          </w:tcPr>
          <w:p>
            <w:pPr>
              <w:spacing w:after="0"/>
              <w:rPr>
                <w:sz w:val="20"/>
                <w:szCs w:val="20"/>
                <w:color w:val="auto"/>
              </w:rPr>
            </w:pPr>
            <w:r>
              <w:rPr>
                <w:rFonts w:ascii="Arial" w:cs="Arial" w:eastAsia="Arial" w:hAnsi="Arial"/>
                <w:sz w:val="18"/>
                <w:szCs w:val="18"/>
                <w:color w:val="auto"/>
                <w:w w:val="93"/>
              </w:rPr>
              <w:t>Cumulative effect of accounting change due to adoption of</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20"/>
                <w:szCs w:val="20"/>
                <w:color w:val="auto"/>
              </w:rPr>
            </w:pPr>
            <w:r>
              <w:rPr>
                <w:rFonts w:ascii="Arial" w:cs="Arial" w:eastAsia="Arial" w:hAnsi="Arial"/>
                <w:sz w:val="18"/>
                <w:szCs w:val="18"/>
                <w:color w:val="auto"/>
              </w:rPr>
              <w:t>ASC 606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40" w:type="dxa"/>
            <w:vAlign w:val="bottom"/>
          </w:tcPr>
          <w:p>
            <w:pPr>
              <w:spacing w:after="0"/>
              <w:rPr>
                <w:sz w:val="20"/>
                <w:szCs w:val="20"/>
                <w:color w:val="auto"/>
              </w:rPr>
            </w:pPr>
            <w:r>
              <w:rPr>
                <w:rFonts w:ascii="Arial" w:cs="Arial" w:eastAsia="Arial" w:hAnsi="Arial"/>
                <w:sz w:val="18"/>
                <w:szCs w:val="18"/>
                <w:color w:val="auto"/>
              </w:rPr>
              <w:t>Balance, March 31, 2019</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29,600,158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155,828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713"/>
              <w:spacing w:after="0"/>
              <w:rPr>
                <w:sz w:val="20"/>
                <w:szCs w:val="20"/>
                <w:color w:val="auto"/>
              </w:rPr>
            </w:pPr>
            <w:r>
              <w:rPr>
                <w:rFonts w:ascii="Arial" w:cs="Arial" w:eastAsia="Arial" w:hAnsi="Arial"/>
                <w:sz w:val="18"/>
                <w:szCs w:val="18"/>
                <w:color w:val="auto"/>
                <w:w w:val="79"/>
              </w:rPr>
              <w:t>52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55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2"/>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r>
      <w:tr>
        <w:trPr>
          <w:trHeight w:val="22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5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(6,674)</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(13,128)</w:t>
            </w:r>
          </w:p>
        </w:tc>
        <w:tc>
          <w:tcPr>
            <w:tcW w:w="1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(12,288)</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50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1,451</w:t>
            </w: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Amortization of debt issue costs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of intangible assets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2,212</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bad debts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earned but not billed</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contract costs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6"/>
        </w:trPr>
        <w:tc>
          <w:tcPr>
            <w:tcW w:w="550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and long-term</w:t>
            </w:r>
          </w:p>
        </w:tc>
        <w:tc>
          <w:tcPr>
            <w:tcW w:w="1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r>
      <w:tr>
        <w:trPr>
          <w:trHeight w:val="219"/>
        </w:trPr>
        <w:tc>
          <w:tcPr>
            <w:tcW w:w="5500" w:type="dxa"/>
            <w:vAlign w:val="bottom"/>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(1,903)</w:t>
            </w:r>
          </w:p>
        </w:tc>
        <w:tc>
          <w:tcPr>
            <w:tcW w:w="20" w:type="dxa"/>
            <w:vAlign w:val="bottom"/>
          </w:tcPr>
          <w:p>
            <w:pPr>
              <w:spacing w:after="0"/>
              <w:rPr>
                <w:sz w:val="19"/>
                <w:szCs w:val="19"/>
                <w:color w:val="auto"/>
              </w:rPr>
            </w:pPr>
          </w:p>
        </w:tc>
      </w:tr>
      <w:tr>
        <w:trPr>
          <w:trHeight w:val="228"/>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500" w:type="dxa"/>
            <w:vAlign w:val="bottom"/>
          </w:tcPr>
          <w:p>
            <w:pPr>
              <w:ind w:left="120"/>
              <w:spacing w:after="0"/>
              <w:rPr>
                <w:sz w:val="20"/>
                <w:szCs w:val="20"/>
                <w:color w:val="auto"/>
              </w:rPr>
            </w:pPr>
            <w:r>
              <w:rPr>
                <w:rFonts w:ascii="Arial" w:cs="Arial" w:eastAsia="Arial" w:hAnsi="Arial"/>
                <w:sz w:val="18"/>
                <w:szCs w:val="18"/>
                <w:color w:val="auto"/>
              </w:rPr>
              <w:t>Purchase of property and equipment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Additions to patents and licenses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r>
      <w:tr>
        <w:trPr>
          <w:trHeight w:val="226"/>
        </w:trPr>
        <w:tc>
          <w:tcPr>
            <w:tcW w:w="5500" w:type="dxa"/>
            <w:vAlign w:val="bottom"/>
          </w:tcPr>
          <w:p>
            <w:pPr>
              <w:ind w:left="120"/>
              <w:spacing w:after="0"/>
              <w:rPr>
                <w:sz w:val="20"/>
                <w:szCs w:val="20"/>
                <w:color w:val="auto"/>
              </w:rPr>
            </w:pPr>
            <w:r>
              <w:rPr>
                <w:rFonts w:ascii="Arial" w:cs="Arial" w:eastAsia="Arial" w:hAnsi="Arial"/>
                <w:sz w:val="18"/>
                <w:szCs w:val="18"/>
                <w:color w:val="auto"/>
              </w:rPr>
              <w:t>Proceeds from sales of property, plant and equipment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9"/>
                <w:szCs w:val="19"/>
                <w:color w:val="auto"/>
              </w:rPr>
            </w:pPr>
          </w:p>
        </w:tc>
      </w:tr>
      <w:tr>
        <w:trPr>
          <w:trHeight w:val="221"/>
        </w:trPr>
        <w:tc>
          <w:tcPr>
            <w:tcW w:w="5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9"/>
                <w:szCs w:val="19"/>
                <w:color w:val="auto"/>
              </w:rPr>
            </w:pPr>
          </w:p>
        </w:tc>
      </w:tr>
      <w:tr>
        <w:trPr>
          <w:trHeight w:val="227"/>
        </w:trPr>
        <w:tc>
          <w:tcPr>
            <w:tcW w:w="55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 of long-term debt</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9"/>
                <w:szCs w:val="19"/>
                <w:color w:val="auto"/>
              </w:rPr>
            </w:pPr>
          </w:p>
        </w:tc>
      </w:tr>
      <w:tr>
        <w:trPr>
          <w:trHeight w:val="226"/>
        </w:trPr>
        <w:tc>
          <w:tcPr>
            <w:tcW w:w="5500" w:type="dxa"/>
            <w:vAlign w:val="bottom"/>
          </w:tcPr>
          <w:p>
            <w:pPr>
              <w:ind w:left="120"/>
              <w:spacing w:after="0"/>
              <w:rPr>
                <w:sz w:val="20"/>
                <w:szCs w:val="20"/>
                <w:color w:val="auto"/>
              </w:rPr>
            </w:pPr>
            <w:r>
              <w:rPr>
                <w:rFonts w:ascii="Arial" w:cs="Arial" w:eastAsia="Arial" w:hAnsi="Arial"/>
                <w:sz w:val="18"/>
                <w:szCs w:val="18"/>
                <w:color w:val="auto"/>
              </w:rPr>
              <w:t>Proceeds from revolving credit facility</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68,734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87,935</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 of revolving credit facility</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(85,025)</w:t>
            </w:r>
          </w:p>
        </w:tc>
        <w:tc>
          <w:tcPr>
            <w:tcW w:w="20" w:type="dxa"/>
            <w:vAlign w:val="bottom"/>
          </w:tcPr>
          <w:p>
            <w:pPr>
              <w:spacing w:after="0"/>
              <w:rPr>
                <w:sz w:val="19"/>
                <w:szCs w:val="19"/>
                <w:color w:val="auto"/>
              </w:rPr>
            </w:pPr>
          </w:p>
        </w:tc>
      </w:tr>
      <w:tr>
        <w:trPr>
          <w:trHeight w:val="214"/>
        </w:trPr>
        <w:tc>
          <w:tcPr>
            <w:tcW w:w="5500" w:type="dxa"/>
            <w:vAlign w:val="bottom"/>
          </w:tcPr>
          <w:p>
            <w:pPr>
              <w:ind w:left="120"/>
              <w:spacing w:after="0"/>
              <w:rPr>
                <w:sz w:val="20"/>
                <w:szCs w:val="20"/>
                <w:color w:val="auto"/>
              </w:rPr>
            </w:pPr>
            <w:r>
              <w:rPr>
                <w:rFonts w:ascii="Arial" w:cs="Arial" w:eastAsia="Arial" w:hAnsi="Arial"/>
                <w:sz w:val="18"/>
                <w:szCs w:val="18"/>
                <w:color w:val="auto"/>
              </w:rPr>
              <w:t>Payments to settle employee tax withholdings on stock-based</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550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issue costs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6"/>
        </w:trPr>
        <w:tc>
          <w:tcPr>
            <w:tcW w:w="55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Net proceeds from employee equity exercises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21"/>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6"/>
        </w:trPr>
        <w:tc>
          <w:tcPr>
            <w:tcW w:w="55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9,424</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17,307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15,542</w:t>
            </w:r>
          </w:p>
        </w:tc>
        <w:tc>
          <w:tcPr>
            <w:tcW w:w="20" w:type="dxa"/>
            <w:vAlign w:val="bottom"/>
          </w:tcPr>
          <w:p>
            <w:pPr>
              <w:spacing w:after="0"/>
              <w:rPr>
                <w:sz w:val="19"/>
                <w:szCs w:val="19"/>
                <w:color w:val="auto"/>
              </w:rPr>
            </w:pPr>
          </w:p>
        </w:tc>
      </w:tr>
      <w:tr>
        <w:trPr>
          <w:trHeight w:val="259"/>
        </w:trPr>
        <w:tc>
          <w:tcPr>
            <w:tcW w:w="5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8,729</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9,424</w:t>
            </w:r>
          </w:p>
        </w:tc>
        <w:tc>
          <w:tcPr>
            <w:tcW w:w="140" w:type="dxa"/>
            <w:vAlign w:val="bottom"/>
          </w:tcPr>
          <w:p>
            <w:pPr>
              <w:spacing w:after="0"/>
              <w:rPr>
                <w:sz w:val="22"/>
                <w:szCs w:val="22"/>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17,307</w:t>
            </w:r>
          </w:p>
        </w:tc>
        <w:tc>
          <w:tcPr>
            <w:tcW w:w="20" w:type="dxa"/>
            <w:vAlign w:val="bottom"/>
          </w:tcPr>
          <w:p>
            <w:pPr>
              <w:spacing w:after="0"/>
              <w:rPr>
                <w:sz w:val="22"/>
                <w:szCs w:val="22"/>
                <w:color w:val="auto"/>
              </w:rPr>
            </w:pPr>
          </w:p>
        </w:tc>
      </w:tr>
      <w:tr>
        <w:trPr>
          <w:trHeight w:val="207"/>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550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received for income taxes</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r>
      <w:tr>
        <w:trPr>
          <w:trHeight w:val="227"/>
        </w:trPr>
        <w:tc>
          <w:tcPr>
            <w:tcW w:w="5500" w:type="dxa"/>
            <w:vAlign w:val="bottom"/>
          </w:tcPr>
          <w:p>
            <w:pPr>
              <w:spacing w:after="0"/>
              <w:rPr>
                <w:sz w:val="20"/>
                <w:szCs w:val="20"/>
                <w:color w:val="auto"/>
              </w:rPr>
            </w:pPr>
            <w:r>
              <w:rPr>
                <w:rFonts w:ascii="Arial" w:cs="Arial" w:eastAsia="Arial" w:hAnsi="Arial"/>
                <w:sz w:val="18"/>
                <w:szCs w:val="18"/>
                <w:b w:val="1"/>
                <w:bCs w:val="1"/>
                <w:color w:val="auto"/>
                <w:w w:val="89"/>
              </w:rPr>
              <w:t>Supplemental disclosure of non-cash investing and financing activities: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 of property, plant and equipment by issuing a debt</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665"/>
        </w:trPr>
        <w:tc>
          <w:tcPr>
            <w:tcW w:w="5500" w:type="dxa"/>
            <w:vAlign w:val="bottom"/>
          </w:tcPr>
          <w:p>
            <w:pPr>
              <w:spacing w:after="0"/>
              <w:rPr>
                <w:sz w:val="24"/>
                <w:szCs w:val="24"/>
                <w:color w:val="auto"/>
              </w:rPr>
            </w:pPr>
          </w:p>
        </w:tc>
        <w:tc>
          <w:tcPr>
            <w:tcW w:w="1260" w:type="dxa"/>
            <w:vAlign w:val="bottom"/>
          </w:tcPr>
          <w:p>
            <w:pPr>
              <w:jc w:val="right"/>
              <w:ind w:right="871"/>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3" w:lineRule="exact"/>
        <w:rPr>
          <w:sz w:val="20"/>
          <w:szCs w:val="20"/>
          <w:color w:val="auto"/>
        </w:rPr>
      </w:pPr>
    </w:p>
    <w:p>
      <w:pPr>
        <w:jc w:val="both"/>
        <w:ind w:right="20" w:firstLine="507"/>
        <w:spacing w:after="0" w:line="331"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13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also leases office space in Jacksonville, Florida and warehouse space in Manitowoc, Wisconsin. During fiscal 2018 and fiscal 2017 Orion had leased warehouse space in Augusta, Georgia, but as of March 31, 2018, Orion had vacated this storage location.</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In fiscal 2018, we did not renew the leases for our 5,600 square foot of office space in Houston, Texas and our 3,100 square foot of office space in Chicago, Illinois. The leases terminated as of April 30, 2018 and May 31, 2018,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In the warranty rollforward in Note 9 – Accrued Expenses and Other, certain prior period balances have been reclassified to conform to current period presentation. The reclassifications were immaterial to the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3"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impairment analyses, and certain equity transactions. Accordingly, actual results could differ from those estimates.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3"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22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80"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 performs ongoing evaluations of its customers and continuously monitors collections and payments. Orion estimates an allowance for doubtful accounts based upon the aging of the underlying receivables, historical experience with write-offs and specific customer collection issues that have been identified. See Note 4 - Accounts Receivable for further discussion of the allowance for doubtful accounts.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3"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In the prior year, these deferred contract costs were expensed at the time the related revenue was recognized. Upon adoption of “Revenue from Contracts with Customers” (Topic 606) on April 1, 2018, this account was no longer used; there were no Deferred costs as of March 31, 2019. Deferred costs amounted to $1.0 million as of March 31, 2018.</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3"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Orion’s compensation committee approved an Executive Fiscal Year 2019 Annual Cash Incentive Program. The program provided for performance cash bonus payments ranging from 50-100% of the fiscal 2019 base salaries of Orion’s named executive officers and other key employees. The program provided for bonuses to be paid out on the basis of achieving positive net income in fiscal 2019. Based upon the results for the year ended March 31, 2019, Orion did not accrue any expense related to this plan.</w:t>
      </w:r>
    </w:p>
    <w:p>
      <w:pPr>
        <w:spacing w:after="0" w:line="19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Orion’s compensation committee approved an Executive Fiscal Year 2018 Annual Cash Incentive Program. The program provided for performance cash bonus payments ranging from 50-100% of the fiscal 2018 base salaries of Orion’s named executive officers and other key employees. The program provided for bonuses to be paid out on the basis of achieving positive EBITDA in fiscal 2018. Based upon the results for the year ended March 31, 2018, Orion did not accrue any expense related to this plan.</w:t>
      </w:r>
    </w:p>
    <w:p>
      <w:pPr>
        <w:spacing w:after="0" w:line="191"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Orion’s compensation committee approved an Executive Fiscal Year 2017 Annual Cash Incentive Program. The program provided for performance cash bonus payments ranging from 35-100% of the fiscal 2017 base salaries of Orion’s named executive officers and other key employees. The program provided for bonuses to be paid out on the basis of the achievement in fiscal 2018 of at least (i) $0.5 million of profit before taxes and (ii) revenue growth of 10% more than fiscal year 2016. Based upon the results for the year ended March 31, 2017, Orion did not accrue any expense related to this plan.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Periods prior to April 1, 2018</w:t>
      </w:r>
    </w:p>
    <w:p>
      <w:pPr>
        <w:spacing w:after="0" w:line="113" w:lineRule="exact"/>
        <w:rPr>
          <w:sz w:val="20"/>
          <w:szCs w:val="20"/>
          <w:color w:val="auto"/>
        </w:rPr>
      </w:pPr>
    </w:p>
    <w:p>
      <w:pPr>
        <w:ind w:firstLine="507"/>
        <w:spacing w:after="0" w:line="267" w:lineRule="auto"/>
        <w:rPr>
          <w:sz w:val="20"/>
          <w:szCs w:val="20"/>
          <w:color w:val="auto"/>
        </w:rPr>
      </w:pPr>
      <w:r>
        <w:rPr>
          <w:rFonts w:ascii="Arial" w:cs="Arial" w:eastAsia="Arial" w:hAnsi="Arial"/>
          <w:sz w:val="18"/>
          <w:szCs w:val="18"/>
          <w:color w:val="auto"/>
        </w:rPr>
        <w:t>Revenue was recognized in accordance with the revenue recognition requirements in “Revenue Recognition” (Topic 605) (“ASC 605”) when the following criteria were met:</w:t>
      </w:r>
    </w:p>
    <w:p>
      <w:pPr>
        <w:spacing w:after="0" w:line="73" w:lineRule="exact"/>
        <w:rPr>
          <w:sz w:val="20"/>
          <w:szCs w:val="20"/>
          <w:color w:val="auto"/>
        </w:rPr>
      </w:pPr>
    </w:p>
    <w:p>
      <w:pPr>
        <w:ind w:left="880" w:hanging="36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Revenue was recorded net of estimated provisions for returns, early payment discounts and rebates and other consideration paid to Orion’s customers. Revenues were presented net of sales tax and other sales related taxes.</w:t>
      </w:r>
    </w:p>
    <w:p>
      <w:pPr>
        <w:spacing w:after="0" w:line="180"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For sales of Orion’s lighting and energy management technologies under multiple element arrangements, consisting of a combination of product sales and services, Orion determines revenue by allocating the total contract revenue to each element based on their relative selling prices in accordance with ASC 605-25, Revenue Recognition - Multiple Element Arrangements. In such circumstances, Orion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Orion determines estimated selling price is provided below).</w:t>
      </w:r>
    </w:p>
    <w:p>
      <w:pPr>
        <w:spacing w:after="0" w:line="195"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88"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7"/>
          <w:szCs w:val="17"/>
          <w:color w:val="auto"/>
        </w:rPr>
        <w:t>To determine the selling price in multiple-element arrangements, Orion establishes the selling price for its energy management system products using management's best estimate of the selling price, as VSOE and TPE do not exist. Product revenue is recognized when title and risk of loss for the products transfers. For product revenue, management's best estimate of selling price is determined using a cost plus gross profit margin method.</w:t>
      </w:r>
    </w:p>
    <w:p>
      <w:pPr>
        <w:spacing w:after="0" w:line="172" w:lineRule="exact"/>
        <w:rPr>
          <w:sz w:val="20"/>
          <w:szCs w:val="20"/>
          <w:color w:val="auto"/>
        </w:rPr>
      </w:pPr>
    </w:p>
    <w:p>
      <w:pPr>
        <w:jc w:val="both"/>
        <w:ind w:firstLine="507"/>
        <w:spacing w:after="0" w:line="266" w:lineRule="auto"/>
        <w:rPr>
          <w:sz w:val="20"/>
          <w:szCs w:val="20"/>
          <w:color w:val="auto"/>
        </w:rPr>
      </w:pPr>
      <w:r>
        <w:rPr>
          <w:rFonts w:ascii="Arial" w:cs="Arial" w:eastAsia="Arial" w:hAnsi="Arial"/>
          <w:sz w:val="17"/>
          <w:szCs w:val="17"/>
          <w:color w:val="auto"/>
        </w:rPr>
        <w:t>In addition, Orion records in service revenue the selling price for its installation and recycling services using management’s best estimate of selling price, as VSOE and TPE do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and TPE do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using a cost plus gross profit margin method with consideration given to other relevant economic conditions and trends, customer demand, pricing practices, and margin objectives. The determination of an estimated selling price is made through consultation with and approval by management, taking into account the preceding factors.</w:t>
      </w:r>
    </w:p>
    <w:p>
      <w:pPr>
        <w:spacing w:after="0" w:line="184"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long term maintenance contracts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Period Commencing April 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113"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Orion generates revenues primarily by selling commercial lighting fixtures and components and by installing these fixtures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6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93"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Revenue derived from customer contracts which include only performance obligation(s) for the sale of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62"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156"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02" w:lineRule="exact"/>
        <w:rPr>
          <w:sz w:val="20"/>
          <w:szCs w:val="20"/>
          <w:color w:val="auto"/>
        </w:rPr>
      </w:pPr>
    </w:p>
    <w:p>
      <w:pPr>
        <w:ind w:left="880" w:hanging="367"/>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duration of physical control that Orion maintains on the products after they are shipped to, and received at, the customer’s facility;</w:t>
      </w:r>
    </w:p>
    <w:p>
      <w:pPr>
        <w:spacing w:after="0" w:line="136" w:lineRule="exact"/>
        <w:rPr>
          <w:rFonts w:ascii="Arial" w:cs="Arial" w:eastAsia="Arial" w:hAnsi="Arial"/>
          <w:sz w:val="16"/>
          <w:szCs w:val="16"/>
          <w:color w:val="auto"/>
        </w:rPr>
      </w:pPr>
    </w:p>
    <w:p>
      <w:pPr>
        <w:ind w:left="880" w:hanging="367"/>
        <w:spacing w:after="0" w:line="26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spacing w:after="0" w:line="72" w:lineRule="exact"/>
        <w:rPr>
          <w:rFonts w:ascii="Arial" w:cs="Arial" w:eastAsia="Arial" w:hAnsi="Arial"/>
          <w:sz w:val="18"/>
          <w:szCs w:val="18"/>
          <w:color w:val="auto"/>
        </w:rPr>
      </w:pPr>
    </w:p>
    <w:p>
      <w:pPr>
        <w:ind w:left="880" w:hanging="367"/>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113" w:lineRule="exact"/>
        <w:rPr>
          <w:rFonts w:ascii="Arial" w:cs="Arial" w:eastAsia="Arial" w:hAnsi="Arial"/>
          <w:sz w:val="18"/>
          <w:szCs w:val="18"/>
          <w:color w:val="auto"/>
        </w:rPr>
      </w:pPr>
    </w:p>
    <w:p>
      <w:pPr>
        <w:ind w:left="880" w:hanging="367"/>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both"/>
        <w:ind w:firstLine="507"/>
        <w:spacing w:after="0" w:line="254"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completely installed as of the measurement date in comparison to the total number of light fixtures to be installed under the contract.</w:t>
      </w:r>
    </w:p>
    <w:p>
      <w:pPr>
        <w:spacing w:after="0" w:line="19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fiscal year 2019.</w:t>
      </w:r>
    </w:p>
    <w:p>
      <w:pPr>
        <w:spacing w:after="0" w:line="191"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7"/>
          <w:szCs w:val="17"/>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72"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67"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9, Accrued Expenses and Other for a discussion of Orion’s accounting for the warranty it provides to customers for its products and services.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Orion expenses research and development costs as incurred. Amounts are included in the Statement of Operations and Comprehensive Income on the line item Research and development.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2019, Orion increased its full valuation allowance by $1.6 million against its deferred tax assets due to the increase in its deferred tax assets.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7" w:name="page58"/>
    <w:bookmarkEnd w:id="57"/>
    <w:p>
      <w:pPr>
        <w:jc w:val="both"/>
        <w:ind w:firstLine="507"/>
        <w:spacing w:after="0" w:line="252"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Tax Cut and Jobs Act ("ACT") was enacted December 22, 2017. Further information on the impacts of the Act can be found in Note 13, Income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Orion’s share-based payments to employees are measured at fair value and are recognized in earnings, on a straight-line basis over the requisite service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09"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15 - Stock Options and Restricted Shares, Orion currently awards non-vested restricted stock to employees, executive officers and directors. Orion did not issue any stock options during fiscal 2019, fiscal 2018 or fiscal 2017.</w:t>
      </w:r>
    </w:p>
    <w:p>
      <w:pPr>
        <w:spacing w:after="0" w:line="162"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Orion has not paid dividends in the past and does not plan to pay any dividends in the foreseeable future. Orion estimates its forfeiture rate of unvested stock awards based on historical experience.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fiscal 2019, 2018 and 2017, no supplier accounted for more than 10% of total cost of revenue.</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In fiscal 2019, one customer accounted for 20.7% of total revenue. In fiscal 2018, two customers accounted for 11.7% and 10.8% of total revenue. In fiscal 2017, no customer accounted for 10% of revenue.</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As of March 31, 2019, one customer accounted for 56.2% of accounts receivable and as of March 31, 2018, one customer accounted for 13.2% of accounts receivable.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19" w:lineRule="exact"/>
        <w:rPr>
          <w:sz w:val="20"/>
          <w:szCs w:val="20"/>
          <w:color w:val="auto"/>
        </w:rPr>
      </w:pPr>
    </w:p>
    <w:p>
      <w:pPr>
        <w:jc w:val="both"/>
        <w:ind w:firstLine="507"/>
        <w:spacing w:after="0" w:line="251"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(Subtopic 842). The pronouncement, and subsequent amendments, is included in the Accounting Standards Codification as Subtopic 842 (“ASC 842”). For Orion, the primary impact of the adoption of ASC 842 will be the recognition of right-of-use assets and liabilities on the balance sheet for the rights and obligations created by contracts where Orion is leasing assets from third parties for periods in excess of one year. Previously, the financial impact associated with such contracts was recorded only in Orion’s statement of operations. Additional quantitative and qualitative disclosures about Orion’s lease arrangements are also required.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8" w:name="page59"/>
    <w:bookmarkEnd w:id="58"/>
    <w:p>
      <w:pPr>
        <w:jc w:val="both"/>
        <w:ind w:firstLine="507"/>
        <w:spacing w:after="0" w:line="251" w:lineRule="auto"/>
        <w:rPr>
          <w:sz w:val="20"/>
          <w:szCs w:val="20"/>
          <w:color w:val="auto"/>
        </w:rPr>
      </w:pPr>
      <w:r>
        <w:rPr>
          <w:rFonts w:ascii="Arial" w:cs="Arial" w:eastAsia="Arial" w:hAnsi="Arial"/>
          <w:sz w:val="18"/>
          <w:szCs w:val="18"/>
          <w:color w:val="auto"/>
        </w:rPr>
        <w:t>Orion implemented ASC 842 at the start of the first quarter of the fiscal year ending March 31, 2020 using the optional transition method under which the new standard is applied only to the most current period presented and the cumulative effect of applying the new standards to existing lease agreements is recognized at the date of initial application. Adoption of ASC 842 resulted in the recording of additional right-of-use lease assets and lease liabilities of approximately $0.2 million for operating lease agreements associated with assets used by Orion but owned by a third party. There was no adjustment to retained deficit. Orion also leases assets to third parties under capital and sales-type leases. There was no financial statement impact from the adoption of ASC 842 on the contracts where Orion leases assets to third parties.</w:t>
      </w:r>
    </w:p>
    <w:p>
      <w:pPr>
        <w:spacing w:after="0" w:line="195"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Determining whether a contract includes a lease, and assessing whether the lease should be accounted for as a finance lease or an operating lease, is a matter of judgment based on whether the risks and rewards as well as substantive control of the associated with the assets specified in the contract have been transferred from the lessor to the lessee. Orion implemented the appropriate changes to business processes and controls to support recognition and disclosure under the new standard, including the new qualitative and quantitative disclosures that will include information on the nature, amount, timing and significant judgments impacting revenue from contracts with customers.</w:t>
      </w:r>
    </w:p>
    <w:p>
      <w:pPr>
        <w:spacing w:after="0" w:line="19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Orion management believes that the adoption of ASC 842 will not materially impact Orion’s future consolidated results of operations and will have no impact on Orion’s future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19"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7"/>
          <w:szCs w:val="17"/>
          <w:color w:val="auto"/>
        </w:rPr>
        <w:t>On April 1, 2018, Orion adopted ASU 2014-09 and subsequent amendments, which is included in the Accounting Standards Codification as "Revenue from Contracts with Customers" (Topic 606) (“ASC 606”) and Sub-Topic 340-40 (“ASC 340-40”), using the modified retrospective approach. ASC 606 superseded the revenue recognition requirements in “Revenue Recognition” (Topic 605) ("ASC 605") and provides guidance on the accounting for other assets and deferred costs associated with contracts with customers. ASC 606 requires entities to recognize revenue when control of the promised goods or services is transferred to customers at an amount that reflects the consideration to which the entity expects to be entitled to in exchange for those goods or services. ASC 340-40 limits the circumstances that an entity can recognize an asset from the costs incurred to obtain or fulfill a contract that are not subject to the guidance in other portions in the Accounting Standards Codification, such as those related to inventory. The provisions of ASC 606 and ASC 340-40 require entities to use more judgments and estimates than under previous guidance when allocating the total consideration in a contract to the individual promises to customers (“performance obligations”) and determining when a performance obligation has been satisfied and revenue can be recognized. Orion’s adoption of ASC 606 did not have a material effect on Orion's financial statements. Orion has updated its processes and controls necessary for implementing ASC 606, including the increased footnote disclosure requirements.</w:t>
      </w:r>
    </w:p>
    <w:p>
      <w:pPr>
        <w:spacing w:after="0" w:line="186"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provided clarification and additional guidance as to the presentation and classification of certain cash receipts and cash payments in the statement of cash flows. This ASU provided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This new ASU was effective for Orion beginning in the first quarter of fiscal 2019 and has been applied through retrospective adjustment to all periods presented. The adoption of this ASU did not have a material impact on Orion’s consolidated financial statements.</w:t>
      </w:r>
    </w:p>
    <w:p>
      <w:pPr>
        <w:spacing w:after="0" w:line="179" w:lineRule="exact"/>
        <w:rPr>
          <w:sz w:val="20"/>
          <w:szCs w:val="20"/>
          <w:color w:val="auto"/>
        </w:rPr>
      </w:pPr>
    </w:p>
    <w:p>
      <w:pPr>
        <w:jc w:val="both"/>
        <w:ind w:firstLine="507"/>
        <w:spacing w:after="0" w:line="304" w:lineRule="auto"/>
        <w:rPr>
          <w:sz w:val="20"/>
          <w:szCs w:val="20"/>
          <w:color w:val="auto"/>
        </w:rPr>
      </w:pPr>
      <w:r>
        <w:rPr>
          <w:rFonts w:ascii="Arial" w:cs="Arial" w:eastAsia="Arial" w:hAnsi="Arial"/>
          <w:sz w:val="16"/>
          <w:szCs w:val="16"/>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ASU were effective for Orion beginning on April 1, 2018. The adoption of this ASU did not have a material impact on Orion’s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3 —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3"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7"/>
          <w:szCs w:val="17"/>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 $0.4 million adjustment to the opening balance of retained deficit within Orion’s Consolidated Statement of Shareholders’ Equity.</w:t>
      </w:r>
    </w:p>
    <w:p>
      <w:pPr>
        <w:spacing w:after="0" w:line="172"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The new standards are applied separately for each contract between Orion and a customer. While the impact of the new standards vary for each contract based on its specific terms, in general, the new standards result in Orion (a) delaying the recognition of some of its Product revenue from the point of shipment until a later date during the installation period, (b) recording Service revenue associated with installing lighting fixtures as such fixtures are installed instead of recording all Service revenue at the completion of the installation, and (c) recording costs associated with installing lighting fixtures as they are incurred instead of deferring such costs and recognizing them at the time Service revenue was recorded.</w:t>
      </w:r>
    </w:p>
    <w:p>
      <w:pPr>
        <w:spacing w:after="0" w:line="181"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The adoption of the new standards also resulted in reclassifications (a) between Product revenue and Service revenue, and between Cost of service revenue and Sales and marketing expenses in Orion’s Consolidated Statements of Operations, and (b) between Accounts receivable, net, Revenue earned but not billed, Inventories, net, Deferred contract costs, Prepaid expenses and other current assets, Accounts payable, Accrued expenses and other, Deferred revenue, current, Deferred revenue, long-term, and Other long-term liabilities in Orion’s Consolidated Balance Sheets.</w:t>
      </w:r>
    </w:p>
    <w:p>
      <w:pPr>
        <w:spacing w:after="0" w:line="177"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For all adjustments and changes as a result of adopting the new standards for the current period, refer to the section “Impacts on Financial Statements” below. In accordance with the modified retrospective transition method, the historical information within Orion’s financial statements has not been restated and continues to be reported under the accounting standard in effect for those periods. As a result, Orion has disclosed the accounting policies in effect prior to April 1, 2018, as well as the policies applied starting April 1, 2018.</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See Note 2, Summary of Significant Accounting Policies for a discussion of Orion’s accounting policies in effect prior to April 1, 2018, as well as the policies applied starting April 1, 2018 in regards to revenue recognition.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Fulfillment Costs</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Costs associated with product sales are accumulated in inventory as the fixtures are manufactured and are transferred to Cost of product revenue at the time revenue is recorded. See Note 5, Inventories, Net. Costs associated with installation sales are expensed as incurred.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3"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Orion’s Product revenue includes revenue from contracts with customers accounted for under the scope of ASC 606 and revenue which is accounted for under other guidance. For fiscal year 2019, Product revenue included $3.4 million derived from sales-type leases for light fixtures, $0.2 million derived from the sale of tax credits generated from Orion’s legacy operation for distributing solar energy, and $0.1 million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primary end-users of Orion’s lighting products and services are (a) the federal government, and (b) commercial or industrial companies.</w:t>
      </w:r>
    </w:p>
    <w:p>
      <w:pPr>
        <w:spacing w:after="0" w:line="231"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60" w:name="page61"/>
    <w:bookmarkEnd w:id="60"/>
    <w:p>
      <w:pPr>
        <w:jc w:val="both"/>
        <w:ind w:firstLine="507"/>
        <w:spacing w:after="0" w:line="257"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Footnote 16, Segment Data, for additional discussion concerning Orion’s reportable segments.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 of Orion’s total revenues for the year ended March 31, 2019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March 31, 2019</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53"/>
        </w:trPr>
        <w:tc>
          <w:tcPr>
            <w:tcW w:w="6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Product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533"/>
              <w:spacing w:after="0" w:line="153" w:lineRule="exact"/>
              <w:rPr>
                <w:sz w:val="20"/>
                <w:szCs w:val="20"/>
                <w:color w:val="auto"/>
              </w:rPr>
            </w:pPr>
            <w:r>
              <w:rPr>
                <w:rFonts w:ascii="Arial" w:cs="Arial" w:eastAsia="Arial" w:hAnsi="Arial"/>
                <w:sz w:val="14"/>
                <w:szCs w:val="14"/>
                <w:b w:val="1"/>
                <w:bCs w:val="1"/>
                <w:color w:val="auto"/>
              </w:rPr>
              <w:t>Total</w:t>
            </w:r>
          </w:p>
        </w:tc>
      </w:tr>
      <w:tr>
        <w:trPr>
          <w:trHeight w:val="220"/>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3,221</w:t>
            </w:r>
          </w:p>
        </w:tc>
      </w:tr>
      <w:tr>
        <w:trPr>
          <w:trHeight w:val="226"/>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58,814</w:t>
            </w:r>
          </w:p>
        </w:tc>
      </w:tr>
      <w:tr>
        <w:trPr>
          <w:trHeight w:val="221"/>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52,542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62,035</w:t>
            </w:r>
          </w:p>
        </w:tc>
      </w:tr>
      <w:tr>
        <w:trPr>
          <w:trHeight w:val="226"/>
        </w:trPr>
        <w:tc>
          <w:tcPr>
            <w:tcW w:w="6780" w:type="dxa"/>
            <w:vAlign w:val="bottom"/>
          </w:tcPr>
          <w:p>
            <w:pPr>
              <w:ind w:left="260"/>
              <w:spacing w:after="0"/>
              <w:rPr>
                <w:sz w:val="20"/>
                <w:szCs w:val="20"/>
                <w:color w:val="auto"/>
              </w:rPr>
            </w:pPr>
            <w:r>
              <w:rPr>
                <w:rFonts w:ascii="Arial" w:cs="Arial" w:eastAsia="Arial" w:hAnsi="Arial"/>
                <w:sz w:val="18"/>
                <w:szCs w:val="18"/>
                <w:color w:val="auto"/>
              </w:rPr>
              <w:t>Solar energy related revenues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57</w:t>
            </w:r>
          </w:p>
        </w:tc>
      </w:tr>
      <w:tr>
        <w:trPr>
          <w:trHeight w:val="221"/>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52,599</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9,493</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62,092</w:t>
            </w:r>
          </w:p>
        </w:tc>
      </w:tr>
      <w:tr>
        <w:trPr>
          <w:trHeight w:val="219"/>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3,662</w:t>
            </w:r>
          </w:p>
        </w:tc>
      </w:tr>
      <w:tr>
        <w:trPr>
          <w:trHeight w:val="22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56,261</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65,754</w:t>
            </w: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Considerations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Customer payments for material only orders are due shortly after shipment.</w:t>
      </w:r>
    </w:p>
    <w:p>
      <w:pPr>
        <w:spacing w:after="0" w:line="22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Turnkey projects where the end-user is a commercial or industrial company typically span between two weeks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88" w:lineRule="exact"/>
        <w:rPr>
          <w:sz w:val="20"/>
          <w:szCs w:val="20"/>
          <w:color w:val="auto"/>
        </w:rPr>
      </w:pPr>
    </w:p>
    <w:p>
      <w:pPr>
        <w:jc w:val="both"/>
        <w:ind w:firstLine="507"/>
        <w:spacing w:after="0" w:line="250"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ASC 840,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9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March 31, 2019 are included in Accounts receivable, net in Orion’s Consolidated Balance Sheets. The remaining amounts due that are associated with these transactions are included in Other long-term assets in Orion’s Consolidated Balance Sheets.</w:t>
      </w:r>
    </w:p>
    <w:p>
      <w:pPr>
        <w:spacing w:after="0" w:line="188"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1" w:name="page62"/>
    <w:bookmarkEnd w:id="61"/>
    <w:p>
      <w:pPr>
        <w:jc w:val="both"/>
        <w:ind w:firstLine="507"/>
        <w:spacing w:after="0" w:line="331" w:lineRule="auto"/>
        <w:rPr>
          <w:sz w:val="20"/>
          <w:szCs w:val="20"/>
          <w:color w:val="auto"/>
        </w:rPr>
      </w:pPr>
      <w:r>
        <w:rPr>
          <w:rFonts w:ascii="Arial" w:cs="Arial" w:eastAsia="Arial" w:hAnsi="Arial"/>
          <w:sz w:val="16"/>
          <w:szCs w:val="16"/>
          <w:color w:val="auto"/>
        </w:rPr>
        <w:t>The total amount received from the sales of these receivables during the twelve months ended March 31, 2019 was $6.9 million. Orion’s losses on these sales aggregated to $0.3 million for the twelve months ended March 31, 2019 and is included in Interest expense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Orion has also adopted the practical expedient that provides an exemption to the disclosure requirement of the value assigned to performance obligations associated with contracts that were not complete as of April 1, 2018.</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80"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March 31, 2019 and April 1, 2018 includes $0.7 million and $0.6 million, respectively, which was not derived from contracts with customers and therefore not classified as a contract asset as defined by the new standards.</w:t>
      </w:r>
    </w:p>
    <w:p>
      <w:pPr>
        <w:spacing w:after="0" w:line="162"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Deferred revenue, current as of March 31, 2019, included $48 thousand of contract liabilities which represented consideration received from customers prior to the point that Orion has fulfilled the promises included in a performance obligation and recorded revenue.</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following chart shows the balance of Orion’s receivables arising from contracts with customers, contract assets and contract liabilities as of March 31, 2019, and April 1, 2018, after the adoption of the new standards (dollars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April 1, 2018</w:t>
            </w: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14,804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9,020</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Contract assets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3,005</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1,773</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48</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13</w:t>
            </w:r>
          </w:p>
        </w:tc>
      </w:tr>
    </w:tbl>
    <w:p>
      <w:pPr>
        <w:spacing w:after="0" w:line="241"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Impact on Financial Statements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13"/>
              <w:spacing w:after="0"/>
              <w:rPr>
                <w:sz w:val="20"/>
                <w:szCs w:val="20"/>
                <w:color w:val="auto"/>
              </w:rPr>
            </w:pPr>
            <w:r>
              <w:rPr>
                <w:rFonts w:ascii="Arial" w:cs="Arial" w:eastAsia="Arial" w:hAnsi="Arial"/>
                <w:sz w:val="14"/>
                <w:szCs w:val="14"/>
                <w:b w:val="1"/>
                <w:bCs w:val="1"/>
                <w:color w:val="auto"/>
                <w:w w:val="87"/>
              </w:rPr>
              <w:t>Balances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center"/>
              <w:ind w:right="213"/>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13"/>
              <w:spacing w:after="0" w:line="147" w:lineRule="exact"/>
              <w:rPr>
                <w:sz w:val="20"/>
                <w:szCs w:val="20"/>
                <w:color w:val="auto"/>
              </w:rPr>
            </w:pPr>
            <w:r>
              <w:rPr>
                <w:rFonts w:ascii="Arial" w:cs="Arial" w:eastAsia="Arial" w:hAnsi="Arial"/>
                <w:sz w:val="14"/>
                <w:szCs w:val="14"/>
                <w:b w:val="1"/>
                <w:bCs w:val="1"/>
                <w:color w:val="auto"/>
                <w:w w:val="92"/>
              </w:rPr>
              <w:t>without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93"/>
              <w:spacing w:after="0" w:line="147" w:lineRule="exact"/>
              <w:rPr>
                <w:sz w:val="20"/>
                <w:szCs w:val="20"/>
                <w:color w:val="auto"/>
              </w:rPr>
            </w:pPr>
            <w:r>
              <w:rPr>
                <w:rFonts w:ascii="Arial" w:cs="Arial" w:eastAsia="Arial" w:hAnsi="Arial"/>
                <w:sz w:val="14"/>
                <w:szCs w:val="14"/>
                <w:b w:val="1"/>
                <w:bCs w:val="1"/>
                <w:color w:val="auto"/>
                <w:w w:val="92"/>
              </w:rPr>
              <w:t>application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93"/>
              <w:spacing w:after="0" w:line="147"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w w:val="99"/>
              </w:rPr>
              <w:t>Adjustments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13"/>
              <w:spacing w:after="0" w:line="147" w:lineRule="exact"/>
              <w:rPr>
                <w:sz w:val="20"/>
                <w:szCs w:val="20"/>
                <w:color w:val="auto"/>
              </w:rPr>
            </w:pPr>
            <w:r>
              <w:rPr>
                <w:rFonts w:ascii="Arial" w:cs="Arial" w:eastAsia="Arial" w:hAnsi="Arial"/>
                <w:sz w:val="14"/>
                <w:szCs w:val="14"/>
                <w:b w:val="1"/>
                <w:bCs w:val="1"/>
                <w:color w:val="auto"/>
                <w:w w:val="94"/>
              </w:rPr>
              <w:t>ASC 606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6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w w:val="92"/>
              </w:rPr>
              <w:t>As of March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8,729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14,804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3,746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13,403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3,419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41,377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41,028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3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56,021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c>
          <w:tcPr>
            <w:tcW w:w="3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55,672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19,706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987</w:t>
            </w:r>
          </w:p>
        </w:tc>
        <w:tc>
          <w:tcPr>
            <w:tcW w:w="3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2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27,335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27,180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9,202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long-term</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642</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38,051</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Preferred stock</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155,828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155,828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w:t>
            </w: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Retained deficit</w:t>
            </w:r>
          </w:p>
        </w:tc>
        <w:tc>
          <w:tcPr>
            <w:tcW w:w="2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(101,767)</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2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17,970</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56,021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c>
          <w:tcPr>
            <w:tcW w:w="3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55,672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vMerge w:val="restart"/>
          </w:tcPr>
          <w:p>
            <w:pPr>
              <w:jc w:val="right"/>
              <w:ind w:right="891"/>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3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9"/>
        </w:trPr>
        <w:tc>
          <w:tcPr>
            <w:tcW w:w="3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7"/>
          </w:tcPr>
          <w:p>
            <w:pPr>
              <w:jc w:val="right"/>
              <w:ind w:right="994"/>
              <w:spacing w:after="0"/>
              <w:rPr>
                <w:sz w:val="20"/>
                <w:szCs w:val="20"/>
                <w:color w:val="auto"/>
              </w:rPr>
            </w:pPr>
            <w:r>
              <w:rPr>
                <w:rFonts w:ascii="Arial" w:cs="Arial" w:eastAsia="Arial" w:hAnsi="Arial"/>
                <w:sz w:val="14"/>
                <w:szCs w:val="14"/>
                <w:b w:val="1"/>
                <w:bCs w:val="1"/>
                <w:color w:val="auto"/>
              </w:rPr>
              <w:t>Year Ended March 31, 2019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214"/>
              <w:spacing w:after="0" w:line="131" w:lineRule="exact"/>
              <w:rPr>
                <w:sz w:val="20"/>
                <w:szCs w:val="20"/>
                <w:color w:val="auto"/>
              </w:rPr>
            </w:pPr>
            <w:r>
              <w:rPr>
                <w:rFonts w:ascii="Arial" w:cs="Arial" w:eastAsia="Arial" w:hAnsi="Arial"/>
                <w:sz w:val="14"/>
                <w:szCs w:val="14"/>
                <w:b w:val="1"/>
                <w:bCs w:val="1"/>
                <w:color w:val="auto"/>
                <w:w w:val="87"/>
              </w:rPr>
              <w:t>Balances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9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14"/>
              <w:spacing w:after="0" w:line="147" w:lineRule="exact"/>
              <w:rPr>
                <w:sz w:val="20"/>
                <w:szCs w:val="20"/>
                <w:color w:val="auto"/>
              </w:rPr>
            </w:pPr>
            <w:r>
              <w:rPr>
                <w:rFonts w:ascii="Arial" w:cs="Arial" w:eastAsia="Arial" w:hAnsi="Arial"/>
                <w:sz w:val="14"/>
                <w:szCs w:val="14"/>
                <w:b w:val="1"/>
                <w:bCs w:val="1"/>
                <w:color w:val="auto"/>
                <w:w w:val="92"/>
              </w:rPr>
              <w:t>without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w w:val="99"/>
              </w:rPr>
              <w:t>Adjustments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94"/>
              <w:spacing w:after="0" w:line="147" w:lineRule="exact"/>
              <w:rPr>
                <w:sz w:val="20"/>
                <w:szCs w:val="20"/>
                <w:color w:val="auto"/>
              </w:rPr>
            </w:pPr>
            <w:r>
              <w:rPr>
                <w:rFonts w:ascii="Arial" w:cs="Arial" w:eastAsia="Arial" w:hAnsi="Arial"/>
                <w:sz w:val="14"/>
                <w:szCs w:val="14"/>
                <w:b w:val="1"/>
                <w:bCs w:val="1"/>
                <w:color w:val="auto"/>
                <w:w w:val="92"/>
              </w:rPr>
              <w:t>application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60" w:type="dxa"/>
            <w:vAlign w:val="bottom"/>
            <w:tcBorders>
              <w:bottom w:val="single" w:sz="8" w:color="CFF0FC"/>
            </w:tcBorders>
          </w:tcPr>
          <w:p>
            <w:pPr>
              <w:spacing w:after="0"/>
              <w:rPr>
                <w:sz w:val="14"/>
                <w:szCs w:val="14"/>
                <w:color w:val="auto"/>
              </w:rPr>
            </w:pPr>
          </w:p>
        </w:tc>
        <w:tc>
          <w:tcPr>
            <w:tcW w:w="28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4"/>
              </w:rPr>
              <w:t>ASC 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3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56,261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2,191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2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9,493</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65,754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44,111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44,112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7,091</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2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51,202</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14,552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10,231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Arial" w:cs="Arial" w:eastAsia="Arial" w:hAnsi="Arial"/>
                <w:sz w:val="18"/>
                <w:szCs w:val="18"/>
                <w:color w:val="auto"/>
              </w:rPr>
              <w:t>Sales and marketing</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9,104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20,709</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1,459</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2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20"/>
                <w:szCs w:val="20"/>
                <w:color w:val="auto"/>
              </w:rPr>
            </w:pPr>
            <w:r>
              <w:rPr>
                <w:rFonts w:ascii="Arial" w:cs="Arial" w:eastAsia="Arial" w:hAnsi="Arial"/>
                <w:sz w:val="18"/>
                <w:szCs w:val="18"/>
                <w:color w:val="auto"/>
              </w:rPr>
              <w:t>Loss before income tax</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(6,674)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20" w:type="dxa"/>
            <w:vAlign w:val="bottom"/>
            <w:vMerge w:val="restart"/>
          </w:tcPr>
          <w:p>
            <w:pPr>
              <w:jc w:val="right"/>
              <w:ind w:right="891"/>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39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7"/>
          </w:tcPr>
          <w:p>
            <w:pPr>
              <w:jc w:val="right"/>
              <w:ind w:right="993"/>
              <w:spacing w:after="0"/>
              <w:rPr>
                <w:sz w:val="20"/>
                <w:szCs w:val="20"/>
                <w:color w:val="auto"/>
              </w:rPr>
            </w:pPr>
            <w:r>
              <w:rPr>
                <w:rFonts w:ascii="Arial" w:cs="Arial" w:eastAsia="Arial" w:hAnsi="Arial"/>
                <w:sz w:val="14"/>
                <w:szCs w:val="14"/>
                <w:b w:val="1"/>
                <w:bCs w:val="1"/>
                <w:color w:val="auto"/>
              </w:rPr>
              <w:t>Year Ended March 31, 2019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213"/>
              <w:spacing w:after="0" w:line="131" w:lineRule="exact"/>
              <w:rPr>
                <w:sz w:val="20"/>
                <w:szCs w:val="20"/>
                <w:color w:val="auto"/>
              </w:rPr>
            </w:pPr>
            <w:r>
              <w:rPr>
                <w:rFonts w:ascii="Arial" w:cs="Arial" w:eastAsia="Arial" w:hAnsi="Arial"/>
                <w:sz w:val="14"/>
                <w:szCs w:val="14"/>
                <w:b w:val="1"/>
                <w:bCs w:val="1"/>
                <w:color w:val="auto"/>
                <w:w w:val="87"/>
              </w:rPr>
              <w:t>Balances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13"/>
              <w:spacing w:after="0" w:line="147" w:lineRule="exact"/>
              <w:rPr>
                <w:sz w:val="20"/>
                <w:szCs w:val="20"/>
                <w:color w:val="auto"/>
              </w:rPr>
            </w:pPr>
            <w:r>
              <w:rPr>
                <w:rFonts w:ascii="Arial" w:cs="Arial" w:eastAsia="Arial" w:hAnsi="Arial"/>
                <w:sz w:val="14"/>
                <w:szCs w:val="14"/>
                <w:b w:val="1"/>
                <w:bCs w:val="1"/>
                <w:color w:val="auto"/>
                <w:w w:val="92"/>
              </w:rPr>
              <w:t>without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w w:val="99"/>
              </w:rPr>
              <w:t>Adjustments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93"/>
              <w:spacing w:after="0" w:line="147" w:lineRule="exact"/>
              <w:rPr>
                <w:sz w:val="20"/>
                <w:szCs w:val="20"/>
                <w:color w:val="auto"/>
              </w:rPr>
            </w:pPr>
            <w:r>
              <w:rPr>
                <w:rFonts w:ascii="Arial" w:cs="Arial" w:eastAsia="Arial" w:hAnsi="Arial"/>
                <w:sz w:val="14"/>
                <w:szCs w:val="14"/>
                <w:b w:val="1"/>
                <w:bCs w:val="1"/>
                <w:color w:val="auto"/>
                <w:w w:val="92"/>
              </w:rPr>
              <w:t>application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CFF0FC"/>
            </w:tcBorders>
          </w:tcPr>
          <w:p>
            <w:pPr>
              <w:spacing w:after="0"/>
              <w:rPr>
                <w:sz w:val="14"/>
                <w:szCs w:val="14"/>
                <w:color w:val="auto"/>
              </w:rPr>
            </w:pPr>
          </w:p>
        </w:tc>
        <w:tc>
          <w:tcPr>
            <w:tcW w:w="16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4"/>
              </w:rPr>
              <w:t>ASC 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(6,674)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Adjustments to reconcile net loss to net cash used in operating</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bad debts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earned but not billed</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contract costs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8,916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500"/>
              <w:spacing w:after="0"/>
              <w:rPr>
                <w:sz w:val="20"/>
                <w:szCs w:val="20"/>
                <w:color w:val="auto"/>
              </w:rPr>
            </w:pPr>
            <w:r>
              <w:rPr>
                <w:rFonts w:ascii="Arial" w:cs="Arial" w:eastAsia="Arial" w:hAnsi="Arial"/>
                <w:sz w:val="18"/>
                <w:szCs w:val="18"/>
                <w:color w:val="auto"/>
              </w:rPr>
              <w:t>Accrued expenses and other</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and long-term</w:t>
            </w:r>
          </w:p>
        </w:tc>
        <w:tc>
          <w:tcPr>
            <w:tcW w:w="16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16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60"/>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60"/>
              <w:spacing w:after="0"/>
              <w:rPr>
                <w:sz w:val="20"/>
                <w:szCs w:val="20"/>
                <w:color w:val="auto"/>
              </w:rPr>
            </w:pPr>
            <w:r>
              <w:rPr>
                <w:rFonts w:ascii="Arial" w:cs="Arial" w:eastAsia="Arial" w:hAnsi="Arial"/>
                <w:sz w:val="18"/>
                <w:szCs w:val="18"/>
                <w:color w:val="auto"/>
              </w:rPr>
              <w:t>Payment of long-term debt</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60,270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60"/>
              <w:spacing w:after="0"/>
              <w:rPr>
                <w:sz w:val="20"/>
                <w:szCs w:val="20"/>
                <w:color w:val="auto"/>
              </w:rPr>
            </w:pPr>
            <w:r>
              <w:rPr>
                <w:rFonts w:ascii="Arial" w:cs="Arial" w:eastAsia="Arial" w:hAnsi="Arial"/>
                <w:sz w:val="18"/>
                <w:szCs w:val="18"/>
                <w:color w:val="auto"/>
              </w:rPr>
              <w:t>Payment of revolving credit facility</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Payments to settle employee tax withholdings on stock-based</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260"/>
              <w:spacing w:after="0"/>
              <w:rPr>
                <w:sz w:val="20"/>
                <w:szCs w:val="20"/>
                <w:color w:val="auto"/>
              </w:rPr>
            </w:pPr>
            <w:r>
              <w:rPr>
                <w:rFonts w:ascii="Arial" w:cs="Arial" w:eastAsia="Arial" w:hAnsi="Arial"/>
                <w:sz w:val="18"/>
                <w:szCs w:val="18"/>
                <w:color w:val="auto"/>
              </w:rPr>
              <w:t>Debt issue costs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16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used in financing activities</w:t>
            </w:r>
          </w:p>
        </w:tc>
        <w:tc>
          <w:tcPr>
            <w:tcW w:w="1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4,812</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9,424</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8,729</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bottom w:val="single" w:sz="8" w:color="CFF0FC"/>
            </w:tcBorders>
            <w:vMerge w:val="restart"/>
          </w:tcPr>
          <w:p>
            <w:pPr>
              <w:jc w:val="right"/>
              <w:ind w:right="891"/>
              <w:spacing w:after="0"/>
              <w:rPr>
                <w:sz w:val="20"/>
                <w:szCs w:val="20"/>
                <w:color w:val="auto"/>
              </w:rPr>
            </w:pPr>
            <w:r>
              <w:rPr>
                <w:rFonts w:ascii="Arial" w:cs="Arial" w:eastAsia="Arial" w:hAnsi="Arial"/>
                <w:sz w:val="18"/>
                <w:szCs w:val="18"/>
                <w:color w:val="auto"/>
              </w:rPr>
              <w:t>66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1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0"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4 — ACCOUNTS RECEIVABLE</w:t>
      </w:r>
    </w:p>
    <w:p>
      <w:pPr>
        <w:spacing w:after="0" w:line="119"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15,011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8,886</w:t>
            </w: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doubtful accounts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20"/>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14,804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8,736</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119"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Orion reduces the carrying value of its inventories for differences between the cost and estimated net realizable value, taking into consideration usage in the preceding 9 to 12 months, expected demand, and other information indicating obsolescence. Orion records, as a charge to cost of product revenue, the amount required to reduce the carrying value of inventory to net realizable value. As of March 31, 2019 and 2018, Orion's inventory balances were as follows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Excess and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84"/>
              </w:rPr>
              <w:t>Obsolescence</w:t>
            </w:r>
          </w:p>
        </w:tc>
        <w:tc>
          <w:tcPr>
            <w:tcW w:w="340" w:type="dxa"/>
            <w:vAlign w:val="bottom"/>
          </w:tcPr>
          <w:p>
            <w:pPr>
              <w:spacing w:after="0"/>
              <w:rPr>
                <w:sz w:val="12"/>
                <w:szCs w:val="12"/>
                <w:color w:val="auto"/>
              </w:rPr>
            </w:pPr>
          </w:p>
        </w:tc>
        <w:tc>
          <w:tcPr>
            <w:tcW w:w="112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Reserve</w:t>
            </w: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March 31, 2019</w:t>
            </w:r>
          </w:p>
        </w:tc>
        <w:tc>
          <w:tcPr>
            <w:tcW w:w="8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9,161</w:t>
            </w:r>
          </w:p>
        </w:tc>
        <w:tc>
          <w:tcPr>
            <w:tcW w:w="16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6"/>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Finished goods</w:t>
            </w: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6,056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0"/>
              </w:rPr>
              <w:t>16,227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As of March 31, 2018</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Raw materials and components</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6,073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26"/>
        </w:trPr>
        <w:tc>
          <w:tcPr>
            <w:tcW w:w="676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8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Finished goods</w:t>
            </w:r>
          </w:p>
        </w:tc>
        <w:tc>
          <w:tcPr>
            <w:tcW w:w="8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3,934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9"/>
        </w:trPr>
        <w:tc>
          <w:tcPr>
            <w:tcW w:w="6760" w:type="dxa"/>
            <w:vAlign w:val="bottom"/>
          </w:tcPr>
          <w:p>
            <w:pPr>
              <w:ind w:left="5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0"/>
              </w:rPr>
              <w:t>11,197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19" w:lineRule="exact"/>
        <w:rPr>
          <w:sz w:val="20"/>
          <w:szCs w:val="20"/>
          <w:color w:val="auto"/>
        </w:rPr>
      </w:pPr>
    </w:p>
    <w:p>
      <w:pPr>
        <w:ind w:right="20" w:firstLine="507"/>
        <w:spacing w:after="0" w:line="331" w:lineRule="auto"/>
        <w:rPr>
          <w:sz w:val="20"/>
          <w:szCs w:val="20"/>
          <w:color w:val="auto"/>
        </w:rPr>
      </w:pPr>
      <w:r>
        <w:rPr>
          <w:rFonts w:ascii="Arial" w:cs="Arial" w:eastAsia="Arial" w:hAnsi="Arial"/>
          <w:sz w:val="16"/>
          <w:szCs w:val="16"/>
          <w:color w:val="auto"/>
        </w:rPr>
        <w:t>Prepaid expenses and other current assets consist primarily of prepaid insurance premiums, prepaid license fees, purchase deposits, advance payments to contractors, unbilled receivables, and prepaid taxes. Prepaid expenses and other current assets include the following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2018</w:t>
            </w: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 (1)</w:t>
            </w: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1,910</w:t>
            </w: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w:t>
            </w:r>
          </w:p>
        </w:tc>
        <w:tc>
          <w:tcPr>
            <w:tcW w:w="1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6"/>
              </w:rPr>
              <w:t>695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557</w:t>
            </w:r>
          </w:p>
        </w:tc>
      </w:tr>
      <w:tr>
        <w:trPr>
          <w:trHeight w:val="220"/>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112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6"/>
              </w:rPr>
              <w:t>695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2,467</w:t>
            </w:r>
          </w:p>
        </w:tc>
      </w:tr>
      <w:tr>
        <w:trPr>
          <w:trHeight w:val="20"/>
        </w:trPr>
        <w:tc>
          <w:tcPr>
            <w:tcW w:w="7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660" w:right="20" w:hanging="653"/>
        <w:spacing w:after="0" w:line="26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April 1, 2018, in conjunction with the adoption of ASC 606, the balance of Unbilled accounts receivable was included in Revenue earned but not billed on the Consolidated Balance Sheets.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w:t>
      </w:r>
    </w:p>
    <w:p>
      <w:pPr>
        <w:spacing w:after="0" w:line="119" w:lineRule="exact"/>
        <w:rPr>
          <w:sz w:val="20"/>
          <w:szCs w:val="20"/>
          <w:color w:val="auto"/>
        </w:rPr>
      </w:pPr>
    </w:p>
    <w:p>
      <w:pPr>
        <w:jc w:val="both"/>
        <w:ind w:right="20" w:firstLine="507"/>
        <w:spacing w:after="0" w:line="279" w:lineRule="auto"/>
        <w:rPr>
          <w:sz w:val="20"/>
          <w:szCs w:val="20"/>
          <w:color w:val="auto"/>
        </w:rPr>
      </w:pPr>
      <w:r>
        <w:rPr>
          <w:rFonts w:ascii="Arial" w:cs="Arial" w:eastAsia="Arial" w:hAnsi="Arial"/>
          <w:sz w:val="17"/>
          <w:szCs w:val="17"/>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65" w:lineRule="exact"/>
        <w:rPr>
          <w:sz w:val="20"/>
          <w:szCs w:val="20"/>
          <w:color w:val="auto"/>
        </w:rPr>
      </w:pPr>
    </w:p>
    <w:p>
      <w:pPr>
        <w:jc w:val="both"/>
        <w:ind w:right="20" w:firstLine="507"/>
        <w:spacing w:after="0" w:line="304" w:lineRule="auto"/>
        <w:rPr>
          <w:sz w:val="20"/>
          <w:szCs w:val="20"/>
          <w:color w:val="auto"/>
        </w:rPr>
      </w:pPr>
      <w:r>
        <w:rPr>
          <w:rFonts w:ascii="Arial" w:cs="Arial" w:eastAsia="Arial" w:hAnsi="Arial"/>
          <w:sz w:val="16"/>
          <w:szCs w:val="16"/>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48" w:lineRule="exact"/>
        <w:rPr>
          <w:sz w:val="20"/>
          <w:szCs w:val="20"/>
          <w:color w:val="auto"/>
        </w:rPr>
      </w:pPr>
    </w:p>
    <w:p>
      <w:pPr>
        <w:jc w:val="both"/>
        <w:ind w:right="20" w:firstLine="507"/>
        <w:spacing w:after="0" w:line="250" w:lineRule="auto"/>
        <w:rPr>
          <w:sz w:val="20"/>
          <w:szCs w:val="20"/>
          <w:color w:val="auto"/>
        </w:rPr>
      </w:pPr>
      <w:r>
        <w:rPr>
          <w:rFonts w:ascii="Arial" w:cs="Arial" w:eastAsia="Arial" w:hAnsi="Arial"/>
          <w:sz w:val="18"/>
          <w:szCs w:val="18"/>
          <w:color w:val="auto"/>
        </w:rPr>
        <w:t>As of September 30, 2018, a triggering event occurred requiring Orion to evaluate its long-lived assets for impairment. Due to the central nature of its operations, Orion’s tangible and intangible definite-lived assets support its full operations, are utilized by all three of its reportable segments, and do not generate separately identifiable cash flows. As such, these assets together represent a single asset group. In reviewing the asset group for impairment, Orion elected to bypass the qualitative impairment assessment and went directly to performing the Step 1 recoverability test. Orion performed the Step 1 recoverability test for the asset group comparing its carrying value to the group’s expected future undiscounted cash flows. Orion concluded that the undiscounted cash flows of the long lived asset group exceeded its carrying value. As such the asset group was deemed recoverable and no impairment was recorded.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4"/>
                <w:szCs w:val="14"/>
                <w:color w:val="auto"/>
              </w:rPr>
            </w:pP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433</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9,245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9,245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7,238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Plant equipment</w:t>
            </w:r>
          </w:p>
        </w:tc>
        <w:tc>
          <w:tcPr>
            <w:tcW w:w="2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12,211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12,106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34,491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34,192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12,010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20"/>
              <w:spacing w:after="0"/>
              <w:rPr>
                <w:sz w:val="20"/>
                <w:szCs w:val="20"/>
                <w:color w:val="auto"/>
              </w:rPr>
            </w:pPr>
            <w:r>
              <w:rPr>
                <w:rFonts w:ascii="Arial" w:cs="Arial" w:eastAsia="Arial" w:hAnsi="Arial"/>
                <w:sz w:val="18"/>
                <w:szCs w:val="18"/>
                <w:color w:val="auto"/>
              </w:rPr>
              <w:t>Equipment included above under capital leases was as follows (dollars in thousands):</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24"/>
                <w:szCs w:val="24"/>
                <w:color w:val="auto"/>
              </w:rPr>
            </w:pP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581</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equipment</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2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5" w:right="219" w:bottom="1440" w:gutter="0" w:footer="0" w:header="0"/>
        </w:sectPr>
      </w:pPr>
    </w:p>
    <w:bookmarkStart w:id="67" w:name="page68"/>
    <w:bookmarkEnd w:id="67"/>
    <w:p>
      <w:pPr>
        <w:jc w:val="both"/>
        <w:ind w:firstLine="507"/>
        <w:spacing w:after="0" w:line="267" w:lineRule="auto"/>
        <w:rPr>
          <w:sz w:val="20"/>
          <w:szCs w:val="20"/>
          <w:color w:val="auto"/>
        </w:rPr>
      </w:pPr>
      <w:r>
        <w:rPr>
          <w:rFonts w:ascii="Arial" w:cs="Arial" w:eastAsia="Arial" w:hAnsi="Arial"/>
          <w:sz w:val="18"/>
          <w:szCs w:val="18"/>
          <w:color w:val="auto"/>
        </w:rPr>
        <w:t>Depreciation is recognized over the estimated useful lives of the respective assets, using the straight-line method. Orion recorded depreciation expense of $1.3 million, $1.4 million and $1.5 million for the years ended March 31, 2019, 2018 and 2017,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40" w:type="dxa"/>
            <w:vAlign w:val="bottom"/>
          </w:tcPr>
          <w:p>
            <w:pPr>
              <w:ind w:left="520"/>
              <w:spacing w:after="0"/>
              <w:rPr>
                <w:sz w:val="20"/>
                <w:szCs w:val="20"/>
                <w:color w:val="auto"/>
              </w:rPr>
            </w:pPr>
            <w:r>
              <w:rPr>
                <w:rFonts w:ascii="Arial" w:cs="Arial" w:eastAsia="Arial" w:hAnsi="Arial"/>
                <w:sz w:val="18"/>
                <w:szCs w:val="18"/>
                <w:color w:val="auto"/>
              </w:rPr>
              <w:t>Depreciable lives by asset category are as follows:</w:t>
            </w:r>
          </w:p>
        </w:tc>
        <w:tc>
          <w:tcPr>
            <w:tcW w:w="3980" w:type="dxa"/>
            <w:vAlign w:val="bottom"/>
          </w:tcPr>
          <w:p>
            <w:pPr>
              <w:spacing w:after="0"/>
              <w:rPr>
                <w:sz w:val="19"/>
                <w:szCs w:val="19"/>
                <w:color w:val="auto"/>
              </w:rPr>
            </w:pPr>
          </w:p>
        </w:tc>
      </w:tr>
      <w:tr>
        <w:trPr>
          <w:trHeight w:val="241"/>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227"/>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39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10-15 years</w:t>
            </w:r>
          </w:p>
        </w:tc>
      </w:tr>
      <w:tr>
        <w:trPr>
          <w:trHeight w:val="226"/>
        </w:trPr>
        <w:tc>
          <w:tcPr>
            <w:tcW w:w="744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3980" w:type="dxa"/>
            <w:vAlign w:val="bottom"/>
          </w:tcPr>
          <w:p>
            <w:pPr>
              <w:ind w:left="580"/>
              <w:spacing w:after="0"/>
              <w:rPr>
                <w:sz w:val="20"/>
                <w:szCs w:val="20"/>
                <w:color w:val="auto"/>
              </w:rPr>
            </w:pPr>
            <w:r>
              <w:rPr>
                <w:rFonts w:ascii="Arial" w:cs="Arial" w:eastAsia="Arial" w:hAnsi="Arial"/>
                <w:sz w:val="18"/>
                <w:szCs w:val="18"/>
                <w:color w:val="auto"/>
              </w:rPr>
              <w:t>10-39 years</w:t>
            </w:r>
          </w:p>
        </w:tc>
      </w:tr>
      <w:tr>
        <w:trPr>
          <w:trHeight w:val="227"/>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39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2-10 years</w:t>
            </w:r>
          </w:p>
        </w:tc>
      </w:tr>
      <w:tr>
        <w:trPr>
          <w:trHeight w:val="226"/>
        </w:trPr>
        <w:tc>
          <w:tcPr>
            <w:tcW w:w="7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980" w:type="dxa"/>
            <w:vAlign w:val="bottom"/>
          </w:tcPr>
          <w:p>
            <w:pPr>
              <w:ind w:left="580"/>
              <w:spacing w:after="0"/>
              <w:rPr>
                <w:sz w:val="20"/>
                <w:szCs w:val="20"/>
                <w:color w:val="auto"/>
              </w:rPr>
            </w:pPr>
            <w:r>
              <w:rPr>
                <w:rFonts w:ascii="Arial" w:cs="Arial" w:eastAsia="Arial" w:hAnsi="Arial"/>
                <w:sz w:val="18"/>
                <w:szCs w:val="18"/>
                <w:color w:val="auto"/>
              </w:rPr>
              <w:t>Shorter of asset life or life of lease</w:t>
            </w:r>
          </w:p>
        </w:tc>
      </w:tr>
      <w:tr>
        <w:trPr>
          <w:trHeight w:val="227"/>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39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20 years</w:t>
            </w:r>
          </w:p>
        </w:tc>
      </w:tr>
      <w:tr>
        <w:trPr>
          <w:trHeight w:val="225"/>
        </w:trPr>
        <w:tc>
          <w:tcPr>
            <w:tcW w:w="7440" w:type="dxa"/>
            <w:vAlign w:val="bottom"/>
          </w:tcPr>
          <w:p>
            <w:pPr>
              <w:spacing w:after="0"/>
              <w:rPr>
                <w:sz w:val="20"/>
                <w:szCs w:val="20"/>
                <w:color w:val="auto"/>
              </w:rPr>
            </w:pPr>
            <w:r>
              <w:rPr>
                <w:rFonts w:ascii="Arial" w:cs="Arial" w:eastAsia="Arial" w:hAnsi="Arial"/>
                <w:sz w:val="18"/>
                <w:szCs w:val="18"/>
                <w:color w:val="auto"/>
              </w:rPr>
              <w:t>Plant equipment</w:t>
            </w:r>
          </w:p>
        </w:tc>
        <w:tc>
          <w:tcPr>
            <w:tcW w:w="3980" w:type="dxa"/>
            <w:vAlign w:val="bottom"/>
          </w:tcPr>
          <w:p>
            <w:pPr>
              <w:ind w:left="580"/>
              <w:spacing w:after="0"/>
              <w:rPr>
                <w:sz w:val="20"/>
                <w:szCs w:val="20"/>
                <w:color w:val="auto"/>
              </w:rPr>
            </w:pPr>
            <w:r>
              <w:rPr>
                <w:rFonts w:ascii="Arial" w:cs="Arial" w:eastAsia="Arial" w:hAnsi="Arial"/>
                <w:sz w:val="18"/>
                <w:szCs w:val="18"/>
                <w:color w:val="auto"/>
              </w:rPr>
              <w:t>3-10 years</w:t>
            </w:r>
          </w:p>
        </w:tc>
      </w:tr>
      <w:tr>
        <w:trPr>
          <w:trHeight w:val="453"/>
        </w:trPr>
        <w:tc>
          <w:tcPr>
            <w:tcW w:w="7440" w:type="dxa"/>
            <w:vAlign w:val="bottom"/>
          </w:tcPr>
          <w:p>
            <w:pPr>
              <w:ind w:left="520"/>
              <w:spacing w:after="0"/>
              <w:rPr>
                <w:sz w:val="20"/>
                <w:szCs w:val="20"/>
                <w:color w:val="auto"/>
              </w:rPr>
            </w:pPr>
            <w:r>
              <w:rPr>
                <w:rFonts w:ascii="Arial" w:cs="Arial" w:eastAsia="Arial" w:hAnsi="Arial"/>
                <w:sz w:val="18"/>
                <w:szCs w:val="18"/>
                <w:color w:val="auto"/>
                <w:w w:val="98"/>
              </w:rPr>
              <w:t>No interest was capitalized for construction in progress during fiscal 2019 or fiscal 2018.</w:t>
            </w:r>
          </w:p>
        </w:tc>
        <w:tc>
          <w:tcPr>
            <w:tcW w:w="3980" w:type="dxa"/>
            <w:vAlign w:val="bottom"/>
          </w:tcPr>
          <w:p>
            <w:pPr>
              <w:spacing w:after="0"/>
              <w:rPr>
                <w:sz w:val="24"/>
                <w:szCs w:val="2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INTANGIBLE ASSETS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Intangible assets with indefinite lives are not amortized.</w:t>
      </w:r>
    </w:p>
    <w:p>
      <w:pPr>
        <w:spacing w:after="0" w:line="18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21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10-17 years</w:t>
            </w:r>
          </w:p>
        </w:tc>
        <w:tc>
          <w:tcPr>
            <w:tcW w:w="6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Straight-line</w:t>
            </w:r>
          </w:p>
        </w:tc>
      </w:tr>
      <w:tr>
        <w:trPr>
          <w:trHeight w:val="226"/>
        </w:trPr>
        <w:tc>
          <w:tcPr>
            <w:tcW w:w="2840" w:type="dxa"/>
            <w:vAlign w:val="bottom"/>
          </w:tcPr>
          <w:p>
            <w:pPr>
              <w:spacing w:after="0"/>
              <w:rPr>
                <w:sz w:val="20"/>
                <w:szCs w:val="20"/>
                <w:color w:val="auto"/>
              </w:rPr>
            </w:pPr>
            <w:r>
              <w:rPr>
                <w:rFonts w:ascii="Arial" w:cs="Arial" w:eastAsia="Arial" w:hAnsi="Arial"/>
                <w:sz w:val="18"/>
                <w:szCs w:val="18"/>
                <w:color w:val="auto"/>
              </w:rPr>
              <w:t>Licenses</w:t>
            </w:r>
          </w:p>
        </w:tc>
        <w:tc>
          <w:tcPr>
            <w:tcW w:w="2140" w:type="dxa"/>
            <w:vAlign w:val="bottom"/>
          </w:tcPr>
          <w:p>
            <w:pPr>
              <w:ind w:left="780"/>
              <w:spacing w:after="0"/>
              <w:rPr>
                <w:sz w:val="20"/>
                <w:szCs w:val="20"/>
                <w:color w:val="auto"/>
              </w:rPr>
            </w:pPr>
            <w:r>
              <w:rPr>
                <w:rFonts w:ascii="Arial" w:cs="Arial" w:eastAsia="Arial" w:hAnsi="Arial"/>
                <w:sz w:val="18"/>
                <w:szCs w:val="18"/>
                <w:color w:val="auto"/>
              </w:rPr>
              <w:t>7-13 years</w:t>
            </w:r>
          </w:p>
        </w:tc>
        <w:tc>
          <w:tcPr>
            <w:tcW w:w="6440" w:type="dxa"/>
            <w:vAlign w:val="bottom"/>
          </w:tcPr>
          <w:p>
            <w:pPr>
              <w:ind w:left="520"/>
              <w:spacing w:after="0"/>
              <w:rPr>
                <w:sz w:val="20"/>
                <w:szCs w:val="20"/>
                <w:color w:val="auto"/>
              </w:rPr>
            </w:pPr>
            <w:r>
              <w:rPr>
                <w:rFonts w:ascii="Arial" w:cs="Arial" w:eastAsia="Arial" w:hAnsi="Arial"/>
                <w:sz w:val="18"/>
                <w:szCs w:val="18"/>
                <w:color w:val="auto"/>
              </w:rPr>
              <w:t>Straight-line</w:t>
            </w: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1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5-8 years</w:t>
            </w:r>
          </w:p>
        </w:tc>
        <w:tc>
          <w:tcPr>
            <w:tcW w:w="6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Accelerated based upon the pattern of economic benefits</w:t>
            </w:r>
          </w:p>
        </w:tc>
      </w:tr>
      <w:tr>
        <w:trPr>
          <w:trHeight w:val="226"/>
        </w:trPr>
        <w:tc>
          <w:tcPr>
            <w:tcW w:w="284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6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consumed</w:t>
            </w:r>
          </w:p>
        </w:tc>
      </w:tr>
      <w:tr>
        <w:trPr>
          <w:trHeight w:val="214"/>
        </w:trPr>
        <w:tc>
          <w:tcPr>
            <w:tcW w:w="2840" w:type="dxa"/>
            <w:vAlign w:val="bottom"/>
          </w:tcPr>
          <w:p>
            <w:pPr>
              <w:spacing w:after="0"/>
              <w:rPr>
                <w:sz w:val="20"/>
                <w:szCs w:val="20"/>
                <w:color w:val="auto"/>
              </w:rPr>
            </w:pPr>
            <w:r>
              <w:rPr>
                <w:rFonts w:ascii="Arial" w:cs="Arial" w:eastAsia="Arial" w:hAnsi="Arial"/>
                <w:sz w:val="18"/>
                <w:szCs w:val="18"/>
                <w:color w:val="auto"/>
              </w:rPr>
              <w:t>Developed technology</w:t>
            </w:r>
          </w:p>
        </w:tc>
        <w:tc>
          <w:tcPr>
            <w:tcW w:w="2140" w:type="dxa"/>
            <w:vAlign w:val="bottom"/>
          </w:tcPr>
          <w:p>
            <w:pPr>
              <w:ind w:left="780"/>
              <w:spacing w:after="0"/>
              <w:rPr>
                <w:sz w:val="20"/>
                <w:szCs w:val="20"/>
                <w:color w:val="auto"/>
              </w:rPr>
            </w:pPr>
            <w:r>
              <w:rPr>
                <w:rFonts w:ascii="Arial" w:cs="Arial" w:eastAsia="Arial" w:hAnsi="Arial"/>
                <w:sz w:val="18"/>
                <w:szCs w:val="18"/>
                <w:color w:val="auto"/>
              </w:rPr>
              <w:t>8 years</w:t>
            </w:r>
          </w:p>
        </w:tc>
        <w:tc>
          <w:tcPr>
            <w:tcW w:w="6440" w:type="dxa"/>
            <w:vAlign w:val="bottom"/>
          </w:tcPr>
          <w:p>
            <w:pPr>
              <w:ind w:left="520"/>
              <w:spacing w:after="0"/>
              <w:rPr>
                <w:sz w:val="20"/>
                <w:szCs w:val="20"/>
                <w:color w:val="auto"/>
              </w:rPr>
            </w:pPr>
            <w:r>
              <w:rPr>
                <w:rFonts w:ascii="Arial" w:cs="Arial" w:eastAsia="Arial" w:hAnsi="Arial"/>
                <w:sz w:val="18"/>
                <w:szCs w:val="18"/>
                <w:color w:val="auto"/>
              </w:rPr>
              <w:t>Accelerated based upon the pattern of economic benefits</w:t>
            </w:r>
          </w:p>
        </w:tc>
      </w:tr>
      <w:tr>
        <w:trPr>
          <w:trHeight w:val="225"/>
        </w:trPr>
        <w:tc>
          <w:tcPr>
            <w:tcW w:w="28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consumed</w:t>
            </w:r>
          </w:p>
        </w:tc>
      </w:tr>
      <w:tr>
        <w:trPr>
          <w:trHeight w:val="227"/>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21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5 years</w:t>
            </w:r>
          </w:p>
        </w:tc>
        <w:tc>
          <w:tcPr>
            <w:tcW w:w="6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Straight-line</w:t>
            </w:r>
          </w:p>
        </w:tc>
      </w:tr>
    </w:tbl>
    <w:p>
      <w:pPr>
        <w:spacing w:after="0" w:line="228"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91"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7"/>
          <w:szCs w:val="17"/>
          <w:color w:val="auto"/>
        </w:rPr>
        <w:t>Indefinite lived intangible assets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8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Orion performed a qualitative assessment in conjunction with its annual impairment test of its indefinite lived intangible assets as of January 1, 2019. This qualitative assessment considered Orion’s operating results for the first nine months of fiscal 2019 in comparison to prior years as well as its anticipated fourth quarter results and fiscal 2019 plan. As a result of the conditions that existed as of the assessment date, an asset impairment was not deemed to be more likely than not and a quantitative analysis was not required.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68" w:name="page69"/>
    <w:bookmarkEnd w:id="68"/>
    <w:p>
      <w:pPr>
        <w:jc w:val="both"/>
        <w:ind w:right="20" w:firstLine="507"/>
        <w:spacing w:after="0" w:line="265" w:lineRule="auto"/>
        <w:rPr>
          <w:sz w:val="20"/>
          <w:szCs w:val="20"/>
          <w:color w:val="auto"/>
        </w:rPr>
      </w:pPr>
      <w:r>
        <w:rPr>
          <w:rFonts w:ascii="Arial" w:cs="Arial" w:eastAsia="Arial" w:hAnsi="Arial"/>
          <w:sz w:val="17"/>
          <w:szCs w:val="17"/>
          <w:color w:val="auto"/>
        </w:rPr>
        <w:t>During the second quarter of fiscal 2018, as a result of lower than anticipated operating results in the first half of fiscal 2018, Orion revised its full year fiscal 2018 forecast. As such, a triggering event occurred as of September 30, 2017, requiring Orion to evaluate its long-lived assets for impairment. Orion performed a quantitative impairment review of its indefinite lived intangible assets related to the Harris trade name applying the royalty replacement method to determine the asset’s fair value as of September 30,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 recorded to Impairment of intangible assets during the quarter ended September 30, 2017 to reduce the asset’s carrying value to its calculated fair value. This fair value determination was categorized as Level 3 in the fair value hierarchy.</w:t>
      </w:r>
    </w:p>
    <w:p>
      <w:pPr>
        <w:spacing w:after="0" w:line="189" w:lineRule="exact"/>
        <w:rPr>
          <w:sz w:val="20"/>
          <w:szCs w:val="20"/>
          <w:color w:val="auto"/>
        </w:rPr>
      </w:pPr>
    </w:p>
    <w:p>
      <w:pPr>
        <w:jc w:val="both"/>
        <w:ind w:right="20" w:firstLine="507"/>
        <w:spacing w:after="0" w:line="265" w:lineRule="auto"/>
        <w:rPr>
          <w:sz w:val="20"/>
          <w:szCs w:val="20"/>
          <w:color w:val="auto"/>
        </w:rPr>
      </w:pPr>
      <w:r>
        <w:rPr>
          <w:rFonts w:ascii="Arial" w:cs="Arial" w:eastAsia="Arial" w:hAnsi="Arial"/>
          <w:sz w:val="17"/>
          <w:szCs w:val="17"/>
          <w:color w:val="auto"/>
        </w:rPr>
        <w:t>During the fourth quarter of fiscal 2017, Orion achieved lower than anticipated operating results, made a strategic shift in its manufacturing strategy and approach to the fluorescent and LED exterior lighting market, and revised its fiscal 2018 forecast. As a result, a triggering event occurred requiring the Company to reassess its indefinite lived intangible assets for impairment. As such Orion performed a quantitative impairment review of its indefinite lived intangible assets related to the Harris trade name applying the royalty replacement method to determine the asset’s fair value as of March 31,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$0.3 million was recorded to Impairment of assets during the fourth quarter of fiscal 2017 to reduce the asset’s carrying value to its calculated fair value. This fair value determination was categorized as Level 3 in the fair value hierarchy (see “Fair Value of Financial Instruments” for the definition of Level 3 inputs).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4"/>
              </w:rPr>
              <w:t>March 31, 2019</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2018</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60"/>
              <w:spacing w:after="0" w:line="131"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2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2,667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900" w:type="dxa"/>
            <w:vAlign w:val="bottom"/>
            <w:gridSpan w:val="2"/>
            <w:shd w:val="clear" w:color="auto" w:fill="CFF0FC"/>
          </w:tcPr>
          <w:p>
            <w:pPr>
              <w:jc w:val="right"/>
              <w:ind w:right="60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3"/>
              </w:rPr>
              <w:t>1,138</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20"/>
                <w:szCs w:val="20"/>
                <w:color w:val="auto"/>
              </w:rPr>
            </w:pPr>
            <w:r>
              <w:rPr>
                <w:rFonts w:ascii="Arial" w:cs="Arial" w:eastAsia="Arial" w:hAnsi="Arial"/>
                <w:sz w:val="18"/>
                <w:szCs w:val="18"/>
                <w:color w:val="auto"/>
              </w:rPr>
              <w:t>Licenses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3"/>
              </w:rPr>
              <w:t>1,007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(3,459)</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7"/>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6"/>
        </w:trPr>
        <w:tc>
          <w:tcPr>
            <w:tcW w:w="2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Non-competition agreements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8,232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900" w:type="dxa"/>
            <w:vAlign w:val="bottom"/>
            <w:gridSpan w:val="2"/>
            <w:shd w:val="clear" w:color="auto" w:fill="CFF0FC"/>
          </w:tcPr>
          <w:p>
            <w:pPr>
              <w:jc w:val="right"/>
              <w:ind w:right="60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3"/>
              </w:rPr>
              <w:t>2,469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8,299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As of March 31, 2019, the weighted average useful life of intangible assets was 5.04 years. The estimated amortization expense for each of the next five years is shown below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Fiscal 2020</w:t>
            </w:r>
          </w:p>
        </w:tc>
        <w:tc>
          <w:tcPr>
            <w:tcW w:w="696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20" w:type="dxa"/>
            <w:vAlign w:val="bottom"/>
          </w:tcPr>
          <w:p>
            <w:pPr>
              <w:spacing w:after="0"/>
              <w:rPr>
                <w:sz w:val="20"/>
                <w:szCs w:val="20"/>
                <w:color w:val="auto"/>
              </w:rPr>
            </w:pPr>
            <w:r>
              <w:rPr>
                <w:rFonts w:ascii="Arial" w:cs="Arial" w:eastAsia="Arial" w:hAnsi="Arial"/>
                <w:sz w:val="18"/>
                <w:szCs w:val="18"/>
                <w:color w:val="auto"/>
              </w:rPr>
              <w:t>Fiscal 2021</w:t>
            </w:r>
          </w:p>
        </w:tc>
        <w:tc>
          <w:tcPr>
            <w:tcW w:w="6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6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20" w:type="dxa"/>
            <w:vAlign w:val="bottom"/>
          </w:tcPr>
          <w:p>
            <w:pPr>
              <w:spacing w:after="0"/>
              <w:rPr>
                <w:sz w:val="20"/>
                <w:szCs w:val="20"/>
                <w:color w:val="auto"/>
              </w:rPr>
            </w:pPr>
            <w:r>
              <w:rPr>
                <w:rFonts w:ascii="Arial" w:cs="Arial" w:eastAsia="Arial" w:hAnsi="Arial"/>
                <w:sz w:val="18"/>
                <w:szCs w:val="18"/>
                <w:color w:val="auto"/>
              </w:rPr>
              <w:t>Fiscal 2023</w:t>
            </w:r>
          </w:p>
        </w:tc>
        <w:tc>
          <w:tcPr>
            <w:tcW w:w="6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6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6180" w:type="dxa"/>
            <w:vAlign w:val="bottom"/>
            <w:tcBorders>
              <w:top w:val="single" w:sz="8" w:color="CFF0FC"/>
              <w:bottom w:val="single" w:sz="8" w:color="CFF0FC"/>
            </w:tcBorders>
            <w:vMerge w:val="restart"/>
          </w:tcPr>
          <w:p>
            <w:pPr>
              <w:jc w:val="right"/>
              <w:ind w:right="3511"/>
              <w:spacing w:after="0"/>
              <w:rPr>
                <w:sz w:val="20"/>
                <w:szCs w:val="20"/>
                <w:color w:val="auto"/>
              </w:rPr>
            </w:pPr>
            <w:r>
              <w:rPr>
                <w:rFonts w:ascii="Arial" w:cs="Arial" w:eastAsia="Arial" w:hAnsi="Arial"/>
                <w:sz w:val="18"/>
                <w:szCs w:val="18"/>
                <w:color w:val="auto"/>
              </w:rPr>
              <w:t>70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22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9A9A9A"/>
            </w:tcBorders>
          </w:tcPr>
          <w:p>
            <w:pPr>
              <w:spacing w:after="0"/>
              <w:rPr>
                <w:sz w:val="9"/>
                <w:szCs w:val="9"/>
                <w:color w:val="auto"/>
              </w:rPr>
            </w:pPr>
          </w:p>
        </w:tc>
        <w:tc>
          <w:tcPr>
            <w:tcW w:w="6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color w:val="auto"/>
        </w:rPr>
        <w:t>Amortization expense is set forth in the following table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Fiscal Year Ended March 31,</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Amortization included in cost of sales: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8"/>
                <w:szCs w:val="18"/>
                <w:color w:val="auto"/>
              </w:rPr>
              <w:t>Patents</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6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8"/>
                <w:szCs w:val="18"/>
                <w:color w:val="auto"/>
              </w:rPr>
              <w:t>Amortization included in operating expenses:</w:t>
            </w: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8"/>
                <w:szCs w:val="18"/>
                <w:color w:val="auto"/>
              </w:rPr>
              <w:t>Developed technology</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8"/>
                <w:szCs w:val="18"/>
                <w:color w:val="auto"/>
              </w:rPr>
              <w:t>Patents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448</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8"/>
                <w:szCs w:val="18"/>
                <w:color w:val="auto"/>
              </w:rPr>
              <w:t>Total amortization of intangible assets</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444</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20" w:firstLine="507"/>
        <w:spacing w:after="0" w:line="257" w:lineRule="auto"/>
        <w:rPr>
          <w:sz w:val="20"/>
          <w:szCs w:val="20"/>
          <w:color w:val="auto"/>
        </w:rPr>
      </w:pPr>
      <w:r>
        <w:rPr>
          <w:rFonts w:ascii="Arial" w:cs="Arial" w:eastAsia="Arial" w:hAnsi="Arial"/>
          <w:sz w:val="18"/>
          <w:szCs w:val="18"/>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 of Operations. In fiscal years 2019, 2018, and 2017, write-offs were immaterial.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Included in other income are product royalties received from licensing agreements for our patents.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ACCRUED EXPENSES AND OTHER</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and March 31, 2018, Accrued expenses and other included the following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4"/>
                <w:szCs w:val="14"/>
                <w:color w:val="auto"/>
              </w:rPr>
            </w:pP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31, 2018</w:t>
            </w:r>
          </w:p>
        </w:tc>
      </w:tr>
      <w:tr>
        <w:trPr>
          <w:trHeight w:val="220"/>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1,786</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Sales tax</w:t>
            </w:r>
          </w:p>
        </w:tc>
        <w:tc>
          <w:tcPr>
            <w:tcW w:w="2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237</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costs</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3,293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985</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400</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402</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Sales returns reserve (1)</w:t>
            </w:r>
          </w:p>
        </w:tc>
        <w:tc>
          <w:tcPr>
            <w:tcW w:w="20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 (1)</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987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361</w:t>
            </w:r>
          </w:p>
        </w:tc>
      </w:tr>
      <w:tr>
        <w:trPr>
          <w:trHeight w:val="220"/>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7,410</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4,171</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left="660" w:right="20" w:hanging="653"/>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returns reserve was previously classified in Accounts receivable, net and Credits due to customers was previously classified in Accounts payable. As of April 1, 2018, in conjunction with the adoption of ASC 606, these balances are now included in Accrued expenses and other on the Consolidated Balance Sheets.</w:t>
      </w:r>
    </w:p>
    <w:p>
      <w:pPr>
        <w:spacing w:after="0" w:line="228" w:lineRule="exact"/>
        <w:rPr>
          <w:sz w:val="20"/>
          <w:szCs w:val="20"/>
          <w:color w:val="auto"/>
        </w:rPr>
      </w:pPr>
    </w:p>
    <w:p>
      <w:pPr>
        <w:jc w:val="both"/>
        <w:ind w:right="20" w:firstLine="507"/>
        <w:spacing w:after="0" w:line="257"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tcBorders>
              <w:bottom w:val="single" w:sz="8" w:color="CFF0FC"/>
            </w:tcBorders>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4"/>
              <w:spacing w:after="0" w:line="153"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4400" w:type="dxa"/>
            <w:vAlign w:val="bottom"/>
            <w:gridSpan w:val="2"/>
            <w:shd w:val="clear" w:color="auto" w:fill="CFF0FC"/>
          </w:tcPr>
          <w:p>
            <w:pPr>
              <w:jc w:val="right"/>
              <w:ind w:right="9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40" w:type="dxa"/>
            <w:vAlign w:val="bottom"/>
          </w:tcPr>
          <w:p>
            <w:pPr>
              <w:spacing w:after="0"/>
              <w:rPr>
                <w:sz w:val="20"/>
                <w:szCs w:val="20"/>
                <w:color w:val="auto"/>
              </w:rPr>
            </w:pPr>
            <w:r>
              <w:rPr>
                <w:rFonts w:ascii="Arial" w:cs="Arial" w:eastAsia="Arial" w:hAnsi="Arial"/>
                <w:sz w:val="18"/>
                <w:szCs w:val="18"/>
                <w:color w:val="auto"/>
              </w:rPr>
              <w:t>Reclassification on adoption of ASC 606</w:t>
            </w:r>
          </w:p>
        </w:tc>
        <w:tc>
          <w:tcPr>
            <w:tcW w:w="3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Accruals</w:t>
            </w:r>
          </w:p>
        </w:tc>
        <w:tc>
          <w:tcPr>
            <w:tcW w:w="3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Warranty claims (net of vendor reimbursements)</w:t>
            </w:r>
          </w:p>
        </w:tc>
        <w:tc>
          <w:tcPr>
            <w:tcW w:w="33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4400" w:type="dxa"/>
            <w:vAlign w:val="bottom"/>
            <w:gridSpan w:val="2"/>
            <w:shd w:val="clear" w:color="auto" w:fill="CFF0FC"/>
          </w:tcPr>
          <w:p>
            <w:pPr>
              <w:jc w:val="right"/>
              <w:ind w:right="9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3320" w:type="dxa"/>
            <w:vAlign w:val="bottom"/>
            <w:tcBorders>
              <w:top w:val="single" w:sz="8" w:color="CFF0FC"/>
              <w:bottom w:val="single" w:sz="8" w:color="CFF0FC"/>
            </w:tcBorders>
            <w:vMerge w:val="restart"/>
          </w:tcPr>
          <w:p>
            <w:pPr>
              <w:jc w:val="right"/>
              <w:ind w:right="1971"/>
              <w:spacing w:after="0"/>
              <w:rPr>
                <w:sz w:val="20"/>
                <w:szCs w:val="20"/>
                <w:color w:val="auto"/>
              </w:rPr>
            </w:pPr>
            <w:r>
              <w:rPr>
                <w:rFonts w:ascii="Arial" w:cs="Arial" w:eastAsia="Arial" w:hAnsi="Arial"/>
                <w:sz w:val="18"/>
                <w:szCs w:val="18"/>
                <w:color w:val="auto"/>
              </w:rPr>
              <w:t>71</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10 — NET LOSS PER COMMON SHARE</w:t>
      </w:r>
    </w:p>
    <w:p>
      <w:pPr>
        <w:spacing w:after="0" w:line="119"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80" w:lineRule="exact"/>
        <w:rPr>
          <w:sz w:val="20"/>
          <w:szCs w:val="20"/>
          <w:color w:val="auto"/>
        </w:rPr>
      </w:pPr>
    </w:p>
    <w:p>
      <w:pPr>
        <w:jc w:val="both"/>
        <w:ind w:right="20" w:firstLine="507"/>
        <w:spacing w:after="0" w:line="295" w:lineRule="auto"/>
        <w:rPr>
          <w:sz w:val="20"/>
          <w:szCs w:val="20"/>
          <w:color w:val="auto"/>
        </w:rPr>
      </w:pPr>
      <w:r>
        <w:rPr>
          <w:rFonts w:ascii="Arial" w:cs="Arial" w:eastAsia="Arial" w:hAnsi="Arial"/>
          <w:sz w:val="16"/>
          <w:szCs w:val="16"/>
          <w:color w:val="auto"/>
        </w:rPr>
        <w:t>Diluted net loss per common share reflects the dilution that would occur if stock options were exercised and restricted shares vested. In the computation of diluted net loss per common share, Orion uses the treasury stock method for outstanding options, warrants and restricted shares. Diluted net loss per common share is the same as basic net loss per common share for the years ended March 31, 2019, March 31, 2018 and March 31, 2017 because the effects of potentially dilutive securities would be anti-dilutive. The effect of net loss per common share is calculated based upon the following shares: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4"/>
              <w:spacing w:after="0" w:line="153"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0"/>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spacing w:after="0"/>
              <w:rPr>
                <w:sz w:val="20"/>
                <w:szCs w:val="20"/>
                <w:color w:val="auto"/>
              </w:rPr>
            </w:pPr>
            <w:r>
              <w:rPr>
                <w:rFonts w:ascii="Arial" w:cs="Arial" w:eastAsia="Arial" w:hAnsi="Arial"/>
                <w:sz w:val="18"/>
                <w:szCs w:val="18"/>
                <w:color w:val="auto"/>
              </w:rPr>
              <w:t>Net loss (dollars in thousands)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(6,674)</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(13,128)</w:t>
            </w:r>
          </w:p>
        </w:tc>
        <w:tc>
          <w:tcPr>
            <w:tcW w:w="1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(12,288)</w:t>
            </w:r>
          </w:p>
        </w:tc>
        <w:tc>
          <w:tcPr>
            <w:tcW w:w="0" w:type="dxa"/>
            <w:vAlign w:val="bottom"/>
          </w:tcPr>
          <w:p>
            <w:pPr>
              <w:spacing w:after="0"/>
              <w:rPr>
                <w:sz w:val="1"/>
                <w:szCs w:val="1"/>
                <w:color w:val="auto"/>
              </w:rPr>
            </w:pPr>
          </w:p>
        </w:tc>
      </w:tr>
      <w:tr>
        <w:trPr>
          <w:trHeight w:val="228"/>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29,429,540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28,783,830</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28,156,382</w:t>
            </w:r>
          </w:p>
        </w:tc>
        <w:tc>
          <w:tcPr>
            <w:tcW w:w="0" w:type="dxa"/>
            <w:vAlign w:val="bottom"/>
          </w:tcPr>
          <w:p>
            <w:pPr>
              <w:spacing w:after="0"/>
              <w:rPr>
                <w:sz w:val="1"/>
                <w:szCs w:val="1"/>
                <w:color w:val="auto"/>
              </w:rPr>
            </w:pPr>
          </w:p>
        </w:tc>
      </w:tr>
      <w:tr>
        <w:trPr>
          <w:trHeight w:val="220"/>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and share equivalents outstanding</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29,429,540</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28,783,830</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28,156,382</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5"/>
        </w:trPr>
        <w:tc>
          <w:tcPr>
            <w:tcW w:w="6760" w:type="dxa"/>
            <w:vAlign w:val="bottom"/>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60" w:type="dxa"/>
            <w:vAlign w:val="bottom"/>
            <w:tcBorders>
              <w:bottom w:val="single" w:sz="8" w:color="auto"/>
            </w:tcBorders>
          </w:tcPr>
          <w:p>
            <w:pPr>
              <w:spacing w:after="0"/>
              <w:rPr>
                <w:sz w:val="14"/>
                <w:szCs w:val="14"/>
                <w:color w:val="auto"/>
              </w:rPr>
            </w:pPr>
          </w:p>
        </w:tc>
      </w:tr>
      <w:tr>
        <w:trPr>
          <w:trHeight w:val="153"/>
        </w:trPr>
        <w:tc>
          <w:tcPr>
            <w:tcW w:w="67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56"/>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58"/>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56"/>
              <w:spacing w:after="0" w:line="153" w:lineRule="exact"/>
              <w:rPr>
                <w:sz w:val="20"/>
                <w:szCs w:val="20"/>
                <w:color w:val="auto"/>
              </w:rPr>
            </w:pPr>
            <w:r>
              <w:rPr>
                <w:rFonts w:ascii="Arial" w:cs="Arial" w:eastAsia="Arial" w:hAnsi="Arial"/>
                <w:sz w:val="14"/>
                <w:szCs w:val="14"/>
                <w:b w:val="1"/>
                <w:bCs w:val="1"/>
                <w:color w:val="auto"/>
              </w:rPr>
              <w:t>2017</w:t>
            </w:r>
          </w:p>
        </w:tc>
      </w:tr>
      <w:tr>
        <w:trPr>
          <w:trHeight w:val="22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467,836</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629,667</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1,520,953</w:t>
            </w:r>
          </w:p>
        </w:tc>
      </w:tr>
      <w:tr>
        <w:trPr>
          <w:trHeight w:val="226"/>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shares</w:t>
            </w: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1,312,593</w:t>
            </w:r>
          </w:p>
        </w:tc>
        <w:tc>
          <w:tcPr>
            <w:tcW w:w="16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1,485,799</w:t>
            </w:r>
          </w:p>
        </w:tc>
        <w:tc>
          <w:tcPr>
            <w:tcW w:w="1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1,704,543</w:t>
            </w:r>
          </w:p>
        </w:tc>
      </w:tr>
      <w:tr>
        <w:trPr>
          <w:trHeight w:val="220"/>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1,780,429</w:t>
            </w:r>
          </w:p>
        </w:tc>
        <w:tc>
          <w:tcPr>
            <w:tcW w:w="1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2,115,466</w:t>
            </w:r>
          </w:p>
        </w:tc>
        <w:tc>
          <w:tcPr>
            <w:tcW w:w="16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3,225,496</w:t>
            </w:r>
          </w:p>
        </w:tc>
      </w:tr>
      <w:tr>
        <w:trPr>
          <w:trHeight w:val="20"/>
        </w:trPr>
        <w:tc>
          <w:tcPr>
            <w:tcW w:w="6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March 31, 2019 and 2018 consisted of the following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00" w:type="dxa"/>
            <w:vAlign w:val="bottom"/>
            <w:tcBorders>
              <w:bottom w:val="single" w:sz="8" w:color="CFF0FC"/>
            </w:tcBorders>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4"/>
              <w:spacing w:after="0" w:line="153"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700" w:type="dxa"/>
            <w:vAlign w:val="bottom"/>
            <w:gridSpan w:val="2"/>
            <w:shd w:val="clear" w:color="auto" w:fill="CFF0FC"/>
          </w:tcPr>
          <w:p>
            <w:pPr>
              <w:jc w:val="right"/>
              <w:ind w:right="88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9,202</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36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177</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36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9,379</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maturities</w:t>
            </w:r>
          </w:p>
        </w:tc>
        <w:tc>
          <w:tcPr>
            <w:tcW w:w="36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4700" w:type="dxa"/>
            <w:vAlign w:val="bottom"/>
            <w:gridSpan w:val="2"/>
            <w:shd w:val="clear" w:color="auto" w:fill="CFF0FC"/>
          </w:tcPr>
          <w:p>
            <w:pPr>
              <w:jc w:val="right"/>
              <w:ind w:right="88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9,283</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3660" w:type="dxa"/>
            <w:vAlign w:val="bottom"/>
            <w:tcBorders>
              <w:top w:val="single" w:sz="8" w:color="CFF0FC"/>
              <w:bottom w:val="single" w:sz="8" w:color="CFF0FC"/>
            </w:tcBorders>
            <w:vMerge w:val="restart"/>
          </w:tcPr>
          <w:p>
            <w:pPr>
              <w:jc w:val="right"/>
              <w:ind w:right="1971"/>
              <w:spacing w:after="0"/>
              <w:rPr>
                <w:sz w:val="20"/>
                <w:szCs w:val="20"/>
                <w:color w:val="auto"/>
              </w:rPr>
            </w:pPr>
            <w:r>
              <w:rPr>
                <w:rFonts w:ascii="Arial" w:cs="Arial" w:eastAsia="Arial" w:hAnsi="Arial"/>
                <w:sz w:val="18"/>
                <w:szCs w:val="18"/>
                <w:color w:val="auto"/>
              </w:rPr>
              <w:t>72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2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81" w:right="2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On October 26, 2018, Orion and its subsidiaries entered into a new secured revolving Business Financing Agreement with Western Alliance Bank, as lender (the “New Credit Agreement”). The New Credit Agreement replaced Orion’s prior Credit Agreement.</w:t>
      </w:r>
    </w:p>
    <w:p>
      <w:pPr>
        <w:spacing w:after="0" w:line="180"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The New Credit Agreement provides for a two-year revolving credit facility (the “New Credit Facility”) that matures on October 26, 2020. Borrowings under the New Credit Facility are initially limited to $20.15 million, subject to a borrowing base requirement based on eligible receivables and inventory. The New Credit Agreement includes a $2.0 million sublimit for the issuance of letters of credit. As of March 31, 2019, Orion’s borrowing base was $10.6 million, and Orion had $9.2 million in borrowings outstanding which were included in non-current liabilities in the accompanying Consolidated Balance Sheets. Orion had no outstanding letters of credit leaving additional borrowing availability of $1.4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New Credit Agreement is secured by a security interest in substantially all of Orion's and its subsidiaries’ personal property.</w:t>
      </w:r>
    </w:p>
    <w:p>
      <w:pPr>
        <w:spacing w:after="0" w:line="22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7"/>
          <w:szCs w:val="17"/>
          <w:color w:val="auto"/>
        </w:rPr>
        <w:t>Borrowings under the New Credit Agreement generally bear interest at floating rates based upon the prime rate (but not be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New Credit Agreement). As of March 31, 2019, the interest rate was 6.0%. Among other fees, Orion is required to pay an annual facility fee equal to 0.45% of the credit limit under the New Credit Agreement, which was paid at commencement (October 26, 2018) and is due on each anniversary thereof. With certain exceptions, if the New Credit Agreement is terminated prior to the first anniversary of the closing date of the New Credit Agreement, Orion is required to pay a termination fee equal to 0.50% of the credit limit under the New Credit Agreement.</w:t>
      </w:r>
    </w:p>
    <w:p>
      <w:pPr>
        <w:spacing w:after="0" w:line="185"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The New Credit Agreement requires Orion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62"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7"/>
          <w:szCs w:val="17"/>
          <w:color w:val="auto"/>
        </w:rPr>
        <w:t>The New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if Orion becomes the subject of voluntary or involuntary proceedings under any bankruptcy or similar law, then any outstanding obligations under the New Credit Agreement will automatically become immediately due and payable. As of March 31, 2019, Orion was in compliance with all covenants under the New Credit Agreement.</w:t>
      </w:r>
    </w:p>
    <w:p>
      <w:pPr>
        <w:spacing w:after="0" w:line="185"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prior Credit Agreement (“Prior Credit Agreement”) with Wells Fargo Bank, NA, as lender, provided for a revolving credit facility ("Prior Credit Facility") subject to a borrowing base requirement based on eligible receivables and inventory. Subject in each case to Orion's applicable borrowing base limitations, the Prior Credit Agreement otherwise provided for a $15.0 million Prior Credit Facility.</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Prior Credit Agreement contained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Each subsidiary of Orion was a joint and several co-borrower or guarantor under the Prior Credit Agreement, and the Prior Credit Agreement was secured by a security interest in substantially all of Orion’s and each subsidiary’s personal property (excluding various assets relating to customer Orion Throughput Agreements ("OTAs") and a mortgage on certain real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2" w:name="page73"/>
    <w:bookmarkEnd w:id="72"/>
    <w:p>
      <w:pPr>
        <w:jc w:val="both"/>
        <w:ind w:right="20" w:firstLine="507"/>
        <w:spacing w:after="0" w:line="254" w:lineRule="auto"/>
        <w:rPr>
          <w:sz w:val="20"/>
          <w:szCs w:val="20"/>
          <w:color w:val="auto"/>
        </w:rPr>
      </w:pPr>
      <w:r>
        <w:rPr>
          <w:rFonts w:ascii="Arial" w:cs="Arial" w:eastAsia="Arial" w:hAnsi="Arial"/>
          <w:sz w:val="18"/>
          <w:szCs w:val="18"/>
          <w:color w:val="auto"/>
        </w:rPr>
        <w:t>Borrowings under the Prior Credit Agreement bore interest at the daily three-month LIBOR plus 3.0% per annum, with a minimum interest charge for each year or portion of a year during the term of the Credit Agreement of $0.1 million, regardless of usage. Orion was required to pay an unused line fee of 0.25% per annum of the daily average unused amount of the Prior Credit Facility and a letter of credit fee at the rate of 3.0% per annum on the undrawn amount of letters of credit outstanding from time to time under the Prior Credit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In June 2015, Orion entered into an agreement with a financing company in the principal amount of $ $0.4 million to fund the purchase of certain equipment. The debt is secured by the related equipment. The debt bears interest at a rate of 5.94% and matures in June 2020.</w:t>
      </w:r>
    </w:p>
    <w:p>
      <w:pPr>
        <w:spacing w:after="0" w:line="180" w:lineRule="exact"/>
        <w:rPr>
          <w:sz w:val="20"/>
          <w:szCs w:val="20"/>
          <w:color w:val="auto"/>
        </w:rPr>
      </w:pPr>
    </w:p>
    <w:p>
      <w:pPr>
        <w:jc w:val="both"/>
        <w:ind w:right="20" w:firstLine="507"/>
        <w:spacing w:after="0" w:line="257"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fund certain equipment. The debts are secured by the related equipment. The debts bear interest at a rate of 6.43% and 8.77% respectively and both debts mature in January 2024.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13" w:lineRule="exact"/>
        <w:rPr>
          <w:sz w:val="20"/>
          <w:szCs w:val="20"/>
          <w:color w:val="auto"/>
        </w:rPr>
      </w:pPr>
    </w:p>
    <w:p>
      <w:pPr>
        <w:jc w:val="both"/>
        <w:ind w:right="20" w:firstLine="507"/>
        <w:spacing w:after="0" w:line="254"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OTA finance program that were previously funded under a different OTA credit agreement. The loan amount was secured by the OTA-related equipment and the expected future monthly payments under the supporting 25 individual OTA customer contracts. The borrowing agreement bore interest at a rate of 8.36% and matured in April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aggregate maturities of long-term debt were as follows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Fiscal 2020</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Fiscal 2021</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9,238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Fiscal 2023</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9,379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NOTE 12 — INCOME TAXES</w:t>
            </w:r>
          </w:p>
        </w:tc>
        <w:tc>
          <w:tcPr>
            <w:tcW w:w="2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00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9280" w:type="dxa"/>
            <w:vAlign w:val="bottom"/>
            <w:gridSpan w:val="7"/>
          </w:tcPr>
          <w:p>
            <w:pPr>
              <w:ind w:left="520"/>
              <w:spacing w:after="0"/>
              <w:rPr>
                <w:sz w:val="20"/>
                <w:szCs w:val="20"/>
                <w:color w:val="auto"/>
              </w:rPr>
            </w:pPr>
            <w:r>
              <w:rPr>
                <w:rFonts w:ascii="Arial" w:cs="Arial" w:eastAsia="Arial" w:hAnsi="Arial"/>
                <w:sz w:val="18"/>
                <w:szCs w:val="18"/>
                <w:color w:val="auto"/>
                <w:w w:val="93"/>
              </w:rPr>
              <w:t>The total provision (benefit) for income taxes consists of the following for the fiscal years ended (dollars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00" w:type="dxa"/>
            <w:vAlign w:val="bottom"/>
            <w:tcBorders>
              <w:bottom w:val="single" w:sz="8" w:color="CFF0FC"/>
            </w:tcBorders>
          </w:tcPr>
          <w:p>
            <w:pPr>
              <w:spacing w:after="0"/>
              <w:rPr>
                <w:sz w:val="13"/>
                <w:szCs w:val="13"/>
                <w:color w:val="auto"/>
              </w:rPr>
            </w:pPr>
          </w:p>
        </w:tc>
        <w:tc>
          <w:tcPr>
            <w:tcW w:w="2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72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40" w:type="dxa"/>
            <w:vAlign w:val="bottom"/>
            <w:gridSpan w:val="3"/>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w:t>
            </w:r>
          </w:p>
        </w:tc>
        <w:tc>
          <w:tcPr>
            <w:tcW w:w="2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000" w:type="dxa"/>
            <w:vAlign w:val="bottom"/>
            <w:tcBorders>
              <w:bottom w:val="single" w:sz="8" w:color="CFF0FC"/>
            </w:tcBorders>
          </w:tcPr>
          <w:p>
            <w:pPr>
              <w:spacing w:after="0"/>
              <w:rPr>
                <w:sz w:val="24"/>
                <w:szCs w:val="24"/>
                <w:color w:val="auto"/>
              </w:rPr>
            </w:pPr>
          </w:p>
        </w:tc>
        <w:tc>
          <w:tcPr>
            <w:tcW w:w="276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372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3"/>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w:t>
            </w:r>
          </w:p>
        </w:tc>
        <w:tc>
          <w:tcPr>
            <w:tcW w:w="2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2760" w:type="dxa"/>
            <w:vAlign w:val="bottom"/>
            <w:tcBorders>
              <w:top w:val="single" w:sz="8" w:color="CFF0FC"/>
              <w:bottom w:val="single" w:sz="8" w:color="CFF0FC"/>
            </w:tcBorders>
            <w:vMerge w:val="restart"/>
          </w:tcPr>
          <w:p>
            <w:pPr>
              <w:jc w:val="right"/>
              <w:ind w:right="871"/>
              <w:spacing w:after="0"/>
              <w:rPr>
                <w:sz w:val="20"/>
                <w:szCs w:val="20"/>
                <w:color w:val="auto"/>
              </w:rPr>
            </w:pPr>
            <w:r>
              <w:rPr>
                <w:rFonts w:ascii="Arial" w:cs="Arial" w:eastAsia="Arial" w:hAnsi="Arial"/>
                <w:sz w:val="18"/>
                <w:szCs w:val="18"/>
                <w:color w:val="auto"/>
              </w:rPr>
              <w:t>74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0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73" w:name="page74"/>
    <w:bookmarkEnd w:id="73"/>
    <w:p>
      <w:pPr>
        <w:ind w:left="520"/>
        <w:spacing w:after="0"/>
        <w:rPr>
          <w:sz w:val="20"/>
          <w:szCs w:val="20"/>
          <w:color w:val="auto"/>
        </w:rPr>
      </w:pPr>
      <w:r>
        <w:rPr>
          <w:rFonts w:ascii="Arial" w:cs="Arial" w:eastAsia="Arial" w:hAnsi="Arial"/>
          <w:sz w:val="18"/>
          <w:szCs w:val="18"/>
          <w:color w:val="auto"/>
        </w:rPr>
        <w:t>A reconciliation of the statutory federal income tax rate and effective income tax rate is as follows:</w:t>
      </w:r>
    </w:p>
    <w:p>
      <w:pPr>
        <w:spacing w:after="0" w:line="316"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Fiscal Year 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72"/>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52"/>
              <w:spacing w:after="0" w:line="153" w:lineRule="exact"/>
              <w:rPr>
                <w:sz w:val="20"/>
                <w:szCs w:val="20"/>
                <w:color w:val="auto"/>
              </w:rPr>
            </w:pPr>
            <w:r>
              <w:rPr>
                <w:rFonts w:ascii="Arial" w:cs="Arial" w:eastAsia="Arial" w:hAnsi="Arial"/>
                <w:sz w:val="14"/>
                <w:szCs w:val="14"/>
                <w:b w:val="1"/>
                <w:bCs w:val="1"/>
                <w:color w:val="auto"/>
              </w:rPr>
              <w:t>2017</w:t>
            </w:r>
          </w:p>
        </w:tc>
      </w:tr>
      <w:tr>
        <w:trPr>
          <w:trHeight w:val="22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Statutory federal tax rate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r>
      <w:tr>
        <w:trPr>
          <w:trHeight w:val="226"/>
        </w:trPr>
        <w:tc>
          <w:tcPr>
            <w:tcW w:w="7340" w:type="dxa"/>
            <w:vAlign w:val="bottom"/>
            <w:gridSpan w:val="2"/>
          </w:tcPr>
          <w:p>
            <w:pPr>
              <w:spacing w:after="0"/>
              <w:rPr>
                <w:sz w:val="20"/>
                <w:szCs w:val="20"/>
                <w:color w:val="auto"/>
              </w:rPr>
            </w:pPr>
            <w:r>
              <w:rPr>
                <w:rFonts w:ascii="Arial" w:cs="Arial" w:eastAsia="Arial" w:hAnsi="Arial"/>
                <w:sz w:val="18"/>
                <w:szCs w:val="18"/>
                <w:color w:val="auto"/>
              </w:rPr>
              <w:t>State taxes, net</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7"/>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tax credit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340" w:type="dxa"/>
            <w:vAlign w:val="bottom"/>
            <w:gridSpan w:val="2"/>
          </w:tcPr>
          <w:p>
            <w:pPr>
              <w:spacing w:after="0"/>
              <w:rPr>
                <w:sz w:val="20"/>
                <w:szCs w:val="20"/>
                <w:color w:val="auto"/>
              </w:rPr>
            </w:pPr>
            <w:r>
              <w:rPr>
                <w:rFonts w:ascii="Arial" w:cs="Arial" w:eastAsia="Arial" w:hAnsi="Arial"/>
                <w:sz w:val="18"/>
                <w:szCs w:val="18"/>
                <w:color w:val="auto"/>
              </w:rPr>
              <w:t>Change in valuation reserve</w:t>
            </w: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7"/>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r>
      <w:tr>
        <w:trPr>
          <w:trHeight w:val="226"/>
        </w:trPr>
        <w:tc>
          <w:tcPr>
            <w:tcW w:w="7340" w:type="dxa"/>
            <w:vAlign w:val="bottom"/>
            <w:gridSpan w:val="2"/>
          </w:tcPr>
          <w:p>
            <w:pPr>
              <w:spacing w:after="0"/>
              <w:rPr>
                <w:sz w:val="20"/>
                <w:szCs w:val="20"/>
                <w:color w:val="auto"/>
              </w:rPr>
            </w:pPr>
            <w:r>
              <w:rPr>
                <w:rFonts w:ascii="Arial" w:cs="Arial" w:eastAsia="Arial" w:hAnsi="Arial"/>
                <w:sz w:val="18"/>
                <w:szCs w:val="18"/>
                <w:color w:val="auto"/>
              </w:rPr>
              <w:t>Change in tax contingency reserve</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refunds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7340" w:type="dxa"/>
            <w:vAlign w:val="bottom"/>
            <w:gridSpan w:val="2"/>
          </w:tcPr>
          <w:p>
            <w:pPr>
              <w:spacing w:after="0"/>
              <w:rPr>
                <w:sz w:val="20"/>
                <w:szCs w:val="20"/>
                <w:color w:val="auto"/>
              </w:rPr>
            </w:pPr>
            <w:r>
              <w:rPr>
                <w:rFonts w:ascii="Arial" w:cs="Arial" w:eastAsia="Arial" w:hAnsi="Arial"/>
                <w:sz w:val="18"/>
                <w:szCs w:val="18"/>
                <w:color w:val="auto"/>
              </w:rPr>
              <w:t>U.S. tax reform, corporate rate reduction</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cancellations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340" w:type="dxa"/>
            <w:vAlign w:val="bottom"/>
            <w:gridSpan w:val="2"/>
          </w:tcPr>
          <w:p>
            <w:pPr>
              <w:spacing w:after="0"/>
              <w:rPr>
                <w:sz w:val="20"/>
                <w:szCs w:val="20"/>
                <w:color w:val="auto"/>
              </w:rPr>
            </w:pPr>
            <w:r>
              <w:rPr>
                <w:rFonts w:ascii="Arial" w:cs="Arial" w:eastAsia="Arial" w:hAnsi="Arial"/>
                <w:sz w:val="18"/>
                <w:szCs w:val="18"/>
                <w:color w:val="auto"/>
              </w:rPr>
              <w:t>Federal loss, ASU 2016-09</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20"/>
        </w:trPr>
        <w:tc>
          <w:tcPr>
            <w:tcW w:w="734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net deferred tax assets and liabilities reported in the accompanying consolidated financial statements include the following components (dollars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4"/>
                <w:szCs w:val="14"/>
                <w:color w:val="auto"/>
              </w:rPr>
            </w:pPr>
          </w:p>
        </w:tc>
      </w:tr>
      <w:tr>
        <w:trPr>
          <w:trHeight w:val="153"/>
        </w:trPr>
        <w:tc>
          <w:tcPr>
            <w:tcW w:w="7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3"/>
              <w:spacing w:after="0" w:line="153" w:lineRule="exact"/>
              <w:rPr>
                <w:sz w:val="20"/>
                <w:szCs w:val="20"/>
                <w:color w:val="auto"/>
              </w:rPr>
            </w:pPr>
            <w:r>
              <w:rPr>
                <w:rFonts w:ascii="Arial" w:cs="Arial" w:eastAsia="Arial" w:hAnsi="Arial"/>
                <w:sz w:val="14"/>
                <w:szCs w:val="14"/>
                <w:b w:val="1"/>
                <w:bCs w:val="1"/>
                <w:color w:val="auto"/>
              </w:rPr>
              <w:t>2018</w:t>
            </w: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Inventory, accruals and reserves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1,118</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1,316</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Interest deduction carry-forward</w:t>
            </w:r>
          </w:p>
        </w:tc>
        <w:tc>
          <w:tcPr>
            <w:tcW w:w="96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Federal and state operating loss carry-forwards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22,909</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21,333</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96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1,939</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402</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Intangible assets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154</w:t>
            </w:r>
          </w:p>
        </w:tc>
      </w:tr>
      <w:tr>
        <w:trPr>
          <w:trHeight w:val="25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(25,386)</w:t>
            </w:r>
          </w:p>
        </w:tc>
        <w:tc>
          <w:tcPr>
            <w:tcW w:w="18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(23,803)</w:t>
            </w:r>
          </w:p>
        </w:tc>
      </w:tr>
      <w:tr>
        <w:trPr>
          <w:trHeight w:val="20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net deferred tax assets</w:t>
            </w: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r>
      <w:tr>
        <w:trPr>
          <w:trHeight w:val="20"/>
        </w:trPr>
        <w:tc>
          <w:tcPr>
            <w:tcW w:w="78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 Tax Cut and Jobs Act ("Act") was enacted December 22, 2017. The Act significantly changes U.S tax law by, among other things, reducing the U.S. federal corporate tax rate from 35% to 21%, imposing a one-time transition tax on earnings of certain foreign subsidiaries that were previously tax deferred, and creating new taxes on certain foreign sourced earnings.</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to address accounting for income tax effects of the Tax Reform Act. At March 31, 2018, Orion had not completed its accounting for the tax effects of enactment of the Act; however, as described below, Orion had made a reasonable estimate of the effects on its existing deferred tax balances and the one-time transition tax.</w:t>
      </w:r>
    </w:p>
    <w:p>
      <w:pPr>
        <w:spacing w:after="0" w:line="188" w:lineRule="exact"/>
        <w:rPr>
          <w:sz w:val="20"/>
          <w:szCs w:val="20"/>
          <w:color w:val="auto"/>
        </w:rPr>
      </w:pPr>
    </w:p>
    <w:p>
      <w:pPr>
        <w:jc w:val="both"/>
        <w:ind w:firstLine="507"/>
        <w:spacing w:after="0" w:line="273" w:lineRule="auto"/>
        <w:rPr>
          <w:sz w:val="20"/>
          <w:szCs w:val="20"/>
          <w:color w:val="auto"/>
        </w:rPr>
      </w:pPr>
      <w:r>
        <w:rPr>
          <w:rFonts w:ascii="Arial" w:cs="Arial" w:eastAsia="Arial" w:hAnsi="Arial"/>
          <w:sz w:val="17"/>
          <w:szCs w:val="17"/>
          <w:color w:val="auto"/>
        </w:rPr>
        <w:t>Orion remeasured its deferred tax assets based on the rates at which they are expected to reverse in the future, which is generally the 21% federal corporate tax rate. The provisional amount recorded related to the remeasurement of its deferred tax balance decreased deferred tax assets by $9.9 million in fiscal 2018. Substantially all of this decrease to deferred tax assets was offset by a corresponding decrease to the valuation allowance. There was no impact on the prior year income tax expense for the federal corporate tax rate change due to Orion's prior year taxable loss.</w:t>
      </w:r>
    </w:p>
    <w:p>
      <w:pPr>
        <w:spacing w:after="0" w:line="177" w:lineRule="exact"/>
        <w:rPr>
          <w:sz w:val="20"/>
          <w:szCs w:val="20"/>
          <w:color w:val="auto"/>
        </w:rPr>
      </w:pPr>
    </w:p>
    <w:p>
      <w:pPr>
        <w:jc w:val="both"/>
        <w:ind w:firstLine="507"/>
        <w:spacing w:after="0" w:line="304" w:lineRule="auto"/>
        <w:rPr>
          <w:sz w:val="20"/>
          <w:szCs w:val="20"/>
          <w:color w:val="auto"/>
        </w:rPr>
      </w:pPr>
      <w:r>
        <w:rPr>
          <w:rFonts w:ascii="Arial" w:cs="Arial" w:eastAsia="Arial" w:hAnsi="Arial"/>
          <w:sz w:val="16"/>
          <w:szCs w:val="16"/>
          <w:color w:val="auto"/>
        </w:rPr>
        <w:t>The Act also required companies to pay a one-time transition tax on Orion's total post-1986 earnings and profits ("E&amp;P") of its foreign subsidiary that were previously tax deferred from US income taxes. Since Orion's foreign subsidiary had negative E&amp;P, the company estimated there was no transition tax to be reported in income tax expense. As of December 31, 2018, Orion did not adjust its estimates and considered all changes due to the Act final.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jc w:val="both"/>
        <w:ind w:firstLine="507"/>
        <w:spacing w:after="0" w:line="267" w:lineRule="auto"/>
        <w:rPr>
          <w:sz w:val="20"/>
          <w:szCs w:val="20"/>
          <w:color w:val="auto"/>
        </w:rPr>
      </w:pPr>
      <w:r>
        <w:rPr>
          <w:rFonts w:ascii="Arial" w:cs="Arial" w:eastAsia="Arial" w:hAnsi="Arial"/>
          <w:sz w:val="17"/>
          <w:szCs w:val="17"/>
          <w:color w:val="auto"/>
        </w:rPr>
        <w:t xml:space="preserve">As of March 31, 2019, Orion has federal net operating loss carryforwards of approximately $88.1 million, and state net operating loss carry-forwards of approximately $74.1 million. Upon adoption of ASU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in the prior fiscal year, the federal and state loss carryforwards associated with historic exercises of NQSOs have been recorded as</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Orion also has federal tax credit carry-forwards of approximately $1.3 million and state tax credits of $0.8 million. All of Orion's tax credit carry-forwards and $155.1 million of its net operating loss carry-forwards will begin to expire in varying amounts between 2020 and 2039. The remaining $7.1 million of its federal and state loss carry-forwards are not subject to time restrictions but may only be used to offset 80% of adjusted taxable income. Additionally, Orion has approximately $0.5 million of interest expense carry-forward that is not subject to time restrictions but subject to a 30% adjusted taxable income limitation. All of its carry-forwards are offset by a valuation allowance</w:t>
      </w:r>
    </w:p>
    <w:p>
      <w:pPr>
        <w:spacing w:after="0" w:line="181"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For the fiscal year ended March 31, 2019, Orion has recorded a valuation allowance of $25.4 million against its net deferred tax assets due to the uncertainty of its realization value in the future. For the fiscal year ended March 31, 2019, the valuation allowance against Orion's net federal and net state deferred tax assets increased $1.6 million, primarily due to the current year loss. For the fiscal year ended March 31, 2018, the valuation allowance decreased $6.8 million, primarily because of the reduction in the corporate tax rate.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17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net operating loss carry-forwards that occurred for fiscal 2019, fiscal 2018, or fiscal 2017.</w:t>
      </w:r>
    </w:p>
    <w:p>
      <w:pPr>
        <w:spacing w:after="0" w:line="193"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6"/>
          <w:szCs w:val="16"/>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62"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 files income tax returns in the United States federal jurisdiction and in several state jurisdictions. The Company's federal tax returns for tax years beginning April 1, 2015 or later are open. For states in which Orion files state income tax returns, the statute of limitations is generally open for tax years ended March 31, 2015 and forward.</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As of March 31, 2019, the balance of gross unrecognized tax benefits was approximately $0.1 million, all of which would affect Orion’s effective tax rate if recognized.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5" w:name="page76"/>
    <w:bookmarkEnd w:id="75"/>
    <w:p>
      <w:pPr>
        <w:jc w:val="both"/>
        <w:ind w:firstLine="507"/>
        <w:spacing w:after="0" w:line="279" w:lineRule="auto"/>
        <w:rPr>
          <w:sz w:val="20"/>
          <w:szCs w:val="20"/>
          <w:color w:val="auto"/>
        </w:rPr>
      </w:pPr>
      <w:r>
        <w:rPr>
          <w:rFonts w:ascii="Arial" w:cs="Arial" w:eastAsia="Arial" w:hAnsi="Arial"/>
          <w:sz w:val="17"/>
          <w:szCs w:val="17"/>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Orion had the following unrecognized tax benefit activity (dollars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Fiscal Year Ended March 31,</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3"/>
        </w:trPr>
        <w:tc>
          <w:tcPr>
            <w:tcW w:w="67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3" w:lineRule="exact"/>
              <w:rPr>
                <w:sz w:val="20"/>
                <w:szCs w:val="20"/>
                <w:color w:val="auto"/>
              </w:rPr>
            </w:pPr>
            <w:r>
              <w:rPr>
                <w:rFonts w:ascii="Arial" w:cs="Arial" w:eastAsia="Arial" w:hAnsi="Arial"/>
                <w:sz w:val="14"/>
                <w:szCs w:val="14"/>
                <w:b w:val="1"/>
                <w:bCs w:val="1"/>
                <w:color w:val="auto"/>
              </w:rPr>
              <w:t>2017</w:t>
            </w:r>
          </w:p>
        </w:tc>
      </w:tr>
      <w:tr>
        <w:trPr>
          <w:trHeight w:val="22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as of beginning of fiscal year</w:t>
            </w: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227</w:t>
            </w:r>
          </w:p>
        </w:tc>
      </w:tr>
      <w:tr>
        <w:trPr>
          <w:trHeight w:val="226"/>
        </w:trPr>
        <w:tc>
          <w:tcPr>
            <w:tcW w:w="67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w:t>
            </w: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Additions/(Reductions) for tax positions of prior years</w:t>
            </w: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r>
      <w:tr>
        <w:trPr>
          <w:trHeight w:val="219"/>
        </w:trPr>
        <w:tc>
          <w:tcPr>
            <w:tcW w:w="6760" w:type="dxa"/>
            <w:vAlign w:val="bottom"/>
          </w:tcPr>
          <w:p>
            <w:pPr>
              <w:spacing w:after="0"/>
              <w:rPr>
                <w:sz w:val="20"/>
                <w:szCs w:val="20"/>
                <w:color w:val="auto"/>
              </w:rPr>
            </w:pPr>
            <w:r>
              <w:rPr>
                <w:rFonts w:ascii="Arial" w:cs="Arial" w:eastAsia="Arial" w:hAnsi="Arial"/>
                <w:sz w:val="18"/>
                <w:szCs w:val="18"/>
                <w:color w:val="auto"/>
              </w:rPr>
              <w:t>Unrecognized tax benefits as of end of fiscal year</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113</w:t>
            </w:r>
          </w:p>
        </w:tc>
      </w:tr>
      <w:tr>
        <w:trPr>
          <w:trHeight w:val="20"/>
        </w:trPr>
        <w:tc>
          <w:tcPr>
            <w:tcW w:w="6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2021. Rent expense under operating leases was $0.7, $0.9 and $0.9 for fiscal 2019, 2018 and 2017, respectively. Total annual commitments under non-cancelable operating leases with terms in excess of one year at March 31, 2019 are as follows (dollars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Fiscal 2020</w:t>
            </w:r>
          </w:p>
        </w:tc>
        <w:tc>
          <w:tcPr>
            <w:tcW w:w="514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506</w:t>
            </w:r>
          </w:p>
        </w:tc>
      </w:tr>
      <w:tr>
        <w:trPr>
          <w:trHeight w:val="226"/>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Fiscal 2021</w:t>
            </w:r>
          </w:p>
        </w:tc>
        <w:tc>
          <w:tcPr>
            <w:tcW w:w="4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323</w:t>
            </w:r>
          </w:p>
        </w:tc>
      </w:tr>
      <w:tr>
        <w:trPr>
          <w:trHeight w:val="220"/>
        </w:trPr>
        <w:tc>
          <w:tcPr>
            <w:tcW w:w="5120" w:type="dxa"/>
            <w:vAlign w:val="bottom"/>
            <w:shd w:val="clear" w:color="auto" w:fill="CFF0FC"/>
          </w:tcPr>
          <w:p>
            <w:pPr>
              <w:spacing w:after="0"/>
              <w:rPr>
                <w:sz w:val="19"/>
                <w:szCs w:val="19"/>
                <w:color w:val="auto"/>
              </w:rPr>
            </w:pPr>
          </w:p>
        </w:tc>
        <w:tc>
          <w:tcPr>
            <w:tcW w:w="514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829</w:t>
            </w: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On April 28, 2017, Orion renewed the lease for its Jacksonville, Florida office space for an additional three-year term with annual rent expense of approximately $0.1 million.</w:t>
      </w:r>
    </w:p>
    <w:p>
      <w:pPr>
        <w:spacing w:after="0" w:line="180" w:lineRule="exact"/>
        <w:rPr>
          <w:sz w:val="20"/>
          <w:szCs w:val="20"/>
          <w:color w:val="auto"/>
        </w:rPr>
      </w:pPr>
    </w:p>
    <w:p>
      <w:pPr>
        <w:jc w:val="both"/>
        <w:ind w:firstLine="507"/>
        <w:spacing w:after="0" w:line="291" w:lineRule="auto"/>
        <w:rPr>
          <w:sz w:val="20"/>
          <w:szCs w:val="20"/>
          <w:color w:val="auto"/>
        </w:rPr>
      </w:pPr>
      <w:r>
        <w:rPr>
          <w:rFonts w:ascii="Arial" w:cs="Arial" w:eastAsia="Arial" w:hAnsi="Arial"/>
          <w:sz w:val="16"/>
          <w:szCs w:val="16"/>
          <w:color w:val="auto"/>
        </w:rPr>
        <w:t>On March 31, 2016, Orion entered into a purchase and sale agreement ("Agreement") with third party to sell and leaseback Orion's manufacturing and distribution facility for gross cash proceeds of $2.6 million. The transaction closed on June 30, 2016. Pursuant to the Agreement, a lease was entered into on June 30, 2016, in which Orion is leasing approximately 197,000 square feet of the building for not less than three years, with rent at $2.00 per square foot per annum. Orion's monthly payment under this lease is approximately $33,000. The lease contains options by either party to reduce the amount of leased space after March 1, 2017. On March 22, 2018, both parties agreed to extend the lease until December 31, 2020. Annual rent expense is approximately $0.4 million.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3" w:lineRule="exact"/>
        <w:rPr>
          <w:sz w:val="20"/>
          <w:szCs w:val="20"/>
          <w:color w:val="auto"/>
        </w:rPr>
      </w:pPr>
    </w:p>
    <w:p>
      <w:pPr>
        <w:jc w:val="both"/>
        <w:ind w:firstLine="507"/>
        <w:spacing w:after="0" w:line="297" w:lineRule="auto"/>
        <w:rPr>
          <w:sz w:val="20"/>
          <w:szCs w:val="20"/>
          <w:color w:val="auto"/>
        </w:rPr>
      </w:pPr>
      <w:r>
        <w:rPr>
          <w:rFonts w:ascii="Arial" w:cs="Arial" w:eastAsia="Arial" w:hAnsi="Arial"/>
          <w:sz w:val="17"/>
          <w:szCs w:val="17"/>
          <w:color w:val="auto"/>
        </w:rPr>
        <w:t>Orion enters into non-cancellable purchase commitments for certain inventory items in order to secure better pricing and ensure materials on hand. As of March 31, 2019, Orion had entered into $13.6 million of purchase commitments related to fiscal 2020 for inventory purchases.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2019, 2018 and 2017, Orion made matching contributions of approximately $9 thousand in each of those fiscal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is a party to the proceedings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6" w:name="page77"/>
    <w:bookmarkEnd w:id="76"/>
    <w:p>
      <w:pPr>
        <w:jc w:val="both"/>
        <w:ind w:firstLine="507"/>
        <w:spacing w:after="0" w:line="269" w:lineRule="auto"/>
        <w:rPr>
          <w:sz w:val="20"/>
          <w:szCs w:val="20"/>
          <w:color w:val="auto"/>
        </w:rPr>
      </w:pPr>
      <w:r>
        <w:rPr>
          <w:rFonts w:ascii="Arial" w:cs="Arial" w:eastAsia="Arial" w:hAnsi="Arial"/>
          <w:sz w:val="17"/>
          <w:szCs w:val="17"/>
          <w:color w:val="auto"/>
        </w:rPr>
        <w:t>On November 10, 2017, a purported shareholder, Stephen Narten, filed a civil lawsuit in the Circuit Court for Manitowoc County against those individuals who served on Orion's board of directors during fiscal years 2015, 2016, and 2017 and certain current and former officers during the same period. The plaintiff, who purported to bring the suit derivatively on behalf of Orion, alleged that the director defendants breached their fiduciary duties in connection with granting certain stock-based incentive awards under Orion's 2004 Stock and Incentive Awards Plan and that the directors and current and former officers breached their fiduciary duties by accepting those awards. During the first quarter of fiscal 2019, the parties reached a settlement of the claims and the case was dismissed. The settlement did not have a material impact on Orion's results of operations, cash flows or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1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In June 2016, Orion negotiated a settlement with the Wisconsin Department of Revenue with respect to an assessment regarding the proper classification of its products for tax purposes under Wisconsin law for $0.5 million.</w:t>
      </w:r>
    </w:p>
    <w:p>
      <w:pPr>
        <w:spacing w:after="0" w:line="180"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During fiscal year 2018, Orion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consolidated balance sheet, statements of operations, or liquidity.</w:t>
      </w:r>
    </w:p>
    <w:p>
      <w:pPr>
        <w:spacing w:after="0" w:line="191"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During fiscal 2019, Orion was notified of a pending sales and use tax audit by the California Department of Tax and Fee Administration for the period covering April 1, 2015 through March 31, 2018. Although the final resolution of Orion’s sales and use tax audit is uncertain, based on current information, in the opinion of Orion’s management, the ultimate disposition of these matters will not have a material adverse effect on Orion’s consolidated balance sheets, statement of operations, or liquidity.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Treasury Stock</w:t>
      </w:r>
    </w:p>
    <w:p>
      <w:pPr>
        <w:spacing w:after="0" w:line="113"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In October 2011, Orion’s Board of Directors approved a share repurchase program authorizing Orion to repurchase in aggregate up to a maximum of $1,000,000 of Orion’s outstanding common stock. In November 2011, Orion’s Board of Directors approved an increase to the share repurchase program authorizing Orion to repurchase in aggregate up to a maximum of $2,500,000 of Orion’s outstanding common stock. In April 2012, Orion's Board approved another increase to the share repurchase program authorizing Orion to repurchase in aggregate up to a maximum of $7,500,000 of Orion's outstanding common stock. As of March 31, 2019, Orion had repurchased 3,022,349 shares of common stock at a cost of $6.8 million under the program. Orion did not repurchase any shares in fiscal 2019, fiscal 2018 or fiscal 2017 and does not intend to repurchase any additional common stock under this program in the near-term.</w:t>
      </w:r>
    </w:p>
    <w:p>
      <w:pPr>
        <w:spacing w:after="0" w:line="16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In prior years, Orion issued loans to non-executive employees to purchase shares of its stock. The loan program has been discontinued and new loans are no longer issued. As of March 31, 2017, $4 thousand of such loans remained outstanding and were reflected on Orion’s balance sheet as a contra-equity account. During the quarter ended June 30, 2017, Orion entered into agreements with the counterparties to these loans. In exchange for the forgiveness of their outstanding loan balance, the employees returned their shares to Orion. As a result of this transaction, 1,230 shares were recorded within treasury stock and the loan balances have been eliminated.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13"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On January 3, 2019, Orion entered into Amendment No. 1 to the Rights Agreement, which amends the Rights Agreement dated as of January 7, 2009. Under the amendment, each common share purchase right, if exercisable, will initially represent the right to purchase from Orion, one share of Orion’s common stock, no par value per share, for a purchase price of $7.00 per share.</w:t>
      </w:r>
    </w:p>
    <w:p>
      <w:pPr>
        <w:spacing w:after="0" w:line="188"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intention to make, a tender offer or exchange offer that would result in any such person or group of persons acquiring such beneficial ownership.</w:t>
      </w:r>
    </w:p>
    <w:p>
      <w:pPr>
        <w:spacing w:after="0" w:line="231" w:lineRule="exact"/>
        <w:rPr>
          <w:sz w:val="20"/>
          <w:szCs w:val="20"/>
          <w:color w:val="auto"/>
        </w:rPr>
      </w:pPr>
    </w:p>
    <w:p>
      <w:pPr>
        <w:jc w:val="both"/>
        <w:ind w:firstLine="507"/>
        <w:spacing w:after="0" w:line="288"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6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3" w:lineRule="exact"/>
        <w:rPr>
          <w:sz w:val="20"/>
          <w:szCs w:val="20"/>
          <w:color w:val="auto"/>
        </w:rPr>
      </w:pPr>
    </w:p>
    <w:p>
      <w:pPr>
        <w:jc w:val="both"/>
        <w:ind w:firstLine="507"/>
        <w:spacing w:after="0" w:line="269" w:lineRule="auto"/>
        <w:rPr>
          <w:sz w:val="20"/>
          <w:szCs w:val="20"/>
          <w:color w:val="auto"/>
        </w:rPr>
      </w:pPr>
      <w:r>
        <w:rPr>
          <w:rFonts w:ascii="Arial" w:cs="Arial" w:eastAsia="Arial" w:hAnsi="Arial"/>
          <w:sz w:val="17"/>
          <w:szCs w:val="17"/>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 In prior years, Orion issued loans to non-executive employees to purchase shares of its stock. The loan program has been discontinued and new loans are no longer issued. Orion had the following shares issued from treasury during fiscal 2019 and fiscal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March 31, 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28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88"/>
              </w:rPr>
              <w:t>Shares Issued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5"/>
              </w:rPr>
              <w:t>Closing Market</w:t>
            </w:r>
          </w:p>
        </w:tc>
        <w:tc>
          <w:tcPr>
            <w:tcW w:w="140" w:type="dxa"/>
            <w:vAlign w:val="bottom"/>
          </w:tcPr>
          <w:p>
            <w:pPr>
              <w:spacing w:after="0"/>
              <w:rPr>
                <w:sz w:val="11"/>
                <w:szCs w:val="11"/>
                <w:color w:val="auto"/>
              </w:rPr>
            </w:pPr>
          </w:p>
        </w:tc>
        <w:tc>
          <w:tcPr>
            <w:tcW w:w="128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88"/>
              </w:rPr>
              <w:t>Shares Issued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Dollar Value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Settlement of</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128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2"/>
              </w:rPr>
              <w:t>Under ESPP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8"/>
              <w:spacing w:after="0" w:line="147" w:lineRule="exact"/>
              <w:rPr>
                <w:sz w:val="20"/>
                <w:szCs w:val="20"/>
                <w:color w:val="auto"/>
              </w:rPr>
            </w:pPr>
            <w:r>
              <w:rPr>
                <w:rFonts w:ascii="Arial" w:cs="Arial" w:eastAsia="Arial" w:hAnsi="Arial"/>
                <w:sz w:val="14"/>
                <w:szCs w:val="14"/>
                <w:b w:val="1"/>
                <w:bCs w:val="1"/>
                <w:color w:val="auto"/>
                <w:w w:val="95"/>
              </w:rPr>
              <w:t>Under Loan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Program</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Loans Issued</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2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2019</w:t>
            </w:r>
          </w:p>
        </w:tc>
        <w:tc>
          <w:tcPr>
            <w:tcW w:w="1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1,581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Quarter Ended December 31, 2018</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1,708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19"/>
                <w:szCs w:val="19"/>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Quarter Ended September 30, 2018</w:t>
            </w:r>
          </w:p>
        </w:tc>
        <w:tc>
          <w:tcPr>
            <w:tcW w:w="1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938</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Quarter Ended June 30, 2018</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415</w:t>
            </w:r>
          </w:p>
        </w:tc>
        <w:tc>
          <w:tcPr>
            <w:tcW w:w="2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4,642</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0.57 - 1.10</w:t>
            </w:r>
          </w:p>
        </w:tc>
        <w:tc>
          <w:tcPr>
            <w:tcW w:w="1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3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March 31, 2018</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28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88"/>
              </w:rPr>
              <w:t>Shares Issued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5"/>
              </w:rPr>
              <w:t>Closing Market</w:t>
            </w:r>
          </w:p>
        </w:tc>
        <w:tc>
          <w:tcPr>
            <w:tcW w:w="140" w:type="dxa"/>
            <w:vAlign w:val="bottom"/>
          </w:tcPr>
          <w:p>
            <w:pPr>
              <w:spacing w:after="0"/>
              <w:rPr>
                <w:sz w:val="11"/>
                <w:szCs w:val="11"/>
                <w:color w:val="auto"/>
              </w:rPr>
            </w:pPr>
          </w:p>
        </w:tc>
        <w:tc>
          <w:tcPr>
            <w:tcW w:w="128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88"/>
              </w:rPr>
              <w:t>Shares Issued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Dollar Value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Settlement of</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128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2"/>
              </w:rPr>
              <w:t>Under ESPP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8"/>
              <w:spacing w:after="0" w:line="147" w:lineRule="exact"/>
              <w:rPr>
                <w:sz w:val="20"/>
                <w:szCs w:val="20"/>
                <w:color w:val="auto"/>
              </w:rPr>
            </w:pPr>
            <w:r>
              <w:rPr>
                <w:rFonts w:ascii="Arial" w:cs="Arial" w:eastAsia="Arial" w:hAnsi="Arial"/>
                <w:sz w:val="14"/>
                <w:szCs w:val="14"/>
                <w:b w:val="1"/>
                <w:bCs w:val="1"/>
                <w:color w:val="auto"/>
                <w:w w:val="95"/>
              </w:rPr>
              <w:t>Under Loan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Program</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Loans Issued</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2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2018</w:t>
            </w:r>
          </w:p>
        </w:tc>
        <w:tc>
          <w:tcPr>
            <w:tcW w:w="1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1,780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0.85</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Quarter Ended December 31, 2017</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3,446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0.88</w:t>
            </w:r>
          </w:p>
        </w:tc>
        <w:tc>
          <w:tcPr>
            <w:tcW w:w="140" w:type="dxa"/>
            <w:vAlign w:val="bottom"/>
          </w:tcPr>
          <w:p>
            <w:pPr>
              <w:spacing w:after="0"/>
              <w:rPr>
                <w:sz w:val="19"/>
                <w:szCs w:val="19"/>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Quarter Ended September 30, 2017</w:t>
            </w:r>
          </w:p>
        </w:tc>
        <w:tc>
          <w:tcPr>
            <w:tcW w:w="1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2,681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Quarter Ended June 30, 2017</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2,150</w:t>
            </w:r>
          </w:p>
        </w:tc>
        <w:tc>
          <w:tcPr>
            <w:tcW w:w="2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10,057</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0.85 - 1.28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As of March 31, 2017, $4 thousand of such loans remained outstanding and were reflected on Orion’s balance sheet as a contra-equity account. During fiscal 2018, Orion entered into agreements with the counterparties to these loans. In exchange for the forgiveness of their outstanding loan balance, the employees returned their shares to Orion. As a result of these transactions, 1,230 shares were recorded within treasury stock and the loan balances were eliminated.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 OPTIONS AND RESTRICTED SHARES</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8" w:name="page79"/>
    <w:bookmarkEnd w:id="78"/>
    <w:p>
      <w:pPr>
        <w:jc w:val="both"/>
        <w:ind w:right="20"/>
        <w:spacing w:after="0" w:line="257" w:lineRule="auto"/>
        <w:rPr>
          <w:sz w:val="20"/>
          <w:szCs w:val="20"/>
          <w:color w:val="auto"/>
        </w:rPr>
      </w:pPr>
      <w:r>
        <w:rPr>
          <w:rFonts w:ascii="Arial" w:cs="Arial" w:eastAsia="Arial" w:hAnsi="Arial"/>
          <w:sz w:val="18"/>
          <w:szCs w:val="18"/>
          <w:color w:val="auto"/>
        </w:rPr>
        <w:t>rights, performance shares, performance units, shares of Orion's common stock ("Common Stock"), restricted stock, restricted stock units, incentive awards or dividend equivalent units. An aggregate of 1,750,000 shares of Common Stock are reserved for issuance under the Plan. As of March 31, 2019, the number of shares available for grant under the plans were 107,860.</w:t>
      </w:r>
    </w:p>
    <w:p>
      <w:pPr>
        <w:spacing w:after="0" w:line="188" w:lineRule="exact"/>
        <w:rPr>
          <w:sz w:val="20"/>
          <w:szCs w:val="20"/>
          <w:color w:val="auto"/>
        </w:rPr>
      </w:pPr>
    </w:p>
    <w:p>
      <w:pPr>
        <w:jc w:val="both"/>
        <w:ind w:right="20" w:firstLine="507"/>
        <w:spacing w:after="0" w:line="273" w:lineRule="auto"/>
        <w:rPr>
          <w:sz w:val="20"/>
          <w:szCs w:val="20"/>
          <w:color w:val="auto"/>
        </w:rPr>
      </w:pPr>
      <w:r>
        <w:rPr>
          <w:rFonts w:ascii="Arial" w:cs="Arial" w:eastAsia="Arial" w:hAnsi="Arial"/>
          <w:sz w:val="17"/>
          <w:szCs w:val="17"/>
          <w:color w:val="auto"/>
        </w:rPr>
        <w:t>Prior to shareholder approval of the Plan, the Company maintained its 2004 Stock and Incentive Awards Plan, as amended, which authorized the grant of cash and equity awards to employees (the “Former Plan”). No new awards will be granted under the Former Plan, however, all awards granted under the Former Plan that were outstanding as of August 3, 2016 will continue to be governed by the Former Plan. Forfeited awards originally issued under the Former Plan are canceled and are not available for subsequent issuance under the 2016 Omnibus Plan.</w:t>
      </w:r>
    </w:p>
    <w:p>
      <w:pPr>
        <w:spacing w:after="0" w:line="177" w:lineRule="exact"/>
        <w:rPr>
          <w:sz w:val="20"/>
          <w:szCs w:val="20"/>
          <w:color w:val="auto"/>
        </w:rPr>
      </w:pPr>
    </w:p>
    <w:p>
      <w:pPr>
        <w:jc w:val="both"/>
        <w:ind w:right="20" w:firstLine="507"/>
        <w:spacing w:after="0" w:line="257"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Plan and the Former Plan also permit accelerated vesting in the event of certain changes of control of Orion as well as under other special circumstances.</w:t>
      </w:r>
    </w:p>
    <w:p>
      <w:pPr>
        <w:spacing w:after="0" w:line="188"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Orion historically granted stock options and restricted stock under the Former Plan. Orion has not issued stock options since fiscal 2014 and instead has issued restricted stock.</w:t>
      </w:r>
    </w:p>
    <w:p>
      <w:pPr>
        <w:spacing w:after="0" w:line="180" w:lineRule="exact"/>
        <w:rPr>
          <w:sz w:val="20"/>
          <w:szCs w:val="20"/>
          <w:color w:val="auto"/>
        </w:rPr>
      </w:pPr>
    </w:p>
    <w:p>
      <w:pPr>
        <w:jc w:val="both"/>
        <w:ind w:right="20" w:firstLine="507"/>
        <w:spacing w:after="0" w:line="257"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w:t>
      </w:r>
    </w:p>
    <w:p>
      <w:pPr>
        <w:spacing w:after="0" w:line="188" w:lineRule="exact"/>
        <w:rPr>
          <w:sz w:val="20"/>
          <w:szCs w:val="20"/>
          <w:color w:val="auto"/>
        </w:rPr>
      </w:pPr>
    </w:p>
    <w:p>
      <w:pPr>
        <w:jc w:val="both"/>
        <w:ind w:right="20" w:firstLine="507"/>
        <w:spacing w:after="0" w:line="254" w:lineRule="auto"/>
        <w:rPr>
          <w:sz w:val="20"/>
          <w:szCs w:val="20"/>
          <w:color w:val="auto"/>
        </w:rPr>
      </w:pPr>
      <w:r>
        <w:rPr>
          <w:rFonts w:ascii="Arial" w:cs="Arial" w:eastAsia="Arial" w:hAnsi="Arial"/>
          <w:sz w:val="18"/>
          <w:szCs w:val="18"/>
          <w:color w:val="auto"/>
        </w:rPr>
        <w:t>In fiscal 2019, an aggregate of 529,000 restricted shares were granted valued at a price per share between $0.84 and $1.00, which was the closing market price as of each grant date. In fiscal 2018, an aggregate of 730,410 restricted shares were granted valued at a price per share between $0.88 and $1.95, which was the closing market price as of each grant date. In fiscal 2017, an aggregate of 1,132,392 restricted shares were granted valued at a price per share between $1.35 and $2.22, which was the closing market price as of each grant date.</w:t>
      </w:r>
    </w:p>
    <w:p>
      <w:pPr>
        <w:spacing w:after="0" w:line="191" w:lineRule="exact"/>
        <w:rPr>
          <w:sz w:val="20"/>
          <w:szCs w:val="20"/>
          <w:color w:val="auto"/>
        </w:rPr>
      </w:pPr>
    </w:p>
    <w:p>
      <w:pPr>
        <w:jc w:val="both"/>
        <w:ind w:right="20" w:firstLine="507"/>
        <w:spacing w:after="0" w:line="252" w:lineRule="auto"/>
        <w:rPr>
          <w:sz w:val="20"/>
          <w:szCs w:val="20"/>
          <w:color w:val="auto"/>
        </w:rPr>
      </w:pPr>
      <w:r>
        <w:rPr>
          <w:rFonts w:ascii="Arial" w:cs="Arial" w:eastAsia="Arial" w:hAnsi="Arial"/>
          <w:sz w:val="18"/>
          <w:szCs w:val="18"/>
          <w:color w:val="auto"/>
        </w:rPr>
        <w:t>In fiscal 2018, Orion granted 24,747 shares from the 2004 Stock and Incentive Awards Plan and the 2016 Omnibus Incentive Plan to certain non-employee directors who elected to receive stock awards in lieu of cash compensation. The shares were valued ranging from $0.80 to $1.28 per share, the closing market price as of the issuance dates. In fiscal 2017, Orion granted 53,501 shares from the 2004 Stock and Incentive Awards Plan to certain non-employee directors who elected to receive stock awards in lieu of cash compensation. The shares were valued ranging from $1.38 to $1.85 per share, the closing market price as of the issuance dates.</w:t>
      </w:r>
    </w:p>
    <w:p>
      <w:pPr>
        <w:spacing w:after="0" w:line="193" w:lineRule="exact"/>
        <w:rPr>
          <w:sz w:val="20"/>
          <w:szCs w:val="20"/>
          <w:color w:val="auto"/>
        </w:rPr>
      </w:pPr>
    </w:p>
    <w:p>
      <w:pPr>
        <w:jc w:val="both"/>
        <w:ind w:right="20" w:firstLine="507"/>
        <w:spacing w:after="0" w:line="349" w:lineRule="auto"/>
        <w:rPr>
          <w:sz w:val="20"/>
          <w:szCs w:val="20"/>
          <w:color w:val="auto"/>
        </w:rPr>
      </w:pPr>
      <w:r>
        <w:rPr>
          <w:rFonts w:ascii="Arial" w:cs="Arial" w:eastAsia="Arial" w:hAnsi="Arial"/>
          <w:sz w:val="14"/>
          <w:szCs w:val="14"/>
          <w:color w:val="auto"/>
        </w:rPr>
        <w:t>On June 7, 2016, Orion issued and sold 57,065 shares of its common stock to an executive. On August 5, 2016, Orion sold an aggregate of 63,381 shares of its common stock, in equal amounts, to three recently retired members of Orion's board of directors. In each case above, the purchase price for the shares was calculated based on the closing price of Orion's common stock on the NASDAQ Capital Market of the date of the issuance. The shares of common stock were offered and sold pursuant to an exemption from the registration requirements of the Securities Act of 1933, as amended, pursuant to Section 4(2) and Rule 701.</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amounts of stock-based compensation expense for restricted shares and options were recorded (dollars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Fiscal Year Ended March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390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8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80" w:type="dxa"/>
            <w:vAlign w:val="bottom"/>
          </w:tcPr>
          <w:p>
            <w:pPr>
              <w:spacing w:after="0"/>
              <w:rPr>
                <w:sz w:val="20"/>
                <w:szCs w:val="20"/>
                <w:color w:val="auto"/>
              </w:rPr>
            </w:pPr>
            <w:r>
              <w:rPr>
                <w:rFonts w:ascii="Arial" w:cs="Arial" w:eastAsia="Arial" w:hAnsi="Arial"/>
                <w:sz w:val="18"/>
                <w:szCs w:val="18"/>
                <w:color w:val="auto"/>
              </w:rPr>
              <w:t>Sales and marketing</w:t>
            </w:r>
          </w:p>
        </w:tc>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9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390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825</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980" w:type="dxa"/>
            <w:vAlign w:val="bottom"/>
            <w:vMerge w:val="restart"/>
          </w:tcPr>
          <w:p>
            <w:pPr>
              <w:jc w:val="right"/>
              <w:ind w:right="871"/>
              <w:spacing w:after="0"/>
              <w:rPr>
                <w:sz w:val="20"/>
                <w:szCs w:val="20"/>
                <w:color w:val="auto"/>
              </w:rPr>
            </w:pPr>
            <w:r>
              <w:rPr>
                <w:rFonts w:ascii="Arial" w:cs="Arial" w:eastAsia="Arial" w:hAnsi="Arial"/>
                <w:sz w:val="18"/>
                <w:szCs w:val="18"/>
                <w:color w:val="auto"/>
              </w:rPr>
              <w:t>80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37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color w:val="auto"/>
        </w:rPr>
        <w:t>The following table summarizes information with respect to outstanding stock options: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33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7860" w:type="dxa"/>
            <w:vAlign w:val="bottom"/>
          </w:tcPr>
          <w:p>
            <w:pPr>
              <w:spacing w:after="0"/>
              <w:rPr>
                <w:sz w:val="12"/>
                <w:szCs w:val="12"/>
                <w:color w:val="auto"/>
              </w:rPr>
            </w:pPr>
          </w:p>
        </w:tc>
        <w:tc>
          <w:tcPr>
            <w:tcW w:w="16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335"/>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7"/>
        </w:trPr>
        <w:tc>
          <w:tcPr>
            <w:tcW w:w="78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335"/>
              <w:spacing w:after="0" w:line="147"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2016</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2,017,046</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(416,093)</w:t>
            </w:r>
          </w:p>
        </w:tc>
        <w:tc>
          <w:tcPr>
            <w:tcW w:w="4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1"/>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2017</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1,520,953</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(891,286)</w:t>
            </w:r>
          </w:p>
        </w:tc>
        <w:tc>
          <w:tcPr>
            <w:tcW w:w="4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1"/>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2018</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629,667</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(161,831)</w:t>
            </w:r>
          </w:p>
        </w:tc>
        <w:tc>
          <w:tcPr>
            <w:tcW w:w="4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1"/>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467,836</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8"/>
                <w:szCs w:val="18"/>
                <w:color w:val="auto"/>
              </w:rPr>
              <w:t>Exercisable at March 31, 2019</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463,836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Orion’s closing common stock price of $0.89 as of March 31, 2019.</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range of exercise prices on outstanding stock options at March 31,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March 31, 2019</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6"/>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7"/>
        </w:trPr>
        <w:tc>
          <w:tcPr>
            <w:tcW w:w="5300" w:type="dxa"/>
            <w:vAlign w:val="bottom"/>
          </w:tcPr>
          <w:p>
            <w:pPr>
              <w:spacing w:after="0"/>
              <w:rPr>
                <w:sz w:val="12"/>
                <w:szCs w:val="12"/>
                <w:color w:val="auto"/>
              </w:rPr>
            </w:pPr>
          </w:p>
        </w:tc>
        <w:tc>
          <w:tcPr>
            <w:tcW w:w="11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6"/>
              <w:spacing w:after="0" w:line="147"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9"/>
        </w:trPr>
        <w:tc>
          <w:tcPr>
            <w:tcW w:w="5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2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$1.62 - 2.20</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143,292</w:t>
            </w:r>
          </w:p>
        </w:tc>
        <w:tc>
          <w:tcPr>
            <w:tcW w:w="124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143,292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6"/>
        </w:trPr>
        <w:tc>
          <w:tcPr>
            <w:tcW w:w="5300" w:type="dxa"/>
            <w:vAlign w:val="bottom"/>
          </w:tcPr>
          <w:p>
            <w:pPr>
              <w:spacing w:after="0"/>
              <w:rPr>
                <w:sz w:val="20"/>
                <w:szCs w:val="20"/>
                <w:color w:val="auto"/>
              </w:rPr>
            </w:pPr>
            <w:r>
              <w:rPr>
                <w:rFonts w:ascii="Arial" w:cs="Arial" w:eastAsia="Arial" w:hAnsi="Arial"/>
                <w:sz w:val="18"/>
                <w:szCs w:val="18"/>
                <w:color w:val="auto"/>
              </w:rPr>
              <w:t>$2.41 - 2.75</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100,936</w:t>
            </w:r>
          </w:p>
        </w:tc>
        <w:tc>
          <w:tcPr>
            <w:tcW w:w="1240" w:type="dxa"/>
            <w:vAlign w:val="bottom"/>
            <w:gridSpan w:val="2"/>
          </w:tcPr>
          <w:p>
            <w:pPr>
              <w:jc w:val="right"/>
              <w:ind w:right="49"/>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100,936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$2.86 - 4.28</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194,308</w:t>
            </w:r>
          </w:p>
        </w:tc>
        <w:tc>
          <w:tcPr>
            <w:tcW w:w="124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190,308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6"/>
        </w:trPr>
        <w:tc>
          <w:tcPr>
            <w:tcW w:w="5300" w:type="dxa"/>
            <w:vAlign w:val="bottom"/>
          </w:tcPr>
          <w:p>
            <w:pPr>
              <w:spacing w:after="0"/>
              <w:rPr>
                <w:sz w:val="20"/>
                <w:szCs w:val="20"/>
                <w:color w:val="auto"/>
              </w:rPr>
            </w:pPr>
            <w:r>
              <w:rPr>
                <w:rFonts w:ascii="Arial" w:cs="Arial" w:eastAsia="Arial" w:hAnsi="Arial"/>
                <w:sz w:val="18"/>
                <w:szCs w:val="18"/>
                <w:color w:val="auto"/>
              </w:rPr>
              <w:t>$4.49 - 4.76</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49"/>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$5.35 - 5.44</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24,300</w:t>
            </w:r>
          </w:p>
        </w:tc>
        <w:tc>
          <w:tcPr>
            <w:tcW w:w="124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24,300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467,836</w:t>
            </w:r>
          </w:p>
        </w:tc>
        <w:tc>
          <w:tcPr>
            <w:tcW w:w="1240" w:type="dxa"/>
            <w:vAlign w:val="bottom"/>
            <w:gridSpan w:val="2"/>
          </w:tcPr>
          <w:p>
            <w:pPr>
              <w:jc w:val="right"/>
              <w:ind w:right="49"/>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463,836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020" w:type="dxa"/>
            <w:vAlign w:val="bottom"/>
            <w:gridSpan w:val="8"/>
          </w:tcPr>
          <w:p>
            <w:pPr>
              <w:ind w:left="520"/>
              <w:spacing w:after="0"/>
              <w:rPr>
                <w:sz w:val="20"/>
                <w:szCs w:val="20"/>
                <w:color w:val="auto"/>
              </w:rPr>
            </w:pPr>
            <w:r>
              <w:rPr>
                <w:rFonts w:ascii="Arial" w:cs="Arial" w:eastAsia="Arial" w:hAnsi="Arial"/>
                <w:sz w:val="18"/>
                <w:szCs w:val="18"/>
                <w:color w:val="auto"/>
                <w:w w:val="98"/>
              </w:rPr>
              <w:t>During fiscal 2019, Orion recognized $5,365 of stock-based compensation expense related to stock options.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00" w:type="dxa"/>
            <w:vAlign w:val="bottom"/>
          </w:tcPr>
          <w:p>
            <w:pPr>
              <w:ind w:left="520"/>
              <w:spacing w:after="0"/>
              <w:rPr>
                <w:sz w:val="20"/>
                <w:szCs w:val="20"/>
                <w:color w:val="auto"/>
              </w:rPr>
            </w:pPr>
            <w:r>
              <w:rPr>
                <w:rFonts w:ascii="Arial" w:cs="Arial" w:eastAsia="Arial" w:hAnsi="Arial"/>
                <w:sz w:val="18"/>
                <w:szCs w:val="18"/>
                <w:color w:val="auto"/>
                <w:w w:val="96"/>
              </w:rPr>
              <w:t>During fiscal 2019, Orion granted restricted shares as follows: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1,485,799</w:t>
            </w:r>
          </w:p>
        </w:tc>
        <w:tc>
          <w:tcPr>
            <w:tcW w:w="0" w:type="dxa"/>
            <w:vAlign w:val="bottom"/>
          </w:tcPr>
          <w:p>
            <w:pPr>
              <w:spacing w:after="0"/>
              <w:rPr>
                <w:sz w:val="1"/>
                <w:szCs w:val="1"/>
                <w:color w:val="auto"/>
              </w:rPr>
            </w:pPr>
          </w:p>
        </w:tc>
      </w:tr>
      <w:tr>
        <w:trPr>
          <w:trHeight w:val="226"/>
        </w:trPr>
        <w:tc>
          <w:tcPr>
            <w:tcW w:w="5300" w:type="dxa"/>
            <w:vAlign w:val="bottom"/>
          </w:tcPr>
          <w:p>
            <w:pPr>
              <w:spacing w:after="0"/>
              <w:rPr>
                <w:sz w:val="20"/>
                <w:szCs w:val="20"/>
                <w:color w:val="auto"/>
              </w:rPr>
            </w:pPr>
            <w:r>
              <w:rPr>
                <w:rFonts w:ascii="Arial" w:cs="Arial" w:eastAsia="Arial" w:hAnsi="Arial"/>
                <w:sz w:val="18"/>
                <w:szCs w:val="18"/>
                <w:color w:val="auto"/>
              </w:rPr>
              <w:t>Shares issued</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529,000</w:t>
            </w: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Shares vested</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(653,394)</w:t>
            </w:r>
          </w:p>
        </w:tc>
        <w:tc>
          <w:tcPr>
            <w:tcW w:w="0" w:type="dxa"/>
            <w:vAlign w:val="bottom"/>
          </w:tcPr>
          <w:p>
            <w:pPr>
              <w:spacing w:after="0"/>
              <w:rPr>
                <w:sz w:val="1"/>
                <w:szCs w:val="1"/>
                <w:color w:val="auto"/>
              </w:rPr>
            </w:pPr>
          </w:p>
        </w:tc>
      </w:tr>
      <w:tr>
        <w:trPr>
          <w:trHeight w:val="226"/>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forfeited</w:t>
            </w: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(48,812)</w:t>
            </w:r>
          </w:p>
        </w:tc>
        <w:tc>
          <w:tcPr>
            <w:tcW w:w="0" w:type="dxa"/>
            <w:vAlign w:val="bottom"/>
          </w:tcPr>
          <w:p>
            <w:pPr>
              <w:spacing w:after="0"/>
              <w:rPr>
                <w:sz w:val="1"/>
                <w:szCs w:val="1"/>
                <w:color w:val="auto"/>
              </w:rPr>
            </w:pPr>
          </w:p>
        </w:tc>
      </w:tr>
      <w:tr>
        <w:trPr>
          <w:trHeight w:val="221"/>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at March 31, 2019</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1,312,593</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w w:val="89"/>
              </w:rPr>
              <w:t>$0.84 - 1.00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fiscal 2019, Orion recognized $0.8 million of stock-based compensation expense related to restricted shares.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the weighted average grant-date fair value of restricted shares granted was $0.84.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80" w:name="page81"/>
    <w:bookmarkEnd w:id="80"/>
    <w:p>
      <w:pPr>
        <w:ind w:right="20" w:firstLine="507"/>
        <w:spacing w:after="0" w:line="267" w:lineRule="auto"/>
        <w:rPr>
          <w:sz w:val="20"/>
          <w:szCs w:val="20"/>
          <w:color w:val="auto"/>
        </w:rPr>
      </w:pPr>
      <w:r>
        <w:rPr>
          <w:rFonts w:ascii="Arial" w:cs="Arial" w:eastAsia="Arial" w:hAnsi="Arial"/>
          <w:sz w:val="18"/>
          <w:szCs w:val="18"/>
          <w:color w:val="auto"/>
        </w:rPr>
        <w:t>Unrecognized compensation cost related to non-vested common stock-based compensation as of March 31, 2019 is expected to be recognized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Fiscal 2020</w:t>
            </w:r>
          </w:p>
        </w:tc>
        <w:tc>
          <w:tcPr>
            <w:tcW w:w="38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535</w:t>
            </w:r>
          </w:p>
        </w:tc>
      </w:tr>
      <w:tr>
        <w:trPr>
          <w:trHeight w:val="226"/>
        </w:trPr>
        <w:tc>
          <w:tcPr>
            <w:tcW w:w="6260" w:type="dxa"/>
            <w:vAlign w:val="bottom"/>
          </w:tcPr>
          <w:p>
            <w:pPr>
              <w:spacing w:after="0"/>
              <w:rPr>
                <w:sz w:val="20"/>
                <w:szCs w:val="20"/>
                <w:color w:val="auto"/>
              </w:rPr>
            </w:pPr>
            <w:r>
              <w:rPr>
                <w:rFonts w:ascii="Arial" w:cs="Arial" w:eastAsia="Arial" w:hAnsi="Arial"/>
                <w:sz w:val="18"/>
                <w:szCs w:val="18"/>
                <w:color w:val="auto"/>
              </w:rPr>
              <w:t>Fiscal 2021</w:t>
            </w:r>
          </w:p>
        </w:tc>
        <w:tc>
          <w:tcPr>
            <w:tcW w:w="3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239</w:t>
            </w:r>
          </w:p>
        </w:tc>
      </w:tr>
      <w:tr>
        <w:trPr>
          <w:trHeight w:val="227"/>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3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w:t>
            </w:r>
          </w:p>
        </w:tc>
      </w:tr>
      <w:tr>
        <w:trPr>
          <w:trHeight w:val="226"/>
        </w:trPr>
        <w:tc>
          <w:tcPr>
            <w:tcW w:w="6260" w:type="dxa"/>
            <w:vAlign w:val="bottom"/>
          </w:tcPr>
          <w:p>
            <w:pPr>
              <w:spacing w:after="0"/>
              <w:rPr>
                <w:sz w:val="20"/>
                <w:szCs w:val="20"/>
                <w:color w:val="auto"/>
              </w:rPr>
            </w:pPr>
            <w:r>
              <w:rPr>
                <w:rFonts w:ascii="Arial" w:cs="Arial" w:eastAsia="Arial" w:hAnsi="Arial"/>
                <w:sz w:val="18"/>
                <w:szCs w:val="18"/>
                <w:color w:val="auto"/>
              </w:rPr>
              <w:t>Fiscal 2023</w:t>
            </w:r>
          </w:p>
        </w:tc>
        <w:tc>
          <w:tcPr>
            <w:tcW w:w="3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w:t>
            </w:r>
          </w:p>
        </w:tc>
      </w:tr>
      <w:tr>
        <w:trPr>
          <w:trHeight w:val="227"/>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3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6"/>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21"/>
        </w:trPr>
        <w:tc>
          <w:tcPr>
            <w:tcW w:w="626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816</w:t>
            </w:r>
          </w:p>
        </w:tc>
      </w:tr>
      <w:tr>
        <w:trPr>
          <w:trHeight w:val="225"/>
        </w:trPr>
        <w:tc>
          <w:tcPr>
            <w:tcW w:w="6260" w:type="dxa"/>
            <w:vAlign w:val="bottom"/>
          </w:tcPr>
          <w:p>
            <w:pPr>
              <w:spacing w:after="0"/>
              <w:rPr>
                <w:sz w:val="20"/>
                <w:szCs w:val="20"/>
                <w:color w:val="auto"/>
              </w:rPr>
            </w:pPr>
            <w:r>
              <w:rPr>
                <w:rFonts w:ascii="Arial" w:cs="Arial" w:eastAsia="Arial" w:hAnsi="Arial"/>
                <w:sz w:val="18"/>
                <w:szCs w:val="18"/>
                <w:color w:val="auto"/>
              </w:rPr>
              <w:t>Remaining weighted average expected term</w:t>
            </w:r>
          </w:p>
        </w:tc>
        <w:tc>
          <w:tcPr>
            <w:tcW w:w="3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1.7 years</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DATA</w:t>
      </w:r>
    </w:p>
    <w:p>
      <w:pPr>
        <w:spacing w:after="0" w:line="119" w:lineRule="exact"/>
        <w:rPr>
          <w:sz w:val="20"/>
          <w:szCs w:val="20"/>
          <w:color w:val="auto"/>
        </w:rPr>
      </w:pPr>
    </w:p>
    <w:p>
      <w:pPr>
        <w:jc w:val="both"/>
        <w:ind w:right="20" w:firstLine="507"/>
        <w:spacing w:after="0" w:line="297"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13" w:lineRule="exact"/>
        <w:rPr>
          <w:sz w:val="20"/>
          <w:szCs w:val="20"/>
          <w:color w:val="auto"/>
        </w:rPr>
      </w:pPr>
    </w:p>
    <w:p>
      <w:pPr>
        <w:jc w:val="both"/>
        <w:ind w:right="20" w:firstLine="507"/>
        <w:spacing w:after="0" w:line="297"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13" w:lineRule="exact"/>
        <w:rPr>
          <w:sz w:val="20"/>
          <w:szCs w:val="20"/>
          <w:color w:val="auto"/>
        </w:rPr>
      </w:pPr>
    </w:p>
    <w:p>
      <w:pPr>
        <w:jc w:val="both"/>
        <w:ind w:right="40" w:firstLine="507"/>
        <w:spacing w:after="0" w:line="26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are primarily comprised of ESCOs.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3" w:lineRule="exact"/>
        <w:rPr>
          <w:sz w:val="20"/>
          <w:szCs w:val="20"/>
          <w:color w:val="auto"/>
        </w:rPr>
      </w:pPr>
    </w:p>
    <w:p>
      <w:pPr>
        <w:jc w:val="both"/>
        <w:ind w:right="20" w:firstLine="507"/>
        <w:spacing w:after="0" w:line="26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4"/>
              <w:spacing w:after="0"/>
              <w:rPr>
                <w:sz w:val="20"/>
                <w:szCs w:val="20"/>
                <w:color w:val="auto"/>
              </w:rPr>
            </w:pPr>
            <w:r>
              <w:rPr>
                <w:rFonts w:ascii="Arial" w:cs="Arial" w:eastAsia="Arial" w:hAnsi="Arial"/>
                <w:sz w:val="14"/>
                <w:szCs w:val="14"/>
                <w:b w:val="1"/>
                <w:bCs w:val="1"/>
                <w:color w:val="auto"/>
                <w:w w:val="91"/>
              </w:rPr>
              <w:t>Operating Loss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436"/>
              <w:spacing w:after="0"/>
              <w:rPr>
                <w:sz w:val="20"/>
                <w:szCs w:val="20"/>
                <w:color w:val="auto"/>
              </w:rPr>
            </w:pPr>
            <w:r>
              <w:rPr>
                <w:rFonts w:ascii="Arial" w:cs="Arial" w:eastAsia="Arial" w:hAnsi="Arial"/>
                <w:sz w:val="14"/>
                <w:szCs w:val="14"/>
                <w:b w:val="1"/>
                <w:bCs w:val="1"/>
                <w:color w:val="auto"/>
                <w:w w:val="92"/>
              </w:rPr>
              <w:t>For the year ended 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476"/>
              <w:spacing w:after="0"/>
              <w:rPr>
                <w:sz w:val="20"/>
                <w:szCs w:val="20"/>
                <w:color w:val="auto"/>
              </w:rPr>
            </w:pPr>
            <w:r>
              <w:rPr>
                <w:rFonts w:ascii="Arial" w:cs="Arial" w:eastAsia="Arial" w:hAnsi="Arial"/>
                <w:sz w:val="14"/>
                <w:szCs w:val="14"/>
                <w:b w:val="1"/>
                <w:bCs w:val="1"/>
                <w:color w:val="auto"/>
                <w:w w:val="92"/>
              </w:rPr>
              <w:t>For the year ended March 31,</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74"/>
              <w:spacing w:after="0" w:line="153"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4"/>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Segments: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Engineered Systems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30,925</w:t>
            </w:r>
          </w:p>
        </w:tc>
        <w:tc>
          <w:tcPr>
            <w:tcW w:w="12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23,827</w:t>
            </w:r>
          </w:p>
        </w:tc>
        <w:tc>
          <w:tcPr>
            <w:tcW w:w="1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29,501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Distribution Services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24,173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27,906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22,858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U.S. Markets</w:t>
            </w: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8,567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17,852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65,754</w:t>
            </w:r>
          </w:p>
        </w:tc>
        <w:tc>
          <w:tcPr>
            <w:tcW w:w="12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60,300</w:t>
            </w:r>
          </w:p>
        </w:tc>
        <w:tc>
          <w:tcPr>
            <w:tcW w:w="1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70,211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(12,981)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41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center"/>
              <w:ind w:left="438"/>
              <w:spacing w:after="0"/>
              <w:rPr>
                <w:sz w:val="20"/>
                <w:szCs w:val="20"/>
                <w:color w:val="auto"/>
              </w:rPr>
            </w:pPr>
            <w:r>
              <w:rPr>
                <w:rFonts w:ascii="Arial" w:cs="Arial" w:eastAsia="Arial" w:hAnsi="Arial"/>
                <w:sz w:val="14"/>
                <w:szCs w:val="14"/>
                <w:b w:val="1"/>
                <w:bCs w:val="1"/>
                <w:color w:val="auto"/>
                <w:w w:val="93"/>
              </w:rPr>
              <w:t>Depreciation and Amortization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Capital Expenditures</w:t>
            </w:r>
          </w:p>
        </w:tc>
        <w:tc>
          <w:tcPr>
            <w:tcW w:w="900" w:type="dxa"/>
            <w:vAlign w:val="bottom"/>
          </w:tcPr>
          <w:p>
            <w:pPr>
              <w:spacing w:after="0"/>
              <w:rPr>
                <w:sz w:val="14"/>
                <w:szCs w:val="14"/>
                <w:color w:val="auto"/>
              </w:rPr>
            </w:pPr>
          </w:p>
        </w:tc>
      </w:tr>
      <w:tr>
        <w:trPr>
          <w:trHeight w:val="169"/>
        </w:trPr>
        <w:tc>
          <w:tcPr>
            <w:tcW w:w="3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418"/>
              <w:spacing w:after="0"/>
              <w:rPr>
                <w:sz w:val="20"/>
                <w:szCs w:val="20"/>
                <w:color w:val="auto"/>
              </w:rPr>
            </w:pPr>
            <w:r>
              <w:rPr>
                <w:rFonts w:ascii="Arial" w:cs="Arial" w:eastAsia="Arial" w:hAnsi="Arial"/>
                <w:sz w:val="14"/>
                <w:szCs w:val="14"/>
                <w:b w:val="1"/>
                <w:bCs w:val="1"/>
                <w:color w:val="auto"/>
                <w:w w:val="92"/>
              </w:rPr>
              <w:t>For the year ended March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jc w:val="center"/>
              <w:ind w:left="398"/>
              <w:spacing w:after="0"/>
              <w:rPr>
                <w:sz w:val="20"/>
                <w:szCs w:val="20"/>
                <w:color w:val="auto"/>
              </w:rPr>
            </w:pPr>
            <w:r>
              <w:rPr>
                <w:rFonts w:ascii="Arial" w:cs="Arial" w:eastAsia="Arial" w:hAnsi="Arial"/>
                <w:sz w:val="14"/>
                <w:szCs w:val="14"/>
                <w:b w:val="1"/>
                <w:bCs w:val="1"/>
                <w:color w:val="auto"/>
                <w:w w:val="92"/>
              </w:rPr>
              <w:t>For the year ended March 31,</w:t>
            </w:r>
          </w:p>
        </w:tc>
        <w:tc>
          <w:tcPr>
            <w:tcW w:w="900" w:type="dxa"/>
            <w:vAlign w:val="bottom"/>
            <w:tcBorders>
              <w:bottom w:val="single" w:sz="8" w:color="auto"/>
            </w:tcBorders>
          </w:tcPr>
          <w:p>
            <w:pPr>
              <w:spacing w:after="0"/>
              <w:rPr>
                <w:sz w:val="14"/>
                <w:szCs w:val="14"/>
                <w:color w:val="auto"/>
              </w:rPr>
            </w:pPr>
          </w:p>
        </w:tc>
      </w:tr>
      <w:tr>
        <w:trPr>
          <w:trHeight w:val="153"/>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18"/>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274"/>
              <w:spacing w:after="0" w:line="153"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58"/>
              <w:spacing w:after="0" w:line="153"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4"/>
          </w:tcPr>
          <w:p>
            <w:pPr>
              <w:jc w:val="center"/>
              <w:ind w:left="375"/>
              <w:spacing w:after="0" w:line="153"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2017</w:t>
            </w:r>
          </w:p>
        </w:tc>
      </w:tr>
      <w:tr>
        <w:trPr>
          <w:trHeight w:val="220"/>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Engineered Systems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760" w:type="dxa"/>
            <w:vAlign w:val="bottom"/>
            <w:gridSpan w:val="3"/>
          </w:tcPr>
          <w:p>
            <w:pPr>
              <w:jc w:val="right"/>
              <w:ind w:right="40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151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224</w:t>
            </w: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Distribution Services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184</w:t>
            </w: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U.S. Markets</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150</w:t>
            </w: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102</w:t>
            </w:r>
          </w:p>
        </w:tc>
      </w:tr>
      <w:tr>
        <w:trPr>
          <w:trHeight w:val="220"/>
        </w:trPr>
        <w:tc>
          <w:tcPr>
            <w:tcW w:w="38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w:t>
            </w:r>
          </w:p>
        </w:tc>
        <w:tc>
          <w:tcPr>
            <w:tcW w:w="760" w:type="dxa"/>
            <w:vAlign w:val="bottom"/>
            <w:gridSpan w:val="3"/>
          </w:tcPr>
          <w:p>
            <w:pPr>
              <w:jc w:val="right"/>
              <w:ind w:right="40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512</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660</w:t>
            </w:r>
          </w:p>
        </w:tc>
      </w:tr>
      <w:tr>
        <w:trPr>
          <w:trHeight w:val="20"/>
        </w:trPr>
        <w:tc>
          <w:tcPr>
            <w:tcW w:w="3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3"/>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ind w:left="180"/>
              <w:spacing w:after="0" w:line="153" w:lineRule="exact"/>
              <w:rPr>
                <w:sz w:val="20"/>
                <w:szCs w:val="20"/>
                <w:color w:val="auto"/>
              </w:rPr>
            </w:pPr>
            <w:r>
              <w:rPr>
                <w:rFonts w:ascii="Arial" w:cs="Arial" w:eastAsia="Arial" w:hAnsi="Arial"/>
                <w:sz w:val="14"/>
                <w:szCs w:val="14"/>
                <w:b w:val="1"/>
                <w:bCs w:val="1"/>
                <w:color w:val="auto"/>
              </w:rPr>
              <w:t>March 31, 2019</w:t>
            </w:r>
          </w:p>
        </w:tc>
        <w:tc>
          <w:tcPr>
            <w:tcW w:w="300" w:type="dxa"/>
            <w:vAlign w:val="bottom"/>
          </w:tcPr>
          <w:p>
            <w:pPr>
              <w:spacing w:after="0"/>
              <w:rPr>
                <w:sz w:val="13"/>
                <w:szCs w:val="13"/>
                <w:color w:val="auto"/>
              </w:rPr>
            </w:pPr>
          </w:p>
        </w:tc>
        <w:tc>
          <w:tcPr>
            <w:tcW w:w="1400" w:type="dxa"/>
            <w:vAlign w:val="bottom"/>
            <w:gridSpan w:val="4"/>
          </w:tcPr>
          <w:p>
            <w:pPr>
              <w:jc w:val="right"/>
              <w:ind w:right="353"/>
              <w:spacing w:after="0" w:line="153" w:lineRule="exact"/>
              <w:rPr>
                <w:sz w:val="20"/>
                <w:szCs w:val="20"/>
                <w:color w:val="auto"/>
              </w:rPr>
            </w:pPr>
            <w:r>
              <w:rPr>
                <w:rFonts w:ascii="Arial" w:cs="Arial" w:eastAsia="Arial" w:hAnsi="Arial"/>
                <w:sz w:val="14"/>
                <w:szCs w:val="14"/>
                <w:b w:val="1"/>
                <w:bCs w:val="1"/>
                <w:color w:val="auto"/>
                <w:w w:val="94"/>
              </w:rPr>
              <w:t>March 31, 2018</w:t>
            </w:r>
          </w:p>
        </w:tc>
      </w:tr>
      <w:tr>
        <w:trPr>
          <w:trHeight w:val="220"/>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Engineered Systems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760" w:type="dxa"/>
            <w:vAlign w:val="bottom"/>
            <w:gridSpan w:val="3"/>
          </w:tcPr>
          <w:p>
            <w:pPr>
              <w:jc w:val="right"/>
              <w:ind w:right="49"/>
              <w:spacing w:after="0"/>
              <w:rPr>
                <w:sz w:val="20"/>
                <w:szCs w:val="20"/>
                <w:color w:val="auto"/>
              </w:rPr>
            </w:pPr>
            <w:r>
              <w:rPr>
                <w:rFonts w:ascii="Arial" w:cs="Arial" w:eastAsia="Arial" w:hAnsi="Arial"/>
                <w:sz w:val="18"/>
                <w:szCs w:val="18"/>
                <w:color w:val="auto"/>
              </w:rPr>
              <w:t>28,486</w:t>
            </w:r>
          </w:p>
        </w:tc>
        <w:tc>
          <w:tcPr>
            <w:tcW w:w="1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13,570</w:t>
            </w: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Distribution Services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9"/>
              <w:spacing w:after="0"/>
              <w:rPr>
                <w:sz w:val="20"/>
                <w:szCs w:val="20"/>
                <w:color w:val="auto"/>
              </w:rPr>
            </w:pPr>
            <w:r>
              <w:rPr>
                <w:rFonts w:ascii="Arial" w:cs="Arial" w:eastAsia="Arial" w:hAnsi="Arial"/>
                <w:sz w:val="18"/>
                <w:szCs w:val="18"/>
                <w:color w:val="auto"/>
              </w:rPr>
              <w:t>5,704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9,315</w:t>
            </w: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U.S. Markets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gridSpan w:val="3"/>
          </w:tcPr>
          <w:p>
            <w:pPr>
              <w:jc w:val="right"/>
              <w:ind w:right="49"/>
              <w:spacing w:after="0"/>
              <w:rPr>
                <w:sz w:val="20"/>
                <w:szCs w:val="20"/>
                <w:color w:val="auto"/>
              </w:rPr>
            </w:pPr>
            <w:r>
              <w:rPr>
                <w:rFonts w:ascii="Arial" w:cs="Arial" w:eastAsia="Arial" w:hAnsi="Arial"/>
                <w:sz w:val="18"/>
                <w:szCs w:val="18"/>
                <w:color w:val="auto"/>
              </w:rPr>
              <w:t>4,578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3,354</w:t>
            </w: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3"/>
            <w:shd w:val="clear" w:color="auto" w:fill="CFF0FC"/>
          </w:tcPr>
          <w:p>
            <w:pPr>
              <w:jc w:val="right"/>
              <w:ind w:right="49"/>
              <w:spacing w:after="0"/>
              <w:rPr>
                <w:sz w:val="20"/>
                <w:szCs w:val="20"/>
                <w:color w:val="auto"/>
              </w:rPr>
            </w:pPr>
            <w:r>
              <w:rPr>
                <w:rFonts w:ascii="Arial" w:cs="Arial" w:eastAsia="Arial" w:hAnsi="Arial"/>
                <w:sz w:val="18"/>
                <w:szCs w:val="18"/>
                <w:color w:val="auto"/>
              </w:rPr>
              <w:t>17,253</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19,086</w:t>
            </w:r>
          </w:p>
        </w:tc>
      </w:tr>
      <w:tr>
        <w:trPr>
          <w:trHeight w:val="220"/>
        </w:trPr>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760" w:type="dxa"/>
            <w:vAlign w:val="bottom"/>
            <w:gridSpan w:val="3"/>
          </w:tcPr>
          <w:p>
            <w:pPr>
              <w:jc w:val="right"/>
              <w:ind w:right="49"/>
              <w:spacing w:after="0"/>
              <w:rPr>
                <w:sz w:val="20"/>
                <w:szCs w:val="20"/>
                <w:color w:val="auto"/>
              </w:rPr>
            </w:pPr>
            <w:r>
              <w:rPr>
                <w:rFonts w:ascii="Arial" w:cs="Arial" w:eastAsia="Arial" w:hAnsi="Arial"/>
                <w:sz w:val="18"/>
                <w:szCs w:val="18"/>
                <w:color w:val="auto"/>
              </w:rPr>
              <w:t>56,021</w:t>
            </w:r>
          </w:p>
        </w:tc>
        <w:tc>
          <w:tcPr>
            <w:tcW w:w="1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45,325</w:t>
            </w:r>
          </w:p>
        </w:tc>
      </w:tr>
      <w:tr>
        <w:trPr>
          <w:trHeight w:val="20"/>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Orion’s revenue outside the United States is insignificant and Orion has no long-lived assets outside the United States.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RESTRUCTURING EXPENSE</w:t>
      </w:r>
    </w:p>
    <w:p>
      <w:pPr>
        <w:spacing w:after="0" w:line="119" w:lineRule="exact"/>
        <w:rPr>
          <w:sz w:val="20"/>
          <w:szCs w:val="20"/>
          <w:color w:val="auto"/>
        </w:rPr>
      </w:pPr>
    </w:p>
    <w:p>
      <w:pPr>
        <w:jc w:val="both"/>
        <w:ind w:firstLine="507"/>
        <w:spacing w:after="0" w:line="304" w:lineRule="auto"/>
        <w:rPr>
          <w:sz w:val="20"/>
          <w:szCs w:val="20"/>
          <w:color w:val="auto"/>
        </w:rPr>
      </w:pPr>
      <w:r>
        <w:rPr>
          <w:rFonts w:ascii="Arial" w:cs="Arial" w:eastAsia="Arial" w:hAnsi="Arial"/>
          <w:sz w:val="16"/>
          <w:szCs w:val="16"/>
          <w:color w:val="auto"/>
        </w:rPr>
        <w:t>During fiscal 2018, we executed on a cost reduction plan by entering into separation agreements with multiple employees and recognized $43 thousand and $2.1 million of expense in fiscal 2019 and fiscal 2018, respectively, in employee separation related costs. Our restructuring expense for the twelve months ended March 31, 2019 and March 31, 2018 is reflected within our consolidated statements of operations as follows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2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27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0"/>
        </w:trPr>
        <w:tc>
          <w:tcPr>
            <w:tcW w:w="7860" w:type="dxa"/>
            <w:vAlign w:val="bottom"/>
          </w:tcPr>
          <w:p>
            <w:pPr>
              <w:spacing w:after="0"/>
              <w:rPr>
                <w:sz w:val="13"/>
                <w:szCs w:val="13"/>
                <w:color w:val="auto"/>
              </w:rPr>
            </w:pP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299"/>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1260" w:type="dxa"/>
            <w:vAlign w:val="bottom"/>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0"/>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20"/>
              <w:spacing w:after="0"/>
              <w:rPr>
                <w:sz w:val="20"/>
                <w:szCs w:val="20"/>
                <w:color w:val="auto"/>
              </w:rPr>
            </w:pPr>
            <w:r>
              <w:rPr>
                <w:rFonts w:ascii="Arial" w:cs="Arial" w:eastAsia="Arial" w:hAnsi="Arial"/>
                <w:sz w:val="18"/>
                <w:szCs w:val="18"/>
                <w:color w:val="auto"/>
              </w:rPr>
              <w:t>Total restructuring expense by segment was recorded as follows (dollars in thousands):</w:t>
            </w: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8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860" w:type="dxa"/>
            <w:vAlign w:val="bottom"/>
          </w:tcPr>
          <w:p>
            <w:pPr>
              <w:spacing w:after="0"/>
              <w:rPr>
                <w:sz w:val="24"/>
                <w:szCs w:val="24"/>
                <w:color w:val="auto"/>
              </w:rPr>
            </w:pPr>
          </w:p>
        </w:tc>
        <w:tc>
          <w:tcPr>
            <w:tcW w:w="12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27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0"/>
        </w:trPr>
        <w:tc>
          <w:tcPr>
            <w:tcW w:w="7860" w:type="dxa"/>
            <w:vAlign w:val="bottom"/>
          </w:tcPr>
          <w:p>
            <w:pPr>
              <w:spacing w:after="0"/>
              <w:rPr>
                <w:sz w:val="13"/>
                <w:szCs w:val="13"/>
                <w:color w:val="auto"/>
              </w:rPr>
            </w:pP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299"/>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Systems</w:t>
            </w:r>
          </w:p>
        </w:tc>
        <w:tc>
          <w:tcPr>
            <w:tcW w:w="1260" w:type="dxa"/>
            <w:vAlign w:val="bottom"/>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1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0"/>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no restructuring expense to the Orion U.S. Markets or Orion Engineered Systems segments.</w:t>
      </w:r>
    </w:p>
    <w:p>
      <w:pPr>
        <w:spacing w:after="0" w:line="22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Cash payments for employee separation costs in connection with the reorganization of business plans were $26 thousand for fiscal 2019 and $1.8 million for fiscal 2018. The remaining restructuring cost accruals as of March 31, 2019 were $0.1 million, which represents post-retirement medical benefits for one former employee which will be paid over several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18 — SUBSEQUENT EVENTS</w:t>
      </w:r>
    </w:p>
    <w:p>
      <w:pPr>
        <w:spacing w:after="0" w:line="119" w:lineRule="exact"/>
        <w:rPr>
          <w:sz w:val="20"/>
          <w:szCs w:val="20"/>
          <w:color w:val="auto"/>
        </w:rPr>
      </w:pPr>
    </w:p>
    <w:p>
      <w:pPr>
        <w:jc w:val="both"/>
        <w:ind w:firstLine="507"/>
        <w:spacing w:after="0" w:line="304" w:lineRule="auto"/>
        <w:rPr>
          <w:sz w:val="20"/>
          <w:szCs w:val="20"/>
          <w:color w:val="auto"/>
        </w:rPr>
      </w:pPr>
      <w:r>
        <w:rPr>
          <w:rFonts w:ascii="Arial" w:cs="Arial" w:eastAsia="Arial" w:hAnsi="Arial"/>
          <w:sz w:val="16"/>
          <w:szCs w:val="16"/>
          <w:color w:val="auto"/>
        </w:rPr>
        <w:t>On June 3, 2019, we and certain of our subsidiaries entered into an amendment (the “First Amendment”) to the New Credit Agreement. The First Amendment amended the New Credit Agreement to increase the maximum borrowing base credit available for certain of the customer receivables included in the borrowing base and provide for a borrowing base credit of up to $3.0 million based on inventory, in each case, subject to certain conditions.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QUARTERLY FINANCIAL DATA (UNAUDITED)</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Summary quarterly results for the years ended March 31, 2019 and March 31, 2018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3"/>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3"/>
              <w:spacing w:after="0" w:line="153" w:lineRule="exact"/>
              <w:rPr>
                <w:sz w:val="20"/>
                <w:szCs w:val="20"/>
                <w:color w:val="auto"/>
              </w:rPr>
            </w:pPr>
            <w:r>
              <w:rPr>
                <w:rFonts w:ascii="Arial" w:cs="Arial" w:eastAsia="Arial" w:hAnsi="Arial"/>
                <w:sz w:val="14"/>
                <w:szCs w:val="14"/>
                <w:b w:val="1"/>
                <w:bCs w:val="1"/>
                <w:color w:val="auto"/>
                <w:w w:val="93"/>
              </w:rPr>
              <w:t>Mar 31, 2019</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w w:val="90"/>
              </w:rPr>
              <w:t>Dec 31, 2018</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Sep 30, 2018</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73"/>
              <w:spacing w:after="0" w:line="153" w:lineRule="exact"/>
              <w:rPr>
                <w:sz w:val="20"/>
                <w:szCs w:val="20"/>
                <w:color w:val="auto"/>
              </w:rPr>
            </w:pPr>
            <w:r>
              <w:rPr>
                <w:rFonts w:ascii="Arial" w:cs="Arial" w:eastAsia="Arial" w:hAnsi="Arial"/>
                <w:sz w:val="14"/>
                <w:szCs w:val="14"/>
                <w:b w:val="1"/>
                <w:bCs w:val="1"/>
                <w:color w:val="auto"/>
                <w:w w:val="91"/>
              </w:rPr>
              <w:t>Jun 30, 2018</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80" w:type="dxa"/>
            <w:vAlign w:val="bottom"/>
            <w:gridSpan w:val="5"/>
          </w:tcPr>
          <w:p>
            <w:pPr>
              <w:jc w:val="center"/>
              <w:ind w:right="20"/>
              <w:spacing w:after="0" w:line="153" w:lineRule="exact"/>
              <w:rPr>
                <w:sz w:val="20"/>
                <w:szCs w:val="20"/>
                <w:color w:val="auto"/>
              </w:rPr>
            </w:pPr>
            <w:r>
              <w:rPr>
                <w:rFonts w:ascii="Arial" w:cs="Arial" w:eastAsia="Arial" w:hAnsi="Arial"/>
                <w:sz w:val="14"/>
                <w:szCs w:val="14"/>
                <w:b w:val="1"/>
                <w:bCs w:val="1"/>
                <w:color w:val="auto"/>
                <w:w w:val="89"/>
              </w:rPr>
              <w:t>(in thousands, except per share amounts)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16,291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13,198</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13,822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65,754</w:t>
            </w:r>
          </w:p>
        </w:tc>
      </w:tr>
      <w:tr>
        <w:trPr>
          <w:trHeight w:val="226"/>
        </w:trPr>
        <w:tc>
          <w:tcPr>
            <w:tcW w:w="420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4,170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2,542</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14,552</w:t>
            </w: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r>
      <w:tr>
        <w:trPr>
          <w:trHeight w:val="226"/>
        </w:trPr>
        <w:tc>
          <w:tcPr>
            <w:tcW w:w="420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basic per share calculation</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29,590</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29,569</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29,488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29,070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29,430</w:t>
            </w:r>
          </w:p>
        </w:tc>
      </w:tr>
      <w:tr>
        <w:trPr>
          <w:trHeight w:val="226"/>
        </w:trPr>
        <w:tc>
          <w:tcPr>
            <w:tcW w:w="420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diluted per share calculation</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29,590</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29,569</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29,488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29,070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29,430</w:t>
            </w:r>
          </w:p>
        </w:tc>
      </w:tr>
      <w:tr>
        <w:trPr>
          <w:trHeight w:val="467"/>
        </w:trPr>
        <w:tc>
          <w:tcPr>
            <w:tcW w:w="4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3"/>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3"/>
              <w:spacing w:after="0" w:line="153" w:lineRule="exact"/>
              <w:rPr>
                <w:sz w:val="20"/>
                <w:szCs w:val="20"/>
                <w:color w:val="auto"/>
              </w:rPr>
            </w:pPr>
            <w:r>
              <w:rPr>
                <w:rFonts w:ascii="Arial" w:cs="Arial" w:eastAsia="Arial" w:hAnsi="Arial"/>
                <w:sz w:val="14"/>
                <w:szCs w:val="14"/>
                <w:b w:val="1"/>
                <w:bCs w:val="1"/>
                <w:color w:val="auto"/>
                <w:w w:val="93"/>
              </w:rPr>
              <w:t>Mar 31, 2018</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w w:val="90"/>
              </w:rPr>
              <w:t>Dec 31, 2017</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Sep 30, 2017</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73"/>
              <w:spacing w:after="0" w:line="153" w:lineRule="exact"/>
              <w:rPr>
                <w:sz w:val="20"/>
                <w:szCs w:val="20"/>
                <w:color w:val="auto"/>
              </w:rPr>
            </w:pPr>
            <w:r>
              <w:rPr>
                <w:rFonts w:ascii="Arial" w:cs="Arial" w:eastAsia="Arial" w:hAnsi="Arial"/>
                <w:sz w:val="14"/>
                <w:szCs w:val="14"/>
                <w:b w:val="1"/>
                <w:bCs w:val="1"/>
                <w:color w:val="auto"/>
                <w:w w:val="91"/>
              </w:rPr>
              <w:t>Jun 30, 2017</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80" w:type="dxa"/>
            <w:vAlign w:val="bottom"/>
            <w:gridSpan w:val="5"/>
          </w:tcPr>
          <w:p>
            <w:pPr>
              <w:jc w:val="center"/>
              <w:ind w:right="20"/>
              <w:spacing w:after="0" w:line="153" w:lineRule="exact"/>
              <w:rPr>
                <w:sz w:val="20"/>
                <w:szCs w:val="20"/>
                <w:color w:val="auto"/>
              </w:rPr>
            </w:pPr>
            <w:r>
              <w:rPr>
                <w:rFonts w:ascii="Arial" w:cs="Arial" w:eastAsia="Arial" w:hAnsi="Arial"/>
                <w:sz w:val="14"/>
                <w:szCs w:val="14"/>
                <w:b w:val="1"/>
                <w:bCs w:val="1"/>
                <w:color w:val="auto"/>
                <w:w w:val="89"/>
              </w:rPr>
              <w:t>(in thousands, except per share amounts)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17,263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15,422</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12,558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60,300</w:t>
            </w:r>
          </w:p>
        </w:tc>
      </w:tr>
      <w:tr>
        <w:trPr>
          <w:trHeight w:val="226"/>
        </w:trPr>
        <w:tc>
          <w:tcPr>
            <w:tcW w:w="420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5,116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3,620</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14,672</w:t>
            </w: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5"/>
                <w:szCs w:val="15"/>
                <w:color w:val="auto"/>
              </w:rPr>
              <w:t>(1)</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(1,433)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r>
      <w:tr>
        <w:trPr>
          <w:trHeight w:val="226"/>
        </w:trPr>
        <w:tc>
          <w:tcPr>
            <w:tcW w:w="420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basic per share calculation</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28,935</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28,910</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28,835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28,455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28,784</w:t>
            </w:r>
          </w:p>
        </w:tc>
      </w:tr>
      <w:tr>
        <w:trPr>
          <w:trHeight w:val="226"/>
        </w:trPr>
        <w:tc>
          <w:tcPr>
            <w:tcW w:w="420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diluted per share calculation</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28,935</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28,910</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28,835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28,455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28,784</w:t>
            </w:r>
          </w:p>
        </w:tc>
      </w:tr>
    </w:tbl>
    <w:p>
      <w:pPr>
        <w:spacing w:after="0" w:line="228" w:lineRule="exact"/>
        <w:rPr>
          <w:sz w:val="20"/>
          <w:szCs w:val="20"/>
          <w:color w:val="auto"/>
        </w:rPr>
      </w:pPr>
    </w:p>
    <w:p>
      <w:pPr>
        <w:ind w:left="660" w:hanging="65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 $2.1 million restructuring charge, a $1.4 million loss contingency reversal, and an intangible impairment of $0.7 million.</w:t>
      </w:r>
    </w:p>
    <w:p>
      <w:pPr>
        <w:spacing w:after="0" w:line="220"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four quarters for net earnings per share may not add to the total year because of differences in the weighted average number of shares outstanding during the quarters and the year.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jc w:val="both"/>
        <w:ind w:firstLine="507"/>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83" w:name="page84"/>
    <w:bookmarkEnd w:id="83"/>
    <w:p>
      <w:pPr>
        <w:jc w:val="both"/>
        <w:ind w:firstLine="507"/>
        <w:spacing w:after="0" w:line="254" w:lineRule="auto"/>
        <w:rPr>
          <w:sz w:val="20"/>
          <w:szCs w:val="20"/>
          <w:color w:val="auto"/>
        </w:rPr>
      </w:pPr>
      <w:r>
        <w:rPr>
          <w:rFonts w:ascii="Arial" w:cs="Arial" w:eastAsia="Arial" w:hAnsi="Arial"/>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2019, pursuant to Exchange Act Rule 13a-15(b) and 15d-15. Based on that evaluation, our Chief Executive Officer and our Chief Financial Officer have concluded that the disclosure controls and procedures are effective at a level of reasonable assurance as of March 31, 2019.</w:t>
      </w:r>
    </w:p>
    <w:p>
      <w:pPr>
        <w:spacing w:after="0" w:line="191"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U.S. GAAP.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jc w:val="both"/>
        <w:ind w:firstLine="507"/>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7" w:lineRule="exact"/>
        <w:rPr>
          <w:sz w:val="20"/>
          <w:szCs w:val="20"/>
          <w:color w:val="auto"/>
        </w:rPr>
      </w:pPr>
    </w:p>
    <w:p>
      <w:pPr>
        <w:ind w:left="880" w:hanging="367"/>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4" w:lineRule="exact"/>
        <w:rPr>
          <w:rFonts w:ascii="Arial" w:cs="Arial" w:eastAsia="Arial" w:hAnsi="Arial"/>
          <w:sz w:val="17"/>
          <w:szCs w:val="17"/>
          <w:color w:val="auto"/>
        </w:rPr>
      </w:pPr>
    </w:p>
    <w:p>
      <w:pPr>
        <w:ind w:left="880" w:hanging="367"/>
        <w:spacing w:after="0" w:line="331"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25" w:lineRule="exact"/>
        <w:rPr>
          <w:rFonts w:ascii="Arial" w:cs="Arial" w:eastAsia="Arial" w:hAnsi="Arial"/>
          <w:sz w:val="16"/>
          <w:szCs w:val="16"/>
          <w:color w:val="auto"/>
        </w:rPr>
      </w:pPr>
    </w:p>
    <w:p>
      <w:pPr>
        <w:ind w:left="880" w:hanging="367"/>
        <w:spacing w:after="0" w:line="26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88"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BDO USA, LLP, independent registered public accounting firm, has issued an attestation report on our internal control over financial reporting as of March 31, 2019. Their report is in Item 8 under the heading "Reports of Independent Registered Public Accounting Firm" of this Annual Report on Form 10-K.</w:t>
      </w:r>
    </w:p>
    <w:p>
      <w:pPr>
        <w:spacing w:after="0" w:line="133"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In connection with the assessment of our internal control over financial reporting as of March 31, 2019, management remediated the following material weaknesses that existed as of March 31, 2018:</w:t>
      </w:r>
    </w:p>
    <w:p>
      <w:pPr>
        <w:spacing w:after="0" w:line="67" w:lineRule="exact"/>
        <w:rPr>
          <w:sz w:val="20"/>
          <w:szCs w:val="20"/>
          <w:color w:val="auto"/>
        </w:rPr>
      </w:pPr>
    </w:p>
    <w:p>
      <w:pPr>
        <w:jc w:val="both"/>
        <w:ind w:left="880" w:hanging="367"/>
        <w:spacing w:after="0" w:line="298"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Information &amp; Communication. </w:t>
      </w:r>
      <w:r>
        <w:rPr>
          <w:rFonts w:ascii="Arial" w:cs="Arial" w:eastAsia="Arial" w:hAnsi="Arial"/>
          <w:sz w:val="16"/>
          <w:szCs w:val="16"/>
          <w:color w:val="auto"/>
        </w:rPr>
        <w:t>We determined that our controls pertaining to information and communication did not operate effectively,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material weakness pertaining to these COSO components. Specifically, we did not have sufficient communication of the status and evolution of a project to ensure timely and accurate recognition of contract costs. In addition, we did not have sufficient communication and resolution of matters identified through management’s review impacting the accounting close as noted in the Control Activities discussion below.</w:t>
      </w:r>
    </w:p>
    <w:p>
      <w:pPr>
        <w:spacing w:after="0" w:line="46" w:lineRule="exact"/>
        <w:rPr>
          <w:rFonts w:ascii="Arial" w:cs="Arial" w:eastAsia="Arial" w:hAnsi="Arial"/>
          <w:sz w:val="16"/>
          <w:szCs w:val="16"/>
          <w:color w:val="auto"/>
        </w:rPr>
      </w:pPr>
    </w:p>
    <w:p>
      <w:pPr>
        <w:jc w:val="both"/>
        <w:ind w:left="880" w:hanging="367"/>
        <w:spacing w:after="0" w:line="25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Control Activities - Accounting Close. </w:t>
      </w:r>
      <w:r>
        <w:rPr>
          <w:rFonts w:ascii="Arial" w:cs="Arial" w:eastAsia="Arial" w:hAnsi="Arial"/>
          <w:sz w:val="18"/>
          <w:szCs w:val="18"/>
          <w:color w:val="auto"/>
        </w:rPr>
        <w:t>The operating effectiveness of our controls were inadequate related to management review controls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accounting close process and forecasts used to support certain fair value estimates. Specifically, we did not have an accurate forecast that impacted our assessment of triggering events and potential impairment. In addition, matters identified through management review controls were not brought to a timely resolution.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4" w:name="page85"/>
    <w:bookmarkEnd w:id="84"/>
    <w:p>
      <w:pPr>
        <w:jc w:val="both"/>
        <w:ind w:firstLine="507"/>
        <w:spacing w:after="0" w:line="267"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w:t>
      </w:r>
    </w:p>
    <w:p>
      <w:pPr>
        <w:spacing w:after="0" w:line="180"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We have reviewed and obtained acceptance of completion of the remediation effort by our Chief Executive Officer, our Chief Financial Officer, and the Audit &amp; Finance Committee. Based on the remediation actions and our assessment using the COSO criteria, management believes that, as of March 31, 2019, our internal control over financial reporting was effective.</w:t>
      </w:r>
    </w:p>
    <w:p>
      <w:pPr>
        <w:spacing w:after="0" w:line="188"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We will continue to monitor the effectiveness of our internal control over financial reporting in the areas affected by the material weaknesses identified in the prior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jc w:val="both"/>
        <w:ind w:firstLine="507"/>
        <w:spacing w:after="0" w:line="257" w:lineRule="auto"/>
        <w:rPr>
          <w:sz w:val="20"/>
          <w:szCs w:val="20"/>
          <w:color w:val="auto"/>
        </w:rPr>
      </w:pPr>
      <w:r>
        <w:rPr>
          <w:rFonts w:ascii="Arial" w:cs="Arial" w:eastAsia="Arial" w:hAnsi="Arial"/>
          <w:sz w:val="18"/>
          <w:szCs w:val="18"/>
          <w:color w:val="auto"/>
        </w:rPr>
        <w:t>There were no other changes in our internal control over financial reporting during the quarter ended March 31, 2019, that have materially affected, or are reasonably likely to materially affect, our internal control over financial reporting, other than with respect to the implementation of our Remediation Plans,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19" w:lineRule="exact"/>
        <w:rPr>
          <w:sz w:val="20"/>
          <w:szCs w:val="20"/>
          <w:color w:val="auto"/>
        </w:rPr>
      </w:pPr>
    </w:p>
    <w:p>
      <w:pPr>
        <w:jc w:val="both"/>
        <w:ind w:firstLine="507"/>
        <w:spacing w:after="0" w:line="304" w:lineRule="auto"/>
        <w:rPr>
          <w:sz w:val="20"/>
          <w:szCs w:val="20"/>
          <w:color w:val="auto"/>
        </w:rPr>
      </w:pPr>
      <w:r>
        <w:rPr>
          <w:rFonts w:ascii="Arial" w:cs="Arial" w:eastAsia="Arial" w:hAnsi="Arial"/>
          <w:sz w:val="16"/>
          <w:szCs w:val="16"/>
          <w:color w:val="auto"/>
        </w:rPr>
        <w:t>On June 3, 2019, we and certain of our subsidiaries entered into an amendment (the “First Amendment”) to the New Credit Agreement. The First Amendment amended the New Credit Agreement to increase the maximum borrowing base credit available for certain of the customer receivables included in the borrowing base and to provide for a borrowing base credit of up to $3.0 million based on inventory, in each case, subject to certain conditions.</w:t>
      </w:r>
    </w:p>
    <w:p>
      <w:pPr>
        <w:spacing w:after="0" w:line="154"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foregoing is a summary of the First Amendment and is qualified in its entirety by reference to the full text of the First Amendment, a copy of which is filed herewith as Exhibit 10.2 and incorporated herein by reference.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119" w:lineRule="exact"/>
        <w:rPr>
          <w:sz w:val="20"/>
          <w:szCs w:val="20"/>
          <w:color w:val="auto"/>
        </w:rPr>
      </w:pPr>
    </w:p>
    <w:p>
      <w:pPr>
        <w:jc w:val="both"/>
        <w:ind w:firstLine="507"/>
        <w:spacing w:after="0" w:line="331" w:lineRule="auto"/>
        <w:rPr>
          <w:sz w:val="20"/>
          <w:szCs w:val="20"/>
          <w:color w:val="auto"/>
        </w:rPr>
      </w:pPr>
      <w:r>
        <w:rPr>
          <w:rFonts w:ascii="Arial" w:cs="Arial" w:eastAsia="Arial" w:hAnsi="Arial"/>
          <w:sz w:val="16"/>
          <w:szCs w:val="16"/>
          <w:color w:val="auto"/>
        </w:rPr>
        <w:t>The information required by this item with respect to directors, executive officers and corporate governance is incorporated by reference to Orion's Proxy Statement for its 2019 Annual Meeting of Shareholders to be filed with the SEC within 120 days after the end of the fiscal year ended March 31,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19"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information required by this item is incorporated by reference to our Proxy Statement for its 2019 Annual Meeting of Shareholders to be filed with the SEC within 120 days after the end of the fiscal year ended March 31, 2019.</w:t>
      </w:r>
    </w:p>
    <w:p>
      <w:pPr>
        <w:spacing w:after="0" w:line="280" w:lineRule="exact"/>
        <w:rPr>
          <w:sz w:val="20"/>
          <w:szCs w:val="20"/>
          <w:color w:val="auto"/>
        </w:rPr>
      </w:pPr>
    </w:p>
    <w:p>
      <w:pPr>
        <w:jc w:val="both"/>
        <w:ind w:left="760" w:hanging="759"/>
        <w:spacing w:after="0" w:line="274" w:lineRule="auto"/>
        <w:rPr>
          <w:sz w:val="20"/>
          <w:szCs w:val="20"/>
          <w:color w:val="auto"/>
        </w:rPr>
      </w:pPr>
      <w:r>
        <w:rPr>
          <w:rFonts w:ascii="Arial" w:cs="Arial" w:eastAsia="Arial" w:hAnsi="Arial"/>
          <w:sz w:val="18"/>
          <w:szCs w:val="18"/>
          <w:b w:val="1"/>
          <w:bCs w:val="1"/>
          <w:color w:val="auto"/>
        </w:rPr>
        <w:t>ITEM 12.SECURITY OWNERSHIP OF CERTAIN BENEFICIAL OWNERS AND MANAGEMENT AND RELATED SHAREHOLDER MATTERS</w:t>
      </w:r>
    </w:p>
    <w:p>
      <w:pPr>
        <w:spacing w:after="0" w:line="67"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auto"/>
        </w:rPr>
        <w:t xml:space="preserve">See Item 5, </w:t>
      </w:r>
      <w:r>
        <w:rPr>
          <w:rFonts w:ascii="Arial" w:cs="Arial" w:eastAsia="Arial" w:hAnsi="Arial"/>
          <w:sz w:val="18"/>
          <w:szCs w:val="18"/>
          <w:i w:val="1"/>
          <w:iCs w:val="1"/>
          <w:color w:val="auto"/>
        </w:rPr>
        <w:t>Market for Registrant’s Common Equity, Related Shareholder Matters and Issuer Purchaser of Securities</w:t>
      </w:r>
      <w:r>
        <w:rPr>
          <w:rFonts w:ascii="Arial" w:cs="Arial" w:eastAsia="Arial" w:hAnsi="Arial"/>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Orion's Proxy Statement for its 2019 Annual Meeting of Shareholders to be filed with the SEC within 120 days after the end of the fiscal year ended March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information required by this item is incorporated by reference to our Proxy Statement for its 2019 Annual Meeting of Shareholders to be filed with the SEC within 120 days after the end of the fiscal year ended March 31,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11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The information required by this item is incorporated by reference to our Proxy Statement for its 2019 Annual Meeting of Shareholders to be filed with the SEC within 120 days after the end of the fiscal year ended March 31,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ind w:left="5360"/>
        <w:spacing w:after="0"/>
        <w:rPr>
          <w:sz w:val="20"/>
          <w:szCs w:val="20"/>
          <w:color w:val="auto"/>
        </w:rPr>
      </w:pPr>
      <w:r>
        <w:rPr>
          <w:rFonts w:ascii="Arial" w:cs="Arial" w:eastAsia="Arial" w:hAnsi="Arial"/>
          <w:sz w:val="17"/>
          <w:szCs w:val="17"/>
          <w:b w:val="1"/>
          <w:bCs w:val="1"/>
          <w:color w:val="auto"/>
        </w:rPr>
        <w:t>PART IV</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113"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4"/>
          <w:szCs w:val="14"/>
          <w:b w:val="1"/>
          <w:bCs w:val="1"/>
          <w:color w:val="auto"/>
        </w:rPr>
        <w:t>Financial Statements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statements are set forth in Item 8 of this Form 10-K.</w:t>
      </w: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87" w:name="page88"/>
    <w:bookmarkEnd w:id="87"/>
    <w:p>
      <w:pPr>
        <w:jc w:val="center"/>
        <w:ind w:right="60"/>
        <w:spacing w:after="0"/>
        <w:rPr>
          <w:sz w:val="20"/>
          <w:szCs w:val="20"/>
          <w:color w:val="auto"/>
        </w:rPr>
      </w:pPr>
      <w:r>
        <w:rPr>
          <w:rFonts w:ascii="Arial" w:cs="Arial" w:eastAsia="Arial" w:hAnsi="Arial"/>
          <w:sz w:val="18"/>
          <w:szCs w:val="18"/>
          <w:b w:val="1"/>
          <w:bCs w:val="1"/>
          <w:color w:val="auto"/>
        </w:rPr>
        <w:t>EXHIBIT INDEX</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5080</wp:posOffset>
            </wp:positionV>
            <wp:extent cx="7248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109" w:lineRule="exact"/>
        <w:rPr>
          <w:sz w:val="20"/>
          <w:szCs w:val="20"/>
          <w:color w:val="auto"/>
        </w:rPr>
      </w:pPr>
    </w:p>
    <w:p>
      <w:pPr>
        <w:ind w:left="22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27">
        <w:r>
          <w:rPr>
            <w:rFonts w:ascii="Arial" w:cs="Arial" w:eastAsia="Arial" w:hAnsi="Arial"/>
            <w:sz w:val="16"/>
            <w:szCs w:val="16"/>
            <w:u w:val="single" w:color="auto"/>
            <w:color w:val="0000EE"/>
          </w:rPr>
          <w:t>Amended and Restated Articles of Incorporation of Orion Energy Systems, Inc., filed as Exhibit 3.3 to the Registrant’s Form S-1 filed August 20,</w:t>
        </w:r>
      </w:hyperlink>
    </w:p>
    <w:p>
      <w:pPr>
        <w:spacing w:after="0" w:line="17" w:lineRule="exact"/>
        <w:rPr>
          <w:sz w:val="20"/>
          <w:szCs w:val="20"/>
          <w:color w:val="auto"/>
        </w:rPr>
      </w:pPr>
    </w:p>
    <w:p>
      <w:pPr>
        <w:ind w:left="980"/>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2007, is hereby incorporated by reference.</w:t>
        </w:r>
      </w:hyperlink>
    </w:p>
    <w:p>
      <w:pPr>
        <w:spacing w:after="0" w:line="115" w:lineRule="exact"/>
        <w:rPr>
          <w:sz w:val="20"/>
          <w:szCs w:val="20"/>
          <w:color w:val="auto"/>
        </w:rPr>
      </w:pPr>
    </w:p>
    <w:p>
      <w:pPr>
        <w:jc w:val="both"/>
        <w:ind w:left="980" w:hanging="751"/>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27">
        <w:r>
          <w:rPr>
            <w:rFonts w:ascii="Arial" w:cs="Arial" w:eastAsia="Arial" w:hAnsi="Arial"/>
            <w:sz w:val="18"/>
            <w:szCs w:val="18"/>
            <w:u w:val="single" w:color="auto"/>
            <w:color w:val="0000EE"/>
          </w:rPr>
          <w:t>Amended and Restated Bylaws of Orion Energy Systems, Inc., filed as Exhibit 3.2 to the Registrant’s Form 10-Q filed November 8, 2013, is</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hereby incorporated by reference.</w:t>
        </w:r>
      </w:hyperlink>
    </w:p>
    <w:p>
      <w:pPr>
        <w:spacing w:after="0" w:line="86" w:lineRule="exact"/>
        <w:rPr>
          <w:sz w:val="20"/>
          <w:szCs w:val="20"/>
          <w:color w:val="auto"/>
        </w:rPr>
      </w:pPr>
    </w:p>
    <w:p>
      <w:pPr>
        <w:jc w:val="both"/>
        <w:ind w:left="980" w:hanging="751"/>
        <w:spacing w:after="0" w:line="25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28">
        <w:r>
          <w:rPr>
            <w:rFonts w:ascii="Arial" w:cs="Arial" w:eastAsia="Arial" w:hAnsi="Arial"/>
            <w:sz w:val="18"/>
            <w:szCs w:val="18"/>
            <w:u w:val="single" w:color="auto"/>
            <w:color w:val="0000EE"/>
          </w:rPr>
          <w:t>Rights Agreement, dated as of January 7, 2009, between Orion Energy Systems, Inc. and Wells Fargo Bank, N.A., which includes as Exhibit A</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thereto the Form of Right Certificate and as Exhibit B thereto the Summary of Common Share Purchase Rights, filed as Exhibit 4.1 to the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Registrant’s Form 8-A filed January 8, 2009, is hereby incorporated by reference.</w:t>
        </w:r>
      </w:hyperlink>
    </w:p>
    <w:p>
      <w:pPr>
        <w:spacing w:after="0" w:line="95" w:lineRule="exact"/>
        <w:rPr>
          <w:rFonts w:ascii="Arial" w:cs="Arial" w:eastAsia="Arial" w:hAnsi="Arial"/>
          <w:sz w:val="18"/>
          <w:szCs w:val="18"/>
          <w:u w:val="single" w:color="auto"/>
          <w:color w:val="0000EE"/>
        </w:rPr>
      </w:pPr>
    </w:p>
    <w:p>
      <w:pPr>
        <w:jc w:val="both"/>
        <w:ind w:left="980" w:hanging="751"/>
        <w:spacing w:after="0" w:line="25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29">
        <w:r>
          <w:rPr>
            <w:rFonts w:ascii="Arial" w:cs="Arial" w:eastAsia="Arial" w:hAnsi="Arial"/>
            <w:sz w:val="18"/>
            <w:szCs w:val="18"/>
            <w:u w:val="single" w:color="auto"/>
            <w:color w:val="0000EE"/>
          </w:rPr>
          <w:t>Amendment No. 1 to the Rights Agreement, dated as of January 3, 2019, between the Company and Equiniti Trust Company (as successor to</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Wells Fargo Bank, N.A.), as Rights Agent, filed as Exhibit 4.1 to the Registrants Form 8-K filed January 3, 2019, is hereby incorporated by</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reference.</w:t>
        </w:r>
      </w:hyperlink>
    </w:p>
    <w:p>
      <w:pPr>
        <w:spacing w:after="0" w:line="94" w:lineRule="exact"/>
        <w:rPr>
          <w:rFonts w:ascii="Arial" w:cs="Arial" w:eastAsia="Arial" w:hAnsi="Arial"/>
          <w:sz w:val="18"/>
          <w:szCs w:val="18"/>
          <w:u w:val="single" w:color="auto"/>
          <w:color w:val="0000EE"/>
        </w:rPr>
      </w:pPr>
    </w:p>
    <w:p>
      <w:pPr>
        <w:ind w:left="22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w:anchor="page91">
        <w:r>
          <w:rPr>
            <w:rFonts w:ascii="Arial" w:cs="Arial" w:eastAsia="Arial" w:hAnsi="Arial"/>
            <w:sz w:val="16"/>
            <w:szCs w:val="16"/>
            <w:u w:val="single" w:color="auto"/>
            <w:color w:val="0000EE"/>
          </w:rPr>
          <w:t>Description of Orion Energy Systems, Inc. Capital Stock.</w:t>
        </w:r>
        <w:r>
          <w:rPr>
            <w:rFonts w:ascii="Arial" w:cs="Arial" w:eastAsia="Arial" w:hAnsi="Arial"/>
            <w:sz w:val="13"/>
            <w:szCs w:val="13"/>
            <w:u w:val="single" w:color="auto"/>
            <w:color w:val="0000EE"/>
          </w:rPr>
          <w:t>+</w:t>
        </w:r>
      </w:hyperlink>
    </w:p>
    <w:p>
      <w:pPr>
        <w:spacing w:after="0" w:line="127" w:lineRule="exact"/>
        <w:rPr>
          <w:rFonts w:ascii="Arial" w:cs="Arial" w:eastAsia="Arial" w:hAnsi="Arial"/>
          <w:sz w:val="18"/>
          <w:szCs w:val="18"/>
          <w:u w:val="single" w:color="auto"/>
          <w:color w:val="0000EE"/>
        </w:rPr>
      </w:pPr>
    </w:p>
    <w:p>
      <w:pPr>
        <w:jc w:val="right"/>
        <w:ind w:left="180"/>
        <w:spacing w:after="0" w:line="297"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     </w:t>
      </w:r>
      <w:hyperlink r:id="rId130">
        <w:r>
          <w:rPr>
            <w:rFonts w:ascii="Arial" w:cs="Arial" w:eastAsia="Arial" w:hAnsi="Arial"/>
            <w:sz w:val="17"/>
            <w:szCs w:val="17"/>
            <w:u w:val="single" w:color="auto"/>
            <w:color w:val="0000EE"/>
          </w:rPr>
          <w:t>Business Financing Agreement dated as of October 26, 2018 among Orion Energy Systems, Inc., Western Alliance Bank, as lender, and the</w:t>
        </w:r>
      </w:hyperlink>
      <w:r>
        <w:rPr>
          <w:rFonts w:ascii="Arial" w:cs="Arial" w:eastAsia="Arial" w:hAnsi="Arial"/>
          <w:sz w:val="17"/>
          <w:szCs w:val="17"/>
          <w:color w:val="auto"/>
        </w:rPr>
        <w:t xml:space="preserve"> </w:t>
      </w:r>
      <w:hyperlink r:id="rId130">
        <w:r>
          <w:rPr>
            <w:rFonts w:ascii="Arial" w:cs="Arial" w:eastAsia="Arial" w:hAnsi="Arial"/>
            <w:sz w:val="17"/>
            <w:szCs w:val="17"/>
            <w:u w:val="single" w:color="auto"/>
            <w:color w:val="0000EE"/>
          </w:rPr>
          <w:t>subsidiary borrowers party thereto, filed as Exhibit 10.1 to Registrant’s Form 8-K filed on October 30, 2018, is hereby incorporated by reference.</w:t>
        </w:r>
      </w:hyperlink>
    </w:p>
    <w:p>
      <w:pPr>
        <w:spacing w:after="0" w:line="63" w:lineRule="exact"/>
        <w:rPr>
          <w:sz w:val="20"/>
          <w:szCs w:val="20"/>
          <w:color w:val="auto"/>
        </w:rPr>
      </w:pPr>
    </w:p>
    <w:p>
      <w:pPr>
        <w:ind w:left="980" w:right="20" w:hanging="795"/>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95">
        <w:r>
          <w:rPr>
            <w:rFonts w:ascii="Arial" w:cs="Arial" w:eastAsia="Arial" w:hAnsi="Arial"/>
            <w:sz w:val="18"/>
            <w:szCs w:val="18"/>
            <w:u w:val="single" w:color="auto"/>
            <w:color w:val="0000EE"/>
          </w:rPr>
          <w:t>Amendment No. 1 to Business Financing Agreement, dated as of June 3, 2019 among Orion Energy Systems, Inc., Western Alliance Bank, as</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lender, and the subsidiary borrowers party thereto.</w:t>
        </w:r>
        <w:r>
          <w:rPr>
            <w:rFonts w:ascii="Arial" w:cs="Arial" w:eastAsia="Arial" w:hAnsi="Arial"/>
            <w:sz w:val="15"/>
            <w:szCs w:val="15"/>
            <w:u w:val="single" w:color="auto"/>
            <w:color w:val="0000EE"/>
          </w:rPr>
          <w:t>+**</w:t>
        </w:r>
      </w:hyperlink>
    </w:p>
    <w:p>
      <w:pPr>
        <w:spacing w:after="0" w:line="86" w:lineRule="exact"/>
        <w:rPr>
          <w:sz w:val="20"/>
          <w:szCs w:val="20"/>
          <w:color w:val="auto"/>
        </w:rPr>
      </w:pPr>
    </w:p>
    <w:p>
      <w:pPr>
        <w:ind w:left="980" w:hanging="795"/>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31">
        <w:r>
          <w:rPr>
            <w:rFonts w:ascii="Arial" w:cs="Arial" w:eastAsia="Arial" w:hAnsi="Arial"/>
            <w:sz w:val="18"/>
            <w:szCs w:val="18"/>
            <w:u w:val="single" w:color="auto"/>
            <w:color w:val="0000EE"/>
          </w:rPr>
          <w:t>Orion Energy Systems, Inc. 2003 Stock Option Plan, as amended, filed as Exhibit 10.6 to the Registrant’s Form S-1 filed August 20, 2007, is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hereby incorporated by reference.*</w:t>
        </w:r>
      </w:hyperlink>
    </w:p>
    <w:p>
      <w:pPr>
        <w:spacing w:after="0" w:line="86" w:lineRule="exact"/>
        <w:rPr>
          <w:sz w:val="20"/>
          <w:szCs w:val="20"/>
          <w:color w:val="auto"/>
        </w:rPr>
      </w:pPr>
    </w:p>
    <w:p>
      <w:pPr>
        <w:ind w:left="18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32">
        <w:r>
          <w:rPr>
            <w:rFonts w:ascii="Arial" w:cs="Arial" w:eastAsia="Arial" w:hAnsi="Arial"/>
            <w:sz w:val="16"/>
            <w:szCs w:val="16"/>
            <w:u w:val="single" w:color="auto"/>
            <w:color w:val="0000EE"/>
          </w:rPr>
          <w:t>Form of Stock Option Agreement under the Orion Energy Systems, Inc. 2003 Stock Option Plan, filed as Exhibit 10.7 to the Registrant’s Form S-</w:t>
        </w:r>
      </w:hyperlink>
    </w:p>
    <w:p>
      <w:pPr>
        <w:spacing w:after="0" w:line="17" w:lineRule="exact"/>
        <w:rPr>
          <w:sz w:val="20"/>
          <w:szCs w:val="20"/>
          <w:color w:val="auto"/>
        </w:rPr>
      </w:pPr>
    </w:p>
    <w:p>
      <w:pPr>
        <w:ind w:left="980"/>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1 filed August 20, 2007, is hereby incorporated by reference.*</w:t>
        </w:r>
      </w:hyperlink>
    </w:p>
    <w:p>
      <w:pPr>
        <w:spacing w:after="0" w:line="115" w:lineRule="exact"/>
        <w:rPr>
          <w:sz w:val="20"/>
          <w:szCs w:val="20"/>
          <w:color w:val="auto"/>
        </w:rPr>
      </w:pPr>
    </w:p>
    <w:p>
      <w:pPr>
        <w:ind w:left="980" w:hanging="795"/>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33">
        <w:r>
          <w:rPr>
            <w:rFonts w:ascii="Arial" w:cs="Arial" w:eastAsia="Arial" w:hAnsi="Arial"/>
            <w:sz w:val="18"/>
            <w:szCs w:val="18"/>
            <w:u w:val="single" w:color="auto"/>
            <w:color w:val="0000EE"/>
          </w:rPr>
          <w:t>Orion Energy Systems, Inc. 2004 Stock and Incentive Awards Plan, filed as Exhibit 10.9 to the Registrant’s Form S-1 filed August 20, 2007, is</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hereby incorporated by reference.*</w:t>
        </w:r>
      </w:hyperlink>
    </w:p>
    <w:p>
      <w:pPr>
        <w:spacing w:after="0" w:line="86" w:lineRule="exact"/>
        <w:rPr>
          <w:sz w:val="20"/>
          <w:szCs w:val="20"/>
          <w:color w:val="auto"/>
        </w:rPr>
      </w:pPr>
    </w:p>
    <w:p>
      <w:pPr>
        <w:ind w:left="980" w:hanging="894"/>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10.5(a)</w:t>
      </w:r>
      <w:r>
        <w:rPr>
          <w:sz w:val="20"/>
          <w:szCs w:val="20"/>
          <w:color w:val="auto"/>
        </w:rPr>
        <w:tab/>
      </w:r>
      <w:hyperlink r:id="rId134">
        <w:r>
          <w:rPr>
            <w:rFonts w:ascii="Arial" w:cs="Arial" w:eastAsia="Arial" w:hAnsi="Arial"/>
            <w:sz w:val="18"/>
            <w:szCs w:val="18"/>
            <w:u w:val="single" w:color="auto"/>
            <w:color w:val="0000EE"/>
          </w:rPr>
          <w:t>Amendment to Orion Energy Systems, Inc. 2004 Stock and Incentive Awards Plan, filed September 9, 2011 as Appendix A to the Registrant’s</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definitive proxy statement is hereby incorporated by reference.*</w:t>
        </w:r>
      </w:hyperlink>
    </w:p>
    <w:p>
      <w:pPr>
        <w:spacing w:after="0" w:line="86" w:lineRule="exact"/>
        <w:rPr>
          <w:sz w:val="20"/>
          <w:szCs w:val="20"/>
          <w:color w:val="auto"/>
        </w:rPr>
      </w:pPr>
    </w:p>
    <w:p>
      <w:pPr>
        <w:ind w:left="980" w:hanging="795"/>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35">
        <w:r>
          <w:rPr>
            <w:rFonts w:ascii="Arial" w:cs="Arial" w:eastAsia="Arial" w:hAnsi="Arial"/>
            <w:sz w:val="18"/>
            <w:szCs w:val="18"/>
            <w:u w:val="single" w:color="auto"/>
            <w:color w:val="0000EE"/>
          </w:rPr>
          <w:t>Form of Stock Option Agreement under the Orion Energy Systems, Inc. 2004 Equity Incentive Plan, filed as Exhibit 10.10 to the Registrant’s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Form S-1 filed August 20, 2007, is hereby incorporated by reference.*</w:t>
        </w:r>
      </w:hyperlink>
    </w:p>
    <w:p>
      <w:pPr>
        <w:spacing w:after="0" w:line="86" w:lineRule="exact"/>
        <w:rPr>
          <w:sz w:val="20"/>
          <w:szCs w:val="20"/>
          <w:color w:val="auto"/>
        </w:rPr>
      </w:pPr>
    </w:p>
    <w:p>
      <w:pPr>
        <w:ind w:left="980" w:hanging="795"/>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36">
        <w:r>
          <w:rPr>
            <w:rFonts w:ascii="Arial" w:cs="Arial" w:eastAsia="Arial" w:hAnsi="Arial"/>
            <w:sz w:val="18"/>
            <w:szCs w:val="18"/>
            <w:u w:val="single" w:color="auto"/>
            <w:color w:val="0000EE"/>
          </w:rPr>
          <w:t>Form of Stock Option Agreement as of May 14, 2013 under the Orion Energy Systems, Inc. 2004 Stock and Incentive Awards Plan, filed as</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Exhibit 10.7 to the Registrant’s Form 10-K filed on June 13, 2014, is hereby incorporated by reference.*</w:t>
        </w:r>
      </w:hyperlink>
    </w:p>
    <w:p>
      <w:pPr>
        <w:spacing w:after="0" w:line="86" w:lineRule="exact"/>
        <w:rPr>
          <w:sz w:val="20"/>
          <w:szCs w:val="20"/>
          <w:color w:val="auto"/>
        </w:rPr>
      </w:pPr>
    </w:p>
    <w:p>
      <w:pPr>
        <w:ind w:left="980" w:right="20" w:hanging="821"/>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7">
        <w:r>
          <w:rPr>
            <w:rFonts w:ascii="Arial" w:cs="Arial" w:eastAsia="Arial" w:hAnsi="Arial"/>
            <w:sz w:val="18"/>
            <w:szCs w:val="18"/>
            <w:u w:val="single" w:color="auto"/>
            <w:color w:val="0000EE"/>
          </w:rPr>
          <w:t>Form of Restricted Stock Award Agreement as of May 14, 2013 under the Orion Energy Systems, Inc. 2004 Stock and Incentive Awards Plan,</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filed as Exhibit 10.8 to the Registrant’s Form 10-K filed on June 13, 2014, is hereby incorporated by reference.*</w:t>
        </w:r>
      </w:hyperlink>
    </w:p>
    <w:p>
      <w:pPr>
        <w:spacing w:after="0" w:line="86" w:lineRule="exact"/>
        <w:rPr>
          <w:sz w:val="20"/>
          <w:szCs w:val="20"/>
          <w:color w:val="auto"/>
        </w:rPr>
      </w:pPr>
    </w:p>
    <w:p>
      <w:pPr>
        <w:ind w:left="980" w:hanging="821"/>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8">
        <w:r>
          <w:rPr>
            <w:rFonts w:ascii="Arial" w:cs="Arial" w:eastAsia="Arial" w:hAnsi="Arial"/>
            <w:sz w:val="18"/>
            <w:szCs w:val="18"/>
            <w:u w:val="single" w:color="auto"/>
            <w:color w:val="0000EE"/>
          </w:rPr>
          <w:t>Orion Energy Systems, Inc. 2016 Omnibus Incentive Plan, filed as Annex A to the Registrant’s Form 8-K filed July 8, 2016, is hereby</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incorporated by reference.*</w:t>
        </w:r>
      </w:hyperlink>
    </w:p>
    <w:p>
      <w:pPr>
        <w:spacing w:after="0" w:line="86" w:lineRule="exact"/>
        <w:rPr>
          <w:sz w:val="20"/>
          <w:szCs w:val="20"/>
          <w:color w:val="auto"/>
        </w:rPr>
      </w:pPr>
    </w:p>
    <w:p>
      <w:pPr>
        <w:ind w:left="980" w:hanging="862"/>
        <w:spacing w:after="0" w:line="297"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139">
        <w:r>
          <w:rPr>
            <w:rFonts w:ascii="Arial" w:cs="Arial" w:eastAsia="Arial" w:hAnsi="Arial"/>
            <w:sz w:val="17"/>
            <w:szCs w:val="17"/>
            <w:u w:val="single" w:color="auto"/>
            <w:color w:val="0000EE"/>
          </w:rPr>
          <w:t>Form of Non-Employee Director Tandem Restricted Stock and Cash Award Agreement under the Orion Energy Systems, Inc. 2016 Omnibus</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Incentive Plan, filed as Exhibit 4.5 to the Registrant’s Form S-8 filed August 10, 2016, is hereby incorporated by reference.*</w:t>
        </w:r>
      </w:hyperlink>
    </w:p>
    <w:p>
      <w:pPr>
        <w:spacing w:after="0" w:line="63" w:lineRule="exact"/>
        <w:rPr>
          <w:sz w:val="20"/>
          <w:szCs w:val="20"/>
          <w:color w:val="auto"/>
        </w:rPr>
      </w:pPr>
    </w:p>
    <w:p>
      <w:pPr>
        <w:ind w:left="980" w:right="20" w:hanging="859"/>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40">
        <w:r>
          <w:rPr>
            <w:rFonts w:ascii="Arial" w:cs="Arial" w:eastAsia="Arial" w:hAnsi="Arial"/>
            <w:sz w:val="18"/>
            <w:szCs w:val="18"/>
            <w:u w:val="single" w:color="auto"/>
            <w:color w:val="0000EE"/>
          </w:rPr>
          <w:t>Form of Non-Employee Director Restricted Stock Award Agreement under the Orion Energy Systems, Inc. 2016 Omnibus Incentive Plan, filed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as Exhibit 4.6 to the Registrant’s Form S-8 filed August 10, 2016, is hereby incorporated by reference.*</w:t>
        </w:r>
      </w:hyperlink>
    </w:p>
    <w:p>
      <w:pPr>
        <w:spacing w:after="0" w:line="86" w:lineRule="exact"/>
        <w:rPr>
          <w:sz w:val="20"/>
          <w:szCs w:val="20"/>
          <w:color w:val="auto"/>
        </w:rPr>
      </w:pPr>
    </w:p>
    <w:p>
      <w:pPr>
        <w:ind w:left="980" w:right="20" w:hanging="862"/>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41">
        <w:r>
          <w:rPr>
            <w:rFonts w:ascii="Arial" w:cs="Arial" w:eastAsia="Arial" w:hAnsi="Arial"/>
            <w:sz w:val="18"/>
            <w:szCs w:val="18"/>
            <w:u w:val="single" w:color="auto"/>
            <w:color w:val="0000EE"/>
          </w:rPr>
          <w:t>Form of Executive Tandem Restricted Stock and Cash Award Agreement under the Orion Energy Systems, Inc. 2016 Omnibus Incentive Plan,</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filed as Exhibit 4.7 to the Registrant’s Form S-8 filed August 10, 2016, is hereby incorporated by reference.*</w:t>
        </w:r>
      </w:hyperlink>
    </w:p>
    <w:p>
      <w:pPr>
        <w:spacing w:after="0" w:line="86" w:lineRule="exact"/>
        <w:rPr>
          <w:sz w:val="20"/>
          <w:szCs w:val="20"/>
          <w:color w:val="auto"/>
        </w:rPr>
      </w:pPr>
    </w:p>
    <w:p>
      <w:pPr>
        <w:ind w:left="980" w:hanging="862"/>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42">
        <w:r>
          <w:rPr>
            <w:rFonts w:ascii="Arial" w:cs="Arial" w:eastAsia="Arial" w:hAnsi="Arial"/>
            <w:sz w:val="18"/>
            <w:szCs w:val="18"/>
            <w:u w:val="single" w:color="auto"/>
            <w:color w:val="0000EE"/>
          </w:rPr>
          <w:t>Form of Executive Restricted Stock Award Agreement under the Orion Energy Systems, Inc. 2016 Omnibus Incentive Plan, filed as Exhibit 4.8</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to the Registrant’s Form S-8 filed August 10, 2016, is hereby incorporated by reference.*</w:t>
        </w:r>
      </w:hyperlink>
    </w:p>
    <w:p>
      <w:pPr>
        <w:spacing w:after="0" w:line="86" w:lineRule="exact"/>
        <w:rPr>
          <w:sz w:val="20"/>
          <w:szCs w:val="20"/>
          <w:color w:val="auto"/>
        </w:rPr>
      </w:pPr>
    </w:p>
    <w:p>
      <w:pPr>
        <w:ind w:left="980" w:right="20" w:hanging="836"/>
        <w:spacing w:after="0" w:line="26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43">
        <w:r>
          <w:rPr>
            <w:rFonts w:ascii="Arial" w:cs="Arial" w:eastAsia="Arial" w:hAnsi="Arial"/>
            <w:sz w:val="18"/>
            <w:szCs w:val="18"/>
            <w:u w:val="single" w:color="auto"/>
            <w:color w:val="0000EE"/>
          </w:rPr>
          <w:t>Orion Energy Systems, Inc. Non-Employee Director Compensation Plan, updated and effective as of June 6, 2017, filed as Exhibit 10.14 to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Registrant's Form 10-K filed June 13, 2017, is hereby incorporated by reference.*</w:t>
        </w:r>
      </w:hyperlink>
    </w:p>
    <w:p>
      <w:pPr>
        <w:spacing w:after="0" w:line="86" w:lineRule="exact"/>
        <w:rPr>
          <w:sz w:val="20"/>
          <w:szCs w:val="20"/>
          <w:color w:val="auto"/>
        </w:rPr>
      </w:pPr>
    </w:p>
    <w:p>
      <w:pPr>
        <w:ind w:left="980" w:right="620" w:hanging="862"/>
        <w:spacing w:after="0" w:line="331"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44">
        <w:r>
          <w:rPr>
            <w:rFonts w:ascii="Arial" w:cs="Arial" w:eastAsia="Arial" w:hAnsi="Arial"/>
            <w:sz w:val="16"/>
            <w:szCs w:val="16"/>
            <w:u w:val="single" w:color="auto"/>
            <w:color w:val="0000EE"/>
          </w:rPr>
          <w:t>Executive Employment and Severance Agreement, dated as of June 8, 2017, by and between Orion Energy Systems, Inc. and Michael W.</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Altschaefl, filed as Exhibit 10.16 to the Registrant's Form 10-K filed June 13, 2017, is hereby incorporated by reference. *</w:t>
        </w:r>
      </w:hyperlink>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66675</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300" w:top="334" w:right="239" w:bottom="1440" w:gutter="0" w:footer="0" w:header="0"/>
        </w:sectPr>
      </w:pPr>
    </w:p>
    <w:bookmarkStart w:id="88" w:name="page89"/>
    <w:bookmarkEnd w:id="88"/>
    <w:p>
      <w:pPr>
        <w:jc w:val="both"/>
        <w:ind w:left="1040" w:hanging="836"/>
        <w:spacing w:after="0" w:line="26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46">
        <w:r>
          <w:rPr>
            <w:rFonts w:ascii="Arial" w:cs="Arial" w:eastAsia="Arial" w:hAnsi="Arial"/>
            <w:sz w:val="18"/>
            <w:szCs w:val="18"/>
            <w:u w:val="single" w:color="auto"/>
            <w:color w:val="0000EE"/>
          </w:rPr>
          <w:t>Executive Employment and Severance Agreement by and between Orion Energy Systems, Inc. and William T. Hull, filed as Exhibit 10.1 to the</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Registrant’s Form 8-K filed on October 5, 2015, is hereby incorporated by reference.*</w:t>
        </w:r>
      </w:hyperlink>
    </w:p>
    <w:p>
      <w:pPr>
        <w:spacing w:after="0" w:line="86" w:lineRule="exact"/>
        <w:rPr>
          <w:sz w:val="20"/>
          <w:szCs w:val="20"/>
          <w:color w:val="auto"/>
        </w:rPr>
      </w:pPr>
    </w:p>
    <w:p>
      <w:pPr>
        <w:jc w:val="both"/>
        <w:ind w:left="1040" w:right="20" w:hanging="836"/>
        <w:spacing w:after="0" w:line="26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47">
        <w:r>
          <w:rPr>
            <w:rFonts w:ascii="Arial" w:cs="Arial" w:eastAsia="Arial" w:hAnsi="Arial"/>
            <w:sz w:val="18"/>
            <w:szCs w:val="18"/>
            <w:u w:val="single" w:color="auto"/>
            <w:color w:val="0000EE"/>
          </w:rPr>
          <w:t>Executive Employment and Severance Agreement, dated as of August 3, 2016, by and between Orion Energy Systems, Inc. and Scott A. Green,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filed as Exhibit 10.1 to Registrant’s Form 8-K filed on August 4, 2016, is hereby incorporated by reference.*</w:t>
        </w:r>
      </w:hyperlink>
    </w:p>
    <w:p>
      <w:pPr>
        <w:spacing w:after="0" w:line="86" w:lineRule="exact"/>
        <w:rPr>
          <w:sz w:val="20"/>
          <w:szCs w:val="20"/>
          <w:color w:val="auto"/>
        </w:rPr>
      </w:pP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48">
        <w:r>
          <w:rPr>
            <w:rFonts w:ascii="Arial" w:cs="Arial" w:eastAsia="Arial" w:hAnsi="Arial"/>
            <w:sz w:val="16"/>
            <w:szCs w:val="16"/>
            <w:u w:val="single" w:color="auto"/>
            <w:color w:val="0000EE"/>
          </w:rPr>
          <w:t>Letter Agreement effective June 13, 2017 between Orion and William T. Hull, filed as Exhibit 10.19 to the Registrant's Form 10-K filed June 13,</w:t>
        </w:r>
      </w:hyperlink>
    </w:p>
    <w:p>
      <w:pPr>
        <w:spacing w:after="0" w:line="17" w:lineRule="exact"/>
        <w:rPr>
          <w:sz w:val="20"/>
          <w:szCs w:val="20"/>
          <w:color w:val="auto"/>
        </w:rPr>
      </w:pPr>
    </w:p>
    <w:p>
      <w:pPr>
        <w:ind w:left="104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2017, is hereby incorporated by reference. *</w:t>
        </w:r>
      </w:hyperlink>
    </w:p>
    <w:p>
      <w:pPr>
        <w:spacing w:after="0" w:line="115" w:lineRule="exact"/>
        <w:rPr>
          <w:sz w:val="20"/>
          <w:szCs w:val="20"/>
          <w:color w:val="auto"/>
        </w:rPr>
      </w:pPr>
    </w:p>
    <w:p>
      <w:pPr>
        <w:ind w:left="1040" w:right="300" w:hanging="862"/>
        <w:spacing w:after="0" w:line="297"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149">
        <w:r>
          <w:rPr>
            <w:rFonts w:ascii="Arial" w:cs="Arial" w:eastAsia="Arial" w:hAnsi="Arial"/>
            <w:sz w:val="17"/>
            <w:szCs w:val="17"/>
            <w:u w:val="single" w:color="auto"/>
            <w:color w:val="0000EE"/>
          </w:rPr>
          <w:t>Executive Employment and Severance Agreement, dated as of January 1, 2014, by and between Orion Energy Systems, Inc. and Marc Meade</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filed as Exhibit 10.1 to the Registrant’s Form 8-K filed on January 6, 2014, is hereby incorporated by reference.*</w:t>
        </w:r>
      </w:hyperlink>
    </w:p>
    <w:p>
      <w:pPr>
        <w:spacing w:after="0" w:line="63" w:lineRule="exact"/>
        <w:rPr>
          <w:sz w:val="20"/>
          <w:szCs w:val="20"/>
          <w:color w:val="auto"/>
        </w:rPr>
      </w:pPr>
    </w:p>
    <w:p>
      <w:pPr>
        <w:jc w:val="both"/>
        <w:ind w:left="1040" w:hanging="836"/>
        <w:spacing w:after="0" w:line="33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50">
        <w:r>
          <w:rPr>
            <w:rFonts w:ascii="Arial" w:cs="Arial" w:eastAsia="Arial" w:hAnsi="Arial"/>
            <w:sz w:val="16"/>
            <w:szCs w:val="16"/>
            <w:u w:val="single" w:color="auto"/>
            <w:color w:val="0000EE"/>
          </w:rPr>
          <w:t>Form of Executive Restricted Stock Award Agreement as of May 26, 2015 under the Orion Energy Systems, Inc. 2004 Stock and Incentive</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Awards Plan , filed as Exhibit 10.18 to the Registrant’s Form 10-K for the year ended March 31, 2015, is hereby incorporated by reference.*</w:t>
        </w:r>
      </w:hyperlink>
    </w:p>
    <w:p>
      <w:pPr>
        <w:spacing w:after="0" w:line="39" w:lineRule="exact"/>
        <w:rPr>
          <w:sz w:val="20"/>
          <w:szCs w:val="20"/>
          <w:color w:val="auto"/>
        </w:rPr>
      </w:pPr>
    </w:p>
    <w:p>
      <w:pPr>
        <w:jc w:val="both"/>
        <w:ind w:left="1040" w:hanging="836"/>
        <w:spacing w:after="0" w:line="25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51">
        <w:r>
          <w:rPr>
            <w:rFonts w:ascii="Arial" w:cs="Arial" w:eastAsia="Arial" w:hAnsi="Arial"/>
            <w:sz w:val="18"/>
            <w:szCs w:val="18"/>
            <w:u w:val="single" w:color="auto"/>
            <w:color w:val="0000EE"/>
          </w:rPr>
          <w:t>Form of Executive Tandem Restricted Stock and Cash Award Agreement as of May 26, 2015 under the Orion Energy Systems, Inc. 2004 Stock</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and Incentive Awards Plan, filed as Exhibit 10.19 to the Registrant’s Form 10-K for the year ended March 31, 2015, is hereby incorporated by</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reference.*</w:t>
        </w:r>
      </w:hyperlink>
    </w:p>
    <w:p>
      <w:pPr>
        <w:spacing w:after="0" w:line="95" w:lineRule="exact"/>
        <w:rPr>
          <w:rFonts w:ascii="Arial" w:cs="Arial" w:eastAsia="Arial" w:hAnsi="Arial"/>
          <w:sz w:val="18"/>
          <w:szCs w:val="18"/>
          <w:u w:val="single" w:color="auto"/>
          <w:color w:val="0000EE"/>
        </w:rPr>
      </w:pPr>
    </w:p>
    <w:p>
      <w:pPr>
        <w:ind w:left="1040" w:right="180" w:hanging="862"/>
        <w:spacing w:after="0" w:line="25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52">
        <w:r>
          <w:rPr>
            <w:rFonts w:ascii="Arial" w:cs="Arial" w:eastAsia="Arial" w:hAnsi="Arial"/>
            <w:sz w:val="18"/>
            <w:szCs w:val="18"/>
            <w:u w:val="single" w:color="auto"/>
            <w:color w:val="0000EE"/>
          </w:rPr>
          <w:t>Form of Non-Employee Director Restricted Stock Award Agreement as of May 26, 2015 under the Orion Energy Systems, Inc. 2004 Stock and</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Incentive Awards Plan, filed as Exhibit 10.20 to the Registrant’s Form 10-K for the year ended March 31, 2015, is hereby incorporated by</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reference.*</w:t>
        </w:r>
      </w:hyperlink>
    </w:p>
    <w:p>
      <w:pPr>
        <w:spacing w:after="0" w:line="95" w:lineRule="exact"/>
        <w:rPr>
          <w:rFonts w:ascii="Arial" w:cs="Arial" w:eastAsia="Arial" w:hAnsi="Arial"/>
          <w:sz w:val="18"/>
          <w:szCs w:val="18"/>
          <w:u w:val="single" w:color="auto"/>
          <w:color w:val="0000EE"/>
        </w:rPr>
      </w:pPr>
    </w:p>
    <w:p>
      <w:pPr>
        <w:ind w:left="1040" w:right="20" w:hanging="862"/>
        <w:spacing w:after="0" w:line="25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53">
        <w:r>
          <w:rPr>
            <w:rFonts w:ascii="Arial" w:cs="Arial" w:eastAsia="Arial" w:hAnsi="Arial"/>
            <w:sz w:val="18"/>
            <w:szCs w:val="18"/>
            <w:u w:val="single" w:color="auto"/>
            <w:color w:val="0000EE"/>
          </w:rPr>
          <w:t>Form of Non-Employee Director Tandem Restricted Stock and Cash Award Agreement as of May 26, 2015 under the Orion Energy Systems, Inc.</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2004 Stock and Incentive Awards Plan, filed as Exhibit 10.21 to the Registrant’s Form 10-K for the year ended March 31, 2015, is hereby</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incorporated by reference.*</w:t>
        </w:r>
      </w:hyperlink>
    </w:p>
    <w:p>
      <w:pPr>
        <w:spacing w:after="0" w:line="95" w:lineRule="exact"/>
        <w:rPr>
          <w:rFonts w:ascii="Arial" w:cs="Arial" w:eastAsia="Arial" w:hAnsi="Arial"/>
          <w:sz w:val="18"/>
          <w:szCs w:val="18"/>
          <w:u w:val="single" w:color="auto"/>
          <w:color w:val="0000EE"/>
        </w:rPr>
      </w:pPr>
    </w:p>
    <w:p>
      <w:pPr>
        <w:ind w:left="1040" w:right="120" w:hanging="862"/>
        <w:spacing w:after="0" w:line="26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54">
        <w:r>
          <w:rPr>
            <w:rFonts w:ascii="Arial" w:cs="Arial" w:eastAsia="Arial" w:hAnsi="Arial"/>
            <w:sz w:val="18"/>
            <w:szCs w:val="18"/>
            <w:u w:val="single" w:color="auto"/>
            <w:color w:val="0000EE"/>
          </w:rPr>
          <w:t>Mutual Retirement and Severance Agreement, dated as of June 30, 2017, by and between Orion Energy Systems, Inc. and Michael J. Potts, filed</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as Exhibit 10.1 to the Registrant's Form 8-K filed on June 30, 2017, is hereby incorporated by reference. *</w:t>
        </w:r>
      </w:hyperlink>
    </w:p>
    <w:p>
      <w:pPr>
        <w:spacing w:after="0" w:line="86"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01">
        <w:r>
          <w:rPr>
            <w:rFonts w:ascii="Arial" w:cs="Arial" w:eastAsia="Arial" w:hAnsi="Arial"/>
            <w:sz w:val="16"/>
            <w:szCs w:val="16"/>
            <w:u w:val="single" w:color="auto"/>
            <w:color w:val="0000EE"/>
          </w:rPr>
          <w:t>Subsidiaries of Orion Energy Systems, Inc.+</w:t>
        </w:r>
      </w:hyperlink>
    </w:p>
    <w:p>
      <w:pPr>
        <w:spacing w:after="0" w:line="126"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2">
        <w:r>
          <w:rPr>
            <w:rFonts w:ascii="Arial" w:cs="Arial" w:eastAsia="Arial" w:hAnsi="Arial"/>
            <w:sz w:val="16"/>
            <w:szCs w:val="16"/>
            <w:u w:val="single" w:color="auto"/>
            <w:color w:val="0000EE"/>
          </w:rPr>
          <w:t>Consent of Independent Registered Public Accounting Firm. +</w:t>
        </w:r>
      </w:hyperlink>
    </w:p>
    <w:p>
      <w:pPr>
        <w:spacing w:after="0" w:line="126" w:lineRule="exact"/>
        <w:rPr>
          <w:sz w:val="20"/>
          <w:szCs w:val="20"/>
          <w:color w:val="auto"/>
        </w:rPr>
      </w:pPr>
    </w:p>
    <w:p>
      <w:pPr>
        <w:jc w:val="both"/>
        <w:ind w:left="1040" w:hanging="795"/>
        <w:spacing w:after="0" w:line="26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103">
        <w:r>
          <w:rPr>
            <w:rFonts w:ascii="Arial" w:cs="Arial" w:eastAsia="Arial" w:hAnsi="Arial"/>
            <w:sz w:val="18"/>
            <w:szCs w:val="18"/>
            <w:u w:val="single" w:color="auto"/>
            <w:color w:val="0000EE"/>
          </w:rPr>
          <w:t>Certification of Chief Executive Officer of Orion Energy Systems, Inc. pursuant to Rule 13a-14(a) or Rule 15d-14(a) promulgated under the</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Securities Exchange Act of 1934, as amended. +</w:t>
        </w:r>
      </w:hyperlink>
    </w:p>
    <w:p>
      <w:pPr>
        <w:spacing w:after="0" w:line="86" w:lineRule="exact"/>
        <w:rPr>
          <w:sz w:val="20"/>
          <w:szCs w:val="20"/>
          <w:color w:val="auto"/>
        </w:rPr>
      </w:pPr>
    </w:p>
    <w:p>
      <w:pPr>
        <w:jc w:val="both"/>
        <w:ind w:left="1040" w:hanging="795"/>
        <w:spacing w:after="0" w:line="26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04">
        <w:r>
          <w:rPr>
            <w:rFonts w:ascii="Arial" w:cs="Arial" w:eastAsia="Arial" w:hAnsi="Arial"/>
            <w:sz w:val="18"/>
            <w:szCs w:val="18"/>
            <w:u w:val="single" w:color="auto"/>
            <w:color w:val="0000EE"/>
          </w:rPr>
          <w:t>Certification of Chief Financial Officer of Orion Energy Systems, Inc. pursuant to Rule 13a-14(a) or Rule 15d-14(a) promulgated under the</w:t>
        </w:r>
      </w:hyperlink>
      <w:r>
        <w:rPr>
          <w:rFonts w:ascii="Arial" w:cs="Arial" w:eastAsia="Arial" w:hAnsi="Arial"/>
          <w:sz w:val="18"/>
          <w:szCs w:val="18"/>
          <w:u w:val="single" w:color="auto"/>
          <w:color w:val="0000EE"/>
        </w:rPr>
        <w:t xml:space="preserve"> </w:t>
      </w:r>
      <w:hyperlink w:anchor="page104">
        <w:r>
          <w:rPr>
            <w:rFonts w:ascii="Arial" w:cs="Arial" w:eastAsia="Arial" w:hAnsi="Arial"/>
            <w:sz w:val="18"/>
            <w:szCs w:val="18"/>
            <w:u w:val="single" w:color="auto"/>
            <w:color w:val="0000EE"/>
          </w:rPr>
          <w:t>Securities Exchange Act of 1934, as amended. +</w:t>
        </w:r>
      </w:hyperlink>
    </w:p>
    <w:p>
      <w:pPr>
        <w:spacing w:after="0" w:line="86" w:lineRule="exact"/>
        <w:rPr>
          <w:sz w:val="20"/>
          <w:szCs w:val="20"/>
          <w:color w:val="auto"/>
        </w:rPr>
      </w:pPr>
    </w:p>
    <w:p>
      <w:pPr>
        <w:jc w:val="both"/>
        <w:ind w:left="1040" w:hanging="795"/>
        <w:spacing w:after="0" w:line="25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05">
        <w:r>
          <w:rPr>
            <w:rFonts w:ascii="Arial" w:cs="Arial" w:eastAsia="Arial" w:hAnsi="Arial"/>
            <w:sz w:val="18"/>
            <w:szCs w:val="18"/>
            <w:u w:val="single" w:color="auto"/>
            <w:color w:val="0000EE"/>
          </w:rPr>
          <w:t>Certification of Chief Executive Officer and Chief Financial Officer of Orion Energy Systems, Inc. pursuant to Rule 13a-14(b) promulgated</w:t>
        </w:r>
      </w:hyperlink>
      <w:r>
        <w:rPr>
          <w:rFonts w:ascii="Arial" w:cs="Arial" w:eastAsia="Arial" w:hAnsi="Arial"/>
          <w:sz w:val="18"/>
          <w:szCs w:val="18"/>
          <w:u w:val="single" w:color="auto"/>
          <w:color w:val="0000EE"/>
        </w:rPr>
        <w:t xml:space="preserve"> </w:t>
      </w:r>
      <w:hyperlink w:anchor="page105">
        <w:r>
          <w:rPr>
            <w:rFonts w:ascii="Arial" w:cs="Arial" w:eastAsia="Arial" w:hAnsi="Arial"/>
            <w:sz w:val="18"/>
            <w:szCs w:val="18"/>
            <w:u w:val="single" w:color="auto"/>
            <w:color w:val="0000EE"/>
          </w:rPr>
          <w:t>under the Securities Exchange Act of 1934, as amended, and 18 U.S.C. Section 1350, as adopted pursuant to Section 906 of the Sarbanes-Oxley</w:t>
        </w:r>
      </w:hyperlink>
      <w:r>
        <w:rPr>
          <w:rFonts w:ascii="Arial" w:cs="Arial" w:eastAsia="Arial" w:hAnsi="Arial"/>
          <w:sz w:val="18"/>
          <w:szCs w:val="18"/>
          <w:u w:val="single" w:color="auto"/>
          <w:color w:val="0000EE"/>
        </w:rPr>
        <w:t xml:space="preserve"> </w:t>
      </w:r>
      <w:hyperlink w:anchor="page105">
        <w:r>
          <w:rPr>
            <w:rFonts w:ascii="Arial" w:cs="Arial" w:eastAsia="Arial" w:hAnsi="Arial"/>
            <w:sz w:val="18"/>
            <w:szCs w:val="18"/>
            <w:u w:val="single" w:color="auto"/>
            <w:color w:val="0000EE"/>
          </w:rPr>
          <w:t>Act of 2002. +</w:t>
        </w:r>
      </w:hyperlink>
    </w:p>
    <w:p>
      <w:pPr>
        <w:spacing w:after="0" w:line="95" w:lineRule="exact"/>
        <w:rPr>
          <w:rFonts w:ascii="Arial" w:cs="Arial" w:eastAsia="Arial" w:hAnsi="Arial"/>
          <w:sz w:val="18"/>
          <w:szCs w:val="18"/>
          <w:u w:val="single" w:color="auto"/>
          <w:color w:val="0000EE"/>
        </w:rPr>
      </w:pPr>
    </w:p>
    <w:p>
      <w:pPr>
        <w:ind w:left="1040" w:hanging="773"/>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101.INS XBRL Instance Document+</w:t>
      </w:r>
    </w:p>
    <w:p>
      <w:pPr>
        <w:spacing w:after="0" w:line="12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101.SCH Taxonomy extension schema document+</w:t>
      </w:r>
    </w:p>
    <w:p>
      <w:pPr>
        <w:spacing w:after="0" w:line="12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101.CAL Taxonomy extension calculation linkbase document+</w:t>
      </w:r>
    </w:p>
    <w:p>
      <w:pPr>
        <w:spacing w:after="0" w:line="12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101.DEF Taxonomy extension definition linkbase document+</w:t>
      </w:r>
    </w:p>
    <w:p>
      <w:pPr>
        <w:spacing w:after="0" w:line="12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101.LAB Taxonomy extension label linkbase document+</w:t>
      </w:r>
    </w:p>
    <w:p>
      <w:pPr>
        <w:spacing w:after="0" w:line="12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101.PRE Taxonomy extension presentation linkbase document+</w:t>
      </w:r>
    </w:p>
    <w:p>
      <w:pPr>
        <w:spacing w:after="0" w:line="246"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6"/>
          <w:szCs w:val="16"/>
          <w:color w:val="auto"/>
        </w:rPr>
        <w:t>Documents incorporated by reference by Orion Energy Systems, Inc. are filed with the Securities and Exchange Commission under File No. 001-33887.</w:t>
      </w:r>
    </w:p>
    <w:p>
      <w:pPr>
        <w:spacing w:after="0" w:line="189" w:lineRule="exact"/>
        <w:rPr>
          <w:rFonts w:ascii="Arial" w:cs="Arial" w:eastAsia="Arial" w:hAnsi="Arial"/>
          <w:sz w:val="18"/>
          <w:szCs w:val="18"/>
          <w:u w:val="single" w:color="auto"/>
          <w:color w:val="0000EE"/>
        </w:rPr>
      </w:pPr>
    </w:p>
    <w:p>
      <w:pPr>
        <w:ind w:left="520" w:hanging="51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7" w:lineRule="exact"/>
        <w:rPr>
          <w:rFonts w:ascii="Arial" w:cs="Arial" w:eastAsia="Arial" w:hAnsi="Arial"/>
          <w:sz w:val="18"/>
          <w:szCs w:val="18"/>
          <w:u w:val="single" w:color="auto"/>
          <w:color w:val="0000EE"/>
        </w:rPr>
      </w:pPr>
    </w:p>
    <w:p>
      <w:pPr>
        <w:ind w:left="520" w:hanging="513"/>
        <w:spacing w:after="0" w:line="24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601(6)(10) of Regulation S-K. The omitted information is not material and would likely cause competitive harm to the Registrant if publicly disclosed.</w:t>
      </w:r>
    </w:p>
    <w:p>
      <w:pPr>
        <w:spacing w:after="0" w:line="1" w:lineRule="exact"/>
        <w:rPr>
          <w:rFonts w:ascii="Arial" w:cs="Arial" w:eastAsia="Arial" w:hAnsi="Arial"/>
          <w:sz w:val="18"/>
          <w:szCs w:val="18"/>
          <w:u w:val="single" w:color="auto"/>
          <w:color w:val="0000EE"/>
        </w:rPr>
      </w:pPr>
    </w:p>
    <w:p>
      <w:pPr>
        <w:ind w:left="520" w:hanging="513"/>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0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119"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8"/>
          <w:szCs w:val="18"/>
          <w:color w:val="auto"/>
        </w:rPr>
        <w:t>None.</w:t>
      </w:r>
    </w:p>
    <w:p>
      <w:pPr>
        <w:spacing w:after="0" w:line="220"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firstLine="507"/>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June 4, 2019.</w:t>
      </w:r>
    </w:p>
    <w:p>
      <w:pPr>
        <w:spacing w:after="0" w:line="20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ORION ENERGY SYSTEMS, INC.</w:t>
      </w:r>
    </w:p>
    <w:p>
      <w:pPr>
        <w:spacing w:after="0" w:line="126" w:lineRule="exact"/>
        <w:rPr>
          <w:sz w:val="20"/>
          <w:szCs w:val="20"/>
          <w:color w:val="auto"/>
        </w:rPr>
      </w:pPr>
    </w:p>
    <w:tbl>
      <w:tblPr>
        <w:tblLayout w:type="fixed"/>
        <w:tblInd w:w="7300" w:type="dxa"/>
        <w:tblCellMar>
          <w:top w:w="0" w:type="dxa"/>
          <w:left w:w="0" w:type="dxa"/>
          <w:bottom w:w="0" w:type="dxa"/>
          <w:right w:w="0" w:type="dxa"/>
        </w:tblCellMar>
      </w:tblPr>
      <w:tr>
        <w:trPr>
          <w:trHeight w:val="22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 ALTSCHAEFL</w:t>
            </w:r>
          </w:p>
        </w:tc>
      </w:tr>
      <w:tr>
        <w:trPr>
          <w:trHeight w:val="195"/>
        </w:trPr>
        <w:tc>
          <w:tcPr>
            <w:tcW w:w="620" w:type="dxa"/>
            <w:vAlign w:val="bottom"/>
          </w:tcPr>
          <w:p>
            <w:pPr>
              <w:spacing w:after="0"/>
              <w:rPr>
                <w:sz w:val="16"/>
                <w:szCs w:val="16"/>
                <w:color w:val="auto"/>
              </w:rPr>
            </w:pPr>
          </w:p>
        </w:tc>
        <w:tc>
          <w:tcPr>
            <w:tcW w:w="3500" w:type="dxa"/>
            <w:vAlign w:val="bottom"/>
          </w:tcPr>
          <w:p>
            <w:pPr>
              <w:spacing w:after="0" w:line="195" w:lineRule="exact"/>
              <w:rPr>
                <w:sz w:val="20"/>
                <w:szCs w:val="20"/>
                <w:color w:val="auto"/>
              </w:rPr>
            </w:pPr>
            <w:r>
              <w:rPr>
                <w:rFonts w:ascii="Arial" w:cs="Arial" w:eastAsia="Arial" w:hAnsi="Arial"/>
                <w:sz w:val="18"/>
                <w:szCs w:val="18"/>
                <w:color w:val="auto"/>
              </w:rPr>
              <w:t>Michael W. Altschaefl</w:t>
            </w:r>
          </w:p>
        </w:tc>
      </w:tr>
      <w:tr>
        <w:trPr>
          <w:trHeight w:val="224"/>
        </w:trPr>
        <w:tc>
          <w:tcPr>
            <w:tcW w:w="6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Chief Executive Officer and Board Chair</w:t>
            </w:r>
          </w:p>
        </w:tc>
      </w:tr>
    </w:tbl>
    <w:p>
      <w:pPr>
        <w:spacing w:after="0" w:line="229" w:lineRule="exact"/>
        <w:rPr>
          <w:sz w:val="20"/>
          <w:szCs w:val="20"/>
          <w:color w:val="auto"/>
        </w:rPr>
      </w:pPr>
    </w:p>
    <w:p>
      <w:pPr>
        <w:jc w:val="both"/>
        <w:ind w:firstLine="507"/>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on June 4, 2019.</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558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Title</w:t>
            </w:r>
          </w:p>
        </w:tc>
      </w:tr>
      <w:tr>
        <w:trPr>
          <w:trHeight w:val="325"/>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W. Altschaefl</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Chief Executive Officer and Board Chair (Principal</w:t>
            </w:r>
          </w:p>
        </w:tc>
      </w:tr>
      <w:tr>
        <w:trPr>
          <w:trHeight w:val="219"/>
        </w:trPr>
        <w:tc>
          <w:tcPr>
            <w:tcW w:w="5600" w:type="dxa"/>
            <w:vAlign w:val="bottom"/>
          </w:tcPr>
          <w:p>
            <w:pPr>
              <w:jc w:val="center"/>
              <w:spacing w:after="0"/>
              <w:rPr>
                <w:sz w:val="20"/>
                <w:szCs w:val="20"/>
                <w:color w:val="auto"/>
              </w:rPr>
            </w:pPr>
            <w:r>
              <w:rPr>
                <w:rFonts w:ascii="Arial" w:cs="Arial" w:eastAsia="Arial" w:hAnsi="Arial"/>
                <w:sz w:val="18"/>
                <w:szCs w:val="18"/>
                <w:color w:val="auto"/>
                <w:w w:val="92"/>
              </w:rPr>
              <w:t>Michael W. Altschaefl</w:t>
            </w:r>
          </w:p>
        </w:tc>
        <w:tc>
          <w:tcPr>
            <w:tcW w:w="240" w:type="dxa"/>
            <w:vAlign w:val="bottom"/>
          </w:tcPr>
          <w:p>
            <w:pPr>
              <w:spacing w:after="0"/>
              <w:rPr>
                <w:sz w:val="19"/>
                <w:szCs w:val="19"/>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Executive Officer)</w:t>
            </w:r>
          </w:p>
        </w:tc>
      </w:tr>
      <w:tr>
        <w:trPr>
          <w:trHeight w:val="321"/>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T. Hull</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Chief Financial Officer, Chief Accounting Officer and</w:t>
            </w:r>
          </w:p>
        </w:tc>
      </w:tr>
      <w:tr>
        <w:trPr>
          <w:trHeight w:val="219"/>
        </w:trPr>
        <w:tc>
          <w:tcPr>
            <w:tcW w:w="5600" w:type="dxa"/>
            <w:vAlign w:val="bottom"/>
          </w:tcPr>
          <w:p>
            <w:pPr>
              <w:jc w:val="center"/>
              <w:spacing w:after="0"/>
              <w:rPr>
                <w:sz w:val="20"/>
                <w:szCs w:val="20"/>
                <w:color w:val="auto"/>
              </w:rPr>
            </w:pPr>
            <w:r>
              <w:rPr>
                <w:rFonts w:ascii="Arial" w:cs="Arial" w:eastAsia="Arial" w:hAnsi="Arial"/>
                <w:sz w:val="18"/>
                <w:szCs w:val="18"/>
                <w:color w:val="auto"/>
                <w:w w:val="97"/>
              </w:rPr>
              <w:t>William T. Hull</w:t>
            </w:r>
          </w:p>
        </w:tc>
        <w:tc>
          <w:tcPr>
            <w:tcW w:w="240" w:type="dxa"/>
            <w:vAlign w:val="bottom"/>
          </w:tcPr>
          <w:p>
            <w:pPr>
              <w:spacing w:after="0"/>
              <w:rPr>
                <w:sz w:val="19"/>
                <w:szCs w:val="19"/>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Treasurer (Principal Financial Officer)</w:t>
            </w:r>
          </w:p>
        </w:tc>
      </w:tr>
      <w:tr>
        <w:trPr>
          <w:trHeight w:val="32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Anthony L. Otten</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Lead Independent Director</w:t>
            </w:r>
          </w:p>
        </w:tc>
      </w:tr>
      <w:tr>
        <w:trPr>
          <w:trHeight w:val="218"/>
        </w:trPr>
        <w:tc>
          <w:tcPr>
            <w:tcW w:w="5600" w:type="dxa"/>
            <w:vAlign w:val="bottom"/>
          </w:tcPr>
          <w:p>
            <w:pPr>
              <w:jc w:val="center"/>
              <w:spacing w:after="0"/>
              <w:rPr>
                <w:sz w:val="20"/>
                <w:szCs w:val="20"/>
                <w:color w:val="auto"/>
              </w:rPr>
            </w:pPr>
            <w:r>
              <w:rPr>
                <w:rFonts w:ascii="Arial" w:cs="Arial" w:eastAsia="Arial" w:hAnsi="Arial"/>
                <w:sz w:val="18"/>
                <w:szCs w:val="18"/>
                <w:color w:val="auto"/>
                <w:w w:val="93"/>
              </w:rPr>
              <w:t>Anthony L. Otten</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2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Alan B. Howe</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8"/>
        </w:trPr>
        <w:tc>
          <w:tcPr>
            <w:tcW w:w="5600" w:type="dxa"/>
            <w:vAlign w:val="bottom"/>
          </w:tcPr>
          <w:p>
            <w:pPr>
              <w:jc w:val="center"/>
              <w:spacing w:after="0"/>
              <w:rPr>
                <w:sz w:val="20"/>
                <w:szCs w:val="20"/>
                <w:color w:val="auto"/>
              </w:rPr>
            </w:pPr>
            <w:r>
              <w:rPr>
                <w:rFonts w:ascii="Arial" w:cs="Arial" w:eastAsia="Arial" w:hAnsi="Arial"/>
                <w:sz w:val="18"/>
                <w:szCs w:val="18"/>
                <w:color w:val="auto"/>
                <w:w w:val="93"/>
              </w:rPr>
              <w:t>Alan B. Howe</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2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Michael J. Potts</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8"/>
        </w:trPr>
        <w:tc>
          <w:tcPr>
            <w:tcW w:w="5600" w:type="dxa"/>
            <w:vAlign w:val="bottom"/>
          </w:tcPr>
          <w:p>
            <w:pPr>
              <w:jc w:val="center"/>
              <w:spacing w:after="0"/>
              <w:rPr>
                <w:sz w:val="20"/>
                <w:szCs w:val="20"/>
                <w:color w:val="auto"/>
              </w:rPr>
            </w:pPr>
            <w:r>
              <w:rPr>
                <w:rFonts w:ascii="Arial" w:cs="Arial" w:eastAsia="Arial" w:hAnsi="Arial"/>
                <w:sz w:val="18"/>
                <w:szCs w:val="18"/>
                <w:color w:val="auto"/>
                <w:w w:val="89"/>
              </w:rPr>
              <w:t>Michael J. Potts</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2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Ellen B. Richstone</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8"/>
        </w:trPr>
        <w:tc>
          <w:tcPr>
            <w:tcW w:w="5600" w:type="dxa"/>
            <w:vAlign w:val="bottom"/>
          </w:tcPr>
          <w:p>
            <w:pPr>
              <w:jc w:val="center"/>
              <w:spacing w:after="0"/>
              <w:rPr>
                <w:sz w:val="20"/>
                <w:szCs w:val="20"/>
                <w:color w:val="auto"/>
              </w:rPr>
            </w:pPr>
            <w:r>
              <w:rPr>
                <w:rFonts w:ascii="Arial" w:cs="Arial" w:eastAsia="Arial" w:hAnsi="Arial"/>
                <w:sz w:val="18"/>
                <w:szCs w:val="18"/>
                <w:color w:val="auto"/>
                <w:w w:val="91"/>
              </w:rPr>
              <w:t>Ellen B. Richstone</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2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C. Williamson</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8"/>
        </w:trPr>
        <w:tc>
          <w:tcPr>
            <w:tcW w:w="5600" w:type="dxa"/>
            <w:vAlign w:val="bottom"/>
          </w:tcPr>
          <w:p>
            <w:pPr>
              <w:jc w:val="center"/>
              <w:spacing w:after="0"/>
              <w:rPr>
                <w:sz w:val="20"/>
                <w:szCs w:val="20"/>
                <w:color w:val="auto"/>
              </w:rPr>
            </w:pPr>
            <w:r>
              <w:rPr>
                <w:rFonts w:ascii="Arial" w:cs="Arial" w:eastAsia="Arial" w:hAnsi="Arial"/>
                <w:sz w:val="18"/>
                <w:szCs w:val="18"/>
                <w:color w:val="auto"/>
                <w:w w:val="94"/>
              </w:rPr>
              <w:t>Mark C. Williamson</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2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Kenneth M. Young</w:t>
            </w:r>
          </w:p>
        </w:tc>
        <w:tc>
          <w:tcPr>
            <w:tcW w:w="2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8"/>
        </w:trPr>
        <w:tc>
          <w:tcPr>
            <w:tcW w:w="5600" w:type="dxa"/>
            <w:vAlign w:val="bottom"/>
          </w:tcPr>
          <w:p>
            <w:pPr>
              <w:jc w:val="center"/>
              <w:spacing w:after="0"/>
              <w:rPr>
                <w:sz w:val="20"/>
                <w:szCs w:val="20"/>
                <w:color w:val="auto"/>
              </w:rPr>
            </w:pPr>
            <w:r>
              <w:rPr>
                <w:rFonts w:ascii="Arial" w:cs="Arial" w:eastAsia="Arial" w:hAnsi="Arial"/>
                <w:sz w:val="18"/>
                <w:szCs w:val="18"/>
                <w:color w:val="auto"/>
                <w:w w:val="91"/>
              </w:rPr>
              <w:t>Kenneth M. Young</w:t>
            </w: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628"/>
        </w:trPr>
        <w:tc>
          <w:tcPr>
            <w:tcW w:w="56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91</w:t>
            </w:r>
          </w:p>
        </w:tc>
        <w:tc>
          <w:tcPr>
            <w:tcW w:w="5580" w:type="dxa"/>
            <w:vAlign w:val="bottom"/>
          </w:tcPr>
          <w:p>
            <w:pPr>
              <w:spacing w:after="0"/>
              <w:rPr>
                <w:sz w:val="24"/>
                <w:szCs w:val="24"/>
                <w:color w:val="auto"/>
              </w:rPr>
            </w:pPr>
          </w:p>
        </w:tc>
      </w:tr>
    </w:tbl>
    <w:p>
      <w:pPr>
        <w:sectPr>
          <w:pgSz w:w="11900" w:h="16838" w:orient="portrait"/>
          <w:cols w:equalWidth="0" w:num="1">
            <w:col w:w="11420"/>
          </w:cols>
          <w:pgMar w:left="240" w:top="33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b w:val="1"/>
          <w:bCs w:val="1"/>
          <w:color w:val="auto"/>
        </w:rPr>
        <w:t>Exhibit 4.3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Our authorized capital stock consists of 230,000,000 shares, consisting of 200,000,000 shares of common stock, no par value per share, and 30,000,000 shares of preferred stock, par value $0.01 per share. As of May 31, 2019, 29,601,669 shares of our common stock were outstanding and no shares of our preferred stock were outstanding.</w:t>
      </w:r>
    </w:p>
    <w:p>
      <w:pPr>
        <w:spacing w:after="0" w:line="188" w:lineRule="exact"/>
        <w:rPr>
          <w:sz w:val="20"/>
          <w:szCs w:val="20"/>
          <w:color w:val="auto"/>
        </w:rPr>
      </w:pPr>
    </w:p>
    <w:p>
      <w:pPr>
        <w:ind w:right="400" w:firstLine="598"/>
        <w:spacing w:after="0" w:line="279" w:lineRule="auto"/>
        <w:rPr>
          <w:sz w:val="20"/>
          <w:szCs w:val="20"/>
          <w:color w:val="auto"/>
        </w:rPr>
      </w:pPr>
      <w:r>
        <w:rPr>
          <w:rFonts w:ascii="Arial" w:cs="Arial" w:eastAsia="Arial" w:hAnsi="Arial"/>
          <w:sz w:val="17"/>
          <w:szCs w:val="17"/>
          <w:color w:val="auto"/>
        </w:rPr>
        <w:t>The description below summarizes the material terms of our common stock, preferred stock and provisions of our amended and restated articles of incorporation and amended and restated bylaws. This description is only a summary. For more detailed information, you should refer to our amended and restated articles of incorporation and bylaws filed as exhibits to our most recent Annual Report on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9" w:lineRule="exact"/>
        <w:rPr>
          <w:sz w:val="20"/>
          <w:szCs w:val="20"/>
          <w:color w:val="auto"/>
        </w:rPr>
      </w:pPr>
    </w:p>
    <w:p>
      <w:pPr>
        <w:ind w:right="80" w:firstLine="598"/>
        <w:spacing w:after="0" w:line="267"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shareholders and do not have cumulative voting rights. Holders of common stock are entitled to receive proportionately any dividends as may be declared by our board of directors, subject to any preferential dividend rights of outstanding preferred stock.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5" w:lineRule="exact"/>
        <w:rPr>
          <w:sz w:val="20"/>
          <w:szCs w:val="20"/>
          <w:color w:val="auto"/>
        </w:rPr>
      </w:pPr>
    </w:p>
    <w:p>
      <w:pPr>
        <w:ind w:right="220" w:firstLine="598"/>
        <w:spacing w:after="0" w:line="273" w:lineRule="auto"/>
        <w:rPr>
          <w:sz w:val="20"/>
          <w:szCs w:val="20"/>
          <w:color w:val="auto"/>
        </w:rPr>
      </w:pPr>
      <w:r>
        <w:rPr>
          <w:rFonts w:ascii="Arial" w:cs="Arial" w:eastAsia="Arial" w:hAnsi="Arial"/>
          <w:sz w:val="17"/>
          <w:szCs w:val="17"/>
          <w:color w:val="auto"/>
        </w:rPr>
        <w:t>We have entered into a rights agreement pursuant to which each outstanding share of our common stock has attached a right to purchase one share of our common stock. A right will also attach to each share of common stock that we subsequently issue prior to the expiration of the rights agreement. Under circumstances described below, the rights will entitle the holder of the rights to purchase additional shares of common stock. In this description of our capital stock, unless the context requires otherwise, all references to our common stock include the accompanying rights.</w:t>
      </w:r>
    </w:p>
    <w:p>
      <w:pPr>
        <w:spacing w:after="0" w:line="177" w:lineRule="exact"/>
        <w:rPr>
          <w:sz w:val="20"/>
          <w:szCs w:val="20"/>
          <w:color w:val="auto"/>
        </w:rPr>
      </w:pPr>
    </w:p>
    <w:p>
      <w:pPr>
        <w:ind w:right="60" w:firstLine="598"/>
        <w:spacing w:after="0" w:line="265" w:lineRule="auto"/>
        <w:rPr>
          <w:sz w:val="20"/>
          <w:szCs w:val="20"/>
          <w:color w:val="auto"/>
        </w:rPr>
      </w:pPr>
      <w:r>
        <w:rPr>
          <w:rFonts w:ascii="Arial" w:cs="Arial" w:eastAsia="Arial" w:hAnsi="Arial"/>
          <w:sz w:val="17"/>
          <w:szCs w:val="17"/>
          <w:color w:val="auto"/>
        </w:rPr>
        <w:t>Currently, the rights are not exercisable and trade with the common stock. If the rights become exercisable, each right, unless held by a person or group that beneficially owns more than 20% of our outstanding common stock, will initially entitle the holder to purchase one share of our common stock at a purchase price of $7 per share, subject to adjustment. The rights will become exercisable only if a person or group has acquired, or announced an intention to acquire, 20% or more of our outstanding common stock. Under some circumstances, including the existence of a 20% acquiring party, each holder of a right, other than the acquiring party, will be entitled to purchase at the right’s then-current exercise price, shares of our common stock having a market value of two times the exercise price. If another corporation acquires us after a party acquires 20% or more of our common stock, each holder of a right will be entitled to receive the acquiring corporation’s common shares having a market value of two times the exercise price. The rights may be redeemed at a price of $0.001 per right until a party acquires 20% or more of our common stock and, after that time, may be exchanged for one share of our common stock per right until a party acquires 50% or more of our common stock. The rights expire on January 7, 2022, subject to extension. Under the rights agreement, our board of directors may reduce the thresholds applicable to the rights from 20% to not less than 10%. The rights do not have voting or dividend rights and, until they become exercisable, have no dilutive effect on our earnings.</w:t>
      </w:r>
    </w:p>
    <w:p>
      <w:pPr>
        <w:spacing w:after="0" w:line="186"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rights have certain anti-takeover effects, in that they could have the effect of delaying, deferring or preventing a change of control of our company by causing substantial dilution to a person or group that attempts to acquire a significant interest in our company on terms not approved by our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299085</wp:posOffset>
            </wp:positionV>
            <wp:extent cx="72904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ind w:right="60" w:firstLine="598"/>
        <w:spacing w:after="0" w:line="270" w:lineRule="auto"/>
        <w:rPr>
          <w:sz w:val="20"/>
          <w:szCs w:val="20"/>
          <w:color w:val="auto"/>
        </w:rPr>
      </w:pPr>
      <w:r>
        <w:rPr>
          <w:rFonts w:ascii="Arial" w:cs="Arial" w:eastAsia="Arial" w:hAnsi="Arial"/>
          <w:sz w:val="17"/>
          <w:szCs w:val="17"/>
          <w:color w:val="auto"/>
        </w:rPr>
        <w:t>Our board of directors is authorized to issue from time to time up to 30 million shares of preferred stock in one or more series without shareholder approval. Our board of directors has the discretion to determine the rights, preferences, privileges and restrictions, including voting rights, dividend rights, conversion rights, redemption privileges and liquidation preferences, of each series of preferred stock. It is not possible to state the actual effect of the issuance of any shares of preferred stock on the rights of holders of common stock until our board of directors determines the specific rights associated with that preferred stock. The effects of issuing preferred stock could include one or more of the following:</w:t>
      </w:r>
    </w:p>
    <w:p>
      <w:pPr>
        <w:spacing w:after="0" w:line="87" w:lineRule="exact"/>
        <w:rPr>
          <w:sz w:val="20"/>
          <w:szCs w:val="20"/>
          <w:color w:val="auto"/>
        </w:rPr>
      </w:pPr>
    </w:p>
    <w:p>
      <w:pPr>
        <w:ind w:left="900" w:hanging="33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decreasing the amount of earnings and assets available for distribution to holders of common stock;</w:t>
      </w:r>
    </w:p>
    <w:p>
      <w:pPr>
        <w:spacing w:after="0" w:line="126" w:lineRule="exact"/>
        <w:rPr>
          <w:rFonts w:ascii="Arial" w:cs="Arial" w:eastAsia="Arial" w:hAnsi="Arial"/>
          <w:sz w:val="18"/>
          <w:szCs w:val="18"/>
          <w:color w:val="auto"/>
        </w:rPr>
      </w:pPr>
    </w:p>
    <w:p>
      <w:pPr>
        <w:ind w:left="900" w:hanging="33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26" w:lineRule="exact"/>
        <w:rPr>
          <w:rFonts w:ascii="Arial" w:cs="Arial" w:eastAsia="Arial" w:hAnsi="Arial"/>
          <w:sz w:val="18"/>
          <w:szCs w:val="18"/>
          <w:color w:val="auto"/>
        </w:rPr>
      </w:pPr>
    </w:p>
    <w:p>
      <w:pPr>
        <w:ind w:left="900" w:hanging="33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126" w:lineRule="exact"/>
        <w:rPr>
          <w:rFonts w:ascii="Arial" w:cs="Arial" w:eastAsia="Arial" w:hAnsi="Arial"/>
          <w:sz w:val="18"/>
          <w:szCs w:val="18"/>
          <w:color w:val="auto"/>
        </w:rPr>
      </w:pPr>
    </w:p>
    <w:p>
      <w:pPr>
        <w:ind w:left="900" w:hanging="33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126" w:lineRule="exact"/>
        <w:rPr>
          <w:rFonts w:ascii="Arial" w:cs="Arial" w:eastAsia="Arial" w:hAnsi="Arial"/>
          <w:sz w:val="18"/>
          <w:szCs w:val="18"/>
          <w:color w:val="auto"/>
        </w:rPr>
      </w:pPr>
    </w:p>
    <w:p>
      <w:pPr>
        <w:ind w:left="900" w:hanging="33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delaying, deferring or preventing changes in our control or management.</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the May 31, 2019, there were no shares of preferred stock outstanding.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 Anti-Takeover Law and Certain Articles of Incorporation and Bylaw Provisions</w:t>
      </w:r>
    </w:p>
    <w:p>
      <w:pPr>
        <w:spacing w:after="0" w:line="119" w:lineRule="exact"/>
        <w:rPr>
          <w:sz w:val="20"/>
          <w:szCs w:val="20"/>
          <w:color w:val="auto"/>
        </w:rPr>
      </w:pPr>
    </w:p>
    <w:p>
      <w:pPr>
        <w:jc w:val="both"/>
        <w:ind w:right="340" w:firstLine="598"/>
        <w:spacing w:after="0" w:line="257" w:lineRule="auto"/>
        <w:rPr>
          <w:sz w:val="20"/>
          <w:szCs w:val="20"/>
          <w:color w:val="auto"/>
        </w:rPr>
      </w:pPr>
      <w:r>
        <w:rPr>
          <w:rFonts w:ascii="Arial" w:cs="Arial" w:eastAsia="Arial" w:hAnsi="Arial"/>
          <w:sz w:val="18"/>
          <w:szCs w:val="18"/>
          <w:color w:val="auto"/>
        </w:rPr>
        <w:t>Wisconsin law and our amended and restated articles of incorporation and amended and restated bylaws that will be effective upon closing of this offering contain provisions that could delay or prevent a change of control of our company or changes in our board of directors that our shareholders might consider favorable. The following is a summary of these provisions.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Amended and Restated Articles of Incorporation and Amended and Restated Bylaws</w:t>
      </w:r>
    </w:p>
    <w:p>
      <w:pPr>
        <w:spacing w:after="0" w:line="113"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i w:val="1"/>
          <w:iCs w:val="1"/>
          <w:color w:val="auto"/>
        </w:rPr>
        <w:t>Classified board of directors; removal of directors for cause</w:t>
      </w:r>
      <w:r>
        <w:rPr>
          <w:rFonts w:ascii="Arial" w:cs="Arial" w:eastAsia="Arial" w:hAnsi="Arial"/>
          <w:sz w:val="18"/>
          <w:szCs w:val="18"/>
          <w:color w:val="auto"/>
        </w:rPr>
        <w:t>. Our amended and restated articles of incorporation and amended and restated bylaws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 our board of directors is divided into three classes, with the term of office of each class expiring at successive annual meetings of shareholders. At each annual meeting of shareholders, each director is elected for a term ending on the date of the third annual shareholders’ meeting following the annual shareholders’ meeting at which such director was elected and until his or her successor shall be elected and shall qualify, subject to prior death, resignation or removal from office.</w:t>
      </w:r>
    </w:p>
    <w:p>
      <w:pPr>
        <w:spacing w:after="0" w:line="12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Our amended and restated articles of incorporation also provide that the affirmative vote of shareholders possessing at least 75% of the voting power of the then outstanding shares of our capital stock is required to amend, alter, change or repeal, or to adopt any provision inconsistent with, the relevant sections of the bylaws establishing the classified board. The board of directors (or its remaining members, even if less than a quorum) is also empowered to fill vacancies on the board of directors occurring for any reason for the remainder of the term of the class of directors in which the vacancy occurred, unless the vacancy was caused by the action of shareholders (in which event such vacancy will be filled by the shareholders and may not be filled by the directors).</w:t>
      </w:r>
    </w:p>
    <w:p>
      <w:pPr>
        <w:spacing w:after="0" w:line="165" w:lineRule="exact"/>
        <w:rPr>
          <w:sz w:val="20"/>
          <w:szCs w:val="20"/>
          <w:color w:val="auto"/>
        </w:rPr>
      </w:pPr>
    </w:p>
    <w:p>
      <w:pPr>
        <w:jc w:val="both"/>
        <w:ind w:right="40" w:firstLine="598"/>
        <w:spacing w:after="0" w:line="257" w:lineRule="auto"/>
        <w:rPr>
          <w:sz w:val="20"/>
          <w:szCs w:val="20"/>
          <w:color w:val="auto"/>
        </w:rPr>
      </w:pPr>
      <w:r>
        <w:rPr>
          <w:rFonts w:ascii="Arial" w:cs="Arial" w:eastAsia="Arial" w:hAnsi="Arial"/>
          <w:sz w:val="18"/>
          <w:szCs w:val="18"/>
          <w:color w:val="auto"/>
        </w:rPr>
        <w:t>Members of the board of directors may be removed only for cause at a meeting of the shareholders called for the purpose of removing the director, and the meeting notice must state that the purpose, or one of the purposes, of the meeting is removal of the director and must state the alleged cause upon which the director’s removal would be based.</w:t>
      </w:r>
    </w:p>
    <w:p>
      <w:pPr>
        <w:spacing w:after="0" w:line="188" w:lineRule="exact"/>
        <w:rPr>
          <w:sz w:val="20"/>
          <w:szCs w:val="20"/>
          <w:color w:val="auto"/>
        </w:rPr>
      </w:pPr>
    </w:p>
    <w:p>
      <w:pPr>
        <w:ind w:right="80" w:firstLine="598"/>
        <w:spacing w:after="0" w:line="297" w:lineRule="auto"/>
        <w:rPr>
          <w:sz w:val="20"/>
          <w:szCs w:val="20"/>
          <w:color w:val="auto"/>
        </w:rPr>
      </w:pPr>
      <w:r>
        <w:rPr>
          <w:rFonts w:ascii="Arial" w:cs="Arial" w:eastAsia="Arial" w:hAnsi="Arial"/>
          <w:sz w:val="17"/>
          <w:szCs w:val="17"/>
          <w:color w:val="auto"/>
        </w:rPr>
        <w:t>These provisions are likely to increase the time required for shareholders to change the composition of our board of directors. For example, in general, at least two annual meetings will be necessary for shareholders to effect a change in a majority of the members of our board of directors.</w:t>
      </w:r>
    </w:p>
    <w:p>
      <w:pPr>
        <w:spacing w:after="0" w:line="156"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i w:val="1"/>
          <w:iCs w:val="1"/>
          <w:color w:val="auto"/>
        </w:rPr>
        <w:t>Advance notice provisions for shareholder proposals and shareholder nominations of directors</w:t>
      </w:r>
      <w:r>
        <w:rPr>
          <w:rFonts w:ascii="Arial" w:cs="Arial" w:eastAsia="Arial" w:hAnsi="Arial"/>
          <w:sz w:val="17"/>
          <w:szCs w:val="17"/>
          <w:color w:val="auto"/>
        </w:rPr>
        <w:t>. Our amended and restated bylaws provide that, for</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nominations to the board of directors or for other business to be properly brought by a shareholder before a meeting of shareholders, the shareholder must first have given timely notice of the proposal in writing to our secretary. For an annual meeting, a shareholder’s notice generally must be delivered on or before December 31 of the year immediately preceding the annual meeting, unless the date of the annual meeting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268605</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61" w:right="279" w:bottom="1440" w:gutter="0" w:footer="0" w:header="0"/>
        </w:sectPr>
      </w:pPr>
    </w:p>
    <w:bookmarkStart w:id="92" w:name="page93"/>
    <w:bookmarkEnd w:id="92"/>
    <w:p>
      <w:pPr>
        <w:ind w:right="140"/>
        <w:spacing w:after="0" w:line="252" w:lineRule="auto"/>
        <w:rPr>
          <w:sz w:val="20"/>
          <w:szCs w:val="20"/>
          <w:color w:val="auto"/>
        </w:rPr>
      </w:pPr>
      <w:r>
        <w:rPr>
          <w:rFonts w:ascii="Arial" w:cs="Arial" w:eastAsia="Arial" w:hAnsi="Arial"/>
          <w:sz w:val="18"/>
          <w:szCs w:val="18"/>
          <w:color w:val="auto"/>
        </w:rPr>
        <w:t>on or after May 1 in any year, in which case notice must be received not later than the close of business on the day which is determined by adding to December 31 of the year immediately preceding such annual meeting the number of days starting with May 1 and ending on the date of the annual meeting in such year. Detailed requirements as to the form of the notice and information required in the notice are specified in the amended and restated bylaws. If it is determined that business was not properly brought before a meeting in accordance with our amended and restated bylaws, such business will not be conducted at the meeting.</w:t>
      </w:r>
    </w:p>
    <w:p>
      <w:pPr>
        <w:spacing w:after="0" w:line="30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Wisconsin Business Corporation Law</w:t>
      </w:r>
    </w:p>
    <w:p>
      <w:pPr>
        <w:spacing w:after="0" w:line="113" w:lineRule="exact"/>
        <w:rPr>
          <w:sz w:val="20"/>
          <w:szCs w:val="20"/>
          <w:color w:val="auto"/>
        </w:rPr>
      </w:pPr>
    </w:p>
    <w:p>
      <w:pPr>
        <w:ind w:right="40" w:firstLine="598"/>
        <w:spacing w:after="0" w:line="285" w:lineRule="auto"/>
        <w:rPr>
          <w:sz w:val="20"/>
          <w:szCs w:val="20"/>
          <w:color w:val="auto"/>
        </w:rPr>
      </w:pPr>
      <w:r>
        <w:rPr>
          <w:rFonts w:ascii="Arial" w:cs="Arial" w:eastAsia="Arial" w:hAnsi="Arial"/>
          <w:sz w:val="16"/>
          <w:szCs w:val="16"/>
          <w:color w:val="auto"/>
        </w:rPr>
        <w:t>Sections 180.1140 to 180.1144 of the Wisconsin Business Corporation Law, or the WBCL, restrict a broad range of business combinations between a Wisconsin corporation and an “interested stockholder” for a period of three years unless specified conditions are met. The WBCL defines a “business combination” as including certain mergers or share exchanges, sales of assets, issuances of stock or rights to purchase stock and other related party transactions. An “interested stockholder” is a person who beneficially owns, directly or indirectly, 10% of the outstanding voting stock of a corporation or who is an affiliate or associate of the corporation and beneficially owned 10% of the voting stock within the last three years. During the initial three-year period after a person becomes an interested stockholder in a Wisconsin corporation, with some exceptions, the WBCL prohibits a business combination with the interested stockholder unless the corporation’s board of directors approved the business combination or the acquisition of the stock by the interested stockholder prior to the acquisition date. Following this three-year period, the WBCL also prohibits a business combination with an interested stockholder unless:</w:t>
      </w:r>
    </w:p>
    <w:p>
      <w:pPr>
        <w:spacing w:after="0" w:line="199" w:lineRule="exact"/>
        <w:rPr>
          <w:sz w:val="20"/>
          <w:szCs w:val="20"/>
          <w:color w:val="auto"/>
        </w:rPr>
      </w:pPr>
    </w:p>
    <w:p>
      <w:pPr>
        <w:ind w:left="900" w:hanging="33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directors approved the acquisition of the stock prior to the acquisition date;</w:t>
      </w:r>
    </w:p>
    <w:p>
      <w:pPr>
        <w:spacing w:after="0" w:line="246" w:lineRule="exact"/>
        <w:rPr>
          <w:rFonts w:ascii="Arial" w:cs="Arial" w:eastAsia="Arial" w:hAnsi="Arial"/>
          <w:sz w:val="18"/>
          <w:szCs w:val="18"/>
          <w:color w:val="auto"/>
        </w:rPr>
      </w:pPr>
    </w:p>
    <w:p>
      <w:pPr>
        <w:ind w:left="900" w:hanging="33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business combination is approved by a majority of the outstanding voting stock not owned by the interested stockholder;</w:t>
      </w:r>
    </w:p>
    <w:p>
      <w:pPr>
        <w:spacing w:after="0" w:line="246" w:lineRule="exact"/>
        <w:rPr>
          <w:rFonts w:ascii="Arial" w:cs="Arial" w:eastAsia="Arial" w:hAnsi="Arial"/>
          <w:sz w:val="18"/>
          <w:szCs w:val="18"/>
          <w:color w:val="auto"/>
        </w:rPr>
      </w:pPr>
    </w:p>
    <w:p>
      <w:pPr>
        <w:ind w:left="900" w:hanging="33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consideration to be received by shareholders meets certain requirements of the statute with respect to form and amount; or</w:t>
      </w:r>
    </w:p>
    <w:p>
      <w:pPr>
        <w:spacing w:after="0" w:line="246" w:lineRule="exact"/>
        <w:rPr>
          <w:rFonts w:ascii="Arial" w:cs="Arial" w:eastAsia="Arial" w:hAnsi="Arial"/>
          <w:sz w:val="18"/>
          <w:szCs w:val="18"/>
          <w:color w:val="auto"/>
        </w:rPr>
      </w:pPr>
    </w:p>
    <w:p>
      <w:pPr>
        <w:ind w:left="900" w:hanging="33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business combination is of a type specifically excluded from the coverage of the statute.</w:t>
      </w:r>
    </w:p>
    <w:p>
      <w:pPr>
        <w:spacing w:after="0" w:line="153" w:lineRule="exact"/>
        <w:rPr>
          <w:sz w:val="20"/>
          <w:szCs w:val="20"/>
          <w:color w:val="auto"/>
        </w:rPr>
      </w:pPr>
    </w:p>
    <w:p>
      <w:pPr>
        <w:ind w:right="60" w:firstLine="598"/>
        <w:spacing w:after="0" w:line="251" w:lineRule="auto"/>
        <w:rPr>
          <w:sz w:val="20"/>
          <w:szCs w:val="20"/>
          <w:color w:val="auto"/>
        </w:rPr>
      </w:pPr>
      <w:r>
        <w:rPr>
          <w:rFonts w:ascii="Arial" w:cs="Arial" w:eastAsia="Arial" w:hAnsi="Arial"/>
          <w:sz w:val="18"/>
          <w:szCs w:val="18"/>
          <w:color w:val="auto"/>
        </w:rPr>
        <w:t>Sections 180.1130 to 180.1133 of the WBCL govern certain mergers or share exchanges between public Wisconsin corporations and significant shareholders, and sales of all or substantially all of the assets of public Wisconsin corporations to significant shareholders. These transactions must be approved by 80% of all shareholders and two-thirds of shareholders other than the significant shareholder, unless the shareholders receive a statutory “fair price.” Section 180.1130 of the WBCL generally defines a “significant shareholder” as the beneficial owner of 10% or more of the voting power of the outstanding voting shares, or an affiliate of the corporation who beneficially owned 10% or more of the voting power of the then outstanding shares within the last two years.</w:t>
      </w:r>
    </w:p>
    <w:p>
      <w:pPr>
        <w:spacing w:after="0" w:line="195" w:lineRule="exact"/>
        <w:rPr>
          <w:sz w:val="20"/>
          <w:szCs w:val="20"/>
          <w:color w:val="auto"/>
        </w:rPr>
      </w:pPr>
    </w:p>
    <w:p>
      <w:pPr>
        <w:ind w:right="380" w:firstLine="598"/>
        <w:spacing w:after="0" w:line="273" w:lineRule="auto"/>
        <w:rPr>
          <w:sz w:val="20"/>
          <w:szCs w:val="20"/>
          <w:color w:val="auto"/>
        </w:rPr>
      </w:pPr>
      <w:r>
        <w:rPr>
          <w:rFonts w:ascii="Arial" w:cs="Arial" w:eastAsia="Arial" w:hAnsi="Arial"/>
          <w:sz w:val="17"/>
          <w:szCs w:val="17"/>
          <w:color w:val="auto"/>
        </w:rPr>
        <w:t>Section 180.1150 of the WBCL provides that in particular circumstances the voting power of shares of a public Wisconsin corporation held by any person in excess of 20% of the voting power is limited to 10% of the voting power these excess shares would otherwise have. Full voting power may be restored if a majority of the voting power of shares represented at a meeting, including those held by the party seeking restoration, are voted in favor of the restoration. This voting restriction does not apply to shares acquired directly from the corporation.</w:t>
      </w:r>
    </w:p>
    <w:p>
      <w:pPr>
        <w:spacing w:after="0" w:line="177"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Section 180.1134 of the WBCL requires shareholder approval for some transactions in the context of a tender offer or similar action for more than 5% of any class of a Wisconsin corporation’s stock. Shareholder approval is required for the acquisition of more than 5% of the corporation’s stock at a price above market value from any person who holds more than 3% of the voting shares and has held the shares for less than two years, unless the corporation makes an equal offer to acquire all shares. Shareholder approval is also required for the sale or option of assets that amount to at least 10% of the market value of the corporation, but this requirement does not apply if the corporation has at least three independent directors and a majority of the independent directors vote not to have this provision apply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279400</wp:posOffset>
            </wp:positionV>
            <wp:extent cx="72904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Limitations of Directors’ Liability and Indemnification</w:t>
      </w:r>
    </w:p>
    <w:p>
      <w:pPr>
        <w:spacing w:after="0" w:line="119"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Our amended and restated bylaws provide that, to the fullest extent permitted or required by Wisconsin law, we will indemnify all of our directors and officers, any trustee of any of our employee benefit plans, and person who is serving at our request as a director, officer, employee or agent of another entity, against certain liabilities and losses incurred in connection with these positions or services. We will indemnify these parties to the extent the parties are successful in the defense of a proceeding and in proceedings in which the party is not successful in defense of the proceeding unless, in the latter case only, it is determined that the party breached or failed to perform his or her duties to us and this breach or failure constituted:</w:t>
      </w:r>
    </w:p>
    <w:p>
      <w:pPr>
        <w:spacing w:after="0" w:line="71" w:lineRule="exact"/>
        <w:rPr>
          <w:sz w:val="20"/>
          <w:szCs w:val="20"/>
          <w:color w:val="auto"/>
        </w:rPr>
      </w:pPr>
    </w:p>
    <w:p>
      <w:pPr>
        <w:ind w:left="900" w:right="420" w:hanging="333"/>
        <w:spacing w:after="0" w:line="26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willful failure to deal fairly with us or our shareholders in connection with a matter in which the director or officer has a material conflict of interest;</w:t>
      </w:r>
    </w:p>
    <w:p>
      <w:pPr>
        <w:spacing w:after="0" w:line="86" w:lineRule="exact"/>
        <w:rPr>
          <w:rFonts w:ascii="Arial" w:cs="Arial" w:eastAsia="Arial" w:hAnsi="Arial"/>
          <w:sz w:val="18"/>
          <w:szCs w:val="18"/>
          <w:color w:val="auto"/>
        </w:rPr>
      </w:pPr>
    </w:p>
    <w:p>
      <w:pPr>
        <w:ind w:left="900" w:hanging="33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violation of criminal law, unless the director or officer had reasonable cause to believe his or her conduct was unlawful;</w:t>
      </w:r>
    </w:p>
    <w:p>
      <w:pPr>
        <w:spacing w:after="0" w:line="126" w:lineRule="exact"/>
        <w:rPr>
          <w:rFonts w:ascii="Arial" w:cs="Arial" w:eastAsia="Arial" w:hAnsi="Arial"/>
          <w:sz w:val="18"/>
          <w:szCs w:val="18"/>
          <w:color w:val="auto"/>
        </w:rPr>
      </w:pPr>
    </w:p>
    <w:p>
      <w:pPr>
        <w:ind w:left="900" w:hanging="33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profit; or</w:t>
      </w:r>
    </w:p>
    <w:p>
      <w:pPr>
        <w:spacing w:after="0" w:line="126" w:lineRule="exact"/>
        <w:rPr>
          <w:rFonts w:ascii="Arial" w:cs="Arial" w:eastAsia="Arial" w:hAnsi="Arial"/>
          <w:sz w:val="18"/>
          <w:szCs w:val="18"/>
          <w:color w:val="auto"/>
        </w:rPr>
      </w:pPr>
    </w:p>
    <w:p>
      <w:pPr>
        <w:ind w:left="900" w:hanging="33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0" w:lineRule="exact"/>
        <w:rPr>
          <w:sz w:val="20"/>
          <w:szCs w:val="20"/>
          <w:color w:val="auto"/>
        </w:rPr>
      </w:pPr>
    </w:p>
    <w:p>
      <w:pPr>
        <w:jc w:val="both"/>
        <w:ind w:firstLine="598"/>
        <w:spacing w:after="0" w:line="304" w:lineRule="auto"/>
        <w:rPr>
          <w:sz w:val="20"/>
          <w:szCs w:val="20"/>
          <w:color w:val="auto"/>
        </w:rPr>
      </w:pPr>
      <w:r>
        <w:rPr>
          <w:rFonts w:ascii="Arial" w:cs="Arial" w:eastAsia="Arial" w:hAnsi="Arial"/>
          <w:sz w:val="16"/>
          <w:szCs w:val="16"/>
          <w:color w:val="auto"/>
        </w:rPr>
        <w:t>Our amended and restated bylaws provide that we are required to indemnify our directors and executive officers and may indemnify our employees and other agents to the fullest extent required or permitted by Wisconsin law. Additionally, our amended and restated bylaws require us under certain circumstances to advance reasonable expenses incurred by a director or officer who is a party to a proceeding for which indemnification may be available.</w:t>
      </w:r>
    </w:p>
    <w:p>
      <w:pPr>
        <w:spacing w:after="0" w:line="154"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Wisconsin law further provides that it is the public policy of the State of Wisconsin to require or permit indemnification, allowance of expenses and insurance to the extent required or permitted under Wisconsin law for any liability incurred in connection with a proceeding involving a federal or state statute, rule or regulation regulating the offer, sale or purchase of securities.</w:t>
      </w:r>
    </w:p>
    <w:p>
      <w:pPr>
        <w:spacing w:after="0" w:line="122"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Under Wisconsin law, a director is not personally liable for breach of any duty resulting solely from his or her status as a director, unless it is proved that the director’s conduct constituted conduct described in the bullet points above. In addition, we maintain directors’ and officers’ liability insurance that will insure against certain liabilities, subject to applicable restrictions.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listed on the NASDAQ Capital Market under the symbol “OESX.”</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common stock is EQ Shareowner Services.</w:t>
      </w:r>
    </w:p>
    <w:p>
      <w:pPr>
        <w:sectPr>
          <w:pgSz w:w="11900" w:h="16838" w:orient="portrait"/>
          <w:cols w:equalWidth="0" w:num="1">
            <w:col w:w="11380"/>
          </w:cols>
          <w:pgMar w:left="240" w:top="668" w:right="2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19"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 TO BUSINESS FINANCING AGREEMENT</w:t>
      </w:r>
    </w:p>
    <w:p>
      <w:pPr>
        <w:spacing w:after="0" w:line="200" w:lineRule="exact"/>
        <w:rPr>
          <w:sz w:val="20"/>
          <w:szCs w:val="20"/>
          <w:color w:val="auto"/>
        </w:rPr>
      </w:pPr>
    </w:p>
    <w:p>
      <w:pPr>
        <w:spacing w:after="0" w:line="220" w:lineRule="exact"/>
        <w:rPr>
          <w:sz w:val="20"/>
          <w:szCs w:val="20"/>
          <w:color w:val="auto"/>
        </w:rPr>
      </w:pPr>
    </w:p>
    <w:p>
      <w:pPr>
        <w:jc w:val="both"/>
        <w:ind w:firstLine="878"/>
        <w:spacing w:after="0"/>
        <w:rPr>
          <w:sz w:val="20"/>
          <w:szCs w:val="20"/>
          <w:color w:val="auto"/>
        </w:rPr>
      </w:pPr>
      <w:r>
        <w:rPr>
          <w:rFonts w:ascii="Arial" w:cs="Arial" w:eastAsia="Arial" w:hAnsi="Arial"/>
          <w:sz w:val="18"/>
          <w:szCs w:val="18"/>
          <w:color w:val="auto"/>
        </w:rPr>
        <w:t>This AMENDMENT NUMBER ONE TO BUSINESS FINANCING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dated as of June 3</w:t>
      </w:r>
      <w:r>
        <w:rPr>
          <w:rFonts w:ascii="Arial" w:cs="Arial" w:eastAsia="Arial" w:hAnsi="Arial"/>
          <w:sz w:val="15"/>
          <w:szCs w:val="15"/>
          <w:color w:val="auto"/>
        </w:rPr>
        <w:t>rd</w:t>
      </w:r>
      <w:r>
        <w:rPr>
          <w:rFonts w:ascii="Arial" w:cs="Arial" w:eastAsia="Arial" w:hAnsi="Arial"/>
          <w:sz w:val="18"/>
          <w:szCs w:val="18"/>
          <w:color w:val="auto"/>
        </w:rPr>
        <w:t xml:space="preserve">, 2019, is entered into by and between WESTERN ALLIANCE BANK, an Arizona corporation </w:t>
      </w:r>
      <w:r>
        <w:rPr>
          <w:rFonts w:ascii="Arial" w:cs="Arial" w:eastAsia="Arial" w:hAnsi="Arial"/>
          <w:sz w:val="18"/>
          <w:szCs w:val="18"/>
          <w:b w:val="1"/>
          <w:bCs w:val="1"/>
          <w:u w:val="single" w:color="auto"/>
          <w:color w:val="auto"/>
        </w:rPr>
        <w:t>Lender</w:t>
      </w:r>
      <w:r>
        <w:rPr>
          <w:rFonts w:ascii="Arial" w:cs="Arial" w:eastAsia="Arial" w:hAnsi="Arial"/>
          <w:sz w:val="18"/>
          <w:szCs w:val="18"/>
          <w:color w:val="auto"/>
        </w:rPr>
        <w:t>”), one the one hand, and, ORION ENERGY SYSTEMS, INC., a Wisconsin corporation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the Subsidiaries of Parent listed on Schedule 1 attached to the Agreement defined below, and such other direct or indirect Subsidiaries of Parent that may hereafter become parties hereto (collectively with Parent, “</w:t>
      </w:r>
      <w:r>
        <w:rPr>
          <w:rFonts w:ascii="Arial" w:cs="Arial" w:eastAsia="Arial" w:hAnsi="Arial"/>
          <w:sz w:val="18"/>
          <w:szCs w:val="18"/>
          <w:b w:val="1"/>
          <w:bCs w:val="1"/>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on the other hand, with reference to the following facts:</w:t>
      </w:r>
    </w:p>
    <w:p>
      <w:pPr>
        <w:spacing w:after="0" w:line="201" w:lineRule="exact"/>
        <w:rPr>
          <w:sz w:val="20"/>
          <w:szCs w:val="20"/>
          <w:color w:val="auto"/>
        </w:rPr>
      </w:pPr>
    </w:p>
    <w:p>
      <w:pPr>
        <w:ind w:left="880" w:hanging="799"/>
        <w:spacing w:after="0" w:line="239" w:lineRule="auto"/>
        <w:tabs>
          <w:tab w:leader="none" w:pos="8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Borrowers and Lender previously entered into that certain Business Financing Agreement, dated as of October 26, 2018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201"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Borrowers and Lender desire to amend the Agreement in accordance with the terms and conditions set forth herein.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in consideration of the foregoing, the parties hereto hereby agree as follows:</w:t>
      </w:r>
    </w:p>
    <w:p>
      <w:pPr>
        <w:spacing w:after="0" w:line="184" w:lineRule="exact"/>
        <w:rPr>
          <w:sz w:val="20"/>
          <w:szCs w:val="20"/>
          <w:color w:val="auto"/>
        </w:rPr>
      </w:pPr>
    </w:p>
    <w:p>
      <w:pPr>
        <w:ind w:left="2320" w:hanging="1436"/>
        <w:spacing w:after="0"/>
        <w:tabs>
          <w:tab w:leader="none" w:pos="2320"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color w:val="auto"/>
        </w:rPr>
        <w:t>. All initially capitalized terms used but not defined herein shall have the meanings assigned to such</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terms in the Agreement.</w:t>
      </w:r>
    </w:p>
    <w:p>
      <w:pPr>
        <w:spacing w:after="0" w:line="184" w:lineRule="exact"/>
        <w:rPr>
          <w:rFonts w:ascii="Arial" w:cs="Arial" w:eastAsia="Arial" w:hAnsi="Arial"/>
          <w:sz w:val="17"/>
          <w:szCs w:val="17"/>
          <w:color w:val="auto"/>
        </w:rPr>
      </w:pPr>
    </w:p>
    <w:p>
      <w:pPr>
        <w:ind w:left="2320" w:hanging="1436"/>
        <w:spacing w:after="0"/>
        <w:tabs>
          <w:tab w:leader="none" w:pos="2320"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1.12</w:t>
      </w:r>
      <w:r>
        <w:rPr>
          <w:rFonts w:ascii="Arial" w:cs="Arial" w:eastAsia="Arial" w:hAnsi="Arial"/>
          <w:sz w:val="18"/>
          <w:szCs w:val="18"/>
          <w:color w:val="auto"/>
        </w:rPr>
        <w:t>. Section 1.12 of the Agreement is hereby amended in its entirety as follows:</w:t>
      </w:r>
    </w:p>
    <w:p>
      <w:pPr>
        <w:spacing w:after="0" w:line="206" w:lineRule="exact"/>
        <w:rPr>
          <w:sz w:val="20"/>
          <w:szCs w:val="20"/>
          <w:color w:val="auto"/>
        </w:rPr>
      </w:pPr>
    </w:p>
    <w:p>
      <w:pPr>
        <w:jc w:val="both"/>
        <w:ind w:left="2620" w:right="860" w:hanging="866"/>
        <w:spacing w:after="0" w:line="237" w:lineRule="auto"/>
        <w:tabs>
          <w:tab w:leader="none" w:pos="2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b w:val="1"/>
          <w:bCs w:val="1"/>
          <w:color w:val="auto"/>
        </w:rPr>
        <w:t>Overadvances</w:t>
      </w:r>
      <w:r>
        <w:rPr>
          <w:rFonts w:ascii="Arial" w:cs="Arial" w:eastAsia="Arial" w:hAnsi="Arial"/>
          <w:sz w:val="18"/>
          <w:szCs w:val="18"/>
          <w:color w:val="auto"/>
        </w:rPr>
        <w:t>. Upon any occurrence of an Overadvance, Borrowers shall immediately pay down</w:t>
      </w:r>
      <w:r>
        <w:rPr>
          <w:rFonts w:ascii="Arial" w:cs="Arial" w:eastAsia="Arial" w:hAnsi="Arial"/>
          <w:sz w:val="18"/>
          <w:szCs w:val="18"/>
          <w:b w:val="1"/>
          <w:bCs w:val="1"/>
          <w:color w:val="auto"/>
        </w:rPr>
        <w:t xml:space="preserve"> </w:t>
      </w:r>
      <w:r>
        <w:rPr>
          <w:rFonts w:ascii="Arial" w:cs="Arial" w:eastAsia="Arial" w:hAnsi="Arial"/>
          <w:sz w:val="18"/>
          <w:szCs w:val="18"/>
          <w:color w:val="auto"/>
        </w:rPr>
        <w:t>the Advances such that, after giving effect to such payments, no Overadvance exists; provided that if any Overadvance occurs due to the termination of the Inventory Sublimit Availability Period, then Borrowers shall pay down all Advances supported by the Inventory Sublimit on a monthly basis, commencing with the first day of the month following the termination of the Inventory Sublimit Availability Period in an amount equal to the lesser of $1,000,000 or the unpaid balance of Advances supported by the Inventory Sublimit.</w:t>
      </w:r>
    </w:p>
    <w:p>
      <w:pPr>
        <w:spacing w:after="0" w:line="183" w:lineRule="exact"/>
        <w:rPr>
          <w:sz w:val="20"/>
          <w:szCs w:val="20"/>
          <w:color w:val="auto"/>
        </w:rPr>
      </w:pPr>
    </w:p>
    <w:p>
      <w:pPr>
        <w:ind w:left="2320" w:hanging="1436"/>
        <w:spacing w:after="0"/>
        <w:tabs>
          <w:tab w:leader="none" w:pos="232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Section 12.1</w:t>
      </w:r>
      <w:r>
        <w:rPr>
          <w:rFonts w:ascii="Arial" w:cs="Arial" w:eastAsia="Arial" w:hAnsi="Arial"/>
          <w:sz w:val="18"/>
          <w:szCs w:val="18"/>
          <w:color w:val="auto"/>
        </w:rPr>
        <w:t>.</w:t>
      </w:r>
    </w:p>
    <w:p>
      <w:pPr>
        <w:spacing w:after="0" w:line="228"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The following definitions set forth in Section 12.1 of the Agreement are hereby amended in their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entirety as follows:</w:t>
      </w:r>
    </w:p>
    <w:p>
      <w:pPr>
        <w:spacing w:after="0" w:line="18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Inventory Sublimit</w:t>
      </w:r>
      <w:r>
        <w:rPr>
          <w:rFonts w:ascii="Arial" w:cs="Arial" w:eastAsia="Arial" w:hAnsi="Arial"/>
          <w:sz w:val="18"/>
          <w:szCs w:val="18"/>
          <w:color w:val="auto"/>
        </w:rPr>
        <w:t>” means $3,000,000.</w:t>
      </w:r>
    </w:p>
    <w:p>
      <w:pPr>
        <w:spacing w:after="0" w:line="206" w:lineRule="exact"/>
        <w:rPr>
          <w:sz w:val="20"/>
          <w:szCs w:val="20"/>
          <w:color w:val="auto"/>
        </w:rPr>
      </w:pPr>
    </w:p>
    <w:p>
      <w:pPr>
        <w:jc w:val="both"/>
        <w:ind w:left="1760" w:right="88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Inventory Sublimit Availability Period</w:t>
      </w:r>
      <w:r>
        <w:rPr>
          <w:rFonts w:ascii="Arial" w:cs="Arial" w:eastAsia="Arial" w:hAnsi="Arial"/>
          <w:sz w:val="18"/>
          <w:szCs w:val="18"/>
          <w:color w:val="auto"/>
        </w:rPr>
        <w:t>” means the period commencing on the Amendment Number One Effective Date and terminating, if ever, when Adjusted EBITDA for any fiscal quarter of Borrower is less than 75%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ind w:left="1760"/>
        <w:spacing w:after="0"/>
        <w:rPr>
          <w:sz w:val="20"/>
          <w:szCs w:val="20"/>
          <w:color w:val="auto"/>
        </w:rPr>
      </w:pPr>
      <w:r>
        <w:rPr>
          <w:rFonts w:ascii="Arial" w:cs="Arial" w:eastAsia="Arial" w:hAnsi="Arial"/>
          <w:sz w:val="18"/>
          <w:szCs w:val="18"/>
          <w:color w:val="auto"/>
        </w:rPr>
        <w:t>(b)</w:t>
      </w:r>
    </w:p>
    <w:p>
      <w:pPr>
        <w:spacing w:after="0"/>
        <w:rPr>
          <w:sz w:val="20"/>
          <w:szCs w:val="20"/>
          <w:color w:val="auto"/>
        </w:rPr>
      </w:pPr>
      <w:r>
        <w:rPr>
          <w:rFonts w:ascii="Arial" w:cs="Arial" w:eastAsia="Arial" w:hAnsi="Arial"/>
          <w:sz w:val="17"/>
          <w:szCs w:val="17"/>
          <w:color w:val="auto"/>
        </w:rPr>
        <w:t>hereby amended in its entirety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Clause (m) of the definition of “Eligible Receivable” set forth in Section 12.1 of the Agreement is</w:t>
      </w:r>
    </w:p>
    <w:p>
      <w:pPr>
        <w:spacing w:after="0" w:line="400" w:lineRule="exact"/>
        <w:rPr>
          <w:sz w:val="20"/>
          <w:szCs w:val="20"/>
          <w:color w:val="auto"/>
        </w:rPr>
      </w:pPr>
    </w:p>
    <w:p>
      <w:pPr>
        <w:sectPr>
          <w:pgSz w:w="11900" w:h="16838" w:orient="portrait"/>
          <w:cols w:equalWidth="0" w:num="2">
            <w:col w:w="3260" w:space="640"/>
            <w:col w:w="7520"/>
          </w:cols>
          <w:pgMar w:left="240" w:top="345" w:right="239" w:bottom="1440" w:gutter="0" w:footer="0" w:header="0"/>
        </w:sectPr>
      </w:pPr>
    </w:p>
    <w:p>
      <w:pPr>
        <w:spacing w:after="0" w:line="18" w:lineRule="exact"/>
        <w:rPr>
          <w:sz w:val="20"/>
          <w:szCs w:val="20"/>
          <w:color w:val="auto"/>
        </w:rPr>
      </w:pPr>
    </w:p>
    <w:p>
      <w:pPr>
        <w:jc w:val="both"/>
        <w:ind w:left="2620" w:right="880" w:hanging="866"/>
        <w:spacing w:after="0" w:line="236" w:lineRule="auto"/>
        <w:tabs>
          <w:tab w:leader="none" w:pos="2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Receivable is not that portion of Receivables due from an Account Debtor which is in excess of the Maximum Concentration Percentage of Borrowers’ aggregate dollar amount of all outstanding Receivables.</w:t>
      </w:r>
    </w:p>
    <w:p>
      <w:pPr>
        <w:spacing w:after="0" w:line="196"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The following new defined terms are hereby added to Section 12.1 of the Agreement in</w:t>
      </w:r>
    </w:p>
    <w:p>
      <w:pPr>
        <w:spacing w:after="0"/>
        <w:rPr>
          <w:sz w:val="20"/>
          <w:szCs w:val="20"/>
          <w:color w:val="auto"/>
        </w:rPr>
      </w:pPr>
      <w:r>
        <w:rPr>
          <w:rFonts w:ascii="Arial" w:cs="Arial" w:eastAsia="Arial" w:hAnsi="Arial"/>
          <w:sz w:val="18"/>
          <w:szCs w:val="18"/>
          <w:color w:val="auto"/>
        </w:rPr>
        <w:t>alphabetical order:</w:t>
      </w:r>
    </w:p>
    <w:p>
      <w:pPr>
        <w:spacing w:after="0" w:line="184" w:lineRule="exact"/>
        <w:rPr>
          <w:sz w:val="20"/>
          <w:szCs w:val="20"/>
          <w:color w:val="auto"/>
        </w:rPr>
      </w:pPr>
    </w:p>
    <w:p>
      <w:pPr>
        <w:ind w:left="1760" w:right="8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Adjusted EBITDA</w:t>
      </w:r>
      <w:r>
        <w:rPr>
          <w:rFonts w:ascii="Arial" w:cs="Arial" w:eastAsia="Arial" w:hAnsi="Arial"/>
          <w:sz w:val="18"/>
          <w:szCs w:val="18"/>
          <w:color w:val="auto"/>
        </w:rPr>
        <w:t>” means consolidated net profit before tax plus interest expense, depreciation expense and amortization expense, plus stock-based compensation expense.</w:t>
      </w:r>
    </w:p>
    <w:p>
      <w:pPr>
        <w:spacing w:after="0" w:line="158" w:lineRule="exact"/>
        <w:rPr>
          <w:sz w:val="20"/>
          <w:szCs w:val="20"/>
          <w:color w:val="auto"/>
        </w:rPr>
      </w:pPr>
    </w:p>
    <w:p>
      <w:pPr>
        <w:ind w:left="1760" w:right="8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Amendment Number One</w:t>
      </w:r>
      <w:r>
        <w:rPr>
          <w:rFonts w:ascii="Arial" w:cs="Arial" w:eastAsia="Arial" w:hAnsi="Arial"/>
          <w:sz w:val="18"/>
          <w:szCs w:val="18"/>
          <w:color w:val="auto"/>
        </w:rPr>
        <w:t>” means that certain Amendment Number One to Business Financing Agreement, dated as of June 3</w:t>
      </w:r>
      <w:r>
        <w:rPr>
          <w:rFonts w:ascii="Arial" w:cs="Arial" w:eastAsia="Arial" w:hAnsi="Arial"/>
          <w:sz w:val="15"/>
          <w:szCs w:val="15"/>
          <w:color w:val="auto"/>
        </w:rPr>
        <w:t>rd</w:t>
      </w:r>
      <w:r>
        <w:rPr>
          <w:rFonts w:ascii="Arial" w:cs="Arial" w:eastAsia="Arial" w:hAnsi="Arial"/>
          <w:sz w:val="18"/>
          <w:szCs w:val="18"/>
          <w:color w:val="auto"/>
        </w:rPr>
        <w:t>, 2019, among Borrowers and Lender, amending this Agreement.</w:t>
      </w:r>
    </w:p>
    <w:p>
      <w:pPr>
        <w:spacing w:after="0" w:line="158" w:lineRule="exact"/>
        <w:rPr>
          <w:sz w:val="20"/>
          <w:szCs w:val="20"/>
          <w:color w:val="auto"/>
        </w:rPr>
      </w:pPr>
    </w:p>
    <w:p>
      <w:pPr>
        <w:ind w:left="1760" w:right="8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Amendment Number One Effective Date</w:t>
      </w:r>
      <w:r>
        <w:rPr>
          <w:rFonts w:ascii="Arial" w:cs="Arial" w:eastAsia="Arial" w:hAnsi="Arial"/>
          <w:sz w:val="18"/>
          <w:szCs w:val="18"/>
          <w:color w:val="auto"/>
        </w:rPr>
        <w:t>” means the date when all of the conditions set forth in Section 4 of the Amendment Number One have been fulfilled to the satisfaction of Lender.</w:t>
      </w:r>
    </w:p>
    <w:p>
      <w:pPr>
        <w:spacing w:after="0" w:line="158" w:lineRule="exact"/>
        <w:rPr>
          <w:sz w:val="20"/>
          <w:szCs w:val="20"/>
          <w:color w:val="auto"/>
        </w:rPr>
      </w:pPr>
    </w:p>
    <w:p>
      <w:pPr>
        <w:ind w:left="1760" w:right="8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Concentration Percentage</w:t>
      </w:r>
      <w:r>
        <w:rPr>
          <w:rFonts w:ascii="Arial" w:cs="Arial" w:eastAsia="Arial" w:hAnsi="Arial"/>
          <w:sz w:val="18"/>
          <w:szCs w:val="18"/>
          <w:color w:val="auto"/>
        </w:rPr>
        <w:t>” means the percentage indicated in the table below opposite the applicable Account Debtor:</w:t>
      </w:r>
    </w:p>
    <w:p>
      <w:pPr>
        <w:spacing w:after="0" w:line="161" w:lineRule="exact"/>
        <w:rPr>
          <w:sz w:val="20"/>
          <w:szCs w:val="20"/>
          <w:color w:val="auto"/>
        </w:rPr>
      </w:pPr>
    </w:p>
    <w:tbl>
      <w:tblPr>
        <w:tblLayout w:type="fixed"/>
        <w:tblInd w:w="1910" w:type="dxa"/>
        <w:tblCellMar>
          <w:top w:w="0" w:type="dxa"/>
          <w:left w:w="0" w:type="dxa"/>
          <w:bottom w:w="0" w:type="dxa"/>
          <w:right w:w="0" w:type="dxa"/>
        </w:tblCellMar>
      </w:tblPr>
      <w:tr>
        <w:trPr>
          <w:trHeight w:val="187"/>
        </w:trPr>
        <w:tc>
          <w:tcPr>
            <w:tcW w:w="1520" w:type="dxa"/>
            <w:vAlign w:val="bottom"/>
            <w:tcBorders>
              <w:top w:val="single" w:sz="8" w:color="auto"/>
              <w:left w:val="single" w:sz="8" w:color="auto"/>
            </w:tcBorders>
          </w:tcPr>
          <w:p>
            <w:pPr>
              <w:spacing w:after="0"/>
              <w:rPr>
                <w:sz w:val="16"/>
                <w:szCs w:val="16"/>
                <w:color w:val="auto"/>
              </w:rPr>
            </w:pPr>
          </w:p>
        </w:tc>
        <w:tc>
          <w:tcPr>
            <w:tcW w:w="2880" w:type="dxa"/>
            <w:vAlign w:val="bottom"/>
            <w:tcBorders>
              <w:top w:val="single" w:sz="8" w:color="auto"/>
              <w:right w:val="single" w:sz="8" w:color="auto"/>
            </w:tcBorders>
            <w:gridSpan w:val="2"/>
          </w:tcPr>
          <w:p>
            <w:pPr>
              <w:jc w:val="center"/>
              <w:ind w:right="1540"/>
              <w:spacing w:after="0" w:line="187" w:lineRule="exact"/>
              <w:rPr>
                <w:sz w:val="20"/>
                <w:szCs w:val="20"/>
                <w:color w:val="auto"/>
              </w:rPr>
            </w:pPr>
            <w:r>
              <w:rPr>
                <w:rFonts w:ascii="Arial" w:cs="Arial" w:eastAsia="Arial" w:hAnsi="Arial"/>
                <w:sz w:val="18"/>
                <w:szCs w:val="18"/>
                <w:b w:val="1"/>
                <w:bCs w:val="1"/>
                <w:color w:val="auto"/>
                <w:w w:val="99"/>
              </w:rPr>
              <w:t>Account Debtor</w:t>
            </w:r>
          </w:p>
        </w:tc>
        <w:tc>
          <w:tcPr>
            <w:tcW w:w="4400" w:type="dxa"/>
            <w:vAlign w:val="bottom"/>
            <w:tcBorders>
              <w:top w:val="single" w:sz="8" w:color="auto"/>
              <w:right w:val="single" w:sz="8" w:color="auto"/>
            </w:tcBorders>
            <w:gridSpan w:val="3"/>
          </w:tcPr>
          <w:p>
            <w:pPr>
              <w:jc w:val="center"/>
              <w:ind w:right="40"/>
              <w:spacing w:after="0" w:line="187" w:lineRule="exact"/>
              <w:rPr>
                <w:sz w:val="20"/>
                <w:szCs w:val="20"/>
                <w:color w:val="auto"/>
              </w:rPr>
            </w:pPr>
            <w:r>
              <w:rPr>
                <w:rFonts w:ascii="Arial" w:cs="Arial" w:eastAsia="Arial" w:hAnsi="Arial"/>
                <w:sz w:val="18"/>
                <w:szCs w:val="18"/>
                <w:b w:val="1"/>
                <w:bCs w:val="1"/>
                <w:color w:val="auto"/>
                <w:w w:val="98"/>
              </w:rPr>
              <w:t>Maximum Concentration Percentage</w:t>
            </w:r>
          </w:p>
        </w:tc>
      </w:tr>
      <w:tr>
        <w:trPr>
          <w:trHeight w:val="220"/>
        </w:trPr>
        <w:tc>
          <w:tcPr>
            <w:tcW w:w="1520" w:type="dxa"/>
            <w:vAlign w:val="bottom"/>
            <w:tcBorders>
              <w:left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r>
      <w:tr>
        <w:trPr>
          <w:trHeight w:val="206"/>
        </w:trPr>
        <w:tc>
          <w:tcPr>
            <w:tcW w:w="2860" w:type="dxa"/>
            <w:vAlign w:val="bottom"/>
            <w:tcBorders>
              <w:left w:val="single" w:sz="8" w:color="auto"/>
            </w:tcBorders>
            <w:gridSpan w:val="2"/>
          </w:tcPr>
          <w:p>
            <w:pPr>
              <w:jc w:val="center"/>
              <w:ind w:left="1431"/>
              <w:spacing w:after="0"/>
              <w:rPr>
                <w:sz w:val="20"/>
                <w:szCs w:val="20"/>
                <w:color w:val="auto"/>
              </w:rPr>
            </w:pPr>
            <w:r>
              <w:rPr>
                <w:rFonts w:ascii="Arial" w:cs="Arial" w:eastAsia="Arial" w:hAnsi="Arial"/>
                <w:sz w:val="18"/>
                <w:szCs w:val="18"/>
                <w:color w:val="auto"/>
                <w:w w:val="96"/>
              </w:rPr>
              <w:t>[***]</w:t>
            </w:r>
          </w:p>
        </w:tc>
        <w:tc>
          <w:tcPr>
            <w:tcW w:w="1540" w:type="dxa"/>
            <w:vAlign w:val="bottom"/>
            <w:tcBorders>
              <w:right w:val="single" w:sz="8" w:color="auto"/>
            </w:tcBorders>
          </w:tcPr>
          <w:p>
            <w:pPr>
              <w:spacing w:after="0"/>
              <w:rPr>
                <w:sz w:val="17"/>
                <w:szCs w:val="17"/>
                <w:color w:val="auto"/>
              </w:rPr>
            </w:pPr>
          </w:p>
        </w:tc>
        <w:tc>
          <w:tcPr>
            <w:tcW w:w="3720" w:type="dxa"/>
            <w:vAlign w:val="bottom"/>
            <w:gridSpan w:val="2"/>
          </w:tcPr>
          <w:p>
            <w:pPr>
              <w:jc w:val="center"/>
              <w:ind w:left="551"/>
              <w:spacing w:after="0"/>
              <w:rPr>
                <w:sz w:val="20"/>
                <w:szCs w:val="20"/>
                <w:color w:val="auto"/>
              </w:rPr>
            </w:pPr>
            <w:r>
              <w:rPr>
                <w:rFonts w:ascii="Arial" w:cs="Arial" w:eastAsia="Arial" w:hAnsi="Arial"/>
                <w:sz w:val="18"/>
                <w:szCs w:val="18"/>
                <w:color w:val="auto"/>
                <w:w w:val="99"/>
              </w:rPr>
              <w:t>50%</w:t>
            </w:r>
          </w:p>
        </w:tc>
        <w:tc>
          <w:tcPr>
            <w:tcW w:w="680" w:type="dxa"/>
            <w:vAlign w:val="bottom"/>
            <w:tcBorders>
              <w:right w:val="single" w:sz="8" w:color="auto"/>
            </w:tcBorders>
          </w:tcPr>
          <w:p>
            <w:pPr>
              <w:spacing w:after="0"/>
              <w:rPr>
                <w:sz w:val="17"/>
                <w:szCs w:val="17"/>
                <w:color w:val="auto"/>
              </w:rPr>
            </w:pPr>
          </w:p>
        </w:tc>
      </w:tr>
      <w:tr>
        <w:trPr>
          <w:trHeight w:val="201"/>
        </w:trPr>
        <w:tc>
          <w:tcPr>
            <w:tcW w:w="1520" w:type="dxa"/>
            <w:vAlign w:val="bottom"/>
            <w:tcBorders>
              <w:left w:val="single" w:sz="8" w:color="auto"/>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r>
      <w:tr>
        <w:trPr>
          <w:trHeight w:val="206"/>
        </w:trPr>
        <w:tc>
          <w:tcPr>
            <w:tcW w:w="2860" w:type="dxa"/>
            <w:vAlign w:val="bottom"/>
            <w:tcBorders>
              <w:left w:val="single" w:sz="8" w:color="auto"/>
            </w:tcBorders>
            <w:gridSpan w:val="2"/>
          </w:tcPr>
          <w:p>
            <w:pPr>
              <w:jc w:val="center"/>
              <w:ind w:left="1431"/>
              <w:spacing w:after="0"/>
              <w:rPr>
                <w:sz w:val="20"/>
                <w:szCs w:val="20"/>
                <w:color w:val="auto"/>
              </w:rPr>
            </w:pPr>
            <w:r>
              <w:rPr>
                <w:rFonts w:ascii="Arial" w:cs="Arial" w:eastAsia="Arial" w:hAnsi="Arial"/>
                <w:sz w:val="18"/>
                <w:szCs w:val="18"/>
                <w:color w:val="auto"/>
                <w:w w:val="96"/>
              </w:rPr>
              <w:t>[***]</w:t>
            </w:r>
          </w:p>
        </w:tc>
        <w:tc>
          <w:tcPr>
            <w:tcW w:w="1540" w:type="dxa"/>
            <w:vAlign w:val="bottom"/>
            <w:tcBorders>
              <w:right w:val="single" w:sz="8" w:color="auto"/>
            </w:tcBorders>
          </w:tcPr>
          <w:p>
            <w:pPr>
              <w:spacing w:after="0"/>
              <w:rPr>
                <w:sz w:val="17"/>
                <w:szCs w:val="17"/>
                <w:color w:val="auto"/>
              </w:rPr>
            </w:pPr>
          </w:p>
        </w:tc>
        <w:tc>
          <w:tcPr>
            <w:tcW w:w="3720" w:type="dxa"/>
            <w:vAlign w:val="bottom"/>
            <w:gridSpan w:val="2"/>
          </w:tcPr>
          <w:p>
            <w:pPr>
              <w:jc w:val="center"/>
              <w:ind w:left="551"/>
              <w:spacing w:after="0"/>
              <w:rPr>
                <w:sz w:val="20"/>
                <w:szCs w:val="20"/>
                <w:color w:val="auto"/>
              </w:rPr>
            </w:pPr>
            <w:r>
              <w:rPr>
                <w:rFonts w:ascii="Arial" w:cs="Arial" w:eastAsia="Arial" w:hAnsi="Arial"/>
                <w:sz w:val="18"/>
                <w:szCs w:val="18"/>
                <w:color w:val="auto"/>
                <w:w w:val="99"/>
              </w:rPr>
              <w:t>50%</w:t>
            </w:r>
          </w:p>
        </w:tc>
        <w:tc>
          <w:tcPr>
            <w:tcW w:w="680" w:type="dxa"/>
            <w:vAlign w:val="bottom"/>
            <w:tcBorders>
              <w:right w:val="single" w:sz="8" w:color="auto"/>
            </w:tcBorders>
          </w:tcPr>
          <w:p>
            <w:pPr>
              <w:spacing w:after="0"/>
              <w:rPr>
                <w:sz w:val="17"/>
                <w:szCs w:val="17"/>
                <w:color w:val="auto"/>
              </w:rPr>
            </w:pPr>
          </w:p>
        </w:tc>
      </w:tr>
      <w:tr>
        <w:trPr>
          <w:trHeight w:val="201"/>
        </w:trPr>
        <w:tc>
          <w:tcPr>
            <w:tcW w:w="1520" w:type="dxa"/>
            <w:vAlign w:val="bottom"/>
            <w:tcBorders>
              <w:left w:val="single" w:sz="8" w:color="auto"/>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r>
      <w:tr>
        <w:trPr>
          <w:trHeight w:val="206"/>
        </w:trPr>
        <w:tc>
          <w:tcPr>
            <w:tcW w:w="2860" w:type="dxa"/>
            <w:vAlign w:val="bottom"/>
            <w:tcBorders>
              <w:left w:val="single" w:sz="8" w:color="auto"/>
            </w:tcBorders>
            <w:gridSpan w:val="2"/>
          </w:tcPr>
          <w:p>
            <w:pPr>
              <w:jc w:val="center"/>
              <w:ind w:left="1431"/>
              <w:spacing w:after="0"/>
              <w:rPr>
                <w:sz w:val="20"/>
                <w:szCs w:val="20"/>
                <w:color w:val="auto"/>
              </w:rPr>
            </w:pPr>
            <w:r>
              <w:rPr>
                <w:rFonts w:ascii="Arial" w:cs="Arial" w:eastAsia="Arial" w:hAnsi="Arial"/>
                <w:sz w:val="18"/>
                <w:szCs w:val="18"/>
                <w:color w:val="auto"/>
                <w:w w:val="96"/>
              </w:rPr>
              <w:t>[***]</w:t>
            </w:r>
          </w:p>
        </w:tc>
        <w:tc>
          <w:tcPr>
            <w:tcW w:w="1540" w:type="dxa"/>
            <w:vAlign w:val="bottom"/>
            <w:tcBorders>
              <w:right w:val="single" w:sz="8" w:color="auto"/>
            </w:tcBorders>
          </w:tcPr>
          <w:p>
            <w:pPr>
              <w:spacing w:after="0"/>
              <w:rPr>
                <w:sz w:val="17"/>
                <w:szCs w:val="17"/>
                <w:color w:val="auto"/>
              </w:rPr>
            </w:pPr>
          </w:p>
        </w:tc>
        <w:tc>
          <w:tcPr>
            <w:tcW w:w="3720" w:type="dxa"/>
            <w:vAlign w:val="bottom"/>
            <w:gridSpan w:val="2"/>
          </w:tcPr>
          <w:p>
            <w:pPr>
              <w:jc w:val="center"/>
              <w:ind w:left="551"/>
              <w:spacing w:after="0"/>
              <w:rPr>
                <w:sz w:val="20"/>
                <w:szCs w:val="20"/>
                <w:color w:val="auto"/>
              </w:rPr>
            </w:pPr>
            <w:r>
              <w:rPr>
                <w:rFonts w:ascii="Arial" w:cs="Arial" w:eastAsia="Arial" w:hAnsi="Arial"/>
                <w:sz w:val="18"/>
                <w:szCs w:val="18"/>
                <w:color w:val="auto"/>
                <w:w w:val="99"/>
              </w:rPr>
              <w:t>75%</w:t>
            </w:r>
          </w:p>
        </w:tc>
        <w:tc>
          <w:tcPr>
            <w:tcW w:w="680" w:type="dxa"/>
            <w:vAlign w:val="bottom"/>
            <w:tcBorders>
              <w:right w:val="single" w:sz="8" w:color="auto"/>
            </w:tcBorders>
          </w:tcPr>
          <w:p>
            <w:pPr>
              <w:spacing w:after="0"/>
              <w:rPr>
                <w:sz w:val="17"/>
                <w:szCs w:val="17"/>
                <w:color w:val="auto"/>
              </w:rPr>
            </w:pPr>
          </w:p>
        </w:tc>
      </w:tr>
      <w:tr>
        <w:trPr>
          <w:trHeight w:val="201"/>
        </w:trPr>
        <w:tc>
          <w:tcPr>
            <w:tcW w:w="1520" w:type="dxa"/>
            <w:vAlign w:val="bottom"/>
            <w:tcBorders>
              <w:left w:val="single" w:sz="8" w:color="auto"/>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r>
      <w:tr>
        <w:trPr>
          <w:trHeight w:val="206"/>
        </w:trPr>
        <w:tc>
          <w:tcPr>
            <w:tcW w:w="1520" w:type="dxa"/>
            <w:vAlign w:val="bottom"/>
            <w:tcBorders>
              <w:left w:val="single" w:sz="8" w:color="auto"/>
            </w:tcBorders>
          </w:tcPr>
          <w:p>
            <w:pPr>
              <w:spacing w:after="0"/>
              <w:rPr>
                <w:sz w:val="17"/>
                <w:szCs w:val="17"/>
                <w:color w:val="auto"/>
              </w:rPr>
            </w:pPr>
          </w:p>
        </w:tc>
        <w:tc>
          <w:tcPr>
            <w:tcW w:w="2880" w:type="dxa"/>
            <w:vAlign w:val="bottom"/>
            <w:tcBorders>
              <w:right w:val="single" w:sz="8" w:color="auto"/>
            </w:tcBorders>
            <w:gridSpan w:val="2"/>
          </w:tcPr>
          <w:p>
            <w:pPr>
              <w:jc w:val="center"/>
              <w:ind w:right="1540"/>
              <w:spacing w:after="0"/>
              <w:rPr>
                <w:sz w:val="20"/>
                <w:szCs w:val="20"/>
                <w:color w:val="auto"/>
              </w:rPr>
            </w:pPr>
            <w:r>
              <w:rPr>
                <w:rFonts w:ascii="Arial" w:cs="Arial" w:eastAsia="Arial" w:hAnsi="Arial"/>
                <w:sz w:val="18"/>
                <w:szCs w:val="18"/>
                <w:color w:val="auto"/>
                <w:w w:val="98"/>
              </w:rPr>
              <w:t>All others</w:t>
            </w:r>
          </w:p>
        </w:tc>
        <w:tc>
          <w:tcPr>
            <w:tcW w:w="3720" w:type="dxa"/>
            <w:vAlign w:val="bottom"/>
            <w:gridSpan w:val="2"/>
          </w:tcPr>
          <w:p>
            <w:pPr>
              <w:jc w:val="center"/>
              <w:ind w:left="551"/>
              <w:spacing w:after="0"/>
              <w:rPr>
                <w:sz w:val="20"/>
                <w:szCs w:val="20"/>
                <w:color w:val="auto"/>
              </w:rPr>
            </w:pPr>
            <w:r>
              <w:rPr>
                <w:rFonts w:ascii="Arial" w:cs="Arial" w:eastAsia="Arial" w:hAnsi="Arial"/>
                <w:sz w:val="18"/>
                <w:szCs w:val="18"/>
                <w:color w:val="auto"/>
                <w:w w:val="99"/>
              </w:rPr>
              <w:t>35%</w:t>
            </w:r>
          </w:p>
        </w:tc>
        <w:tc>
          <w:tcPr>
            <w:tcW w:w="680" w:type="dxa"/>
            <w:vAlign w:val="bottom"/>
            <w:tcBorders>
              <w:right w:val="single" w:sz="8" w:color="auto"/>
            </w:tcBorders>
          </w:tcPr>
          <w:p>
            <w:pPr>
              <w:spacing w:after="0"/>
              <w:rPr>
                <w:sz w:val="17"/>
                <w:szCs w:val="17"/>
                <w:color w:val="auto"/>
              </w:rPr>
            </w:pPr>
          </w:p>
        </w:tc>
      </w:tr>
      <w:tr>
        <w:trPr>
          <w:trHeight w:val="201"/>
        </w:trPr>
        <w:tc>
          <w:tcPr>
            <w:tcW w:w="1520" w:type="dxa"/>
            <w:vAlign w:val="bottom"/>
            <w:tcBorders>
              <w:left w:val="single" w:sz="8" w:color="auto"/>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r>
    </w:tbl>
    <w:p>
      <w:pPr>
        <w:spacing w:after="0" w:line="191" w:lineRule="exact"/>
        <w:rPr>
          <w:sz w:val="20"/>
          <w:szCs w:val="20"/>
          <w:color w:val="auto"/>
        </w:rPr>
      </w:pPr>
    </w:p>
    <w:p>
      <w:pPr>
        <w:ind w:firstLine="884"/>
        <w:spacing w:after="0" w:line="264" w:lineRule="auto"/>
        <w:tabs>
          <w:tab w:leader="none" w:pos="2306"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Precedent to Effectiveness of Amendment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effectiveness of this Amendment is subject to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upon the fulfillment of each and every one of the following conditions to the satisfaction of Lender:</w:t>
      </w:r>
    </w:p>
    <w:p>
      <w:pPr>
        <w:sectPr>
          <w:pgSz w:w="11900" w:h="16838" w:orient="portrait"/>
          <w:cols w:equalWidth="0" w:num="1">
            <w:col w:w="11420"/>
          </w:cols>
          <w:pgMar w:left="240" w:top="345" w:right="239" w:bottom="1440" w:gutter="0" w:footer="0" w:header="0"/>
          <w:type w:val="continuous"/>
        </w:sectPr>
      </w:pPr>
    </w:p>
    <w:p>
      <w:pPr>
        <w:spacing w:after="0" w:line="18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Lender shall have received this Amendment, duly executed by Borrowers;</w:t>
      </w:r>
    </w:p>
    <w:p>
      <w:pPr>
        <w:spacing w:after="0" w:line="211" w:lineRule="exact"/>
        <w:rPr>
          <w:sz w:val="20"/>
          <w:szCs w:val="20"/>
          <w:color w:val="auto"/>
        </w:rPr>
      </w:pPr>
    </w:p>
    <w:p>
      <w:pPr>
        <w:sectPr>
          <w:pgSz w:w="11900" w:h="16838" w:orient="portrait"/>
          <w:cols w:equalWidth="0" w:num="2">
            <w:col w:w="3180" w:space="720"/>
            <w:col w:w="7520"/>
          </w:cols>
          <w:pgMar w:left="240" w:top="345" w:right="239" w:bottom="1440" w:gutter="0" w:footer="0" w:header="0"/>
          <w:type w:val="continuous"/>
        </w:sectPr>
      </w:pPr>
    </w:p>
    <w:p>
      <w:pPr>
        <w:spacing w:after="0" w:line="6" w:lineRule="exact"/>
        <w:rPr>
          <w:sz w:val="20"/>
          <w:szCs w:val="20"/>
          <w:color w:val="auto"/>
        </w:rPr>
      </w:pPr>
    </w:p>
    <w:p>
      <w:pPr>
        <w:ind w:right="20" w:firstLine="1755"/>
        <w:spacing w:after="0" w:line="239" w:lineRule="auto"/>
        <w:rPr>
          <w:sz w:val="20"/>
          <w:szCs w:val="20"/>
          <w:color w:val="auto"/>
        </w:rPr>
      </w:pPr>
      <w:r>
        <w:rPr>
          <w:rFonts w:ascii="Arial" w:cs="Arial" w:eastAsia="Arial" w:hAnsi="Arial"/>
          <w:sz w:val="18"/>
          <w:szCs w:val="18"/>
          <w:color w:val="auto"/>
        </w:rPr>
        <w:t>(b) Lender shall have received an amendment fee in the amount of $2,000, which fee shall be fully-earned and non-refundable, part of the Obligations, and secured by the Collateral;</w:t>
      </w:r>
    </w:p>
    <w:p>
      <w:pPr>
        <w:sectPr>
          <w:pgSz w:w="11900" w:h="16838" w:orient="portrait"/>
          <w:cols w:equalWidth="0" w:num="1">
            <w:col w:w="11420"/>
          </w:cols>
          <w:pgMar w:left="240" w:top="345" w:right="239" w:bottom="1440" w:gutter="0" w:footer="0" w:header="0"/>
          <w:type w:val="continuous"/>
        </w:sectPr>
      </w:pPr>
    </w:p>
    <w:p>
      <w:pPr>
        <w:spacing w:after="0" w:line="201"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No Event of Default or Default shall have occurred and be continuing; and</w:t>
      </w:r>
    </w:p>
    <w:p>
      <w:pPr>
        <w:spacing w:after="0" w:line="200" w:lineRule="exact"/>
        <w:rPr>
          <w:sz w:val="20"/>
          <w:szCs w:val="20"/>
          <w:color w:val="auto"/>
        </w:rPr>
      </w:pPr>
    </w:p>
    <w:p>
      <w:pPr>
        <w:sectPr>
          <w:pgSz w:w="11900" w:h="16838" w:orient="portrait"/>
          <w:cols w:equalWidth="0" w:num="2">
            <w:col w:w="3160" w:space="720"/>
            <w:col w:w="7540"/>
          </w:cols>
          <w:pgMar w:left="240" w:top="345" w:right="239" w:bottom="1440" w:gutter="0" w:footer="0" w:header="0"/>
          <w:type w:val="continuous"/>
        </w:sectPr>
      </w:pPr>
    </w:p>
    <w:p>
      <w:pPr>
        <w:spacing w:after="0" w:line="18"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All of the representations and warranties set forth herein and in the Agreement shall be true,</w:t>
      </w:r>
    </w:p>
    <w:p>
      <w:pPr>
        <w:sectPr>
          <w:pgSz w:w="11900" w:h="16838" w:orient="portrait"/>
          <w:cols w:equalWidth="0" w:num="1">
            <w:col w:w="11420"/>
          </w:cols>
          <w:pgMar w:left="240" w:top="345" w:right="239" w:bottom="1440" w:gutter="0" w:footer="0" w:header="0"/>
          <w:type w:val="continuous"/>
        </w:sectPr>
      </w:pPr>
    </w:p>
    <w:p>
      <w:pPr>
        <w:spacing w:after="0" w:line="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complete and accurate in all respects as of the date hereof (except for representations and warranties which are expressly stated to be true and correct as of the date of the Agreement).</w:t>
      </w:r>
    </w:p>
    <w:p>
      <w:pPr>
        <w:spacing w:after="0" w:line="180" w:lineRule="exact"/>
        <w:rPr>
          <w:sz w:val="20"/>
          <w:szCs w:val="20"/>
          <w:color w:val="auto"/>
        </w:rPr>
      </w:pPr>
    </w:p>
    <w:p>
      <w:pPr>
        <w:ind w:firstLine="884"/>
        <w:spacing w:after="0" w:line="264" w:lineRule="auto"/>
        <w:tabs>
          <w:tab w:leader="none" w:pos="2306"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In order to induce Lender to enter into this Amendment, each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Lender that: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2904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bookmarkStart w:id="96" w:name="page97"/>
    <w:bookmarkEnd w:id="96"/>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 Event of Default or Default is continuing;</w:t>
      </w:r>
    </w:p>
    <w:p>
      <w:pPr>
        <w:spacing w:after="0" w:line="211" w:lineRule="exact"/>
        <w:rPr>
          <w:sz w:val="20"/>
          <w:szCs w:val="20"/>
          <w:color w:val="auto"/>
        </w:rPr>
      </w:pPr>
    </w:p>
    <w:p>
      <w:pPr>
        <w:sectPr>
          <w:pgSz w:w="11900" w:h="16838" w:orient="portrait"/>
          <w:cols w:equalWidth="0" w:num="2">
            <w:col w:w="3180" w:space="720"/>
            <w:col w:w="7520"/>
          </w:cols>
          <w:pgMar w:left="240" w:top="352" w:right="239" w:bottom="1440" w:gutter="0" w:footer="0" w:header="0"/>
        </w:sectPr>
      </w:pPr>
    </w:p>
    <w:p>
      <w:pPr>
        <w:spacing w:after="0" w:line="6"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All of the representations and warranties set forth in the Agreement and in the Agreement are</w:t>
      </w:r>
    </w:p>
    <w:p>
      <w:pPr>
        <w:sectPr>
          <w:pgSz w:w="11900" w:h="16838" w:orient="portrait"/>
          <w:cols w:equalWidth="0" w:num="1">
            <w:col w:w="11420"/>
          </w:cols>
          <w:pgMar w:left="240" w:top="352" w:right="239" w:bottom="1440" w:gutter="0" w:footer="0" w:header="0"/>
          <w:type w:val="continuous"/>
        </w:sectPr>
      </w:pP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true, complete and accurate in all respects (except for representations and warranties which are expressly stated to be true and correct as of the date of the Agreement); and</w:t>
      </w:r>
    </w:p>
    <w:p>
      <w:pPr>
        <w:spacing w:after="0" w:line="202" w:lineRule="exact"/>
        <w:rPr>
          <w:sz w:val="20"/>
          <w:szCs w:val="20"/>
          <w:color w:val="auto"/>
        </w:rPr>
      </w:pPr>
    </w:p>
    <w:p>
      <w:pPr>
        <w:jc w:val="both"/>
        <w:ind w:firstLine="1755"/>
        <w:spacing w:after="0"/>
        <w:rPr>
          <w:sz w:val="20"/>
          <w:szCs w:val="20"/>
          <w:color w:val="auto"/>
        </w:rPr>
      </w:pPr>
      <w:r>
        <w:rPr>
          <w:rFonts w:ascii="Arial" w:cs="Arial" w:eastAsia="Arial" w:hAnsi="Arial"/>
          <w:sz w:val="18"/>
          <w:szCs w:val="18"/>
          <w:color w:val="auto"/>
        </w:rPr>
        <w:t>(c) This Amendment has been duly executed and delivered by Borrowers, and the Agreement continues to constitute the legal, valid and binding agreements and obligations of Borrowers, enforceable in accordance with its terms, except as enforceability may be limited by bankruptcy, insolvency, and similar laws and equitable principles affecting the enforcement of creditors’ rights generally.</w:t>
      </w:r>
    </w:p>
    <w:p>
      <w:pPr>
        <w:spacing w:after="0" w:line="370" w:lineRule="exact"/>
        <w:rPr>
          <w:sz w:val="20"/>
          <w:szCs w:val="20"/>
          <w:color w:val="auto"/>
        </w:rPr>
      </w:pPr>
    </w:p>
    <w:p>
      <w:pPr>
        <w:jc w:val="both"/>
        <w:ind w:firstLine="884"/>
        <w:spacing w:after="0" w:line="237" w:lineRule="auto"/>
        <w:tabs>
          <w:tab w:leader="none" w:pos="2306"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and by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parties on separate counterparts, each of which, when executed and delivered, shall be deemed to be an original, and all of which, when taken together, shall constitute but one and the same Amendment. Delivery of an executed counterpart of this Amendment electronically (including by e-mail delivery of a “.pdf” format data file) shall be equally as effective as delivery of a manually executed counterpart of this Amendment. Any party delivering an executed counterpart of this Amendment electronically also shall deliver a manually executed counterpart of this Amendment but the failure to deliver a manually executed counterpart shall not affect the validity, enforceability, and binding effect of this Amendment.</w:t>
      </w:r>
    </w:p>
    <w:p>
      <w:pPr>
        <w:spacing w:after="0" w:line="182" w:lineRule="exact"/>
        <w:rPr>
          <w:rFonts w:ascii="Arial" w:cs="Arial" w:eastAsia="Arial" w:hAnsi="Arial"/>
          <w:sz w:val="18"/>
          <w:szCs w:val="18"/>
          <w:color w:val="auto"/>
        </w:rPr>
      </w:pPr>
    </w:p>
    <w:p>
      <w:pPr>
        <w:jc w:val="both"/>
        <w:ind w:firstLine="884"/>
        <w:spacing w:after="0" w:line="248" w:lineRule="auto"/>
        <w:tabs>
          <w:tab w:leader="none" w:pos="2306"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The Agreement as amended by this Amendment constitutes the entire agreement and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hereto with respect to the subject matter hereof and thereof, and supersedes any and all prior agreements and understandings, oral or written, relating to the subject matter hereof and thereof.</w:t>
      </w:r>
    </w:p>
    <w:p>
      <w:pPr>
        <w:spacing w:after="0" w:line="171" w:lineRule="exact"/>
        <w:rPr>
          <w:rFonts w:ascii="Arial" w:cs="Arial" w:eastAsia="Arial" w:hAnsi="Arial"/>
          <w:sz w:val="18"/>
          <w:szCs w:val="18"/>
          <w:color w:val="auto"/>
        </w:rPr>
      </w:pPr>
    </w:p>
    <w:p>
      <w:pPr>
        <w:jc w:val="both"/>
        <w:ind w:firstLine="884"/>
        <w:spacing w:after="0" w:line="248" w:lineRule="auto"/>
        <w:tabs>
          <w:tab w:leader="none" w:pos="2306"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The execution of this Amendment and the acceptance of all other agreements and instruments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not be deemed to be a waiver of any Default or Event of Default, whether or not known to Lender and whether or not existing on the date of this Amendment.</w:t>
      </w:r>
    </w:p>
    <w:p>
      <w:pPr>
        <w:spacing w:after="0" w:line="171" w:lineRule="exact"/>
        <w:rPr>
          <w:rFonts w:ascii="Arial" w:cs="Arial" w:eastAsia="Arial" w:hAnsi="Arial"/>
          <w:sz w:val="18"/>
          <w:szCs w:val="18"/>
          <w:color w:val="auto"/>
        </w:rPr>
      </w:pPr>
    </w:p>
    <w:p>
      <w:pPr>
        <w:ind w:left="2320" w:hanging="1436"/>
        <w:spacing w:after="0"/>
        <w:tabs>
          <w:tab w:leader="none" w:pos="232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w:t>
      </w:r>
    </w:p>
    <w:p>
      <w:pPr>
        <w:spacing w:after="0" w:line="228" w:lineRule="exact"/>
        <w:rPr>
          <w:sz w:val="20"/>
          <w:szCs w:val="20"/>
          <w:color w:val="auto"/>
        </w:rPr>
      </w:pPr>
    </w:p>
    <w:p>
      <w:pPr>
        <w:jc w:val="both"/>
        <w:ind w:firstLine="1755"/>
        <w:spacing w:after="0" w:line="233" w:lineRule="auto"/>
        <w:rPr>
          <w:sz w:val="20"/>
          <w:szCs w:val="20"/>
          <w:color w:val="auto"/>
        </w:rPr>
      </w:pPr>
      <w:r>
        <w:rPr>
          <w:rFonts w:ascii="Arial" w:cs="Arial" w:eastAsia="Arial" w:hAnsi="Arial"/>
          <w:sz w:val="18"/>
          <w:szCs w:val="18"/>
          <w:color w:val="auto"/>
        </w:rPr>
        <w:t>(a) Each Borrower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which such Borrower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Each Borrower hereto certifies that it has read the following provisions of California Civil Code Section 1542:</w:t>
      </w:r>
    </w:p>
    <w:p>
      <w:pPr>
        <w:spacing w:after="0" w:line="206" w:lineRule="exact"/>
        <w:rPr>
          <w:sz w:val="20"/>
          <w:szCs w:val="20"/>
          <w:color w:val="auto"/>
        </w:rPr>
      </w:pPr>
    </w:p>
    <w:p>
      <w:pPr>
        <w:jc w:val="both"/>
        <w:ind w:left="2640" w:right="880"/>
        <w:spacing w:after="0" w:line="236"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6"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Each Borrower understands and acknowledges that the significance and consequence of this</w:t>
      </w:r>
    </w:p>
    <w:p>
      <w:pPr>
        <w:jc w:val="both"/>
        <w:spacing w:after="0" w:line="236" w:lineRule="auto"/>
        <w:rPr>
          <w:sz w:val="20"/>
          <w:szCs w:val="20"/>
          <w:color w:val="auto"/>
        </w:rPr>
      </w:pPr>
      <w:r>
        <w:rPr>
          <w:rFonts w:ascii="Arial" w:cs="Arial" w:eastAsia="Arial" w:hAnsi="Arial"/>
          <w:sz w:val="18"/>
          <w:szCs w:val="18"/>
          <w:color w:val="auto"/>
        </w:rPr>
        <w:t>waiver of California Civil Code Section 1542 is that even if it should eventually suffer additional damages arising out of the facts referred to above, it will not be able to make any claim for those damages. Furthermore, each Borrower acknowledges that it intends these consequences even as to claims for damages that may exist as of the date of this release but which it does not know exist, and</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2904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type w:val="continuous"/>
        </w:sectPr>
      </w:pPr>
    </w:p>
    <w:bookmarkStart w:id="97" w:name="page98"/>
    <w:bookmarkEnd w:id="97"/>
    <w:p>
      <w:pPr>
        <w:spacing w:after="0" w:line="239" w:lineRule="auto"/>
        <w:rPr>
          <w:sz w:val="20"/>
          <w:szCs w:val="20"/>
          <w:color w:val="auto"/>
        </w:rPr>
      </w:pPr>
      <w:r>
        <w:rPr>
          <w:rFonts w:ascii="Arial" w:cs="Arial" w:eastAsia="Arial" w:hAnsi="Arial"/>
          <w:sz w:val="18"/>
          <w:szCs w:val="18"/>
          <w:color w:val="auto"/>
        </w:rPr>
        <w:t>which, if known, would materially affect its decision to execute this Agreement, regardless of whether its lack of knowledge is the result of ignorance, oversight, error, negligence, or any other cause.</w:t>
      </w:r>
    </w:p>
    <w:p>
      <w:pPr>
        <w:spacing w:after="0" w:line="179" w:lineRule="exact"/>
        <w:rPr>
          <w:sz w:val="20"/>
          <w:szCs w:val="20"/>
          <w:color w:val="auto"/>
        </w:rPr>
      </w:pPr>
    </w:p>
    <w:p>
      <w:pPr>
        <w:ind w:left="2420" w:hanging="1536"/>
        <w:spacing w:after="0"/>
        <w:tabs>
          <w:tab w:leader="none" w:pos="242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Reaffirmation of the Agreement</w:t>
      </w:r>
      <w:r>
        <w:rPr>
          <w:rFonts w:ascii="Arial" w:cs="Arial" w:eastAsia="Arial" w:hAnsi="Arial"/>
          <w:sz w:val="18"/>
          <w:szCs w:val="18"/>
          <w:color w:val="auto"/>
        </w:rPr>
        <w:t>.  The Agreement as amended hereby and the Loan Documents remain in full</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force and effect.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2904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98" w:name="page99"/>
    <w:bookmarkEnd w:id="98"/>
    <w:p>
      <w:pPr>
        <w:ind w:left="880"/>
        <w:spacing w:after="0"/>
        <w:rPr>
          <w:sz w:val="20"/>
          <w:szCs w:val="20"/>
          <w:color w:val="auto"/>
        </w:rPr>
      </w:pPr>
      <w:r>
        <w:rPr>
          <w:rFonts w:ascii="Arial" w:cs="Arial" w:eastAsia="Arial" w:hAnsi="Arial"/>
          <w:sz w:val="18"/>
          <w:szCs w:val="18"/>
          <w:color w:val="auto"/>
        </w:rPr>
        <w:t>IN WITNESS WHEREOF, the parties hereto have duly executed and delivered this Amendment as of the date first hereinabove</w:t>
      </w:r>
    </w:p>
    <w:p>
      <w:pPr>
        <w:spacing w:after="0"/>
        <w:rPr>
          <w:sz w:val="20"/>
          <w:szCs w:val="20"/>
          <w:color w:val="auto"/>
        </w:rPr>
      </w:pPr>
      <w:r>
        <w:rPr>
          <w:rFonts w:ascii="Arial" w:cs="Arial" w:eastAsia="Arial" w:hAnsi="Arial"/>
          <w:sz w:val="18"/>
          <w:szCs w:val="18"/>
          <w:color w:val="auto"/>
        </w:rPr>
        <w:t>written.</w:t>
      </w:r>
    </w:p>
    <w:p>
      <w:pPr>
        <w:sectPr>
          <w:pgSz w:w="11900" w:h="16838" w:orient="portrait"/>
          <w:cols w:equalWidth="0" w:num="1">
            <w:col w:w="11400"/>
          </w:cols>
          <w:pgMar w:left="240" w:top="345" w:right="2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BORROWERS: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ORION ENERGY SYSTEMS, INC.</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Wisconsin corporation</w:t>
      </w:r>
    </w:p>
    <w:p>
      <w:pPr>
        <w:spacing w:after="0" w:line="200" w:lineRule="exact"/>
        <w:rPr>
          <w:sz w:val="20"/>
          <w:szCs w:val="20"/>
          <w:color w:val="auto"/>
        </w:rPr>
      </w:pPr>
    </w:p>
    <w:p>
      <w:pPr>
        <w:sectPr>
          <w:pgSz w:w="11900" w:h="16838" w:orient="portrait"/>
          <w:cols w:equalWidth="0" w:num="2">
            <w:col w:w="4800" w:space="720"/>
            <w:col w:w="5880"/>
          </w:cols>
          <w:pgMar w:left="240" w:top="345" w:right="259" w:bottom="1440" w:gutter="0" w:footer="0" w:header="0"/>
          <w:type w:val="continuous"/>
        </w:sect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-15875</wp:posOffset>
            </wp:positionV>
            <wp:extent cx="890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890270" cy="8255"/>
                    </a:xfrm>
                    <a:prstGeom prst="rect">
                      <a:avLst/>
                    </a:prstGeom>
                    <a:noFill/>
                  </pic:spPr>
                </pic:pic>
              </a:graphicData>
            </a:graphic>
          </wp:anchor>
        </w:drawing>
      </w:r>
    </w:p>
    <w:p>
      <w:pPr>
        <w:ind w:left="5520"/>
        <w:spacing w:after="0" w:line="231" w:lineRule="auto"/>
        <w:rPr>
          <w:sz w:val="20"/>
          <w:szCs w:val="20"/>
          <w:color w:val="auto"/>
        </w:rPr>
      </w:pPr>
      <w:r>
        <w:rPr>
          <w:rFonts w:ascii="Arial" w:cs="Arial" w:eastAsia="Arial" w:hAnsi="Arial"/>
          <w:sz w:val="18"/>
          <w:szCs w:val="18"/>
          <w:color w:val="auto"/>
        </w:rPr>
        <w:t>Name: William T. Hull</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CLEAN ENERGY SOLUTIONS, LLC</w:t>
      </w:r>
      <w:r>
        <w:rPr>
          <w:rFonts w:ascii="Arial" w:cs="Arial" w:eastAsia="Arial" w:hAnsi="Arial"/>
          <w:sz w:val="18"/>
          <w:szCs w:val="18"/>
          <w:color w:val="auto"/>
        </w:rPr>
        <w: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Wisconsin limited liability company</w:t>
      </w: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-15875</wp:posOffset>
            </wp:positionV>
            <wp:extent cx="890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890270" cy="8255"/>
                    </a:xfrm>
                    <a:prstGeom prst="rect">
                      <a:avLst/>
                    </a:prstGeom>
                    <a:noFill/>
                  </pic:spPr>
                </pic:pic>
              </a:graphicData>
            </a:graphic>
          </wp:anchor>
        </w:drawing>
      </w:r>
    </w:p>
    <w:p>
      <w:pPr>
        <w:ind w:left="5520"/>
        <w:spacing w:after="0" w:line="231" w:lineRule="auto"/>
        <w:rPr>
          <w:sz w:val="20"/>
          <w:szCs w:val="20"/>
          <w:color w:val="auto"/>
        </w:rPr>
      </w:pPr>
      <w:r>
        <w:rPr>
          <w:rFonts w:ascii="Arial" w:cs="Arial" w:eastAsia="Arial" w:hAnsi="Arial"/>
          <w:sz w:val="18"/>
          <w:szCs w:val="18"/>
          <w:color w:val="auto"/>
        </w:rPr>
        <w:t>Name: William T. Hull</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7"/>
          <w:szCs w:val="17"/>
          <w:b w:val="1"/>
          <w:bCs w:val="1"/>
          <w:color w:val="auto"/>
        </w:rPr>
        <w:t>GREAT LAKES ENERGY TECHNOLOGIES, LLC</w:t>
      </w:r>
      <w:r>
        <w:rPr>
          <w:rFonts w:ascii="Arial" w:cs="Arial" w:eastAsia="Arial" w:hAnsi="Arial"/>
          <w:sz w:val="17"/>
          <w:szCs w:val="17"/>
          <w:color w:val="auto"/>
        </w:rPr>
        <w:t>,</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Wisconsin limited liability company</w:t>
      </w: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-15875</wp:posOffset>
            </wp:positionV>
            <wp:extent cx="890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890270" cy="8255"/>
                    </a:xfrm>
                    <a:prstGeom prst="rect">
                      <a:avLst/>
                    </a:prstGeom>
                    <a:noFill/>
                  </pic:spPr>
                </pic:pic>
              </a:graphicData>
            </a:graphic>
          </wp:anchor>
        </w:drawing>
      </w:r>
    </w:p>
    <w:p>
      <w:pPr>
        <w:ind w:left="5520"/>
        <w:spacing w:after="0" w:line="231" w:lineRule="auto"/>
        <w:rPr>
          <w:sz w:val="20"/>
          <w:szCs w:val="20"/>
          <w:color w:val="auto"/>
        </w:rPr>
      </w:pPr>
      <w:r>
        <w:rPr>
          <w:rFonts w:ascii="Arial" w:cs="Arial" w:eastAsia="Arial" w:hAnsi="Arial"/>
          <w:sz w:val="18"/>
          <w:szCs w:val="18"/>
          <w:color w:val="auto"/>
        </w:rPr>
        <w:t>Name: William T. Hull</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ORION SHARED SERVICES, LLC</w:t>
      </w:r>
      <w:r>
        <w:rPr>
          <w:rFonts w:ascii="Arial" w:cs="Arial" w:eastAsia="Arial" w:hAnsi="Arial"/>
          <w:sz w:val="18"/>
          <w:szCs w:val="18"/>
          <w:color w:val="auto"/>
        </w:rPr>
        <w: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Wisconsin limited liability company</w:t>
      </w: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-15875</wp:posOffset>
            </wp:positionV>
            <wp:extent cx="890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890270" cy="8255"/>
                    </a:xfrm>
                    <a:prstGeom prst="rect">
                      <a:avLst/>
                    </a:prstGeom>
                    <a:noFill/>
                  </pic:spPr>
                </pic:pic>
              </a:graphicData>
            </a:graphic>
          </wp:anchor>
        </w:drawing>
      </w:r>
    </w:p>
    <w:p>
      <w:pPr>
        <w:ind w:left="5520"/>
        <w:spacing w:after="0" w:line="231" w:lineRule="auto"/>
        <w:rPr>
          <w:sz w:val="20"/>
          <w:szCs w:val="20"/>
          <w:color w:val="auto"/>
        </w:rPr>
      </w:pPr>
      <w:r>
        <w:rPr>
          <w:rFonts w:ascii="Arial" w:cs="Arial" w:eastAsia="Arial" w:hAnsi="Arial"/>
          <w:sz w:val="18"/>
          <w:szCs w:val="18"/>
          <w:color w:val="auto"/>
        </w:rPr>
        <w:t>Name: William T. Hull</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ORION AVIATION, LLC</w:t>
      </w:r>
      <w:r>
        <w:rPr>
          <w:rFonts w:ascii="Arial" w:cs="Arial" w:eastAsia="Arial" w:hAnsi="Arial"/>
          <w:sz w:val="18"/>
          <w:szCs w:val="18"/>
          <w:color w:val="auto"/>
        </w:rPr>
        <w: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Wisconsin limited liability company</w:t>
      </w: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-15875</wp:posOffset>
            </wp:positionV>
            <wp:extent cx="890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890270" cy="8255"/>
                    </a:xfrm>
                    <a:prstGeom prst="rect">
                      <a:avLst/>
                    </a:prstGeom>
                    <a:noFill/>
                  </pic:spPr>
                </pic:pic>
              </a:graphicData>
            </a:graphic>
          </wp:anchor>
        </w:drawing>
      </w:r>
    </w:p>
    <w:p>
      <w:pPr>
        <w:ind w:left="5520"/>
        <w:spacing w:after="0" w:line="231" w:lineRule="auto"/>
        <w:rPr>
          <w:sz w:val="20"/>
          <w:szCs w:val="20"/>
          <w:color w:val="auto"/>
        </w:rPr>
      </w:pPr>
      <w:r>
        <w:rPr>
          <w:rFonts w:ascii="Arial" w:cs="Arial" w:eastAsia="Arial" w:hAnsi="Arial"/>
          <w:sz w:val="18"/>
          <w:szCs w:val="18"/>
          <w:color w:val="auto"/>
        </w:rPr>
        <w:t>Name: William T. Hull</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ORION TECHNOLOGY VENTURES, LLC</w:t>
      </w:r>
      <w:r>
        <w:rPr>
          <w:rFonts w:ascii="Arial" w:cs="Arial" w:eastAsia="Arial" w:hAnsi="Arial"/>
          <w:sz w:val="18"/>
          <w:szCs w:val="18"/>
          <w:color w:val="auto"/>
        </w:rPr>
        <w: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Wisconsin limited liability company</w:t>
      </w: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-15875</wp:posOffset>
            </wp:positionV>
            <wp:extent cx="890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890270" cy="8255"/>
                    </a:xfrm>
                    <a:prstGeom prst="rect">
                      <a:avLst/>
                    </a:prstGeom>
                    <a:noFill/>
                  </pic:spPr>
                </pic:pic>
              </a:graphicData>
            </a:graphic>
          </wp:anchor>
        </w:drawing>
      </w:r>
    </w:p>
    <w:p>
      <w:pPr>
        <w:ind w:left="5520"/>
        <w:spacing w:after="0" w:line="231" w:lineRule="auto"/>
        <w:rPr>
          <w:sz w:val="20"/>
          <w:szCs w:val="20"/>
          <w:color w:val="auto"/>
        </w:rPr>
      </w:pPr>
      <w:r>
        <w:rPr>
          <w:rFonts w:ascii="Arial" w:cs="Arial" w:eastAsia="Arial" w:hAnsi="Arial"/>
          <w:sz w:val="18"/>
          <w:szCs w:val="18"/>
          <w:color w:val="auto"/>
        </w:rPr>
        <w:t>Name: William T. Hull</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Amendment Number One to Business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729043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22"/>
        </w:trPr>
        <w:tc>
          <w:tcPr>
            <w:tcW w:w="2060" w:type="dxa"/>
            <w:vAlign w:val="bottom"/>
          </w:tcPr>
          <w:p>
            <w:pPr>
              <w:spacing w:after="0"/>
              <w:rPr>
                <w:sz w:val="19"/>
                <w:szCs w:val="19"/>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b w:val="1"/>
                <w:bCs w:val="1"/>
                <w:color w:val="auto"/>
                <w:w w:val="97"/>
              </w:rPr>
              <w:t>ORION ASSET MANAGEMENT, LLC</w:t>
            </w:r>
            <w:r>
              <w:rPr>
                <w:rFonts w:ascii="Arial" w:cs="Arial" w:eastAsia="Arial" w:hAnsi="Arial"/>
                <w:sz w:val="18"/>
                <w:szCs w:val="18"/>
                <w:color w:val="auto"/>
                <w:w w:val="97"/>
              </w:rPr>
              <w:t>,</w:t>
            </w:r>
          </w:p>
        </w:tc>
      </w:tr>
      <w:tr>
        <w:trPr>
          <w:trHeight w:val="213"/>
        </w:trPr>
        <w:tc>
          <w:tcPr>
            <w:tcW w:w="2060" w:type="dxa"/>
            <w:vAlign w:val="bottom"/>
          </w:tcPr>
          <w:p>
            <w:pPr>
              <w:spacing w:after="0"/>
              <w:rPr>
                <w:sz w:val="18"/>
                <w:szCs w:val="18"/>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a Wisconsin limited liability company</w:t>
            </w:r>
          </w:p>
        </w:tc>
      </w:tr>
      <w:tr>
        <w:trPr>
          <w:trHeight w:val="588"/>
        </w:trPr>
        <w:tc>
          <w:tcPr>
            <w:tcW w:w="2060" w:type="dxa"/>
            <w:vAlign w:val="bottom"/>
          </w:tcPr>
          <w:p>
            <w:pPr>
              <w:spacing w:after="0"/>
              <w:rPr>
                <w:sz w:val="24"/>
                <w:szCs w:val="24"/>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By: /s/ William T. Hull</w:t>
            </w:r>
          </w:p>
        </w:tc>
      </w:tr>
      <w:tr>
        <w:trPr>
          <w:trHeight w:val="20"/>
        </w:trPr>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6"/>
        </w:trPr>
        <w:tc>
          <w:tcPr>
            <w:tcW w:w="2060" w:type="dxa"/>
            <w:vAlign w:val="bottom"/>
          </w:tcPr>
          <w:p>
            <w:pPr>
              <w:spacing w:after="0"/>
              <w:rPr>
                <w:sz w:val="17"/>
                <w:szCs w:val="17"/>
                <w:color w:val="auto"/>
              </w:rPr>
            </w:pPr>
          </w:p>
        </w:tc>
        <w:tc>
          <w:tcPr>
            <w:tcW w:w="6500" w:type="dxa"/>
            <w:vAlign w:val="bottom"/>
            <w:gridSpan w:val="4"/>
          </w:tcPr>
          <w:p>
            <w:pPr>
              <w:ind w:left="3460"/>
              <w:spacing w:after="0" w:line="206" w:lineRule="exact"/>
              <w:rPr>
                <w:sz w:val="20"/>
                <w:szCs w:val="20"/>
                <w:color w:val="auto"/>
              </w:rPr>
            </w:pPr>
            <w:r>
              <w:rPr>
                <w:rFonts w:ascii="Arial" w:cs="Arial" w:eastAsia="Arial" w:hAnsi="Arial"/>
                <w:sz w:val="18"/>
                <w:szCs w:val="18"/>
                <w:color w:val="auto"/>
              </w:rPr>
              <w:t>Name: William T. Hull</w:t>
            </w:r>
          </w:p>
        </w:tc>
      </w:tr>
      <w:tr>
        <w:trPr>
          <w:trHeight w:val="213"/>
        </w:trPr>
        <w:tc>
          <w:tcPr>
            <w:tcW w:w="2060" w:type="dxa"/>
            <w:vAlign w:val="bottom"/>
          </w:tcPr>
          <w:p>
            <w:pPr>
              <w:spacing w:after="0"/>
              <w:rPr>
                <w:sz w:val="18"/>
                <w:szCs w:val="18"/>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Title: Chief Financial Officer</w:t>
            </w:r>
          </w:p>
        </w:tc>
      </w:tr>
      <w:tr>
        <w:trPr>
          <w:trHeight w:val="401"/>
        </w:trPr>
        <w:tc>
          <w:tcPr>
            <w:tcW w:w="2060" w:type="dxa"/>
            <w:vAlign w:val="bottom"/>
          </w:tcPr>
          <w:p>
            <w:pPr>
              <w:spacing w:after="0"/>
              <w:rPr>
                <w:sz w:val="24"/>
                <w:szCs w:val="24"/>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b w:val="1"/>
                <w:bCs w:val="1"/>
                <w:color w:val="auto"/>
              </w:rPr>
              <w:t>ORION OPERATIONS, LLC</w:t>
            </w:r>
            <w:r>
              <w:rPr>
                <w:rFonts w:ascii="Arial" w:cs="Arial" w:eastAsia="Arial" w:hAnsi="Arial"/>
                <w:sz w:val="18"/>
                <w:szCs w:val="18"/>
                <w:color w:val="auto"/>
              </w:rPr>
              <w:t>,</w:t>
            </w:r>
          </w:p>
        </w:tc>
      </w:tr>
      <w:tr>
        <w:trPr>
          <w:trHeight w:val="213"/>
        </w:trPr>
        <w:tc>
          <w:tcPr>
            <w:tcW w:w="2060" w:type="dxa"/>
            <w:vAlign w:val="bottom"/>
          </w:tcPr>
          <w:p>
            <w:pPr>
              <w:spacing w:after="0"/>
              <w:rPr>
                <w:sz w:val="18"/>
                <w:szCs w:val="18"/>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a Wisconsin limited liability company</w:t>
            </w:r>
          </w:p>
        </w:tc>
      </w:tr>
      <w:tr>
        <w:trPr>
          <w:trHeight w:val="588"/>
        </w:trPr>
        <w:tc>
          <w:tcPr>
            <w:tcW w:w="2060" w:type="dxa"/>
            <w:vAlign w:val="bottom"/>
          </w:tcPr>
          <w:p>
            <w:pPr>
              <w:spacing w:after="0"/>
              <w:rPr>
                <w:sz w:val="24"/>
                <w:szCs w:val="24"/>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By: /s/ William T. Hull</w:t>
            </w:r>
          </w:p>
        </w:tc>
      </w:tr>
      <w:tr>
        <w:trPr>
          <w:trHeight w:val="20"/>
        </w:trPr>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6"/>
        </w:trPr>
        <w:tc>
          <w:tcPr>
            <w:tcW w:w="2060" w:type="dxa"/>
            <w:vAlign w:val="bottom"/>
          </w:tcPr>
          <w:p>
            <w:pPr>
              <w:spacing w:after="0"/>
              <w:rPr>
                <w:sz w:val="17"/>
                <w:szCs w:val="17"/>
                <w:color w:val="auto"/>
              </w:rPr>
            </w:pPr>
          </w:p>
        </w:tc>
        <w:tc>
          <w:tcPr>
            <w:tcW w:w="6500" w:type="dxa"/>
            <w:vAlign w:val="bottom"/>
            <w:gridSpan w:val="4"/>
          </w:tcPr>
          <w:p>
            <w:pPr>
              <w:ind w:left="3460"/>
              <w:spacing w:after="0" w:line="206" w:lineRule="exact"/>
              <w:rPr>
                <w:sz w:val="20"/>
                <w:szCs w:val="20"/>
                <w:color w:val="auto"/>
              </w:rPr>
            </w:pPr>
            <w:r>
              <w:rPr>
                <w:rFonts w:ascii="Arial" w:cs="Arial" w:eastAsia="Arial" w:hAnsi="Arial"/>
                <w:sz w:val="18"/>
                <w:szCs w:val="18"/>
                <w:color w:val="auto"/>
              </w:rPr>
              <w:t>Name: William T. Hull</w:t>
            </w:r>
          </w:p>
        </w:tc>
      </w:tr>
      <w:tr>
        <w:trPr>
          <w:trHeight w:val="213"/>
        </w:trPr>
        <w:tc>
          <w:tcPr>
            <w:tcW w:w="2060" w:type="dxa"/>
            <w:vAlign w:val="bottom"/>
          </w:tcPr>
          <w:p>
            <w:pPr>
              <w:spacing w:after="0"/>
              <w:rPr>
                <w:sz w:val="18"/>
                <w:szCs w:val="18"/>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Title: Chief Financial Officer</w:t>
            </w:r>
          </w:p>
        </w:tc>
      </w:tr>
      <w:tr>
        <w:trPr>
          <w:trHeight w:val="401"/>
        </w:trPr>
        <w:tc>
          <w:tcPr>
            <w:tcW w:w="2060" w:type="dxa"/>
            <w:vAlign w:val="bottom"/>
          </w:tcPr>
          <w:p>
            <w:pPr>
              <w:spacing w:after="0"/>
              <w:rPr>
                <w:sz w:val="20"/>
                <w:szCs w:val="20"/>
                <w:color w:val="auto"/>
              </w:rPr>
            </w:pPr>
            <w:r>
              <w:rPr>
                <w:rFonts w:ascii="Arial" w:cs="Arial" w:eastAsia="Arial" w:hAnsi="Arial"/>
                <w:sz w:val="18"/>
                <w:szCs w:val="18"/>
                <w:color w:val="auto"/>
              </w:rPr>
              <w:t>LENDER:</w:t>
            </w:r>
          </w:p>
        </w:tc>
        <w:tc>
          <w:tcPr>
            <w:tcW w:w="6500" w:type="dxa"/>
            <w:vAlign w:val="bottom"/>
            <w:gridSpan w:val="4"/>
          </w:tcPr>
          <w:p>
            <w:pPr>
              <w:ind w:left="3460"/>
              <w:spacing w:after="0"/>
              <w:rPr>
                <w:sz w:val="20"/>
                <w:szCs w:val="20"/>
                <w:color w:val="auto"/>
              </w:rPr>
            </w:pPr>
            <w:r>
              <w:rPr>
                <w:rFonts w:ascii="Arial" w:cs="Arial" w:eastAsia="Arial" w:hAnsi="Arial"/>
                <w:sz w:val="18"/>
                <w:szCs w:val="18"/>
                <w:b w:val="1"/>
                <w:bCs w:val="1"/>
                <w:color w:val="auto"/>
              </w:rPr>
              <w:t>WESTERN ALLIANCE BANK</w:t>
            </w:r>
            <w:r>
              <w:rPr>
                <w:rFonts w:ascii="Arial" w:cs="Arial" w:eastAsia="Arial" w:hAnsi="Arial"/>
                <w:sz w:val="18"/>
                <w:szCs w:val="18"/>
                <w:color w:val="auto"/>
              </w:rPr>
              <w:t>,</w:t>
            </w:r>
          </w:p>
        </w:tc>
      </w:tr>
      <w:tr>
        <w:trPr>
          <w:trHeight w:val="213"/>
        </w:trPr>
        <w:tc>
          <w:tcPr>
            <w:tcW w:w="2060" w:type="dxa"/>
            <w:vAlign w:val="bottom"/>
          </w:tcPr>
          <w:p>
            <w:pPr>
              <w:spacing w:after="0"/>
              <w:rPr>
                <w:sz w:val="18"/>
                <w:szCs w:val="18"/>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an Arizona corporation</w:t>
            </w:r>
          </w:p>
        </w:tc>
      </w:tr>
      <w:tr>
        <w:trPr>
          <w:trHeight w:val="588"/>
        </w:trPr>
        <w:tc>
          <w:tcPr>
            <w:tcW w:w="2060" w:type="dxa"/>
            <w:vAlign w:val="bottom"/>
          </w:tcPr>
          <w:p>
            <w:pPr>
              <w:spacing w:after="0"/>
              <w:rPr>
                <w:sz w:val="24"/>
                <w:szCs w:val="24"/>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By: /s/ Lisa Chang</w:t>
            </w:r>
          </w:p>
        </w:tc>
      </w:tr>
      <w:tr>
        <w:trPr>
          <w:trHeight w:val="20"/>
        </w:trPr>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06"/>
        </w:trPr>
        <w:tc>
          <w:tcPr>
            <w:tcW w:w="2060" w:type="dxa"/>
            <w:vAlign w:val="bottom"/>
          </w:tcPr>
          <w:p>
            <w:pPr>
              <w:spacing w:after="0"/>
              <w:rPr>
                <w:sz w:val="17"/>
                <w:szCs w:val="17"/>
                <w:color w:val="auto"/>
              </w:rPr>
            </w:pPr>
          </w:p>
        </w:tc>
        <w:tc>
          <w:tcPr>
            <w:tcW w:w="6500" w:type="dxa"/>
            <w:vAlign w:val="bottom"/>
            <w:gridSpan w:val="4"/>
          </w:tcPr>
          <w:p>
            <w:pPr>
              <w:ind w:left="3460"/>
              <w:spacing w:after="0" w:line="206" w:lineRule="exact"/>
              <w:rPr>
                <w:sz w:val="20"/>
                <w:szCs w:val="20"/>
                <w:color w:val="auto"/>
              </w:rPr>
            </w:pPr>
            <w:r>
              <w:rPr>
                <w:rFonts w:ascii="Arial" w:cs="Arial" w:eastAsia="Arial" w:hAnsi="Arial"/>
                <w:sz w:val="18"/>
                <w:szCs w:val="18"/>
                <w:color w:val="auto"/>
              </w:rPr>
              <w:t>Name: Lisa Chang</w:t>
            </w:r>
          </w:p>
        </w:tc>
      </w:tr>
      <w:tr>
        <w:trPr>
          <w:trHeight w:val="213"/>
        </w:trPr>
        <w:tc>
          <w:tcPr>
            <w:tcW w:w="2060" w:type="dxa"/>
            <w:vAlign w:val="bottom"/>
          </w:tcPr>
          <w:p>
            <w:pPr>
              <w:spacing w:after="0"/>
              <w:rPr>
                <w:sz w:val="18"/>
                <w:szCs w:val="18"/>
                <w:color w:val="auto"/>
              </w:rPr>
            </w:pPr>
          </w:p>
        </w:tc>
        <w:tc>
          <w:tcPr>
            <w:tcW w:w="6500" w:type="dxa"/>
            <w:vAlign w:val="bottom"/>
            <w:gridSpan w:val="4"/>
          </w:tcPr>
          <w:p>
            <w:pPr>
              <w:ind w:left="3460"/>
              <w:spacing w:after="0"/>
              <w:rPr>
                <w:sz w:val="20"/>
                <w:szCs w:val="20"/>
                <w:color w:val="auto"/>
              </w:rPr>
            </w:pPr>
            <w:r>
              <w:rPr>
                <w:rFonts w:ascii="Arial" w:cs="Arial" w:eastAsia="Arial" w:hAnsi="Arial"/>
                <w:sz w:val="18"/>
                <w:szCs w:val="18"/>
                <w:color w:val="auto"/>
              </w:rPr>
              <w:t>Title: Vice President</w:t>
            </w:r>
          </w:p>
        </w:tc>
      </w:tr>
      <w:tr>
        <w:trPr>
          <w:trHeight w:val="840"/>
        </w:trPr>
        <w:tc>
          <w:tcPr>
            <w:tcW w:w="2060" w:type="dxa"/>
            <w:vAlign w:val="bottom"/>
          </w:tcPr>
          <w:p>
            <w:pPr>
              <w:spacing w:after="0"/>
              <w:rPr>
                <w:sz w:val="24"/>
                <w:szCs w:val="24"/>
                <w:color w:val="auto"/>
              </w:rPr>
            </w:pPr>
          </w:p>
        </w:tc>
        <w:tc>
          <w:tcPr>
            <w:tcW w:w="6500" w:type="dxa"/>
            <w:vAlign w:val="bottom"/>
            <w:gridSpan w:val="4"/>
          </w:tcPr>
          <w:p>
            <w:pPr>
              <w:ind w:left="1280"/>
              <w:spacing w:after="0"/>
              <w:rPr>
                <w:sz w:val="20"/>
                <w:szCs w:val="20"/>
                <w:color w:val="auto"/>
              </w:rPr>
            </w:pPr>
            <w:r>
              <w:rPr>
                <w:rFonts w:ascii="Arial" w:cs="Arial" w:eastAsia="Arial" w:hAnsi="Arial"/>
                <w:sz w:val="18"/>
                <w:szCs w:val="18"/>
                <w:color w:val="auto"/>
              </w:rPr>
              <w:t>Amendment Number One to Business Financing Agreement</w:t>
            </w:r>
          </w:p>
        </w:tc>
      </w:tr>
    </w:tbl>
    <w:p>
      <w:pPr>
        <w:sectPr>
          <w:pgSz w:w="11900" w:h="16838" w:orient="portrait"/>
          <w:cols w:equalWidth="0" w:num="1">
            <w:col w:w="10219"/>
          </w:cols>
          <w:pgMar w:left="240" w:top="330"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3"/>
          </w:tcPr>
          <w:p>
            <w:pPr>
              <w:ind w:left="1180"/>
              <w:spacing w:after="0"/>
              <w:rPr>
                <w:sz w:val="20"/>
                <w:szCs w:val="20"/>
                <w:color w:val="auto"/>
              </w:rPr>
            </w:pPr>
            <w:r>
              <w:rPr>
                <w:rFonts w:ascii="Arial" w:cs="Arial" w:eastAsia="Arial" w:hAnsi="Arial"/>
                <w:sz w:val="18"/>
                <w:szCs w:val="18"/>
                <w:b w:val="1"/>
                <w:bCs w:val="1"/>
                <w:color w:val="auto"/>
              </w:rPr>
              <w:t>Subsidiaries</w:t>
            </w:r>
          </w:p>
        </w:tc>
      </w:tr>
      <w:tr>
        <w:trPr>
          <w:trHeight w:val="454"/>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1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195"/>
        </w:trPr>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Great Lakes Energy Technologies, LLC</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tcPr>
          <w:p>
            <w:pPr>
              <w:ind w:left="20"/>
              <w:spacing w:after="0" w:line="195" w:lineRule="exact"/>
              <w:rPr>
                <w:sz w:val="20"/>
                <w:szCs w:val="20"/>
                <w:color w:val="auto"/>
              </w:rPr>
            </w:pPr>
            <w:r>
              <w:rPr>
                <w:rFonts w:ascii="Arial" w:cs="Arial" w:eastAsia="Arial" w:hAnsi="Arial"/>
                <w:sz w:val="18"/>
                <w:szCs w:val="18"/>
                <w:color w:val="auto"/>
              </w:rPr>
              <w:t>Wisconsin</w:t>
            </w:r>
          </w:p>
        </w:tc>
      </w:tr>
      <w:tr>
        <w:trPr>
          <w:trHeight w:val="213"/>
        </w:trPr>
        <w:tc>
          <w:tcPr>
            <w:tcW w:w="4060" w:type="dxa"/>
            <w:vAlign w:val="bottom"/>
          </w:tcPr>
          <w:p>
            <w:pPr>
              <w:ind w:left="40"/>
              <w:spacing w:after="0"/>
              <w:rPr>
                <w:sz w:val="20"/>
                <w:szCs w:val="20"/>
                <w:color w:val="auto"/>
              </w:rPr>
            </w:pPr>
            <w:r>
              <w:rPr>
                <w:rFonts w:ascii="Arial" w:cs="Arial" w:eastAsia="Arial" w:hAnsi="Arial"/>
                <w:sz w:val="18"/>
                <w:szCs w:val="18"/>
                <w:color w:val="auto"/>
              </w:rPr>
              <w:t>Clean Energy Solutions, LLC</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13"/>
        </w:trPr>
        <w:tc>
          <w:tcPr>
            <w:tcW w:w="4060" w:type="dxa"/>
            <w:vAlign w:val="bottom"/>
          </w:tcPr>
          <w:p>
            <w:pPr>
              <w:ind w:left="40"/>
              <w:spacing w:after="0"/>
              <w:rPr>
                <w:sz w:val="20"/>
                <w:szCs w:val="20"/>
                <w:color w:val="auto"/>
              </w:rPr>
            </w:pPr>
            <w:r>
              <w:rPr>
                <w:rFonts w:ascii="Arial" w:cs="Arial" w:eastAsia="Arial" w:hAnsi="Arial"/>
                <w:sz w:val="18"/>
                <w:szCs w:val="18"/>
                <w:color w:val="auto"/>
              </w:rPr>
              <w:t>Orion Asset Management, LLC</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24"/>
        </w:trPr>
        <w:tc>
          <w:tcPr>
            <w:tcW w:w="4060" w:type="dxa"/>
            <w:vAlign w:val="bottom"/>
          </w:tcPr>
          <w:p>
            <w:pPr>
              <w:ind w:left="40"/>
              <w:spacing w:after="0"/>
              <w:rPr>
                <w:sz w:val="20"/>
                <w:szCs w:val="20"/>
                <w:color w:val="auto"/>
              </w:rPr>
            </w:pPr>
            <w:r>
              <w:rPr>
                <w:rFonts w:ascii="Arial" w:cs="Arial" w:eastAsia="Arial" w:hAnsi="Arial"/>
                <w:sz w:val="18"/>
                <w:szCs w:val="18"/>
                <w:color w:val="auto"/>
              </w:rPr>
              <w:t>Orion LED Canada, Inc.</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British Columbia, Canada</w:t>
            </w:r>
          </w:p>
        </w:tc>
      </w:tr>
    </w:tbl>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 on Form S-3 (No. 333-216324) and Form S-8 (No. 333-148401, 333-169611, 333-176176, and 333-213042) of Orion Energy Systems, Inc. of our reports dated June 4, 2019, relating to the consolidated financial statements, and the effectiveness of Orion Energy Systems, Inc.’s internal control over financial reporting,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June 4, 2019</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0" w:lineRule="exact"/>
        <w:rPr>
          <w:sz w:val="20"/>
          <w:szCs w:val="20"/>
          <w:color w:val="auto"/>
        </w:rPr>
      </w:pPr>
    </w:p>
    <w:p>
      <w:pPr>
        <w:ind w:left="460" w:hanging="45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19" w:lineRule="exact"/>
        <w:rPr>
          <w:rFonts w:ascii="Arial" w:cs="Arial" w:eastAsia="Arial" w:hAnsi="Arial"/>
          <w:sz w:val="18"/>
          <w:szCs w:val="18"/>
          <w:color w:val="auto"/>
        </w:rPr>
      </w:pPr>
    </w:p>
    <w:p>
      <w:pPr>
        <w:ind w:left="460" w:right="120" w:hanging="453"/>
        <w:spacing w:after="0" w:line="33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460" w:right="580" w:hanging="453"/>
        <w:spacing w:after="0" w:line="297"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460" w:right="60" w:hanging="453"/>
        <w:spacing w:after="0" w:line="25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20" w:right="420" w:hanging="460"/>
        <w:spacing w:after="0" w:line="257"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20" w:right="120" w:hanging="460"/>
        <w:spacing w:after="0" w:line="257"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920" w:right="900" w:hanging="460"/>
        <w:spacing w:after="0" w:line="412" w:lineRule="auto"/>
        <w:tabs>
          <w:tab w:leader="none" w:pos="9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920" w:right="140" w:hanging="460"/>
        <w:spacing w:after="0" w:line="257"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60" w:right="520" w:hanging="453"/>
        <w:spacing w:after="0" w:line="33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920" w:right="320" w:hanging="460"/>
        <w:spacing w:after="0" w:line="297" w:lineRule="auto"/>
        <w:tabs>
          <w:tab w:leader="none" w:pos="9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920" w:right="280" w:hanging="460"/>
        <w:spacing w:after="0" w:line="267"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2019</w:t>
      </w:r>
    </w:p>
    <w:p>
      <w:pPr>
        <w:spacing w:after="0" w:line="24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12065</wp:posOffset>
            </wp:positionV>
            <wp:extent cx="32600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Michael W. Altschaefl</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220" w:lineRule="exact"/>
        <w:rPr>
          <w:sz w:val="20"/>
          <w:szCs w:val="20"/>
          <w:color w:val="auto"/>
        </w:rPr>
      </w:pPr>
    </w:p>
    <w:p>
      <w:pPr>
        <w:ind w:left="460" w:hanging="45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19" w:lineRule="exact"/>
        <w:rPr>
          <w:rFonts w:ascii="Arial" w:cs="Arial" w:eastAsia="Arial" w:hAnsi="Arial"/>
          <w:sz w:val="18"/>
          <w:szCs w:val="18"/>
          <w:color w:val="auto"/>
        </w:rPr>
      </w:pPr>
    </w:p>
    <w:p>
      <w:pPr>
        <w:ind w:left="460" w:right="120" w:hanging="453"/>
        <w:spacing w:after="0" w:line="33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460" w:right="580" w:hanging="453"/>
        <w:spacing w:after="0" w:line="297"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460" w:right="60" w:hanging="453"/>
        <w:spacing w:after="0" w:line="25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20" w:right="420" w:hanging="460"/>
        <w:spacing w:after="0" w:line="257" w:lineRule="auto"/>
        <w:tabs>
          <w:tab w:leader="none" w:pos="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20" w:right="120" w:hanging="460"/>
        <w:spacing w:after="0" w:line="257" w:lineRule="auto"/>
        <w:tabs>
          <w:tab w:leader="none" w:pos="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920" w:right="900" w:hanging="460"/>
        <w:spacing w:after="0" w:line="412" w:lineRule="auto"/>
        <w:tabs>
          <w:tab w:leader="none" w:pos="9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920" w:right="140" w:hanging="460"/>
        <w:spacing w:after="0" w:line="257" w:lineRule="auto"/>
        <w:tabs>
          <w:tab w:leader="none" w:pos="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60" w:right="520" w:hanging="453"/>
        <w:spacing w:after="0" w:line="33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920" w:right="320" w:hanging="460"/>
        <w:spacing w:after="0" w:line="297" w:lineRule="auto"/>
        <w:tabs>
          <w:tab w:leader="none" w:pos="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920" w:right="280" w:hanging="460"/>
        <w:spacing w:after="0" w:line="267" w:lineRule="auto"/>
        <w:tabs>
          <w:tab w:leader="none" w:pos="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2019</w:t>
      </w:r>
    </w:p>
    <w:p>
      <w:pPr>
        <w:spacing w:after="0" w:line="24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12065</wp:posOffset>
            </wp:positionV>
            <wp:extent cx="32600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William T. Hull</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Chief Accounting Officer and Treasurer</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2019 ,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2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164465</wp:posOffset>
            </wp:positionV>
            <wp:extent cx="32600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W. Altschaefl</w:t>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164465</wp:posOffset>
            </wp:positionV>
            <wp:extent cx="32600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2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T. Hull</w:t>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Accounting Officer and Treasurer</w:t>
      </w:r>
    </w:p>
    <w:p>
      <w:pPr>
        <w:spacing w:after="0" w:line="209" w:lineRule="exact"/>
        <w:rPr>
          <w:sz w:val="20"/>
          <w:szCs w:val="20"/>
          <w:color w:val="auto"/>
        </w:rPr>
      </w:pPr>
    </w:p>
    <w:p>
      <w:pPr>
        <w:ind w:left="6320"/>
        <w:spacing w:after="0"/>
        <w:tabs>
          <w:tab w:leader="none" w:pos="7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4,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0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3"/>
    </w:lvl>
  </w:abstractNum>
  <w:abstractNum w:abstractNumId="29">
    <w:nsid w:val="4516DDE9"/>
    <w:multiLevelType w:val="hybridMultilevel"/>
    <w:lvl w:ilvl="0">
      <w:lvlJc w:val="left"/>
      <w:lvlText w:val="(%1)"/>
      <w:numFmt w:val="lowerLetter"/>
      <w:start w:val="13"/>
    </w:lvl>
  </w:abstractNum>
  <w:abstractNum w:abstractNumId="30">
    <w:nsid w:val="3006C83E"/>
    <w:multiLevelType w:val="hybridMultilevel"/>
    <w:lvl w:ilvl="0">
      <w:lvlJc w:val="left"/>
      <w:lvlText w:val="%1."/>
      <w:numFmt w:val="decimal"/>
      <w:start w:val="4"/>
    </w:lvl>
  </w:abstractNum>
  <w:abstractNum w:abstractNumId="31">
    <w:nsid w:val="614FD4A1"/>
    <w:multiLevelType w:val="hybridMultilevel"/>
    <w:lvl w:ilvl="0">
      <w:lvlJc w:val="left"/>
      <w:lvlText w:val="%1."/>
      <w:numFmt w:val="decimal"/>
      <w:start w:val="5"/>
    </w:lvl>
  </w:abstractNum>
  <w:abstractNum w:abstractNumId="32">
    <w:nsid w:val="419AC241"/>
    <w:multiLevelType w:val="hybridMultilevel"/>
    <w:lvl w:ilvl="0">
      <w:lvlJc w:val="left"/>
      <w:lvlText w:val="%1."/>
      <w:numFmt w:val="decimal"/>
      <w:start w:val="6"/>
    </w:lvl>
  </w:abstractNum>
  <w:abstractNum w:abstractNumId="33">
    <w:nsid w:val="5577F8E1"/>
    <w:multiLevelType w:val="hybridMultilevel"/>
    <w:lvl w:ilvl="0">
      <w:lvlJc w:val="left"/>
      <w:lvlText w:val="%1."/>
      <w:numFmt w:val="decimal"/>
      <w:start w:val="10"/>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5"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27" Type="http://schemas.openxmlformats.org/officeDocument/2006/relationships/hyperlink" Target="http://www.sec.gov/Archives/edgar/data/1409375/000095013407018504/c17612sv1.htm" TargetMode="External"/><Relationship Id="rId128" Type="http://schemas.openxmlformats.org/officeDocument/2006/relationships/hyperlink" Target="http://www.sec.gov/Archives/edgar/data/1409375/000089706909000027/cmw3946a.htm" TargetMode="External"/><Relationship Id="rId129" Type="http://schemas.openxmlformats.org/officeDocument/2006/relationships/hyperlink" Target="http://www.sec.gov/Archives/edgar/data/1409375/000119312519001606/d684103dex41.htm" TargetMode="External"/><Relationship Id="rId130" Type="http://schemas.openxmlformats.org/officeDocument/2006/relationships/hyperlink" Target="http://www.sec.gov/Archives/edgar/data/1409375/000119312518312168/d645515dex101.htm" TargetMode="External"/><Relationship Id="rId131" Type="http://schemas.openxmlformats.org/officeDocument/2006/relationships/hyperlink" Target="http://www.sec.gov/Archives/edgar/data/1409375/000095013407018504/c17612exv10w6.htm" TargetMode="External"/><Relationship Id="rId132" Type="http://schemas.openxmlformats.org/officeDocument/2006/relationships/hyperlink" Target="http://www.sec.gov/Archives/edgar/data/1409375/000095013407018504/c17612exv10w7.htm" TargetMode="External"/><Relationship Id="rId133" Type="http://schemas.openxmlformats.org/officeDocument/2006/relationships/hyperlink" Target="http://www.sec.gov/Archives/edgar/data/1409375/000095013407018504/c17612exv10w9.htm" TargetMode="External"/><Relationship Id="rId134" Type="http://schemas.openxmlformats.org/officeDocument/2006/relationships/hyperlink" Target="http://www.sec.gov/Archives/edgar/data/1409375/000095012311083696/c66008ddef14a.htm" TargetMode="External"/><Relationship Id="rId135" Type="http://schemas.openxmlformats.org/officeDocument/2006/relationships/hyperlink" Target="http://www.sec.gov/Archives/edgar/data/1409375/000095013407018504/c17612exv10w10.htm" TargetMode="External"/><Relationship Id="rId136" Type="http://schemas.openxmlformats.org/officeDocument/2006/relationships/hyperlink" Target="http://www.sec.gov/Archives/edgar/data/1409375/000140937514000014/oesx-20140331xex107.htm" TargetMode="External"/><Relationship Id="rId137" Type="http://schemas.openxmlformats.org/officeDocument/2006/relationships/hyperlink" Target="http://www.sec.gov/Archives/edgar/data/1409375/000140937514000014/oesx-20140331xex108.htm" TargetMode="External"/><Relationship Id="rId138" Type="http://schemas.openxmlformats.org/officeDocument/2006/relationships/hyperlink" Target="http://www.sec.gov/Archives/edgar/data/1409375/000119312516643711/d223456d8k.htm" TargetMode="External"/><Relationship Id="rId139" Type="http://schemas.openxmlformats.org/officeDocument/2006/relationships/hyperlink" Target="http://www.sec.gov/Archives/edgar/data/1409375/000119312516677067/d208453dex45.htm" TargetMode="External"/><Relationship Id="rId140" Type="http://schemas.openxmlformats.org/officeDocument/2006/relationships/hyperlink" Target="http://www.sec.gov/Archives/edgar/data/1409375/000119312516677067/d208453dex46.htm" TargetMode="External"/><Relationship Id="rId141" Type="http://schemas.openxmlformats.org/officeDocument/2006/relationships/hyperlink" Target="http://www.sec.gov/Archives/edgar/data/1409375/000119312516677067/d208453dex47.htm" TargetMode="External"/><Relationship Id="rId142" Type="http://schemas.openxmlformats.org/officeDocument/2006/relationships/hyperlink" Target="http://www.sec.gov/Archives/edgar/data/1409375/000119312516677067/d208453dex48.htm" TargetMode="External"/><Relationship Id="rId143" Type="http://schemas.openxmlformats.org/officeDocument/2006/relationships/hyperlink" Target="http://www.sec.gov/Archives/edgar/data/1409375/000140937517000021/exhibit1014.htm" TargetMode="External"/><Relationship Id="rId144" Type="http://schemas.openxmlformats.org/officeDocument/2006/relationships/hyperlink" Target="http://www.sec.gov/Archives/edgar/data/1409375/000140937517000021/exhibit1016.htm" TargetMode="External"/><Relationship Id="rId146" Type="http://schemas.openxmlformats.org/officeDocument/2006/relationships/hyperlink" Target="http://www.sec.gov/Archives/edgar/data/1409375/000119312515337122/d12076dex101.htm" TargetMode="External"/><Relationship Id="rId147" Type="http://schemas.openxmlformats.org/officeDocument/2006/relationships/hyperlink" Target="http://www.sec.gov/Archives/edgar/data/1409375/000119312516671503/d237921dex101.htm" TargetMode="External"/><Relationship Id="rId148" Type="http://schemas.openxmlformats.org/officeDocument/2006/relationships/hyperlink" Target="http://www.sec.gov/Archives/edgar/data/1409375/000140937517000021/exhibit1019.htm" TargetMode="External"/><Relationship Id="rId149" Type="http://schemas.openxmlformats.org/officeDocument/2006/relationships/hyperlink" Target="http://www.sec.gov/Archives/edgar/data/1409375/000119312514002899/d654767dex101.htm" TargetMode="External"/><Relationship Id="rId150" Type="http://schemas.openxmlformats.org/officeDocument/2006/relationships/hyperlink" Target="http://www.sec.gov/Archives/edgar/data/1409375/000140937515000013/oesx-20150331xex10181.htm" TargetMode="External"/><Relationship Id="rId151" Type="http://schemas.openxmlformats.org/officeDocument/2006/relationships/hyperlink" Target="http://www.sec.gov/Archives/edgar/data/1409375/000140937515000013/oesx-20150331xex10191.htm" TargetMode="External"/><Relationship Id="rId152" Type="http://schemas.openxmlformats.org/officeDocument/2006/relationships/hyperlink" Target="http://www.sec.gov/Archives/edgar/data/1409375/000140937515000013/oesx-20150331xex1020.htm" TargetMode="External"/><Relationship Id="rId153" Type="http://schemas.openxmlformats.org/officeDocument/2006/relationships/hyperlink" Target="http://www.sec.gov/Archives/edgar/data/1409375/000140937515000013/oesx-20150331xex10211.htm" TargetMode="External"/><Relationship Id="rId154" Type="http://schemas.openxmlformats.org/officeDocument/2006/relationships/hyperlink" Target="http://www.sec.gov/Archives/edgar/data/1409375/000119312517219117/d4189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2019-12-28T11:21:50Z</dcterms:created>
  <dcterms:modified xsi:type="dcterms:W3CDTF">2019-12-28T11:21:50Z</dcterms:modified>
</cp:coreProperties>
</file>