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47625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ind w:left="4080" w:right="1880" w:hanging="4059"/>
        <w:spacing w:after="0" w:line="297" w:lineRule="auto"/>
        <w:tabs>
          <w:tab w:leader="none" w:pos="58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color w:val="auto"/>
        </w:rPr>
        <w:t>March 31, 2024</w:t>
      </w:r>
    </w:p>
    <w:p>
      <w:pPr>
        <w:ind w:left="55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513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Orion Energy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-259715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76200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jc w:val="center"/>
              <w:ind w:left="14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jc w:val="right"/>
              <w:ind w:right="2145"/>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151"/>
        </w:trPr>
        <w:tc>
          <w:tcPr>
            <w:tcW w:w="3980" w:type="dxa"/>
            <w:vAlign w:val="bottom"/>
          </w:tcPr>
          <w:p>
            <w:pPr>
              <w:jc w:val="center"/>
              <w:ind w:left="146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tcPr>
          <w:p>
            <w:pPr>
              <w:jc w:val="center"/>
              <w:ind w:right="1865"/>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78"/>
        </w:trPr>
        <w:tc>
          <w:tcPr>
            <w:tcW w:w="3980" w:type="dxa"/>
            <w:vAlign w:val="bottom"/>
          </w:tcPr>
          <w:p>
            <w:pPr>
              <w:jc w:val="center"/>
              <w:ind w:left="14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tcPr>
          <w:p>
            <w:pPr>
              <w:jc w:val="center"/>
              <w:ind w:right="186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8"/>
        </w:trPr>
        <w:tc>
          <w:tcPr>
            <w:tcW w:w="7360" w:type="dxa"/>
            <w:vAlign w:val="bottom"/>
            <w:gridSpan w:val="7"/>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285"/>
        </w:trPr>
        <w:tc>
          <w:tcPr>
            <w:tcW w:w="3980" w:type="dxa"/>
            <w:vAlign w:val="bottom"/>
            <w:vMerge w:val="restart"/>
          </w:tcPr>
          <w:p>
            <w:pPr>
              <w:jc w:val="center"/>
              <w:ind w:left="148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jc w:val="center"/>
              <w:ind w:right="186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67"/>
        </w:trPr>
        <w:tc>
          <w:tcPr>
            <w:tcW w:w="39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3980" w:type="dxa"/>
            <w:vAlign w:val="bottom"/>
          </w:tcPr>
          <w:p>
            <w:pPr>
              <w:spacing w:after="0"/>
              <w:rPr>
                <w:sz w:val="24"/>
                <w:szCs w:val="24"/>
                <w:color w:val="auto"/>
              </w:rPr>
            </w:pPr>
          </w:p>
        </w:tc>
        <w:tc>
          <w:tcPr>
            <w:tcW w:w="2760" w:type="dxa"/>
            <w:vAlign w:val="bottom"/>
            <w:gridSpan w:val="4"/>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9"/>
              </w:rPr>
              <w:t>(920) 892-9340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17"/>
                <w:szCs w:val="17"/>
                <w:color w:val="auto"/>
              </w:rPr>
            </w:pPr>
          </w:p>
        </w:tc>
        <w:tc>
          <w:tcPr>
            <w:tcW w:w="33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880" w:type="dxa"/>
            <w:vAlign w:val="bottom"/>
            <w:gridSpan w:val="9"/>
          </w:tcPr>
          <w:p>
            <w:pPr>
              <w:jc w:val="center"/>
              <w:ind w:left="328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8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jc w:val="center"/>
              <w:ind w:right="44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33"/>
        </w:trPr>
        <w:tc>
          <w:tcPr>
            <w:tcW w:w="3980" w:type="dxa"/>
            <w:vAlign w:val="bottom"/>
            <w:vMerge w:val="restart"/>
          </w:tcPr>
          <w:p>
            <w:pPr>
              <w:jc w:val="center"/>
              <w:ind w:left="722"/>
              <w:spacing w:after="0"/>
              <w:rPr>
                <w:sz w:val="20"/>
                <w:szCs w:val="20"/>
                <w:color w:val="auto"/>
              </w:rPr>
            </w:pPr>
            <w:r>
              <w:rPr>
                <w:rFonts w:ascii="Times New Roman" w:cs="Times New Roman" w:eastAsia="Times New Roman" w:hAnsi="Times New Roman"/>
                <w:sz w:val="14"/>
                <w:szCs w:val="14"/>
                <w:color w:val="auto"/>
              </w:rPr>
              <w:t>Common stock, no par value</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OESX</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60" w:type="dxa"/>
            <w:vAlign w:val="bottom"/>
          </w:tcPr>
          <w:p>
            <w:pPr>
              <w:jc w:val="center"/>
              <w:ind w:right="445"/>
              <w:spacing w:after="0" w:line="133"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tcPr>
          <w:p>
            <w:pPr>
              <w:jc w:val="center"/>
              <w:ind w:right="445"/>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322"/>
        </w:trPr>
        <w:tc>
          <w:tcPr>
            <w:tcW w:w="7880" w:type="dxa"/>
            <w:vAlign w:val="bottom"/>
            <w:gridSpan w:val="9"/>
          </w:tcPr>
          <w:p>
            <w:pPr>
              <w:jc w:val="center"/>
              <w:ind w:left="330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4500" w:type="dxa"/>
            <w:vAlign w:val="bottom"/>
            <w:gridSpan w:val="2"/>
          </w:tcPr>
          <w:p>
            <w:pPr>
              <w:spacing w:after="0"/>
              <w:rPr>
                <w:sz w:val="9"/>
                <w:szCs w:val="9"/>
                <w:color w:val="auto"/>
              </w:rPr>
            </w:pPr>
          </w:p>
        </w:tc>
        <w:tc>
          <w:tcPr>
            <w:tcW w:w="2240" w:type="dxa"/>
            <w:vAlign w:val="bottom"/>
            <w:tcBorders>
              <w:bottom w:val="single" w:sz="8" w:color="auto"/>
            </w:tcBorders>
            <w:gridSpan w:val="3"/>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336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36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Yes</w:t>
            </w:r>
          </w:p>
        </w:tc>
        <w:tc>
          <w:tcPr>
            <w:tcW w:w="220" w:type="dxa"/>
            <w:vAlign w:val="bottom"/>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6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33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0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definitions of “large accelerated filer,” “accelerated filer,” “smaller reporting company,” and "emerging growth company" in Rule 12b-2 of the Exchange Act:</w:t>
            </w:r>
          </w:p>
        </w:tc>
        <w:tc>
          <w:tcPr>
            <w:tcW w:w="840" w:type="dxa"/>
            <w:vAlign w:val="bottom"/>
          </w:tcPr>
          <w:p>
            <w:pPr>
              <w:spacing w:after="0"/>
              <w:rPr>
                <w:sz w:val="16"/>
                <w:szCs w:val="16"/>
                <w:color w:val="auto"/>
              </w:rPr>
            </w:pPr>
          </w:p>
        </w:tc>
      </w:tr>
      <w:tr>
        <w:trPr>
          <w:trHeight w:val="198"/>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19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520"/>
        <w:spacing w:after="0" w:line="161" w:lineRule="exact"/>
        <w:tabs>
          <w:tab w:leader="none" w:pos="7220" w:val="left"/>
          <w:tab w:leader="none" w:pos="77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aggregate market value of shares of the Registrant’s common stock held by non-affiliates as of September 30, 2023, the last business day of the Registrant’s most recently completed second fiscal quarter, was approximately $40,954,183.</w:t>
      </w:r>
    </w:p>
    <w:p>
      <w:pPr>
        <w:spacing w:after="0" w:line="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May 31, 2024, there were 32,567,746 shares of the Registrant’s common stock outstanding.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 w:name="page2"/>
    <w:bookmarkEnd w:id="1"/>
    <w:p>
      <w:pPr>
        <w:ind w:firstLine="509"/>
        <w:spacing w:after="0" w:line="258" w:lineRule="auto"/>
        <w:rPr>
          <w:sz w:val="20"/>
          <w:szCs w:val="20"/>
          <w:color w:val="auto"/>
        </w:rPr>
      </w:pPr>
      <w:r>
        <w:rPr>
          <w:rFonts w:ascii="Times New Roman" w:cs="Times New Roman" w:eastAsia="Times New Roman" w:hAnsi="Times New Roman"/>
          <w:sz w:val="14"/>
          <w:szCs w:val="14"/>
          <w:color w:val="auto"/>
        </w:rPr>
        <w:t>Portions of the Registrant's Proxy Statement for the 2024 Annual Meeting of Shareholders to be held on August 8, 2024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9"/>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ORION ENERGY SYSTEMS, INC.</w:t>
            </w:r>
          </w:p>
        </w:tc>
        <w:tc>
          <w:tcPr>
            <w:tcW w:w="5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9"/>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FOR THE YEAR ENDED MARCH 31, 2024</w:t>
            </w:r>
          </w:p>
        </w:tc>
        <w:tc>
          <w:tcPr>
            <w:tcW w:w="560" w:type="dxa"/>
            <w:vAlign w:val="bottom"/>
          </w:tcPr>
          <w:p>
            <w:pPr>
              <w:spacing w:after="0"/>
              <w:rPr>
                <w:sz w:val="20"/>
                <w:szCs w:val="20"/>
                <w:color w:val="auto"/>
              </w:rPr>
            </w:pPr>
          </w:p>
        </w:tc>
      </w:tr>
      <w:tr>
        <w:trPr>
          <w:trHeight w:val="431"/>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40" w:type="dxa"/>
            <w:vAlign w:val="bottom"/>
            <w:gridSpan w:val="8"/>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r>
      <w:tr>
        <w:trPr>
          <w:trHeight w:val="445"/>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color w:val="auto"/>
                <w:w w:val="95"/>
              </w:rPr>
              <w:t>PART I</w:t>
            </w:r>
          </w:p>
        </w:tc>
        <w:tc>
          <w:tcPr>
            <w:tcW w:w="560" w:type="dxa"/>
            <w:vAlign w:val="bottom"/>
          </w:tcPr>
          <w:p>
            <w:pPr>
              <w:spacing w:after="0"/>
              <w:rPr>
                <w:sz w:val="19"/>
                <w:szCs w:val="19"/>
                <w:color w:val="auto"/>
              </w:rPr>
            </w:pPr>
          </w:p>
        </w:tc>
      </w:tr>
      <w:tr>
        <w:trPr>
          <w:trHeight w:val="202"/>
        </w:trPr>
        <w:tc>
          <w:tcPr>
            <w:tcW w:w="80" w:type="dxa"/>
            <w:vAlign w:val="bottom"/>
          </w:tcPr>
          <w:p>
            <w:pPr>
              <w:spacing w:after="0"/>
              <w:rPr>
                <w:sz w:val="17"/>
                <w:szCs w:val="17"/>
                <w:color w:val="auto"/>
              </w:rPr>
            </w:pPr>
          </w:p>
        </w:tc>
        <w:tc>
          <w:tcPr>
            <w:tcW w:w="106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Item 1 Business</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80" w:type="dxa"/>
            <w:vAlign w:val="bottom"/>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20" w:type="dxa"/>
            <w:vAlign w:val="bottom"/>
            <w:gridSpan w:val="7"/>
          </w:tcPr>
          <w:p>
            <w:pPr>
              <w:jc w:val="center"/>
              <w:ind w:right="4500"/>
              <w:spacing w:after="0"/>
              <w:rPr>
                <w:sz w:val="20"/>
                <w:szCs w:val="20"/>
                <w:color w:val="auto"/>
              </w:rPr>
            </w:pPr>
            <w:r>
              <w:rPr>
                <w:rFonts w:ascii="Times New Roman" w:cs="Times New Roman" w:eastAsia="Times New Roman" w:hAnsi="Times New Roman"/>
                <w:sz w:val="18"/>
                <w:szCs w:val="18"/>
                <w:color w:val="auto"/>
                <w:w w:val="95"/>
              </w:rPr>
              <w:t>PART II</w:t>
            </w:r>
          </w:p>
        </w:tc>
        <w:tc>
          <w:tcPr>
            <w:tcW w:w="560" w:type="dxa"/>
            <w:vAlign w:val="bottom"/>
          </w:tcPr>
          <w:p>
            <w:pPr>
              <w:spacing w:after="0"/>
              <w:rPr>
                <w:sz w:val="22"/>
                <w:szCs w:val="22"/>
                <w:color w:val="auto"/>
              </w:rPr>
            </w:pPr>
          </w:p>
        </w:tc>
      </w:tr>
      <w:tr>
        <w:trPr>
          <w:trHeight w:val="202"/>
        </w:trPr>
        <w:tc>
          <w:tcPr>
            <w:tcW w:w="80" w:type="dxa"/>
            <w:vAlign w:val="bottom"/>
          </w:tcPr>
          <w:p>
            <w:pPr>
              <w:spacing w:after="0"/>
              <w:rPr>
                <w:sz w:val="17"/>
                <w:szCs w:val="17"/>
                <w:color w:val="auto"/>
              </w:rPr>
            </w:pPr>
          </w:p>
        </w:tc>
        <w:tc>
          <w:tcPr>
            <w:tcW w:w="106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Item 5 Market for Registrant’s Common Equity, Related Shareholder Matters and Issuer Purchases of Equity Securities</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color w:val="auto"/>
                <w:w w:val="96"/>
              </w:rPr>
              <w:t>PART III</w:t>
            </w:r>
          </w:p>
        </w:tc>
        <w:tc>
          <w:tcPr>
            <w:tcW w:w="560" w:type="dxa"/>
            <w:vAlign w:val="bottom"/>
          </w:tcPr>
          <w:p>
            <w:pPr>
              <w:spacing w:after="0"/>
              <w:rPr>
                <w:sz w:val="22"/>
                <w:szCs w:val="22"/>
                <w:color w:val="auto"/>
              </w:rPr>
            </w:pPr>
          </w:p>
        </w:tc>
      </w:tr>
      <w:tr>
        <w:trPr>
          <w:trHeight w:val="202"/>
        </w:trPr>
        <w:tc>
          <w:tcPr>
            <w:tcW w:w="80" w:type="dxa"/>
            <w:vAlign w:val="bottom"/>
          </w:tcPr>
          <w:p>
            <w:pPr>
              <w:spacing w:after="0"/>
              <w:rPr>
                <w:sz w:val="17"/>
                <w:szCs w:val="17"/>
                <w:color w:val="auto"/>
              </w:rPr>
            </w:pPr>
          </w:p>
        </w:tc>
        <w:tc>
          <w:tcPr>
            <w:tcW w:w="106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Shareholder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3"/>
        </w:trPr>
        <w:tc>
          <w:tcPr>
            <w:tcW w:w="80" w:type="dxa"/>
            <w:vAlign w:val="bottom"/>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color w:val="auto"/>
                <w:w w:val="94"/>
              </w:rPr>
              <w:t>PART IV</w:t>
            </w:r>
          </w:p>
        </w:tc>
        <w:tc>
          <w:tcPr>
            <w:tcW w:w="560" w:type="dxa"/>
            <w:vAlign w:val="bottom"/>
          </w:tcPr>
          <w:p>
            <w:pPr>
              <w:spacing w:after="0"/>
              <w:rPr>
                <w:sz w:val="22"/>
                <w:szCs w:val="22"/>
                <w:color w:val="auto"/>
              </w:rPr>
            </w:pPr>
          </w:p>
        </w:tc>
      </w:tr>
      <w:tr>
        <w:trPr>
          <w:trHeight w:val="202"/>
        </w:trPr>
        <w:tc>
          <w:tcPr>
            <w:tcW w:w="80" w:type="dxa"/>
            <w:vAlign w:val="bottom"/>
          </w:tcPr>
          <w:p>
            <w:pPr>
              <w:spacing w:after="0"/>
              <w:rPr>
                <w:sz w:val="17"/>
                <w:szCs w:val="17"/>
                <w:color w:val="auto"/>
              </w:rPr>
            </w:pPr>
          </w:p>
        </w:tc>
        <w:tc>
          <w:tcPr>
            <w:tcW w:w="106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848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443"/>
        </w:trPr>
        <w:tc>
          <w:tcPr>
            <w:tcW w:w="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9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86" w:lineRule="exact"/>
        <w:rPr>
          <w:sz w:val="20"/>
          <w:szCs w:val="20"/>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respond to ongoing increasing pressures to reduce the selling price of our products driven largely by a return to a more normalized supply chain and reduction in shipping costs for imported products, coupled with the related increase in competition from foreign competitors;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and sustain our profitability and positive cash flows;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budgeted revenue expectation for fiscal 2025;</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key customers, and the consequences of the loss of one or more key customers or suppliers, including key contacts at such customers;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risk that liquidity and capital resources may not be sufficient to allow us to fund or sustain our growth;</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general economic, business and geopolitical conditions, including the impacts of natural disasters, pandemics and outbreaks of contagious diseases and other adverse public health developments;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manage and maintain our refocused business strategy to successfully bring to market new and innovative product and service offerings;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and retain talented individuals in all disciplines of our company;</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(including as a result of tariffs), shortages or interruptions of component supplies and raw materials used to manufacture our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of potential loss related to single or focused exposure within our current customer base and product offerings;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technology systems security measures and manage risks related to cybersecurity;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differentiate our products in a highly competitive and converging market, expand our customer base and gain market share;</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downward pressure on the average selling prices of our products as a result of competitive pressures in the light emitting diode ("LED") market;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and avoid inventory obsolescence in a rapidly evolving LED market;</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reliance on third parties for the manufacture and development of products, product components, as well as the provision of certain services;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emphasis on selling more of our products through third party distributors and sales agents, including our ability to attract and retain effective third party distributors and sales agents to execute our sales model;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participate in new product and technology offerings or applications in a cost effective and timely manner;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safe and secure information technology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balance customer demand and production capacity;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our patent portfolio and license technology from third parties;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electricity;</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our credit agreement;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electric vehicle (“EV”) market and deliveries of passenger and fleet vehicles may not grow as expected;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from governments or utilities may not materialize or may be reduced, which could reduce demand for EVs, or the portion of regulatory credits that customers claim may increase, which would reduce our revenue from such incentives;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comply with, and the effects of, any current and future industry and government regulations, laws and policies;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warranty claims in excess of our reserve estimates.</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right="20" w:firstLine="494"/>
        <w:spacing w:after="0" w:line="283" w:lineRule="auto"/>
        <w:rPr>
          <w:sz w:val="20"/>
          <w:szCs w:val="20"/>
          <w:color w:val="auto"/>
        </w:rPr>
      </w:pPr>
      <w:r>
        <w:rPr>
          <w:rFonts w:ascii="Times New Roman" w:cs="Times New Roman" w:eastAsia="Times New Roman" w:hAnsi="Times New Roman"/>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commercial and industrial electric vehicle "EV"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w:t>
      </w:r>
    </w:p>
    <w:p>
      <w:pPr>
        <w:spacing w:after="0" w:line="186"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Our principal lighting customers include large national account end-users, electrical distributors, electrical contractors and energy service companies (“ESCOS”). Currently, a significant amount of our lighting products are manufactured at our leased production facility located in Manitowoc, Wisconsin, although as the LED and related IoT market continues to evolve, we are increasingly sourcing products and components from third parties in order to diversify our product offerings.</w:t>
      </w:r>
    </w:p>
    <w:p>
      <w:pPr>
        <w:spacing w:after="0" w:line="18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Lighting on January 1, 2022, which is intended to further expand our maintenance services capabilities. On October 5, 2022, we acquired Voltrek, which was intended to leverage our project management and maintenance expertise into the rapidly growing EV sector.</w:t>
      </w:r>
    </w:p>
    <w:p>
      <w:pPr>
        <w:spacing w:after="0" w:line="18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7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6"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77"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ends on March 31, 2025 as "fiscal 2025". We refer to our most recently completed fiscal year, which ended on March 31, 2024, as “fiscal 2024”, and our prior fiscal year which ended 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both"/>
        <w:spacing w:after="0" w:line="281" w:lineRule="auto"/>
        <w:rPr>
          <w:sz w:val="20"/>
          <w:szCs w:val="20"/>
          <w:color w:val="auto"/>
        </w:rPr>
      </w:pPr>
      <w:r>
        <w:rPr>
          <w:rFonts w:ascii="Times New Roman" w:cs="Times New Roman" w:eastAsia="Times New Roman" w:hAnsi="Times New Roman"/>
          <w:sz w:val="18"/>
          <w:szCs w:val="18"/>
          <w:color w:val="auto"/>
        </w:rPr>
        <w:t>March 31, 2023 as "fiscal 2023". Our fiscal first quarter of each fiscal year ends on June 30, our fiscal second quarter ends on September 30, our fiscal third quarter ends on December 31, and our fiscal fourth quarter ends on March 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Previously, we had four reportable segments: Orion Services Group Segment, Orion Distribution Services Segment, Orion U.S. Markets Segment and Orion Electric Vehicle Charging Segment (the “EV Segment”). Effective during the first quarter of fiscal 2024, we began to evaluate and report the business using three segments: Lighting Segment, Maintenance Segment and the EV Segment.</w:t>
      </w:r>
    </w:p>
    <w:p>
      <w:pPr>
        <w:spacing w:after="0" w:line="182"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For financial results by reportable segment, please refer to Note 17 – Segment Data in our consolidated financial statements included in Item 8.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21" w:lineRule="exact"/>
        <w:rPr>
          <w:sz w:val="20"/>
          <w:szCs w:val="20"/>
          <w:color w:val="auto"/>
        </w:rPr>
      </w:pPr>
    </w:p>
    <w:p>
      <w:pPr>
        <w:jc w:val="both"/>
        <w:ind w:right="20" w:firstLine="464"/>
        <w:spacing w:after="0" w:line="260"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mostly through direct sales and also through manufacturer representative agencies and to the wholesale contractor markets through ESCOs and contractors.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21" w:lineRule="exact"/>
        <w:rPr>
          <w:sz w:val="20"/>
          <w:szCs w:val="20"/>
          <w:color w:val="auto"/>
        </w:rPr>
      </w:pPr>
    </w:p>
    <w:p>
      <w:pPr>
        <w:jc w:val="both"/>
        <w:ind w:right="20" w:firstLine="494"/>
        <w:spacing w:after="0" w:line="281"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 Segment</w:t>
      </w:r>
    </w:p>
    <w:p>
      <w:pPr>
        <w:spacing w:after="0" w:line="121" w:lineRule="exact"/>
        <w:rPr>
          <w:sz w:val="20"/>
          <w:szCs w:val="20"/>
          <w:color w:val="auto"/>
        </w:rPr>
      </w:pPr>
    </w:p>
    <w:p>
      <w:pPr>
        <w:ind w:right="620" w:firstLine="494"/>
        <w:spacing w:after="0" w:line="281"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Our historical primary focus has been the sale of our LED lighting fixtures with integrated controls technology and related installation services. We will continue to focus on these products and services, as well as on expanding our maintenance service offerings and our EV charging station solutions.</w:t>
      </w:r>
    </w:p>
    <w:p>
      <w:pPr>
        <w:spacing w:after="0" w:line="16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Currently, a significant amount of our lighting products are manufactured at our leased production facility location in Manitowoc, Wisconsin, although as the LED market continues to evolve, we are increasing the sourcing of products and components from third parties in order to expand our product offerings. We are focused on researching, developing and/or acquiring new innovative LED products and technologies for the retrofit markets. We plan to continue developing creative new LED retrofit products in order to offer our customers a variety of integrated energy management services, such as system design, project management and installation. We third party source all of the EV charging stations and components that are installed by our EV segment.</w:t>
      </w:r>
    </w:p>
    <w:p>
      <w:pPr>
        <w:spacing w:after="0" w:line="2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Our Lighting and Maintenance segments market fixtures for both interior and exterior use, including our LED high bay fixtures, LED troffer retrofits and smart lighting controls. Our smart lighting controls provide both lighting control options and data intelligence capabilities for building managers to log, monitor and analyze use of space, energy savings, and provide physical security of space.</w:t>
      </w:r>
    </w:p>
    <w:p>
      <w:pPr>
        <w:spacing w:after="0" w:line="177"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In addition, in October 2022, we acquired Voltrek, which offers leading EV charging expertise and provides turnkey EV installation solutions with ongoing support to all commercial verticals. We believe there are significant growth opportunities for Voltrek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 w:name="page8"/>
    <w:bookmarkEnd w:id="7"/>
    <w:p>
      <w:pPr>
        <w:jc w:val="both"/>
        <w:spacing w:after="0" w:line="281" w:lineRule="auto"/>
        <w:rPr>
          <w:sz w:val="20"/>
          <w:szCs w:val="20"/>
          <w:color w:val="auto"/>
        </w:rPr>
      </w:pPr>
      <w:r>
        <w:rPr>
          <w:rFonts w:ascii="Times New Roman" w:cs="Times New Roman" w:eastAsia="Times New Roman" w:hAnsi="Times New Roman"/>
          <w:sz w:val="18"/>
          <w:szCs w:val="18"/>
          <w:color w:val="auto"/>
        </w:rPr>
        <w:t>both in its existing northeast geographic market, as well as on a national basis. We also plan to focus our growth plans on cross selling our new EV charging solutions to our historical market channels and customers and vice versa.</w:t>
      </w:r>
    </w:p>
    <w:p>
      <w:pPr>
        <w:spacing w:after="0" w:line="161"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Other Products. </w:t>
      </w:r>
      <w:r>
        <w:rPr>
          <w:rFonts w:ascii="Times New Roman" w:cs="Times New Roman" w:eastAsia="Times New Roman" w:hAnsi="Times New Roman"/>
          <w:sz w:val="18"/>
          <w:szCs w:val="18"/>
          <w:color w:val="auto"/>
        </w:rPr>
        <w:t>We also offer our customers a variety of other LED fixtures to address their lighting and energy management needs,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fixtures designed for agribusinesses, parking lots, retail, mezzanine, outdoor applications and private label resale.</w:t>
      </w:r>
    </w:p>
    <w:p>
      <w:pPr>
        <w:spacing w:after="0" w:line="15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Warranty Policy</w:t>
      </w:r>
      <w:r>
        <w:rPr>
          <w:rFonts w:ascii="Times New Roman" w:cs="Times New Roman" w:eastAsia="Times New Roman" w:hAnsi="Times New Roman"/>
          <w:sz w:val="18"/>
          <w:szCs w:val="18"/>
          <w:color w:val="auto"/>
        </w:rPr>
        <w:t>. Our warranty policy generally provides for a limited five-year warranty on our LED products, although we do offer warranties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ranging up to 10 years for certain LED products. Drivers, LED chips, EV charging stations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2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a range of lighting-related energy management services to customers, including:</w:t>
      </w:r>
    </w:p>
    <w:p>
      <w:pPr>
        <w:spacing w:after="0" w:line="117" w:lineRule="exact"/>
        <w:rPr>
          <w:sz w:val="20"/>
          <w:szCs w:val="20"/>
          <w:color w:val="auto"/>
        </w:rPr>
      </w:pPr>
    </w:p>
    <w:p>
      <w:pPr>
        <w:ind w:left="880" w:hanging="373"/>
        <w:spacing w:after="0" w:line="28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site assessment, which includes a review of the current lighting and controls including IoT enabled devices requirements and energy usage at the customer’s facility;</w:t>
      </w:r>
    </w:p>
    <w:p>
      <w:pPr>
        <w:spacing w:after="0" w:line="5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field verification, or ("SFV"), during which we perform a test implementation of our energy management system at a customer’s facility;</w:t>
      </w:r>
    </w:p>
    <w:p>
      <w:pPr>
        <w:spacing w:after="0" w:line="116" w:lineRule="exact"/>
        <w:rPr>
          <w:rFonts w:ascii="Times New Roman" w:cs="Times New Roman" w:eastAsia="Times New Roman" w:hAnsi="Times New Roman"/>
          <w:sz w:val="18"/>
          <w:szCs w:val="18"/>
          <w:color w:val="auto"/>
        </w:rPr>
      </w:pPr>
    </w:p>
    <w:p>
      <w:pPr>
        <w:ind w:left="880" w:hanging="373"/>
        <w:spacing w:after="0" w:line="28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 and government subsidy management, where we assist our customers in identifying, applying for and obtaining available utility incentives or government subsidies;</w:t>
      </w:r>
    </w:p>
    <w:p>
      <w:pPr>
        <w:spacing w:after="0" w:line="54" w:lineRule="exact"/>
        <w:rPr>
          <w:rFonts w:ascii="Times New Roman" w:cs="Times New Roman" w:eastAsia="Times New Roman" w:hAnsi="Times New Roman"/>
          <w:sz w:val="18"/>
          <w:szCs w:val="18"/>
          <w:color w:val="auto"/>
        </w:rPr>
      </w:pPr>
    </w:p>
    <w:p>
      <w:pPr>
        <w:jc w:val="both"/>
        <w:ind w:left="880" w:hanging="373"/>
        <w:spacing w:after="0" w:line="265"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69" w:lineRule="exact"/>
        <w:rPr>
          <w:rFonts w:ascii="Times New Roman" w:cs="Times New Roman" w:eastAsia="Times New Roman" w:hAnsi="Times New Roman"/>
          <w:sz w:val="18"/>
          <w:szCs w:val="18"/>
          <w:color w:val="auto"/>
        </w:rPr>
      </w:pPr>
    </w:p>
    <w:p>
      <w:pPr>
        <w:ind w:left="880" w:hanging="373"/>
        <w:spacing w:after="0" w:line="28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5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services, for our products, which we provide through our national network of qualified third-party installers;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facility design commissioning of IoT enabled control devices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in connection with our retrofit installations, where we remove, dispose of and recycle our customer’s legacy lighting fixtures; and</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lighting and electrical system maintenance services both preventative and reactive in nature.</w:t>
      </w:r>
    </w:p>
    <w:p>
      <w:pPr>
        <w:spacing w:after="0" w:line="22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We also provide similar turnkey services to our EV customers that include site audit, engineering, grant filing, installation, commissioning and network services. Our maintenance business provides services that includes both preventative and reactive services. We also provide other services that comprise a small amount of our revenue.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primarily target commercial, institutional and industrial customers who have warehousing, retail, manufacturing and office facilities. In fiscal 2024, one customer accounted for 25.2% of our total revenue. In fiscal 2023, that same customer accounted for 16.2% of our total revenue, and in fiscal 2022, this same customer accounted for 49.1% of our total revenue. In fiscal 2025, we expect that our customer concentration will continue at the approximate level experienced in fiscal 2024. As we continue to diversify our customer base by expanding our reach to national accounts, ESCOs, the agent driven distribution channel, lighting maintenance customers and the EV market, we expect to continue to derive a significant percentage of our revenue from contracts with one or a few customers. These contracts are entered into in the ordinary course of business and typically provide that we will deliver products and services on a work order or purchase order basis and any purchase order may be terminated prior to shipment. Our maintenance work orders or contracts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may be for discrete projects or may have multi-year terms. These contracts generally do not guarantee that the customer will buy our products or services.</w:t>
      </w:r>
    </w:p>
    <w:p>
      <w:pPr>
        <w:spacing w:after="0" w:line="22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amount and concentration of our revenues with one or more customer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sell our lighting products in one of three ways: (i) directly where Orion offers turnkey installation services, (ii) indirectly through independent sales agencies and broadline North American distributors; and (iii) through ESCOs. As of the end of fiscal 2024 we had 41 ESCO partners and independent lighting agencies representing us in substantially all of North America. We work cooperatively with our indirect channels through participation in national trade organizations and by providing product and sales training.</w:t>
      </w:r>
    </w:p>
    <w:p>
      <w:pPr>
        <w:spacing w:after="0" w:line="182"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digital campaigns, advertising in select publications, public relations campaigns, social media and other lead generation and brand-building initiatives.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The market for energy-efficient lighting products, EV charging solutions and maintenance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 We compete against other value-added resellers and electrical contractors in the EV charging market. We compete against a variety of service providers for lighting maintenance.</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There are a number of lighting fixture manufacturers that sell LED products that compete with our lighting product lines. Lighting companies such as Acuity Brands, Inc., Signify Co., Cree, Inc., LSI Industries, Inc. and Current Lighting Solutions, LLC, are some of our main competitors within the commercial office, retail and industrial markets. We are also facing increased competition from manufacturers in low-cost countries.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39" w:lineRule="auto"/>
        <w:rPr>
          <w:sz w:val="20"/>
          <w:szCs w:val="20"/>
          <w:color w:val="auto"/>
        </w:rPr>
      </w:pPr>
      <w:r>
        <w:rPr>
          <w:rFonts w:ascii="Times New Roman" w:cs="Times New Roman" w:eastAsia="Times New Roman" w:hAnsi="Times New Roman"/>
          <w:sz w:val="18"/>
          <w:szCs w:val="18"/>
          <w:color w:val="auto"/>
        </w:rPr>
        <w:t>As of March 31, 2024, we had been issued over 100 United States patents and have applied for a number of additional United States patents. The patented and patent pending technologies cover various innovative elements of our products, including our HIF and LED fixtures. Our patented LDR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allows for a significantly quicker installation when compared to competitor's commercial office lighting products. We offer smart lighting controls that allow our lighting fixtures to selectively provide a targeted amount of light where and when it is needed most.</w:t>
      </w:r>
    </w:p>
    <w:p>
      <w:pPr>
        <w:spacing w:after="0" w:line="199"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We believe that our patent portfolio as a whole is material to our business. We also believe that our patents covering our ability to manage the thermal and optical performance of our lighting products are material to our business, and that the loss of these patents could significantly and adversely affect our business, operating results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right="20" w:firstLine="494"/>
        <w:spacing w:after="0" w:line="265"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orders. Our backlog as of March 31, 2024 and March 31, 2023 totaled $22.0 million and $17.2 million, respectively. We generally expect our backlog to be recognized as revenue within one year. Backlog does not include any amounts for contracted maintenance services.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We lease an approximately 266,000 square foot primary manufacturing and distribution facility located in Manitowoc, Wisconsin, where most of our products are manufactured. We utilize both solar and wind power to support the energy requirements for our manufacturing facility, allowing us to reduce our carbon footprint.</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on developing additional LED products, resulting in our development and commercialization of several new suites of LED interior high bay products.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a research and development lab and test facilities in our Jacksonville, Florida and Manitowoc, Wisconsin locations.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and Other Available Information</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(the "Exchange Act"), are available through the investor relations page of our internet website free of charge as soon as reasonably practicable after we electronically file such material with, or furnish it to, the Securities and Exchange Commission ("SEC"). We are not including the information contained on our website as part of, or incorporating it by reference into,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As of March 31, 2024, we had approximately 260 full-time employees. We also employ temporary employees in our manufacturing facility as demand requires. Our employees are not represented by any labor union, and we have never experienced a work stoppage or strike due to employee relations.</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an employee-centric organization, maintaining a safe and respectful environment that provides opportunity for our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0" w:name="page11"/>
    <w:bookmarkEnd w:id="10"/>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69"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Risk Factor Summary</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immediately following this summary. Some of these risks are summarized below:</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ongoing increasing pressures to reduce the selling price of our products driven largely by a return to a more normalized supply chain and reduction in shipping costs for imported products, coupled with the related increase in competition from foreign competitors.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major sources of recurring revenue and we depend upon a limited number of customers in any given period to generate a substantial portion of our revenue. The reduction of revenue from our most significant customer over the past three fiscal years has had, and the potential future loss of other significant customers or a major customer would likely have, a materially adverse effect on our results of operations, financial condition and cash flows.</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liquidity and capital resources may not be sufficient to allow us to fund or sustain our growth initiatives.</w:t>
      </w:r>
    </w:p>
    <w:p>
      <w:pPr>
        <w:spacing w:after="0" w:line="116"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revenues are derived from major project-based retrofit work that is awarded through a competitive bid process. It is generally difficult to predict the timing of projects that will be awarded, which can impact our ability to achieve our expected financial results.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emphasis on indirect distribution channels to sell our products and services to supplement our direct distribution channels has had limited success to date.</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intangibles acquired through acquisitions could be impacted by net losses and low levels of liquidity, thus resulting in a valuation impairment.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use components and raw materials that may be subject to price fluctuations, shortages or interruptions of supply.</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balance customer demand and production capacity and increased difficulty in obtaining permanent employee staffing could negatively impact our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increasingly rely on third-party manufacturers for the manufacture and development of our products and product components.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a cybersecurity breach.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pressures in the markets in which we operate or anticipate operating in the future may adversely affect our financial results.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have negatively impacted, and could in the future negatively impact, our customers, suppliers and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LED lighting retrofit solutions depends, in part, on our ability to claim market share away from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tariffs and other actions may adversely affect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jc w:val="both"/>
        <w:ind w:left="1020" w:hanging="504"/>
        <w:spacing w:after="0" w:line="26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25" w:lineRule="exact"/>
        <w:rPr>
          <w:sz w:val="20"/>
          <w:szCs w:val="20"/>
          <w:color w:val="auto"/>
        </w:rPr>
      </w:pPr>
    </w:p>
    <w:p>
      <w:pPr>
        <w:jc w:val="both"/>
        <w:ind w:firstLine="494"/>
        <w:spacing w:after="0" w:line="262" w:lineRule="auto"/>
        <w:rPr>
          <w:sz w:val="20"/>
          <w:szCs w:val="20"/>
          <w:color w:val="auto"/>
        </w:rPr>
      </w:pPr>
      <w:r>
        <w:rPr>
          <w:rFonts w:ascii="Times New Roman" w:cs="Times New Roman" w:eastAsia="Times New Roman" w:hAnsi="Times New Roman"/>
          <w:sz w:val="18"/>
          <w:szCs w:val="18"/>
          <w:b w:val="1"/>
          <w:bCs w:val="1"/>
          <w:color w:val="auto"/>
        </w:rPr>
        <w:t>We do not have major sources of recurring revenue and we depend upon a limited number of customers in any given period to generate a substantial portion of our revenue. The reduction of revenue from our most significant customer over the past three fiscal years has had, and the potential future loss of other significant customers or a major customer would likely have, a materially adverse effect on our results of operations, financial condition and cash flows.</w:t>
      </w:r>
    </w:p>
    <w:p>
      <w:pPr>
        <w:spacing w:after="0" w:line="200" w:lineRule="exact"/>
        <w:rPr>
          <w:sz w:val="20"/>
          <w:szCs w:val="20"/>
          <w:color w:val="auto"/>
        </w:rPr>
      </w:pPr>
    </w:p>
    <w:p>
      <w:pPr>
        <w:spacing w:after="0" w:line="303"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A substantial portion of our revenues are derived from project-based work that is awarded through a competitive bid process. It is generally difficult to predict the timing and success rate of the projects that we bid and will be awarded. In prior fiscal years, one customer represented more than 40% of total revenues, which has not recurred in recent fiscal years. The reduction of revenue from this customer has had a material advent effect on our results of operations, financial condition and cash flow. While this customer continues to be a substantial source of business for us, we continue to attempt to replace this reduced revenue by diversifying our customer base and expanding our reach to national accounts, ESCOs, the agent driven distribution channel, lighting maintenance customers and the EV market, there is no assurance we will be successful in replacing this reduced revenue.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replace the substantially reduced revenue from our prior most significant customer, regain and sustain profitability and achieve our desired revenue and profitability goals depends on our ability to effectively and timely execute on our key strategic initiatives.</w:t>
      </w:r>
    </w:p>
    <w:p>
      <w:pPr>
        <w:spacing w:after="0" w:line="50" w:lineRule="exact"/>
        <w:rPr>
          <w:sz w:val="20"/>
          <w:szCs w:val="20"/>
          <w:color w:val="auto"/>
        </w:rPr>
      </w:pPr>
    </w:p>
    <w:p>
      <w:pPr>
        <w:jc w:val="both"/>
        <w:ind w:right="20" w:firstLine="494"/>
        <w:spacing w:after="0" w:line="281" w:lineRule="auto"/>
        <w:rPr>
          <w:sz w:val="20"/>
          <w:szCs w:val="20"/>
          <w:color w:val="auto"/>
        </w:rPr>
      </w:pPr>
      <w:r>
        <w:rPr>
          <w:rFonts w:ascii="Times New Roman" w:cs="Times New Roman" w:eastAsia="Times New Roman" w:hAnsi="Times New Roman"/>
          <w:sz w:val="18"/>
          <w:szCs w:val="18"/>
          <w:color w:val="auto"/>
        </w:rPr>
        <w:t>Our ability to replace the substantially reduced revenues from our most significant customer, regain profitability and achieve our desired revenue and profitability goals depends on how effectively and timely we execute on our following key strategic initiatives:</w:t>
      </w:r>
    </w:p>
    <w:p>
      <w:pPr>
        <w:spacing w:after="0" w:line="55"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marketing our turnkey LED retrofit capabilities to large national account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product innovation;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smart lighting systems to support IoT applications;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EV charging business, including increasing cross selling our EV charging solutions to our historical sales channels and customers;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our maintenance service offerings;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success of our ESCO and distribution sales channels.</w:t>
      </w:r>
    </w:p>
    <w:p>
      <w:pPr>
        <w:spacing w:after="0" w:line="117"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implement these initiatives or, even if implemented, that they will result in the anticipated benefits to our business.</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budgeted fiscal 2025 revenue expectations, and related public fiscal 2025 revenue guidance, will have a significant impact on our cash flow and stock price.</w:t>
      </w:r>
    </w:p>
    <w:p>
      <w:pPr>
        <w:spacing w:after="0" w:line="50"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We have historically had difficulties in achieving our budgeted revenue expectations, and related public annual revenue guidance. Our ability to achieve our budgeted fiscal 2025 revenue expectations, and related public fiscal 2025 revenue guidance, will have a significant impact on our cash flow, financial condition and stock price.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66"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Some of our existing information technology systems are in need of enhancement, updating and replacement. If our information technology systems fail, or if we experience an interruption in their operation, then our business, results of operations and financial condition could be materially adversely affected.</w:t>
      </w:r>
    </w:p>
    <w:p>
      <w:pPr>
        <w:spacing w:after="0" w:line="66"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is dependent on our information technology systems, some of which are in need of enhancement, updating and replacement. We rely on these systems generally to manage day-to-day operations,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have a material adverse affect on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79"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 fire, flood and other natural disasters;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other theft;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by computer viruses or hackers;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systems, internet, telecommunications or data network failure.</w:t>
      </w:r>
    </w:p>
    <w:p>
      <w:pPr>
        <w:spacing w:after="0" w:line="117"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increasingly rely on third-party manufacturers for the manufacture and development of our products and product components.</w:t>
      </w:r>
    </w:p>
    <w:p>
      <w:pPr>
        <w:spacing w:after="0" w:line="121"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We have increased our utilization of third-party manufacturers for the manufacture and development of our products and product components, some of which are located overseas. Our results of operations, financial condition and cash flows could be materially adversely affected if our third-party manufacturers were to experience problems with product quality, credit or liquidity issues, or supply chain and logistics that could cause delays in delivery of the finished products and components or the raw materials used to make such products and components.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use components and raw materials that may be subject to price fluctuations, shortages or interruptions of supply, including semiconductor chips. If we are unable to maintain supply sources of our components and raw materials or if our sources fail to satisfy our supply requirements, we may lose sales and experience increased component costs.</w:t>
      </w:r>
    </w:p>
    <w:p>
      <w:pPr>
        <w:spacing w:after="0" w:line="66"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For example, our ability to source semiconductor chips has been adversely affected in the recent past and could occur again. Difficulty in sourcing necessary components in the past has resulted in increased component delivery lead times, delays in our product production and increased costs to obtain components with available semiconductor chips. To the extent a semiconductor chip shortage occurs or our ability to acquire the parts necessary to conduct our business operations, such as other necessary finished goods, is materially affected, our production ability and results of operations will be adversely affected.</w:t>
      </w:r>
    </w:p>
    <w:p>
      <w:pPr>
        <w:spacing w:after="0" w:line="79"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United States administration or by other countries could continue to adversely affect our profitability and availability of raw materials and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and we may not, as a result, have the necessary inventory of parts and goods necessary to conduct our operations. We have in the past purchased excess quantities of certain components critical to our product manufacturing, but there is no guarantee that we will be able to follow or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balance customer demand and production capacity and increased difficulty in obtaining permanent employee staffing could negatively impact our business.</w:t>
      </w:r>
    </w:p>
    <w:p>
      <w:pPr>
        <w:spacing w:after="0" w:line="50"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74"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have, in the past, experienced difficulty in hiring sufficient permanent employees to support our production demands. This circumstance has resulted in our increased reliance on temporary employee staffing to support our production operations. Temporary employees can be less reliable and require more ongoing training than permanent employees. These factors can adversely affect our operational efficiencies. This situation has also placed a significant burden on our continuing employees, has resulted in higher recruiting expenses as we have sought to recruit and train additional new permanent employees, and introduced increased instability in our operations to the extent responsibilities are reallocated to new or different employees. To the extent that we are unable to effectively hire a sufficient number of permanent employees, and our reliance on temporary staffing continues to increase, our operations and our ability to execute our operating plan could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50"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8"/>
          <w:szCs w:val="18"/>
          <w:color w:val="auto"/>
        </w:rPr>
        <w:t>innovation and engineering team, is also critical to our success. We also depend on our distribution channels and network 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upon market acceptance of our energy management products and services.</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pressures in the markets in which we operate or anticipate operating in the future may adversely affect our financial results.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Geopolitical issues around the world can impact macroeconomic conditions in where we operate and where we anticipate operating in the future and could have a material adverse impact on our financial results. For example, the ultimate impact of the conflicts in Ukraine and the Middle East on fuel prices, inflation, the global supply chain and other macroeconomic conditions is unknown and could materially adversely affect global economic growth, disrupting discretionary spending habits and generally decreasing demand for our products and services. While we do not purchase any of our significant raw materials directly from Russia or Isreal, disruption in the markets resulting from such conflicts could negatively impact the macroeconomy. The conflicts in Ukraine and the Middle East may also continue to exacerbate geopolitical tensions globally.</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industry and, if we are unable to compete successfully, our results of operations, financial condition and cash flows will likely be materially adversely affected.</w:t>
      </w:r>
    </w:p>
    <w:p>
      <w:pPr>
        <w:spacing w:after="0" w:line="50"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We face strong competition, primarily from manufacturers and distributors of energy management products and services, as well as from ESCOs and electrical contractors. We are also facing increased competition from manufacturers in low-cost countries.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74"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have, and may continue to offer energy management products and services at reduced prices in order to improve their competitive positions. These competitive factors have, and may continue to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revenue growth of our EV Segment ultimately depends on consumers’ willingness to adopt electric vehicles in a market which is still in its early stages.</w:t>
      </w:r>
    </w:p>
    <w:p>
      <w:pPr>
        <w:spacing w:after="0" w:line="50" w:lineRule="exact"/>
        <w:rPr>
          <w:sz w:val="20"/>
          <w:szCs w:val="20"/>
          <w:color w:val="auto"/>
        </w:rPr>
      </w:pPr>
    </w:p>
    <w:p>
      <w:pPr>
        <w:jc w:val="both"/>
        <w:ind w:right="20" w:firstLine="539"/>
        <w:spacing w:after="0" w:line="281" w:lineRule="auto"/>
        <w:rPr>
          <w:sz w:val="20"/>
          <w:szCs w:val="20"/>
          <w:color w:val="auto"/>
        </w:rPr>
      </w:pPr>
      <w:r>
        <w:rPr>
          <w:rFonts w:ascii="Times New Roman" w:cs="Times New Roman" w:eastAsia="Times New Roman" w:hAnsi="Times New Roman"/>
          <w:sz w:val="18"/>
          <w:szCs w:val="18"/>
          <w:color w:val="auto"/>
        </w:rPr>
        <w:t>The growth of our EV Segment is highly dependent upon the adoption by consumers of EVs, and we are subject to a risk of any reduced demand for EVs. If the market for EVs does not gain broader market acceptance or develops slower than we expect, our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18"/>
          <w:szCs w:val="18"/>
          <w:color w:val="auto"/>
        </w:rPr>
        <w:t>business, prospects, financial condition and operating results will be harmed. The market for alternative fuel vehicles is relatively new, rapidly evolving, characterized by rapidly changing technologies, price competition, additional competitors, evolving government regulation and industry standards, frequent new vehicle announcements, long development cycles for EV original equipment manufacturers, and changing consumer demands and behaviors. Factors that may influence the purchase and use of alternative fuel vehicles, specifically EVs, include:</w:t>
      </w:r>
    </w:p>
    <w:p>
      <w:pPr>
        <w:spacing w:after="0" w:line="195" w:lineRule="exact"/>
        <w:rPr>
          <w:sz w:val="20"/>
          <w:szCs w:val="20"/>
          <w:color w:val="auto"/>
        </w:rPr>
      </w:pPr>
    </w:p>
    <w:p>
      <w:pPr>
        <w:ind w:left="640" w:right="20" w:hanging="20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EV quality, safety (in particular with respect to lithium-ion battery packs), design, performance and cost, especially if adverse events or accidents occur that are linked to the quality or safety of EVs;</w:t>
      </w:r>
    </w:p>
    <w:p>
      <w:pPr>
        <w:spacing w:after="0" w:line="216"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range over which EVs may be driven on a single battery charge and concerns about running out of power while in use;</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stability of the electrical grid;</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desire and ability to purchase a luxury automobile or one that is perceived as exclusive;</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and gasoline;</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perceptions of the dependency of the United States on oil from unstable or hostile countries and the impact of international conflicts;</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alternate forms of energy;</w:t>
      </w:r>
    </w:p>
    <w:p>
      <w:pPr>
        <w:spacing w:after="0" w:line="278"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standardization of EV charging systems and consumers’ perceptions about convenience and cost to charge an EV; and</w:t>
      </w:r>
    </w:p>
    <w:p>
      <w:pPr>
        <w:spacing w:after="0" w:line="278" w:lineRule="exact"/>
        <w:rPr>
          <w:rFonts w:ascii="Times New Roman" w:cs="Times New Roman" w:eastAsia="Times New Roman" w:hAnsi="Times New Roman"/>
          <w:sz w:val="18"/>
          <w:szCs w:val="18"/>
          <w:color w:val="auto"/>
        </w:rPr>
      </w:pPr>
    </w:p>
    <w:p>
      <w:pPr>
        <w:ind w:left="640" w:right="20" w:hanging="201"/>
        <w:spacing w:after="0" w:line="28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EVs or future regulation requiring increased use of nonpolluting vehicles.</w:t>
      </w:r>
    </w:p>
    <w:p>
      <w:pPr>
        <w:spacing w:after="0" w:line="68"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The influence of any of the factors described above may negatively impact the widespread consumer adoption of EVs, which could materially and adversely affect our EV Segment business, operating results, financial condition and prospects.</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fail to establish and maintain effective internal controls over financial reporting, our business and financial results could be harmed.</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existing liquidity and capital resources may not be sufficient to allow us to fund or sustain our growth initiatives.</w:t>
      </w:r>
    </w:p>
    <w:p>
      <w:pPr>
        <w:spacing w:after="0" w:line="121"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Our existing liquidity and capital resources may not be sufficient to allow us to effectively fund or sustain our growth initiatives. If we require additional capital resources, we may 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spacing w:after="0" w:line="69"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operating losses;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prior to our fiscal 2020;</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financial results and condition;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collateral availability;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customer concentration;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investors’ and lenders' view of our company, industry and products;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in the equity and debt markets of our ability to execute and sustain our business plan or achieve our operating results expectations;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and trading volume and history of our common stock.</w:t>
      </w:r>
    </w:p>
    <w:p>
      <w:pPr>
        <w:spacing w:after="0" w:line="117"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Our inability to obtain the equity capital or debt financing necessary to fund our operations could force us to scale back our growth initiatives or take action to restructure or reduce our operations. If we are unable to pursue our growth initiatives, our results of operations, financial condition and cash flows could be materially adversely affected.</w:t>
      </w:r>
    </w:p>
    <w:p>
      <w:pPr>
        <w:spacing w:after="0" w:line="3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experienced a net loss in fiscal 2024 and 2023 and, prior to fiscal 2020, we had a history of losses and negative cash flow. We may be unable to regain sustained profitability and positive cash flows in the future.</w:t>
      </w:r>
    </w:p>
    <w:p>
      <w:pPr>
        <w:spacing w:after="0" w:line="50"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We experienced a net loss in fiscal 2024 and 2023, and prior to fiscal 2020 we experienced net losses and negative cash flows for the prior five fiscal years. There is no guarantee that we will be able to regain or sustain profitability and positive cash flows in the future. Our inability to successfully regain or sustain our profitability and positive cash flows could materially and adversely affect our ability to pursue our growth initiatives and continue our current level of operations.</w:t>
      </w:r>
    </w:p>
    <w:p>
      <w:pPr>
        <w:spacing w:after="0" w:line="3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net operating loss carry-forwards provide a future benefit only if we regain sustained profitability and may be subject to limitation based upon ownership changes.</w:t>
      </w:r>
    </w:p>
    <w:p>
      <w:pPr>
        <w:spacing w:after="0" w:line="5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have significant federal net operating loss carry-forwards and state net operating loss carry-forwards. If we are unable to regain sustained profitability, we will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have negatively impacted, and could in the future negatively impact, our customers, suppliers and business.</w:t>
      </w:r>
    </w:p>
    <w:p>
      <w:pPr>
        <w:spacing w:after="0" w:line="5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 For example, any economic and political uncertainty caused by the United States tariffs imposed on other countries, and any corresponding tariffs from such other countries in response, may negatively impact demand and/or increase the cost for our products and components used in our products.</w:t>
      </w:r>
    </w:p>
    <w:p>
      <w:pPr>
        <w:spacing w:after="0" w:line="78"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The current United States administration may pursue a wide range of monetary, regulatory and trade policies, including the continued imposition of the previous United States administration’s tariffs on certain imports. Certain sourced finished products and certain of the components used in our products are impacted by tariffs imposed on China imports. Our efforts to mitigate the impact of added costs resulting from these tariffs include a variety of activities, such as sourcing from non-tariff impacted countries and raising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18"/>
          <w:szCs w:val="18"/>
          <w:color w:val="auto"/>
        </w:rPr>
        <w:t>prices. If we are unable to successfully mitigate the impacts of these tariffs and other trade policies, our results of operations, financial condition and cash flows may be materially adversely affected.</w:t>
      </w:r>
    </w:p>
    <w:p>
      <w:pPr>
        <w:spacing w:after="0" w:line="55"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has led customers to delay their purchase decisions, which has elongated the duration of our sales cycles.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200" w:lineRule="exact"/>
        <w:rPr>
          <w:sz w:val="20"/>
          <w:szCs w:val="20"/>
          <w:color w:val="auto"/>
        </w:rPr>
      </w:pP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66"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Our credit agreement contains provisions that limit our future borrowing availability and sets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69"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As we evolve our business strategy to increase our focus on new product and service offerings, including our comprehensive energy management and maintenance services and our IoT, “smart-building,” “connected ceilings” and other related technology, software and controls products and services, the nature of our business may be significantly changed, or transformed, and our results of operations, financial condition and cash flows may be materially adversely affected.</w:t>
      </w:r>
    </w:p>
    <w:p>
      <w:pPr>
        <w:spacing w:after="0" w:line="7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future growth and profitability are tied in part to our ability to successfully bring to market new and innovative product and service offerings. Our business strategy is focused on further expanding the nature and scope of our products and services offered to our customers. Our expansion efforts also involve integrating control sensor technology to help customers collect and digitize data for monitoring and decision making purposes. We have experienced recent success offering our comprehensive energy project management services to national account customers to retrofit their multiple locations. We also plan to pursue the expansion of our IoT “smart-building” and “connected ceiling” and other related technology, software and controls products and services we offer to our customers.</w:t>
      </w: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evolving business strategies may include exploring potential acquisitions, including potential acquisitions that could significantly change, or even transform, the nature of our business. These potential acquisitions could be unsuccessful 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consume significant resources, which could materially adversely affect our results of operations, financial condition and cash flows.</w:t>
      </w:r>
    </w:p>
    <w:p>
      <w:pPr>
        <w:spacing w:after="0" w:line="229"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We may explore additional potential business acquisitions which could more quickly add expanded and different capabilities to our product and services offerings, including potential acquisitions that could significantly change, or even transform, the nature of our business. There can be no assurance that we will identify or successfully complete transactions with suitable acquisition candidates in the future. Similarly, there can be no assurance that our recently completed acquisitions will be successful. Acquisitions may involve significant cash expenditures, debt incurrence, stock issuances, operating losses and expenses that would otherwise be directed to investments in our existing business and could have a material adverse effect on our financial condition, results of operations and cash flows. To pursue acquisitions and other strategic transactions, we may need to raise additional debt and/or equity capital in the future, which may not be available on acceptable terms, in sufficient amounts or at all. In addition, we may issue new shares of our common stock as consideration in such transactions, which may have a dilutive impact on our existing shareholders and may also result in a reduction in the market price of our shares once those newly issued shares are resold in the market. In addition, acquisitions involve numerous other risks, including:</w:t>
      </w:r>
    </w:p>
    <w:p>
      <w:pPr>
        <w:spacing w:after="0" w:line="186" w:lineRule="exact"/>
        <w:rPr>
          <w:sz w:val="20"/>
          <w:szCs w:val="20"/>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acquired business to achieve its revenue or profit forecasts;</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culture of the acquired business may not match well with our culture;</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and focus may change in ways that adversely affect our results of operations;</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product synergies, economies of scale and cost reductions from the acquisition may not occur as expected;</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delays or conditions may result from the acquisition, including required regulatory approvals or consents;</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may result to our management team and/or board of directors;</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or assume unexpected liabilities or be subject to unexpected penalties or other enforcement actions or legal consequences;</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assumptions may be made regarding the macroeconomic environment or the integration process that form a basis for the acquisition;</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delays and costs may arise in integrating the acquired business’s operations, processes and systems;</w:t>
      </w:r>
    </w:p>
    <w:p>
      <w:pPr>
        <w:spacing w:after="0" w:line="116" w:lineRule="exact"/>
        <w:rPr>
          <w:rFonts w:ascii="Times New Roman" w:cs="Times New Roman" w:eastAsia="Times New Roman" w:hAnsi="Times New Roman"/>
          <w:sz w:val="18"/>
          <w:szCs w:val="18"/>
          <w:color w:val="auto"/>
        </w:rPr>
      </w:pPr>
    </w:p>
    <w:p>
      <w:pPr>
        <w:ind w:left="880" w:hanging="514"/>
        <w:spacing w:after="0" w:line="28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investments may be required to implement necessary compliance processes and related systems, including information technology systems, accounting systems and internal controls over financial reporting;</w:t>
      </w:r>
    </w:p>
    <w:p>
      <w:pPr>
        <w:spacing w:after="0" w:line="54"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retain, motivate and integrate key management and other employees of the acquired business;</w:t>
      </w:r>
    </w:p>
    <w:p>
      <w:pPr>
        <w:spacing w:after="0" w:line="116" w:lineRule="exact"/>
        <w:rPr>
          <w:rFonts w:ascii="Times New Roman" w:cs="Times New Roman" w:eastAsia="Times New Roman" w:hAnsi="Times New Roman"/>
          <w:sz w:val="18"/>
          <w:szCs w:val="18"/>
          <w:color w:val="auto"/>
        </w:rPr>
      </w:pPr>
    </w:p>
    <w:p>
      <w:pPr>
        <w:ind w:left="880" w:hanging="514"/>
        <w:spacing w:after="0" w:line="28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may arise due to unforeseen changes in tax, trade, environmental, labor, safety, payroll or pension policies in any jurisdiction in which the acquired business conducts its operations;</w:t>
      </w:r>
    </w:p>
    <w:p>
      <w:pPr>
        <w:spacing w:after="0" w:line="54"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adversely impact our sales channels and our sales channel partners; and</w:t>
      </w:r>
    </w:p>
    <w:p>
      <w:pPr>
        <w:spacing w:after="0" w:line="116" w:lineRule="exact"/>
        <w:rPr>
          <w:rFonts w:ascii="Times New Roman" w:cs="Times New Roman" w:eastAsia="Times New Roman" w:hAnsi="Times New Roman"/>
          <w:sz w:val="18"/>
          <w:szCs w:val="18"/>
          <w:color w:val="auto"/>
        </w:rPr>
      </w:pPr>
    </w:p>
    <w:p>
      <w:pPr>
        <w:ind w:left="880" w:hanging="51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problems in retaining customers and integrating customer bases.</w:t>
      </w:r>
    </w:p>
    <w:p>
      <w:pPr>
        <w:spacing w:after="0" w:line="200" w:lineRule="exact"/>
        <w:rPr>
          <w:sz w:val="20"/>
          <w:szCs w:val="20"/>
          <w:color w:val="auto"/>
        </w:rPr>
      </w:pPr>
    </w:p>
    <w:p>
      <w:pPr>
        <w:spacing w:after="0" w:line="240" w:lineRule="exact"/>
        <w:rPr>
          <w:sz w:val="20"/>
          <w:szCs w:val="20"/>
          <w:color w:val="auto"/>
        </w:rPr>
      </w:pPr>
    </w:p>
    <w:p>
      <w:pPr>
        <w:ind w:right="140" w:firstLine="494"/>
        <w:spacing w:after="0" w:line="265" w:lineRule="auto"/>
        <w:rPr>
          <w:sz w:val="20"/>
          <w:szCs w:val="20"/>
          <w:color w:val="auto"/>
        </w:rPr>
      </w:pPr>
      <w:r>
        <w:rPr>
          <w:rFonts w:ascii="Times New Roman" w:cs="Times New Roman" w:eastAsia="Times New Roman" w:hAnsi="Times New Roman"/>
          <w:sz w:val="18"/>
          <w:szCs w:val="18"/>
          <w:color w:val="auto"/>
        </w:rPr>
        <w:t>Many of these factors will be outside of our control and any one of them could result in increased costs and reduced profitability, decreases in the amount of expected revenues and diversion of our management’s time and attention. They may also delay, decrease or eliminate the realization of some or all of the benefits we anticipate when we enter into the transaction.</w:t>
      </w:r>
    </w:p>
    <w:p>
      <w:pPr>
        <w:spacing w:after="0" w:line="177" w:lineRule="exact"/>
        <w:rPr>
          <w:sz w:val="20"/>
          <w:szCs w:val="20"/>
          <w:color w:val="auto"/>
        </w:rPr>
      </w:pPr>
    </w:p>
    <w:p>
      <w:pPr>
        <w:ind w:right="140" w:firstLine="494"/>
        <w:spacing w:after="0" w:line="281" w:lineRule="auto"/>
        <w:rPr>
          <w:sz w:val="20"/>
          <w:szCs w:val="20"/>
          <w:color w:val="auto"/>
        </w:rPr>
      </w:pPr>
      <w:r>
        <w:rPr>
          <w:rFonts w:ascii="Times New Roman" w:cs="Times New Roman" w:eastAsia="Times New Roman" w:hAnsi="Times New Roman"/>
          <w:sz w:val="18"/>
          <w:szCs w:val="18"/>
          <w:color w:val="auto"/>
        </w:rPr>
        <w:t>Our management team has limited experience in, and limited time to dedicate to, pursuing, negotiating or integrating acquisitions. If we do identify suitable candidates, we may not be able to negotiate or consummate such acquisitions on favorable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0" w:name="page21"/>
    <w:bookmarkEnd w:id="20"/>
    <w:p>
      <w:pPr>
        <w:ind w:right="180"/>
        <w:spacing w:after="0" w:line="281" w:lineRule="auto"/>
        <w:rPr>
          <w:sz w:val="20"/>
          <w:szCs w:val="20"/>
          <w:color w:val="auto"/>
        </w:rPr>
      </w:pPr>
      <w:r>
        <w:rPr>
          <w:rFonts w:ascii="Times New Roman" w:cs="Times New Roman" w:eastAsia="Times New Roman" w:hAnsi="Times New Roman"/>
          <w:sz w:val="18"/>
          <w:szCs w:val="18"/>
          <w:color w:val="auto"/>
        </w:rPr>
        <w:t>terms or at all. Any acquisitions we complete may not achieve their initially intended results and benefits, and may be viewed negatively by investors and other stakeholders.</w:t>
      </w:r>
    </w:p>
    <w:p>
      <w:pPr>
        <w:spacing w:after="0" w:line="163" w:lineRule="exact"/>
        <w:rPr>
          <w:sz w:val="20"/>
          <w:szCs w:val="20"/>
          <w:color w:val="auto"/>
        </w:rPr>
      </w:pPr>
    </w:p>
    <w:p>
      <w:pPr>
        <w:ind w:firstLine="494"/>
        <w:spacing w:after="0" w:line="265" w:lineRule="auto"/>
        <w:rPr>
          <w:sz w:val="20"/>
          <w:szCs w:val="20"/>
          <w:color w:val="auto"/>
        </w:rPr>
      </w:pPr>
      <w:r>
        <w:rPr>
          <w:rFonts w:ascii="Times New Roman" w:cs="Times New Roman" w:eastAsia="Times New Roman" w:hAnsi="Times New Roman"/>
          <w:sz w:val="18"/>
          <w:szCs w:val="18"/>
          <w:color w:val="auto"/>
        </w:rPr>
        <w:t>We may undertake acquisitions financed in part through public offerings or private placements of debt or equity securities, including through the new issuance of our common stock or debt securities as consideration in an acquisition transaction. Such acquisition financing could result in dilution to our current shareholders, a decrease in our earnings and/or adversely affect our financial condition, liquidity or other leverage measures.</w:t>
      </w:r>
    </w:p>
    <w:p>
      <w:pPr>
        <w:spacing w:after="0" w:line="177" w:lineRule="exact"/>
        <w:rPr>
          <w:sz w:val="20"/>
          <w:szCs w:val="20"/>
          <w:color w:val="auto"/>
        </w:rPr>
      </w:pPr>
    </w:p>
    <w:p>
      <w:pPr>
        <w:ind w:right="400" w:firstLine="494"/>
        <w:spacing w:after="0" w:line="260" w:lineRule="auto"/>
        <w:rPr>
          <w:sz w:val="20"/>
          <w:szCs w:val="20"/>
          <w:color w:val="auto"/>
        </w:rPr>
      </w:pPr>
      <w:r>
        <w:rPr>
          <w:rFonts w:ascii="Times New Roman" w:cs="Times New Roman" w:eastAsia="Times New Roman" w:hAnsi="Times New Roman"/>
          <w:sz w:val="18"/>
          <w:szCs w:val="18"/>
          <w:color w:val="auto"/>
        </w:rPr>
        <w:t>In addition to committing additional capital resources to complete any acquisitions, substantial additional capital may be required to operate the acquired businesses following their acquisition. Moreover, these acquisitions may result in significant financial losses if the intended objectives of the transactions are not achieved. Some of the businesses we may acquire may have significant operating and financial challenges, requiring significant additional capital commitments to overcome such challenges and adversely affecting our financial condition and liquidity.</w:t>
      </w:r>
    </w:p>
    <w:p>
      <w:pPr>
        <w:spacing w:after="0" w:line="182" w:lineRule="exact"/>
        <w:rPr>
          <w:sz w:val="20"/>
          <w:szCs w:val="20"/>
          <w:color w:val="auto"/>
        </w:rPr>
      </w:pPr>
    </w:p>
    <w:p>
      <w:pPr>
        <w:ind w:right="340" w:firstLine="494"/>
        <w:spacing w:after="0" w:line="281" w:lineRule="auto"/>
        <w:rPr>
          <w:sz w:val="20"/>
          <w:szCs w:val="20"/>
          <w:color w:val="auto"/>
        </w:rPr>
      </w:pPr>
      <w:r>
        <w:rPr>
          <w:rFonts w:ascii="Times New Roman" w:cs="Times New Roman" w:eastAsia="Times New Roman" w:hAnsi="Times New Roman"/>
          <w:sz w:val="18"/>
          <w:szCs w:val="18"/>
          <w:color w:val="auto"/>
        </w:rPr>
        <w:t>Failure to implement our acquisition strategy, including successfully integrating acquired businesses, could have a material adverse effect on our results of operations, financial condition and cash flows.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5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utilize manufacturer representative sales agencies that sell our products through distributors. Many of these sales agents and distributors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 depends upon our adaptation to the quickly changing market conditions in the lighting industry and on market acceptance of our lighting retrofit solutions using LED and control technologies.</w:t>
      </w:r>
    </w:p>
    <w:p>
      <w:pPr>
        <w:spacing w:after="0" w:line="50"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market for lighting products has experienced a significant technology shift to LED lighting systems. In addition, we continue to explore utilizing our system platform as a “connected ceiling” or “smart ceiling”, or a framework or network that can support the installation and integration of other business technology or data information solutions on our lighting platform.</w:t>
      </w:r>
    </w:p>
    <w:p>
      <w:pPr>
        <w:spacing w:after="0" w:line="69"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As a result, our future success depends significantly upon the adoption rate of LED products within our primary markets, our ability to participate in this ongoing market trend and our ability to expand into complementary markets. To be an effective participant in the LED market, we must keep up with the evolution of LED and related technologies, which continue to move at a fast pace. We may be unable to successfully develop and market new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products and services may result in increased warranty expenses and other new product and services introduction expenses. In addition, we will likely continue to incur substantial costs to research and develop new products and services, which will increase our expenses, without guarantee that our new products and services will be commercially viable. We may also spend time and resources to develop and release new products and services only to discover that a competitor has also introduced similar new products and services with superior performance, at a lower price or on better delivery terms. Moreover, if new sources of lighting or lighting-based solutions are developed, our current products and technologies could become less competitive or obsolete, which could result in reduced revenue, reduced earnings or increased losses, and/or inventory and other impairment charges.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Finally, in connection with our historical primary focus on selling our LED products, we expect our results of operations to continue to fluctuate from quarter to quarter to the extent that customers delay purchasing decisions as they evaluate their return on investment from purchasing LED products compared to alternative lighting solutions, the pricing of LED products continues to fall and LED products continue to gain more widespread customer acceptance. Similarly, these circumstances have adversely impacted, and may continue to adversely impact, our product gross margins and our profitability from quarter to quarter.</w:t>
      </w:r>
    </w:p>
    <w:p>
      <w:pPr>
        <w:spacing w:after="0" w:line="74"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If we are unable to achieve market acceptance of our lighting retrofit solutions using LED technologies and our system platform as a “connected ceiling” or “smart ceiling” or realize the expected benefits from our focus on promoting new products and services, our results of operations, financial condition and cash flows will likely be materially adversely affected.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performance is dependent on our ability to achieve growth in our average selling price of our products.</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gross margins of our products can vary significantly, with margins ranging from 10%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results of operations, financial condition and cash flows. Furthermore, the average selling price of our products has been, and may be further, negatively impacted by the re-normalization of the supply chain and reduction in import costs, market over-supply conditions, product feature cannibalization by competitors or component providers, low-cost non-traditional sales methods by new market entrants, and comparison of our retrofit fixture products with replacement lamp equivalents. While we have previously implemented general price increases applicable to many new product orders, there is no assurance that such price increases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6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78"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retrofitting process frequently involves responsibility for the removal and disposal of components containing hazardous materials.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spacing w:after="0" w:line="281" w:lineRule="auto"/>
        <w:rPr>
          <w:sz w:val="20"/>
          <w:szCs w:val="20"/>
          <w:color w:val="auto"/>
        </w:rPr>
      </w:pPr>
      <w:r>
        <w:rPr>
          <w:rFonts w:ascii="Times New Roman" w:cs="Times New Roman" w:eastAsia="Times New Roman" w:hAnsi="Times New Roman"/>
          <w:sz w:val="18"/>
          <w:szCs w:val="18"/>
          <w:color w:val="auto"/>
        </w:rPr>
        <w:t>to these hazardous materials, which could result in claims against us which may have a material adverse effect on our results of operations, financial condition and cash flows.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tariffs and other actions may adversely affect our business.</w:t>
      </w:r>
    </w:p>
    <w:p>
      <w:pPr>
        <w:spacing w:after="0" w:line="229"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The United States government has, from time to time, implemented various monetary, regulatory, and trade importation restraints, penalties, and tariffs. Certain sourced finished products and certain of the components used in our products have been impacted by tariffs imposed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our results of operations may be adversely affected. Any future policy changes that may be implemented by the current or future United States administration could have a negative consequence on our financial performance.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effect on our results of operations, financial condition and cash flows.</w:t>
      </w:r>
    </w:p>
    <w:p>
      <w:pPr>
        <w:spacing w:after="0" w:line="6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government budget priorities and political gridlock, and future potential government shutdown, could negatively impact our results of operations, financial condition and cash flows.</w:t>
      </w:r>
    </w:p>
    <w:p>
      <w:pPr>
        <w:spacing w:after="0" w:line="50"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Actual and perceived changes in governmental budget priorities,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could adversely affect our business, results of operations and financial condition.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50"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our intellectual property rights for any reason could have a material adverse effect on our results of operations, financial condition and cash flows.</w:t>
      </w:r>
    </w:p>
    <w:p>
      <w:pPr>
        <w:spacing w:after="0" w:line="117"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7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74"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74"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addition, third parties may bring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cost of compliance with environmental laws and regulations and any related environmental liabilities could adversely affect our results of operations, financial condition and cash flows.</w:t>
      </w:r>
    </w:p>
    <w:p>
      <w:pPr>
        <w:spacing w:after="0" w:line="5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expect our quarterly revenue and operating results to fluctuate. If we fail to meet the expectations of market analysts or investors, the market price of our common stock could further decline, and we could become subject to securities litigation or a potential de-listing from NASDAQ.</w:t>
      </w:r>
    </w:p>
    <w:p>
      <w:pPr>
        <w:spacing w:after="0" w:line="50"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further decline. If the price of our common stock is volatile or falls significantly below our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current price, we may be the target of securities litigation or could be de-listed from NASDAQ. On April 5, 2024, we received written notice from NASDAQ that we were not in compliance with NASDAQ’s minimum bid price requirement for continued listing on NASDAQ. If we do not regain compliance by October 2, 2024, an additional 180 days may be granted to regain compliance. If we become involved in this type of litigation or are de-listed,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has been, and may continue to be, volatile.</w:t>
      </w:r>
    </w:p>
    <w:p>
      <w:pPr>
        <w:spacing w:after="0" w:line="121"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w:t>
      </w:r>
    </w:p>
    <w:p>
      <w:pPr>
        <w:spacing w:after="0" w:line="55" w:lineRule="exact"/>
        <w:rPr>
          <w:sz w:val="20"/>
          <w:szCs w:val="20"/>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our competitors’ operating results;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analyst's results of operations expectations;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growth rate of the general LED lighting industry, our growth rates or our competitors’ growth rates;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governmental regulation, including taxation and tariff policies;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or currency exchange rate fluctuations;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or report accurate financial results; and</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regarding our common stock, other comparable companies or our industry generally.</w:t>
      </w:r>
    </w:p>
    <w:p>
      <w:pPr>
        <w:spacing w:after="0" w:line="117"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50"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could be adversely affected by future sales of our common stock in the public market by us or our executive officers and directors.</w:t>
      </w:r>
    </w:p>
    <w:p>
      <w:pPr>
        <w:spacing w:after="0" w:line="50"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will have on the market price of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We are not currently paying dividends on our common stock and will likely continue not paying dividends for the foreseeable future.</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continued development and expansion of our business, and we do not anticipate paying any cash dividends on our common stock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restrictions on, and decision not to, pay dividends on our common stock may impact our ability to attract certain investors and raise funds, if necessary, in the capital markets.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7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our then-current board of directors, including to delay or impede a merger, tender offer or proxy contest involving our company or result in a lower price per share paid to our shareholders.</w:t>
      </w:r>
    </w:p>
    <w:p>
      <w:pPr>
        <w:spacing w:after="0" w:line="79"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8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Board of Directors and Audit Committee oversee risks from cybersecurity threats. Our Audit Committee of the board on a quarterly basis reviews cybersecurity risks and our board periodically reviews cybersecurity risks as part of its overall risk management oversight and specifically reviews cybersecurity in detail at least annually. The board relies on management and its use of the third-party consultants for expertise for assessing and managing our risks from cybersecurity threats. In conjunction with management, the board considers the nature of the work provided by our operations, the potential impact of a cybersecurity event, costs, potential likelihood of an event, prior events, and benefits in its general oversight of the cybersecurity risk management.</w:t>
      </w:r>
    </w:p>
    <w:p>
      <w:pPr>
        <w:spacing w:after="0" w:line="78"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have experienced targeted and non-targeted cybersecurity attacks and incidents in the past that have resulted in unauthorized persons gaining limited access to our information and systems, and we could in the future experience similar attacks. To date, no cybersecurity incident or attack, or any risk from cybersecurity threats, has materially affected or has been determined to be reasonably likely to materially affect us or our business strategy, results of operations, or financial condition.</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also “Item 1A. Risk Factors — Operational Risks.”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We lease our approximately 266,000 square foot manufacturing and distribution facility located in Manitowoc, Wisconsin. On January 31, 2020, we entered a new lease for the facility with a ten-year term, and an option to terminate after six years.</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We own our approximately 70,000 square foot technology center and corporate headquarters adjacent to our leased Manitowoc manufacturing and distribution facility. We also lease approximately 10,500 square feet of office space in Jacksonville, Florida, 5,375 square feet in Lawrence, Massachusetts and 9,180 square feet of office space in Pewaukee, Wisconsin.</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Manitowoc and Jacksonville facilities noted above are utilized by all our business segments, the Lawrence facility by our EV Segment and the Pewaukee facility by our Lighting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 of our common stock are traded on the NASDAQ Capital Market under the symbol “OESX”.</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As of May 31, 2024, there were approximately 158 record holders of the 32,567,746 outstanding shares of our common stock. The number of record holders does not include shareholders for whom shares are held in a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20" w:firstLine="499"/>
        <w:spacing w:after="0" w:line="281" w:lineRule="auto"/>
        <w:rPr>
          <w:sz w:val="20"/>
          <w:szCs w:val="20"/>
          <w:color w:val="auto"/>
        </w:rPr>
      </w:pPr>
      <w:r>
        <w:rPr>
          <w:rFonts w:ascii="Times New Roman" w:cs="Times New Roman" w:eastAsia="Times New Roman" w:hAnsi="Times New Roman"/>
          <w:sz w:val="18"/>
          <w:szCs w:val="18"/>
          <w:color w:val="auto"/>
        </w:rPr>
        <w:t>The following table represents shares outstanding under our 2004 Stock and Incentive Awards Incentive Plan, and our 2016 Omnibus Incentive Plan as of March 31,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1240" w:type="dxa"/>
            <w:vAlign w:val="bottom"/>
            <w:vMerge w:val="restart"/>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44"/>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2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6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Under the 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12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20" w:type="dxa"/>
            <w:vAlign w:val="bottom"/>
          </w:tcPr>
          <w:p>
            <w:pPr>
              <w:spacing w:after="0"/>
              <w:rPr>
                <w:sz w:val="12"/>
                <w:szCs w:val="12"/>
                <w:color w:val="auto"/>
              </w:rPr>
            </w:pPr>
          </w:p>
        </w:tc>
        <w:tc>
          <w:tcPr>
            <w:tcW w:w="146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Omnibus Incentive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14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40" w:type="dxa"/>
            <w:vAlign w:val="bottom"/>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4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Plans (1)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6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1,014,104</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1,788,994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6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1,014,104</w:t>
            </w:r>
          </w:p>
        </w:tc>
        <w:tc>
          <w:tcPr>
            <w:tcW w:w="120" w:type="dxa"/>
            <w:vAlign w:val="bottom"/>
            <w:shd w:val="clear" w:color="auto" w:fill="CFF0FC"/>
          </w:tcPr>
          <w:p>
            <w:pPr>
              <w:spacing w:after="0"/>
              <w:rPr>
                <w:sz w:val="24"/>
                <w:szCs w:val="24"/>
                <w:color w:val="auto"/>
              </w:rPr>
            </w:pPr>
          </w:p>
        </w:tc>
        <w:tc>
          <w:tcPr>
            <w:tcW w:w="14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1,788,994</w:t>
            </w:r>
          </w:p>
        </w:tc>
        <w:tc>
          <w:tcPr>
            <w:tcW w:w="0" w:type="dxa"/>
            <w:vAlign w:val="bottom"/>
          </w:tcPr>
          <w:p>
            <w:pPr>
              <w:spacing w:after="0"/>
              <w:rPr>
                <w:sz w:val="1"/>
                <w:szCs w:val="1"/>
                <w:color w:val="auto"/>
              </w:rPr>
            </w:pPr>
          </w:p>
        </w:tc>
      </w:tr>
      <w:tr>
        <w:trPr>
          <w:trHeight w:val="120"/>
        </w:trPr>
        <w:tc>
          <w:tcPr>
            <w:tcW w:w="20" w:type="dxa"/>
            <w:vAlign w:val="bottom"/>
            <w:tcBorders>
              <w:top w:val="single" w:sz="8" w:color="CFF0FC"/>
              <w:bottom w:val="single" w:sz="8" w:color="auto"/>
            </w:tcBorders>
          </w:tcPr>
          <w:p>
            <w:pPr>
              <w:spacing w:after="0"/>
              <w:rPr>
                <w:sz w:val="10"/>
                <w:szCs w:val="10"/>
                <w:color w:val="auto"/>
              </w:rPr>
            </w:pPr>
          </w:p>
        </w:tc>
        <w:tc>
          <w:tcPr>
            <w:tcW w:w="880" w:type="dxa"/>
            <w:vAlign w:val="bottom"/>
            <w:tcBorders>
              <w:top w:val="single" w:sz="8" w:color="CFF0FC"/>
              <w:bottom w:val="single" w:sz="8" w:color="auto"/>
            </w:tcBorders>
          </w:tcPr>
          <w:p>
            <w:pPr>
              <w:spacing w:after="0"/>
              <w:rPr>
                <w:sz w:val="10"/>
                <w:szCs w:val="10"/>
                <w:color w:val="auto"/>
              </w:rPr>
            </w:pPr>
          </w:p>
        </w:tc>
        <w:tc>
          <w:tcPr>
            <w:tcW w:w="2100" w:type="dxa"/>
            <w:vAlign w:val="bottom"/>
            <w:tcBorders>
              <w:top w:val="single" w:sz="8" w:color="CFF0FC"/>
              <w:bottom w:val="single" w:sz="8" w:color="auto"/>
            </w:tcBorders>
          </w:tcPr>
          <w:p>
            <w:pPr>
              <w:spacing w:after="0"/>
              <w:rPr>
                <w:sz w:val="10"/>
                <w:szCs w:val="10"/>
                <w:color w:val="auto"/>
              </w:rPr>
            </w:pPr>
          </w:p>
        </w:tc>
        <w:tc>
          <w:tcPr>
            <w:tcW w:w="356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-119380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-102235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-119380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-102235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660" w:hanging="652"/>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reflected in the column titled “Number of Shares to be Issued Upon Exercise of Outstanding Options and Vesting of Restricted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purchase shares of our common stock during the fiscal year ended March 31,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effect any unregistered sales of our common stock during the year ended March 31,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2024. See also “Forward-Looking Statements” and Item 1A “Risk Factors”.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primary market segments: commercial office and retail, area lighting, industrial applications and government, although we do sell and install products into other markets. Our services consist of turnkey installation and system maintenance. Virtually all of our sales occur within North America or for the US Department of Defense's military bases operating in foreign countries.</w:t>
      </w:r>
    </w:p>
    <w:p>
      <w:pPr>
        <w:spacing w:after="0" w:line="18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spacing w:after="0" w:line="18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offer lighting and electrical maintenance services which enables us to support a lifetime business relationship with our customer (which we call “Customers for Life”). We completed the acquisition of Voltrek on October 5, 2022, which was intended to further expand our turnkey services capabilities as well as capitalize on the rapidly growing market for EV charging solutions. We completed the Stay-Lite Lighting acquisition on January 1, 2022, which was intended to further expand our maintenance services capabilities.</w:t>
      </w:r>
    </w:p>
    <w:p>
      <w:pPr>
        <w:spacing w:after="0" w:line="18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77"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see significant opportunity to cross-sell our three platforms of Lighting, Maintenance Services and EV Charging installation systems to our Commercial and Industrial customer base. We are pursuing opportunities to cross-sell to direct customers as well as through select partners. While we currently intend to primarily pursue growth organically, we also may explore potential additional business acquisitions to expand and add different capabilities to our product and services offerings.</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9" w:name="page30"/>
    <w:bookmarkEnd w:id="29"/>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multi-location master retrofit agreements we make substantial working capital expenditures and advance inventory purchases that we intend to recoup through the completion of these or similar projects.</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Our fiscal year ends on March 31. We refer to our just completed fiscal year, which ended on March 31, 2024, as "fiscal 2024", and our prior fiscal years which ended on March 31, 2023 and March 31, 2022 as "fiscal 2023" and “fiscal 2022”, respectively. Our fiscal first quarter of each fiscal year ends on June 30, our fiscal second quarter ends on September 30, our fiscal third quarter ends on December 31 and our fiscal fourth quarter ends on March 31.</w:t>
      </w:r>
    </w:p>
    <w:p>
      <w:pPr>
        <w:spacing w:after="0" w:line="17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Previously, we had four reportable segments: Orion Services Group Segment, Orion Distribution Services Segment, Orion U.S. Markets Division and Orion Electric Vehicle Charging (the “EV Segment”). Effective during the first quarter of fiscal 2024, we began to evaluate and report the business using three segments: Lighting Segment, Maintenance Segment and EV Segment.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Outlook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fiscal 2025, we plan on focusing on the following initiatives:</w:t>
      </w:r>
    </w:p>
    <w:p>
      <w:pPr>
        <w:spacing w:after="0" w:line="223"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i w:val="1"/>
          <w:iCs w:val="1"/>
          <w:color w:val="auto"/>
        </w:rPr>
        <w:t>Executing and Marketing our Turnkey LED Retrofit Capabilities to Large National Account Customers</w:t>
      </w:r>
      <w:r>
        <w:rPr>
          <w:rFonts w:ascii="Times New Roman" w:cs="Times New Roman" w:eastAsia="Times New Roman" w:hAnsi="Times New Roman"/>
          <w:sz w:val="18"/>
          <w:szCs w:val="18"/>
          <w:color w:val="auto"/>
        </w:rPr>
        <w:t>. We believe one of our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is our ability to deliver full turnkey LED lighting project capabilities. These turnkey services were the principal reason we achieved significant recent revenue growth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We believe one of our competitive advantages is that we are organized to serve every step of a custom retrofit project in a comprehensive, non-disruptive and timely fashion, from custom fixture design and initial site surveys to final installations. We are also able to help customers deploy state-of-the-art control systems that provide even greater long-term value from their lighting system investments.</w:t>
      </w:r>
    </w:p>
    <w:p>
      <w:pPr>
        <w:spacing w:after="0" w:line="19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 solutions, and expanding our addressable market with high-quality, basic lighting systems to meet the needs of value-oriented customer segments served by our other market channels. Given our compelling value proposition, capabilities and focus on customer service, we are optimistic about our business prospects and working to build sales momentum with existing and new customers.</w:t>
      </w:r>
    </w:p>
    <w:p>
      <w:pPr>
        <w:spacing w:after="0" w:line="18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Continued Product Innovation. </w:t>
      </w:r>
      <w:r>
        <w:rPr>
          <w:rFonts w:ascii="Times New Roman" w:cs="Times New Roman" w:eastAsia="Times New Roman" w:hAnsi="Times New Roman"/>
          <w:sz w:val="18"/>
          <w:szCs w:val="18"/>
          <w:color w:val="auto"/>
        </w:rPr>
        <w:t>We continue to innovate, developing lighting fixtures and features that address specific customer requirements,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Orion launched a new line of interior and exterior products in FY’24 Q2 designed to increase sales and market share which we expect to continue to accelerate in FY'25. Our goal is to provide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jc w:val="both"/>
        <w:spacing w:after="0" w:line="281" w:lineRule="auto"/>
        <w:rPr>
          <w:sz w:val="20"/>
          <w:szCs w:val="20"/>
          <w:color w:val="auto"/>
        </w:rPr>
      </w:pPr>
      <w:r>
        <w:rPr>
          <w:rFonts w:ascii="Times New Roman" w:cs="Times New Roman" w:eastAsia="Times New Roman" w:hAnsi="Times New Roman"/>
          <w:sz w:val="18"/>
          <w:szCs w:val="18"/>
          <w:color w:val="auto"/>
        </w:rPr>
        <w:t>state-of-the-art lighting products with modular plug-and-play designs to enable lighting system customization from basic controls to advanced IoT capabilities.</w:t>
      </w:r>
    </w:p>
    <w:p>
      <w:pPr>
        <w:spacing w:after="0" w:line="16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Leverage of our Smart Lighting Systems to Support Internet of Things Applications. </w:t>
      </w:r>
      <w:r>
        <w:rPr>
          <w:rFonts w:ascii="Times New Roman" w:cs="Times New Roman" w:eastAsia="Times New Roman" w:hAnsi="Times New Roman"/>
          <w:sz w:val="18"/>
          <w:szCs w:val="18"/>
          <w:color w:val="auto"/>
        </w:rPr>
        <w:t>We believe we are ideally positioned to help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87"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Increase Profitability within our Maintenance Service Offerings. </w:t>
      </w:r>
      <w:r>
        <w:rPr>
          <w:rFonts w:ascii="Times New Roman" w:cs="Times New Roman" w:eastAsia="Times New Roman" w:hAnsi="Times New Roman"/>
          <w:sz w:val="18"/>
          <w:szCs w:val="18"/>
          <w:color w:val="auto"/>
        </w:rPr>
        <w:t>We believe we can leverage our construction management process expertise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 high-quality, quick-response, multi-location maintenance service offering. Our experience with large national customers and our large installed base of fixtures positions us well to extend a maintenance offering to historical customers, as well as to new customers. Our focus is ensuring all multi-year contracts are bid and executed at rates that will contribute reasonable profitability for the segment.</w:t>
      </w:r>
    </w:p>
    <w:p>
      <w:pPr>
        <w:spacing w:after="0" w:line="178" w:lineRule="exact"/>
        <w:rPr>
          <w:sz w:val="20"/>
          <w:szCs w:val="20"/>
          <w:color w:val="auto"/>
        </w:rPr>
      </w:pPr>
    </w:p>
    <w:p>
      <w:pPr>
        <w:jc w:val="both"/>
        <w:ind w:firstLine="5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Support Success of our ESCO and Agent-Driven Distribution Sales Channels. </w:t>
      </w:r>
      <w:r>
        <w:rPr>
          <w:rFonts w:ascii="Times New Roman" w:cs="Times New Roman" w:eastAsia="Times New Roman" w:hAnsi="Times New Roman"/>
          <w:sz w:val="18"/>
          <w:szCs w:val="18"/>
          <w:color w:val="auto"/>
        </w:rPr>
        <w:t>We continue to focus on building our relationships and product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support for our ESCO and agent driven distribution channels. These efforts include an array of product and sales training efforts as well as the development of new products to cater to the unique needs of these sales channels.</w:t>
      </w:r>
    </w:p>
    <w:p>
      <w:pPr>
        <w:spacing w:after="0" w:line="1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Grow EV Charging Installation Business. </w:t>
      </w:r>
      <w:r>
        <w:rPr>
          <w:rFonts w:ascii="Times New Roman" w:cs="Times New Roman" w:eastAsia="Times New Roman" w:hAnsi="Times New Roman"/>
          <w:sz w:val="18"/>
          <w:szCs w:val="18"/>
          <w:color w:val="auto"/>
        </w:rPr>
        <w:t>We acquired Voltrek, a turnkey EV charging installation business, in fiscal 2023. We believe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growth opportunities in Voltrek’s existing northeast geographic market as well as on a national basis. We plan to focus our growth plans on maximizing the initial positive momentum realized in fiscal 2024 from our Voltrek acquisition and on cross selling our EV charging solutions into our historical market channels and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Voltrek</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on October 5, 2022, we acquired all of the outstanding membership interests of Voltrek LLC, a leading electric vehicle charging company that provides turnkey installation solutions with ongoing support to all commercial verticals. The initial purchase price consisted of $5.0 million cash and $1.0 million of stock. We also paid $3.0 million based on Voltrek's performance in fiscal 2023 and will pay an additional $0.9 million and could pay up to an additional $9.8 million if Voltrek exceeds certain earnings targets in fiscal 2024 and 2025, respectively. The acquisition was funded from existing cash and credit resources and has been operating as Voltrek, a division of Orion Energy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Stay-Lite Lighting</w:t>
      </w:r>
    </w:p>
    <w:p>
      <w:pPr>
        <w:spacing w:after="0" w:line="121"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Effective on January 1, 2022, we acquired all of the issued and outstanding capital stock of Stay-Lite Lighting, a nationwide lighting and electrical maintenance service provider, for a cash purchase price of $4.0 million. The acquisition was funded from existing cash resources. Stay-Lite Lighting has been operating as Stay-Lite, an Orion Energy Systems business. The acquisition accelerates the growth of our maintenance services offerings through our Orion Services Group, which provides lighting and electrical services to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Replacing Reduced Revenue from Primary Customer</w:t>
      </w:r>
    </w:p>
    <w:p>
      <w:pPr>
        <w:spacing w:after="0" w:line="200" w:lineRule="exact"/>
        <w:rPr>
          <w:sz w:val="20"/>
          <w:szCs w:val="20"/>
          <w:color w:val="auto"/>
        </w:rPr>
      </w:pPr>
    </w:p>
    <w:p>
      <w:pPr>
        <w:spacing w:after="0" w:line="244" w:lineRule="exact"/>
        <w:rPr>
          <w:sz w:val="20"/>
          <w:szCs w:val="20"/>
          <w:color w:val="auto"/>
        </w:rPr>
      </w:pPr>
    </w:p>
    <w:p>
      <w:pPr>
        <w:jc w:val="both"/>
        <w:ind w:right="20" w:firstLine="494"/>
        <w:spacing w:after="0" w:line="281" w:lineRule="auto"/>
        <w:rPr>
          <w:sz w:val="20"/>
          <w:szCs w:val="20"/>
          <w:color w:val="auto"/>
        </w:rPr>
      </w:pPr>
      <w:r>
        <w:rPr>
          <w:rFonts w:ascii="Times New Roman" w:cs="Times New Roman" w:eastAsia="Times New Roman" w:hAnsi="Times New Roman"/>
          <w:sz w:val="18"/>
          <w:szCs w:val="18"/>
          <w:color w:val="auto"/>
        </w:rPr>
        <w:t>In fiscal 2024, 2023 and 2022, one customer accounted for 25.2%, 16.2% and 49.1% of our total revenue, respectively. In fiscal 2025, we expect that our customer concentration will continue at the approximate range experienced in fiscal 2024 and 2023. We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1" w:name="page32"/>
    <w:bookmarkEnd w:id="31"/>
    <w:p>
      <w:pPr>
        <w:spacing w:after="0" w:line="281" w:lineRule="auto"/>
        <w:rPr>
          <w:sz w:val="20"/>
          <w:szCs w:val="20"/>
          <w:color w:val="auto"/>
        </w:rPr>
      </w:pPr>
      <w:r>
        <w:rPr>
          <w:rFonts w:ascii="Times New Roman" w:cs="Times New Roman" w:eastAsia="Times New Roman" w:hAnsi="Times New Roman"/>
          <w:sz w:val="18"/>
          <w:szCs w:val="18"/>
          <w:color w:val="auto"/>
        </w:rPr>
        <w:t>continue to attempt to diversify our customer base by expanding our reach to national accounts, ESCOs, the agent driven distribution channel, lighting maintenance customers and the EV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selected historical consolidated financial data are not necessarily indicative of future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69"/>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60" w:type="dxa"/>
            <w:vAlign w:val="bottom"/>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63,307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57,210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87,664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113,352</w:t>
            </w: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27,274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20,173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37,489</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90,581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77,383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116,840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150,841</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 (1) (2) (7)</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42,979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65,249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63,233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83,588</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 (1) (3) (7)</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25,204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16,893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25,222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23,483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30,130</w:t>
            </w:r>
          </w:p>
        </w:tc>
      </w:tr>
      <w:tr>
        <w:trPr>
          <w:trHeight w:val="23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69,670</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59,872</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90,471</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86,716</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113,718</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20,911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37,123</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(1) (4) (7)</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11,184</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 (5)</w:t>
            </w:r>
          </w:p>
        </w:tc>
        <w:tc>
          <w:tcPr>
            <w:tcW w:w="2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 (1) (5) (7)</w:t>
            </w:r>
          </w:p>
        </w:tc>
        <w:tc>
          <w:tcPr>
            <w:tcW w:w="2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11,113</w:t>
            </w: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(1) (7)</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1,716</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13,110</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12,621</w:t>
            </w: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 (6)</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26,134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12,462</w:t>
            </w: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514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Net (loss) income per share attributable to common</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252"/>
        </w:trPr>
        <w:tc>
          <w:tcPr>
            <w:tcW w:w="5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r>
      <w:tr>
        <w:trPr>
          <w:trHeight w:val="24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5"/>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32,486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31,704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30,635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30,105</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32,486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-4060825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-4060825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-4060825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-4060825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-3427730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-3427730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-3427730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-3427730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-2494280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-2494280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-2494280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-2494280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-1560830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-1560830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-1560830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-1560830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-1243965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-1243965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-1243965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-1243965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19005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59" w:lineRule="exact"/>
        <w:rPr>
          <w:sz w:val="20"/>
          <w:szCs w:val="20"/>
          <w:color w:val="auto"/>
        </w:rPr>
      </w:pPr>
    </w:p>
    <w:p>
      <w:pPr>
        <w:ind w:left="660" w:hanging="652"/>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recognized under Financial Accounting Standards Board Accounting Standards Codification Topic 718, or ASC Topic 718,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69"/>
        </w:trPr>
        <w:tc>
          <w:tcPr>
            <w:tcW w:w="51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5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7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576</w:t>
            </w: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1,612</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5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-187960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-187960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-187960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and Fiscal 2020 includes expense of $26 thousand and $0.1 million related to restructuring, respectively.</w:t>
      </w:r>
    </w:p>
    <w:p>
      <w:pPr>
        <w:spacing w:after="0" w:line="1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and Fiscal 2020 includes expense of $48 thousand and $0.1 million related to restructuring, respectively.</w:t>
      </w:r>
    </w:p>
    <w:p>
      <w:pPr>
        <w:spacing w:after="0" w:line="1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and Fiscal 2020 include expenses of $28 thousand and $28 thousand related to restructuring, respectively.</w:t>
      </w:r>
    </w:p>
    <w:p>
      <w:pPr>
        <w:spacing w:after="0" w:line="1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and Fiscal 2020 includes expense of $21 thousand and $0.2 million related to restructuring,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2" w:name="page33"/>
    <w:bookmarkEnd w:id="32"/>
    <w:p>
      <w:pPr>
        <w:ind w:left="660" w:right="100" w:hanging="652"/>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2021 includes tax benefit of $20.9 million related to the release of the valuation allowance on deferred tax assets. Fiscal 2023 includes tax expense of $17.8 million related to the recording of the valuation allowance on deferred tax assets.</w:t>
      </w:r>
    </w:p>
    <w:p>
      <w:pPr>
        <w:spacing w:after="0" w:line="54" w:lineRule="exact"/>
        <w:rPr>
          <w:rFonts w:ascii="Times New Roman" w:cs="Times New Roman" w:eastAsia="Times New Roman" w:hAnsi="Times New Roman"/>
          <w:sz w:val="18"/>
          <w:szCs w:val="18"/>
          <w:color w:val="auto"/>
        </w:rPr>
      </w:pPr>
    </w:p>
    <w:p>
      <w:pPr>
        <w:ind w:left="660" w:right="100" w:hanging="652"/>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2022 includes an offset to payroll expenses of $1.6 million related to the anticipated employee retention payroll tax credit (“payroll tax credit”), as expanded and extended by the American Rescue Plan Act of 2021, as follows:</w:t>
      </w:r>
    </w:p>
    <w:tbl>
      <w:tblPr>
        <w:tblLayout w:type="fixed"/>
        <w:tblInd w:w="0" w:type="dxa"/>
        <w:tblCellMar>
          <w:top w:w="0" w:type="dxa"/>
          <w:left w:w="0" w:type="dxa"/>
          <w:bottom w:w="0" w:type="dxa"/>
          <w:right w:w="0" w:type="dxa"/>
        </w:tblCellMar>
      </w:tblPr>
      <w:tr>
        <w:trPr>
          <w:trHeight w:val="138"/>
        </w:trPr>
        <w:tc>
          <w:tcPr>
            <w:tcW w:w="9360" w:type="dxa"/>
            <w:vAlign w:val="bottom"/>
          </w:tcPr>
          <w:p>
            <w:pPr>
              <w:spacing w:after="0"/>
              <w:rPr>
                <w:sz w:val="12"/>
                <w:szCs w:val="12"/>
                <w:color w:val="auto"/>
              </w:rPr>
            </w:pPr>
          </w:p>
        </w:tc>
        <w:tc>
          <w:tcPr>
            <w:tcW w:w="1880" w:type="dxa"/>
            <w:vAlign w:val="bottom"/>
            <w:gridSpan w:val="3"/>
          </w:tcPr>
          <w:p>
            <w:pPr>
              <w:jc w:val="center"/>
              <w:ind w:right="160"/>
              <w:spacing w:after="0" w:line="139" w:lineRule="exact"/>
              <w:rPr>
                <w:sz w:val="20"/>
                <w:szCs w:val="20"/>
                <w:color w:val="auto"/>
              </w:rPr>
            </w:pPr>
            <w:r>
              <w:rPr>
                <w:rFonts w:ascii="Times New Roman" w:cs="Times New Roman" w:eastAsia="Times New Roman" w:hAnsi="Times New Roman"/>
                <w:sz w:val="14"/>
                <w:szCs w:val="14"/>
                <w:b w:val="1"/>
                <w:bCs w:val="1"/>
                <w:color w:val="auto"/>
              </w:rPr>
              <w:t>Fiscal Year Ended March</w:t>
            </w:r>
          </w:p>
        </w:tc>
      </w:tr>
      <w:tr>
        <w:trPr>
          <w:trHeight w:val="187"/>
        </w:trPr>
        <w:tc>
          <w:tcPr>
            <w:tcW w:w="9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6"/>
                <w:szCs w:val="16"/>
                <w:color w:val="auto"/>
              </w:rPr>
            </w:pPr>
          </w:p>
        </w:tc>
      </w:tr>
      <w:tr>
        <w:trPr>
          <w:trHeight w:val="169"/>
        </w:trPr>
        <w:tc>
          <w:tcPr>
            <w:tcW w:w="9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7"/>
        </w:trPr>
        <w:tc>
          <w:tcPr>
            <w:tcW w:w="9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r>
      <w:tr>
        <w:trPr>
          <w:trHeight w:val="238"/>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r>
      <w:tr>
        <w:trPr>
          <w:trHeight w:val="243"/>
        </w:trPr>
        <w:tc>
          <w:tcPr>
            <w:tcW w:w="9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payroll tax credit</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0"/>
                <w:szCs w:val="20"/>
                <w:color w:val="auto"/>
              </w:rPr>
            </w:pP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2024 versus Fiscal 2023</w:t>
      </w:r>
    </w:p>
    <w:p>
      <w:pPr>
        <w:spacing w:after="0" w:line="121" w:lineRule="exact"/>
        <w:rPr>
          <w:sz w:val="20"/>
          <w:szCs w:val="20"/>
          <w:color w:val="auto"/>
        </w:rPr>
      </w:pPr>
    </w:p>
    <w:p>
      <w:pPr>
        <w:jc w:val="both"/>
        <w:ind w:right="100" w:firstLine="494"/>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471"/>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63,307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57,210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10.7 %</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69.9 %</w:t>
            </w: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90,581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77,383</w:t>
            </w: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42,979</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16,893</w:t>
            </w:r>
          </w:p>
        </w:tc>
        <w:tc>
          <w:tcPr>
            <w:tcW w:w="1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49.2 %</w:t>
            </w: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69,670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59,872</w:t>
            </w: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76.9 %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77.4 %</w:t>
            </w:r>
          </w:p>
        </w:tc>
        <w:tc>
          <w:tcPr>
            <w:tcW w:w="0" w:type="dxa"/>
            <w:vAlign w:val="bottom"/>
          </w:tcPr>
          <w:p>
            <w:pPr>
              <w:spacing w:after="0"/>
              <w:rPr>
                <w:sz w:val="1"/>
                <w:szCs w:val="1"/>
                <w:color w:val="auto"/>
              </w:rPr>
            </w:pPr>
          </w:p>
        </w:tc>
      </w:tr>
      <w:tr>
        <w:trPr>
          <w:trHeight w:val="22"/>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20,911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19,487</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(14.1 )%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(92.7 )%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11,392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14.0 %</w:t>
            </w: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1"/>
                <w:szCs w:val="21"/>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(19.3 )%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(15,985 )</w:t>
            </w:r>
          </w:p>
        </w:tc>
        <w:tc>
          <w:tcPr>
            <w:tcW w:w="1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(11.9 )%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(121.8 )%</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(0.8 )%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2"/>
                <w:szCs w:val="22"/>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(30.1 )%</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(16,363 )</w:t>
            </w: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(12.8 )%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17,978</w:t>
            </w:r>
          </w:p>
        </w:tc>
        <w:tc>
          <w:tcPr>
            <w:tcW w:w="1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1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-3921125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-3604260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-2970530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-2662555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-2353945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-2037080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-1412240</wp:posOffset>
            </wp:positionV>
            <wp:extent cx="713232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3" w:name="page34"/>
    <w:bookmarkEnd w:id="33"/>
    <w:p>
      <w:pPr>
        <w:jc w:val="both"/>
        <w:ind w:firstLine="4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increased by 10.7%, or $6.1 million, for fiscal 2024 versus fiscal 2023.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by 35.2%, or $7.1 million, for fiscal 2024 versus fiscal 2023. The increase in product and service revenue was primarily due to the execution of a significant government retrofit Lighting segment project along with increased EV segment revenues. Cost of product revenue increased by 3.5%, or $1.5 million, in fiscal 2024 versus the comparable period in fiscal 2023. Cost of service revenue increased by 49.2%, or $8.3 million, in fiscal 2024 versus fiscal 2023. The increases were primarily because of increases in revenue described above along with higher cost in our Maintenance Segment. Gross margin increased to 23.1% of revenue in fiscal 2024 from 22.6% in fiscal 2023, due primarily to improved absorption of fixed costs on increased revenue volume and mix.</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14.1%, or $2.7 million, in fiscal 2024 compared to fiscal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decrease was primarily due to a reduction in estimate of $0.9 million of earn-out compensation costs recorded in fiscal 2023 related to the Voltrek acquisition, partially offset by a full year of cost at Voltrek.</w:t>
      </w:r>
    </w:p>
    <w:p>
      <w:pPr>
        <w:spacing w:after="0" w:line="64"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Acquisition Related Costs</w:t>
      </w:r>
      <w:r>
        <w:rPr>
          <w:rFonts w:ascii="Times New Roman" w:cs="Times New Roman" w:eastAsia="Times New Roman" w:hAnsi="Times New Roman"/>
          <w:sz w:val="18"/>
          <w:szCs w:val="18"/>
          <w:color w:val="auto"/>
        </w:rPr>
        <w:t>. In fiscal 2024, we incurred acquisition costs of $56 thousand, primarily relating to the Voltrek acquisition. In fiscal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incurred acquisition expenses of $0.8 million relating to the acquisition of Voltrek.</w:t>
      </w:r>
    </w:p>
    <w:p>
      <w:pPr>
        <w:spacing w:after="0" w:line="159"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increased 14.0%, or $1.6 million, in fiscal 2024 compared to fiscal 2023.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commission expense on higher sales volume.</w:t>
      </w:r>
    </w:p>
    <w:p>
      <w:pPr>
        <w:spacing w:after="0" w:line="159"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19.3%, or $0.4 million, in fiscal 2024 compared to fiscal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testing costs.</w:t>
      </w:r>
    </w:p>
    <w:p>
      <w:pPr>
        <w:spacing w:after="0" w:line="159"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2024 increased by $0.4 million to $0.8 million primarily because of a full year of borrowings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a higher interest rate on our credit facility.</w:t>
      </w:r>
    </w:p>
    <w:p>
      <w:pPr>
        <w:spacing w:after="0" w:line="15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$18.0 million, or 99.9%, to $41 thousand compared to fiscal 2023. The fiscal 2023 expense included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one-time $17.8 million non-cash charge to increase the valuation allowance on a significant portion of our deferred tax assets. We do not expect to remit significant cash taxes for the next several years.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2023 versus Fiscal 2022</w:t>
      </w:r>
    </w:p>
    <w:p>
      <w:pPr>
        <w:spacing w:after="0" w:line="121" w:lineRule="exact"/>
        <w:rPr>
          <w:sz w:val="20"/>
          <w:szCs w:val="20"/>
          <w:color w:val="auto"/>
        </w:rPr>
      </w:pPr>
    </w:p>
    <w:p>
      <w:pPr>
        <w:jc w:val="both"/>
        <w:ind w:right="120" w:firstLine="499"/>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47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57,210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91,889</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(37.7 )%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73.9 %</w:t>
            </w: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32,494</w:t>
            </w:r>
          </w:p>
        </w:tc>
        <w:tc>
          <w:tcPr>
            <w:tcW w:w="1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(37.9 )%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77,383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124,383</w:t>
            </w:r>
          </w:p>
        </w:tc>
        <w:tc>
          <w:tcPr>
            <w:tcW w:w="1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(37.8 )%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65,249</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(34.1 )%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25,222</w:t>
            </w:r>
          </w:p>
        </w:tc>
        <w:tc>
          <w:tcPr>
            <w:tcW w:w="100" w:type="dxa"/>
            <w:vAlign w:val="bottom"/>
          </w:tcPr>
          <w:p>
            <w:pPr>
              <w:spacing w:after="0"/>
              <w:rPr>
                <w:sz w:val="21"/>
                <w:szCs w:val="21"/>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(33.0 )%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90,471</w:t>
            </w:r>
          </w:p>
        </w:tc>
        <w:tc>
          <w:tcPr>
            <w:tcW w:w="1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(33.8 )%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72.7 %</w:t>
            </w:r>
          </w:p>
        </w:tc>
        <w:tc>
          <w:tcPr>
            <w:tcW w:w="0" w:type="dxa"/>
            <w:vAlign w:val="bottom"/>
          </w:tcPr>
          <w:p>
            <w:pPr>
              <w:spacing w:after="0"/>
              <w:rPr>
                <w:sz w:val="1"/>
                <w:szCs w:val="1"/>
                <w:color w:val="auto"/>
              </w:rPr>
            </w:pPr>
          </w:p>
        </w:tc>
      </w:tr>
      <w:tr>
        <w:trPr>
          <w:trHeight w:val="22"/>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33,912</w:t>
            </w:r>
          </w:p>
        </w:tc>
        <w:tc>
          <w:tcPr>
            <w:tcW w:w="1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(48.4 )%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11,680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66.8 %</w:t>
            </w: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49.4 %</w:t>
            </w: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11,628</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(290.5 )%</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(20.7 )%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(323.8 )%</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2"/>
                <w:szCs w:val="22"/>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(17.7 )%</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(298.3 )%</w:t>
            </w:r>
          </w:p>
        </w:tc>
        <w:tc>
          <w:tcPr>
            <w:tcW w:w="2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23.2 %</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(663.8 )%</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(44.4 )%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-2995930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-2045970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-1737360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2" w:lineRule="exact"/>
        <w:rPr>
          <w:sz w:val="20"/>
          <w:szCs w:val="20"/>
          <w:color w:val="auto"/>
        </w:rPr>
      </w:pPr>
    </w:p>
    <w:p>
      <w:pPr>
        <w:jc w:val="both"/>
        <w:ind w:right="100" w:firstLine="49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decreased by 37.7%, or $34.7 million, for fiscal 2023 versus fiscal 2022.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decreased by 37.9%, or $12.3 million, for fiscal 2023 versus fiscal 2022. The decrease in product revenue was primarily due to the completion of a significant project for our largest customer and delays in the commencement of certain projects partially offset by revenue associated with the Stay-Lite and Voltrek acquisitions. The decrease in service revenue was primarily due to the completion of the significant project for our largest customer partially offset by revenue association with the acquisition of Stay-Lite and Voltrek. Cost of product revenue decreased by 34.1%, or $22.3 million, in fiscal 2023 versus the comparable period in fiscal 2022. Cost of service revenue decreased by 33.0%, or $8.3 million, in fiscal 2023 versus fiscal 2022. The decreases were primarily because of decreases in revenue described above. Gross margin decreased to 22.6% of revenue in fiscal 2023 from 27.3% in fiscal 2022, due primarily to lower absorption of fixed costs on reduced revenue volume.</w:t>
      </w: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right="10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66.8%, or $7.8 million, in fiscal 2023 compared to fiscal 2022.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increase was primarily due to the acquisition of Stay-Lite Lighting and Voltrek, which included $4.0 million for compensatory Voltrek earn-out payments. In addition, there were lower employment costs in fiscal 2022 as a result of COVID-19 related actions and the payroll tax credit.</w:t>
      </w:r>
    </w:p>
    <w:p>
      <w:pPr>
        <w:spacing w:after="0" w:line="172" w:lineRule="exact"/>
        <w:rPr>
          <w:sz w:val="20"/>
          <w:szCs w:val="20"/>
          <w:color w:val="auto"/>
        </w:rPr>
      </w:pPr>
    </w:p>
    <w:p>
      <w:pPr>
        <w:jc w:val="both"/>
        <w:ind w:right="100" w:firstLine="494"/>
        <w:spacing w:after="0" w:line="283" w:lineRule="auto"/>
        <w:rPr>
          <w:sz w:val="20"/>
          <w:szCs w:val="20"/>
          <w:color w:val="auto"/>
        </w:rPr>
      </w:pPr>
      <w:r>
        <w:rPr>
          <w:rFonts w:ascii="Times New Roman" w:cs="Times New Roman" w:eastAsia="Times New Roman" w:hAnsi="Times New Roman"/>
          <w:sz w:val="18"/>
          <w:szCs w:val="18"/>
          <w:i w:val="1"/>
          <w:iCs w:val="1"/>
          <w:color w:val="auto"/>
        </w:rPr>
        <w:t>Acquisition Related Costs</w:t>
      </w:r>
      <w:r>
        <w:rPr>
          <w:rFonts w:ascii="Times New Roman" w:cs="Times New Roman" w:eastAsia="Times New Roman" w:hAnsi="Times New Roman"/>
          <w:sz w:val="18"/>
          <w:szCs w:val="18"/>
          <w:color w:val="auto"/>
        </w:rPr>
        <w:t>. In fiscal 2023, we incurred acquisition costs of $0.8 million, primarily relating to the Voltrek acquisition. In fiscal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incurred acquisition expenses of $0.5 million relating to the acquisition of Stay-Lite Lighting.</w:t>
      </w:r>
    </w:p>
    <w:p>
      <w:pPr>
        <w:spacing w:after="0" w:line="159" w:lineRule="exact"/>
        <w:rPr>
          <w:sz w:val="20"/>
          <w:szCs w:val="20"/>
          <w:color w:val="auto"/>
        </w:rPr>
      </w:pPr>
    </w:p>
    <w:p>
      <w:pPr>
        <w:jc w:val="both"/>
        <w:ind w:right="10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2.0%, or $0.2 million, in fiscal 2023 compared to fiscal 2022.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decrease in commission expense on lower sales partially offset by expenses associated with the Stay-Lite Lighting and Voltrek businesses.</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6" w:right="2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8.9%, or $0.2 million, in fiscal 2023 compared to fiscal 2022.</w:t>
      </w:r>
    </w:p>
    <w:p>
      <w:pPr>
        <w:spacing w:after="0" w:line="225" w:lineRule="exact"/>
        <w:rPr>
          <w:sz w:val="20"/>
          <w:szCs w:val="20"/>
          <w:color w:val="auto"/>
        </w:rPr>
      </w:pPr>
    </w:p>
    <w:p>
      <w:pPr>
        <w:jc w:val="both"/>
        <w:ind w:right="60" w:firstLine="49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2023 increased by $0.2 million to $0.3 million primarily because of higher borrowings on Orion’s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and increased third party financing costs related to the sale of receivables.</w:t>
      </w:r>
    </w:p>
    <w:p>
      <w:pPr>
        <w:spacing w:after="0" w:line="159" w:lineRule="exact"/>
        <w:rPr>
          <w:sz w:val="20"/>
          <w:szCs w:val="20"/>
          <w:color w:val="auto"/>
        </w:rPr>
      </w:pPr>
    </w:p>
    <w:p>
      <w:pPr>
        <w:jc w:val="both"/>
        <w:ind w:right="60"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fiscal 2023, we recognized tax expense of $18.0 million. The fiscal 2023 expense was driven by a $17.8 million non-cash charge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the valuation allowance on a significant portion of our deferred tax assets. This resulted in substantially and disproportionately decreasing our reported net income and our earnings per share compared to our operating results. Historical and future comparisons to these amounts are not, and will not be, indicative of actual profitability trends for our business. Our fiscal 2022 income tax provision reflects a more normalized effective income tax rate. We do not expect to remit significant cash taxes for the next several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21" w:lineRule="exact"/>
        <w:rPr>
          <w:sz w:val="20"/>
          <w:szCs w:val="20"/>
          <w:color w:val="auto"/>
        </w:rPr>
      </w:pPr>
    </w:p>
    <w:p>
      <w:pPr>
        <w:jc w:val="both"/>
        <w:ind w:right="60" w:firstLine="499"/>
        <w:spacing w:after="0" w:line="260"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through ESCOs, Lighting Agents, Distributors and direct (turnkey) to end users.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lighting segment operating results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96"/>
              </w:rPr>
              <w:t>61,102</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56,553</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118,557</w:t>
            </w:r>
          </w:p>
        </w:tc>
        <w:tc>
          <w:tcPr>
            <w:tcW w:w="60" w:type="dxa"/>
            <w:vAlign w:val="bottom"/>
          </w:tcPr>
          <w:p>
            <w:pPr>
              <w:spacing w:after="0"/>
              <w:rPr>
                <w:sz w:val="20"/>
                <w:szCs w:val="20"/>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(1,352 )</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21,647</w:t>
            </w:r>
          </w:p>
        </w:tc>
        <w:tc>
          <w:tcPr>
            <w:tcW w:w="60" w:type="dxa"/>
            <w:vAlign w:val="bottom"/>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ind w:right="60" w:firstLine="499"/>
        <w:spacing w:after="0" w:line="265" w:lineRule="auto"/>
        <w:rPr>
          <w:sz w:val="20"/>
          <w:szCs w:val="20"/>
          <w:color w:val="auto"/>
        </w:rPr>
      </w:pPr>
      <w:r>
        <w:rPr>
          <w:rFonts w:ascii="Times New Roman" w:cs="Times New Roman" w:eastAsia="Times New Roman" w:hAnsi="Times New Roman"/>
          <w:sz w:val="18"/>
          <w:szCs w:val="18"/>
          <w:color w:val="auto"/>
        </w:rPr>
        <w:t>Lighting segment revenue increased in fiscal 2024 by 8.0%, or $4.6 million, and operating loss decreased $3.8 million, compared to fiscal 2023, due to increased project volume on a government retrofit project. This increase led to a corresponding operating loss decrease in this segment, along with improved project margins.</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2023 Compared to Fiscal 2022</w:t>
      </w:r>
    </w:p>
    <w:p>
      <w:pPr>
        <w:spacing w:after="0" w:line="121" w:lineRule="exact"/>
        <w:rPr>
          <w:sz w:val="20"/>
          <w:szCs w:val="20"/>
          <w:color w:val="auto"/>
        </w:rPr>
      </w:pPr>
    </w:p>
    <w:p>
      <w:pPr>
        <w:jc w:val="both"/>
        <w:ind w:right="80" w:firstLine="494"/>
        <w:spacing w:after="0" w:line="281" w:lineRule="auto"/>
        <w:rPr>
          <w:sz w:val="20"/>
          <w:szCs w:val="20"/>
          <w:color w:val="auto"/>
        </w:rPr>
      </w:pPr>
      <w:r>
        <w:rPr>
          <w:rFonts w:ascii="Times New Roman" w:cs="Times New Roman" w:eastAsia="Times New Roman" w:hAnsi="Times New Roman"/>
          <w:sz w:val="18"/>
          <w:szCs w:val="18"/>
          <w:color w:val="auto"/>
        </w:rPr>
        <w:t>Lighting segment revenue decreased in fiscal 2023 compared to fiscal 2022 by 52.3%, or $62.0 million, and operating income decreased by 123.8%, or $26.8 million, compared to fiscal 2022, due to an overall reduction in project volume performed for our largest customer.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21" w:lineRule="exact"/>
        <w:rPr>
          <w:sz w:val="20"/>
          <w:szCs w:val="20"/>
          <w:color w:val="auto"/>
        </w:rPr>
      </w:pPr>
    </w:p>
    <w:p>
      <w:pPr>
        <w:jc w:val="both"/>
        <w:ind w:right="60" w:firstLine="499"/>
        <w:spacing w:after="0" w:line="281"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maintenance segment operating results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96"/>
              </w:rPr>
              <w:t>17,147</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14,555</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5,826</w:t>
            </w:r>
          </w:p>
        </w:tc>
        <w:tc>
          <w:tcPr>
            <w:tcW w:w="60" w:type="dxa"/>
            <w:vAlign w:val="bottom"/>
          </w:tcPr>
          <w:p>
            <w:pPr>
              <w:spacing w:after="0"/>
              <w:rPr>
                <w:sz w:val="20"/>
                <w:szCs w:val="20"/>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8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(5,523 )</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0"/>
                <w:szCs w:val="20"/>
                <w:color w:val="auto"/>
              </w:rPr>
            </w:pPr>
          </w:p>
        </w:tc>
      </w:tr>
      <w:tr>
        <w:trPr>
          <w:trHeight w:val="23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(32.2 )%</w:t>
            </w: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661"/>
        </w:trPr>
        <w:tc>
          <w:tcPr>
            <w:tcW w:w="3640" w:type="dxa"/>
            <w:vAlign w:val="bottom"/>
          </w:tcPr>
          <w:p>
            <w:pPr>
              <w:spacing w:after="0"/>
              <w:rPr>
                <w:sz w:val="24"/>
                <w:szCs w:val="24"/>
                <w:color w:val="auto"/>
              </w:rPr>
            </w:pPr>
          </w:p>
        </w:tc>
        <w:tc>
          <w:tcPr>
            <w:tcW w:w="29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6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98" w:right="279"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Maintenance segment revenue increased $2.6 million, or 17.8% in fiscal 2024 compared to fiscal 2023 primarily due to increased volume at a major customer. Operating loss increased $3.3 million, or 148.6%, in fiscal 2024 compared to fiscal 2023 primarily due to increased costs on fixed price contracts.</w:t>
      </w: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2023 Compared to Fiscal 2022</w:t>
      </w:r>
    </w:p>
    <w:p>
      <w:pPr>
        <w:spacing w:after="0" w:line="121"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Maintenance segment revenue increased $8.7 million, or 149.8% in fiscal 2023 compared to fiscal 2022 primarily due to a full year of operations from the Stay-Lite acquisition. Operating loss increased $2.6 million, or 759.1%, in fiscal 2023 compared to fiscal 2022 primarily due to inflationary pressures causing increased costs on fixed price contracts.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 Charging Segment</w:t>
      </w:r>
    </w:p>
    <w:p>
      <w:pPr>
        <w:spacing w:after="0" w:line="229" w:lineRule="exact"/>
        <w:rPr>
          <w:sz w:val="20"/>
          <w:szCs w:val="20"/>
          <w:color w:val="auto"/>
        </w:rPr>
      </w:pPr>
    </w:p>
    <w:p>
      <w:pPr>
        <w:ind w:right="620" w:firstLine="494"/>
        <w:spacing w:after="0" w:line="281"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w w:val="96"/>
              </w:rPr>
              <w:t>12,332</w:t>
            </w:r>
          </w:p>
        </w:tc>
        <w:tc>
          <w:tcPr>
            <w:tcW w:w="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6,275</w:t>
            </w:r>
          </w:p>
        </w:tc>
        <w:tc>
          <w:tcPr>
            <w:tcW w:w="12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98"/>
              </w:rPr>
              <w:t>(1,563 )</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(4,158 )</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(66.3 )%</w:t>
            </w:r>
          </w:p>
        </w:tc>
        <w:tc>
          <w:tcPr>
            <w:tcW w:w="12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EV segment revenue increased 96.5% or $6.1 million in fiscal 2024 compared to fiscal 2023 primarily due to a full year of Voltrek results being included in segment results. EV segment operating loss decreased $2.6 million or 62.4% in fiscal 2024 compared to fiscal 2023 due to increased revenue volume in the segment, partially offset by reduced gross margins.</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We had $5.2 million in cash and cash equivalents as of March 31, 2024, compared to $16.0 million at March 31, 2023. Our cash position decreased due to the results in our operations and a $3.0 million Voltrek earnout payment.</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As of March 31, 2024, our borrowing base supported $20.1 million of availability under our credit facility, with $10.0 million drawn against that availability. As of March 31, 2023, our borrowing base supported $17.3 million of availability under our credit facility, with $10.0 million drawn against that availability.</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on our Credit Agreement can be found in the “Indebtedness” section located below.</w:t>
      </w:r>
    </w:p>
    <w:p>
      <w:pPr>
        <w:spacing w:after="0" w:line="225"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In March 2023, we filed a universal shelf registration statement with the Securities and Exchange Commission. Under our shelf registration statement, we currently have the flexibility to publicly offer and sell from time to time up to $100 million of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7" w:name="page38"/>
    <w:bookmarkEnd w:id="37"/>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In March 2021, we entered into an At Market Issuance Sales Agreement to undertake an “at the market” (ATM) public equity capital raising program pursuant to which we may offer and sell shares of our common stock, having an aggregate offering price of up to $50 million from time to time through or to the Agent, acting as sales agent or principal. No share sales have yet been affected pursuant to the ATM program through March 31, 2024.</w:t>
      </w:r>
    </w:p>
    <w:p>
      <w:pPr>
        <w:spacing w:after="0" w:line="177" w:lineRule="exact"/>
        <w:rPr>
          <w:sz w:val="20"/>
          <w:szCs w:val="20"/>
          <w:color w:val="auto"/>
        </w:rPr>
      </w:pPr>
    </w:p>
    <w:p>
      <w:pPr>
        <w:jc w:val="both"/>
        <w:ind w:right="20" w:firstLine="499"/>
        <w:spacing w:after="0" w:line="265" w:lineRule="auto"/>
        <w:rPr>
          <w:sz w:val="20"/>
          <w:szCs w:val="20"/>
          <w:color w:val="auto"/>
        </w:rPr>
      </w:pPr>
      <w:r>
        <w:rPr>
          <w:rFonts w:ascii="Times New Roman" w:cs="Times New Roman" w:eastAsia="Times New Roman" w:hAnsi="Times New Roman"/>
          <w:sz w:val="18"/>
          <w:szCs w:val="18"/>
          <w:color w:val="auto"/>
        </w:rPr>
        <w:t>In April 2024, we executed Amendment No.2 to our Loan Security Agreement to add a $3.5 million term loan to the credit facility. The amendment also expanded the pool of eligible receivables to include government receivables in the calculation of the borrowing base. See Note 20 - Subsequent Event to our accompanying audited consolidated financial statements for more information.</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We regularly explore various alternative sources of liquidity to help ensure that we will have the best allocation of invested capital to satisfy our working capital needs.</w:t>
      </w:r>
    </w:p>
    <w:p>
      <w:pPr>
        <w:spacing w:after="0" w:line="16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during the next 12 months and beyond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our fiscal 2024, fiscal 2023 and fiscal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(10,092 )</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10,012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104</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(10,837 )</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(4,927 )</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-187960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2"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provided by operating activities primarily consisted of net loss adjusted for certain non-cash items, including depreciation, amortization of intangible assets, stock-based compensation, amortization of debt issue costs, provisions for reserves, and the effect of changes in working capital and other activities.</w:t>
      </w:r>
    </w:p>
    <w:p>
      <w:pPr>
        <w:spacing w:after="0" w:line="174"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Cash used in operating activities for fiscal 2024 was $10.1 million and consisted of our net loss of $11.7 million adjusted for non-cash expense items and net cash used in changes in operating assets of $1.6 million, the largest of which was a $5.0 million increase in accounts payable, an increase of $3.2 million in revenue earned not billed, and a $2.3 million decrease in accrued liabilities.</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Cash used in operating activities for fiscal 2023 was $2.3 million and consisted of our net loss of $34.3 million adjusted for non-cash expense items and net cash used in changes in operating assets of $32.1 million, the largest of which was a $17.8 million decrease in deferred income tax assets as a result of the valuation allowance.</w:t>
      </w:r>
    </w:p>
    <w:p>
      <w:pPr>
        <w:spacing w:after="0" w:line="177"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Cash used in operating activities for fiscal 2022 was $0.1 million and consisted of a net income of $6.1 million adjusted for non-cash expense items of $5.0 million and offset by net cash used by changes in operating assets and liabilities of $11.2 million. Cash used by changes in operating assets and liabilities consisted primarily of decreases in accounts payable of $8.1 million and accrued liabilities of $6.9 million, partially offset by cash provided by a decrease in accounts receivable of $4.4 million, all caused by changes in business volume late in fiscal 2022 compared to late fiscal 2021.</w:t>
      </w:r>
    </w:p>
    <w:p>
      <w:pPr>
        <w:spacing w:after="0" w:line="180"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Cash used in investing activities in fiscal 2024 was $0.7 million and consisted primarily of $0.8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purchases of property and equipment.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8" w:name="page39"/>
    <w:bookmarkEnd w:id="38"/>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in fiscal 2023 was $6.2 million and consisted primarily of the $5.6 million acquisition of Voltrek and $0.6 million of purchases of property and equipment.</w:t>
      </w:r>
    </w:p>
    <w:p>
      <w:pPr>
        <w:spacing w:after="0" w:line="163"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in fiscal 2022 was $4.9 million and consisted primarily of the $4.0 million acquisition of Stay-Lite Lighting, and an investment of a non-controlling equity stake in ndustrial, Inc. of $0.5 million and purchases of property and equipment.</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in fiscal 2024 was $14 thousand.</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financing activities in fiscal 2023 was $10.0 million which consisted of proceeds from our revolving credit facility.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financing activities in fiscal 2022 was $0.1 million.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Our net working capital as of March 31, 2024 was $16.7 million, consisting of $44.8 million of current assets and $28.1 million of current liabilities. Our net working capital as of March 31, 2023 was $25.9 million, consisting of $50.4 million of current assets and $24.5 million of current liabilities. The change was primarily due to a decrease in cash and cash equivalents and an increase in accounts payable, partially offset by an increase in revenue earned not billed.</w:t>
      </w:r>
    </w:p>
    <w:p>
      <w:pPr>
        <w:spacing w:after="0" w:line="74"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Our net working capital as of March 31, 2022 was $32.9 million, consisting of $51.2 million in current assets and $18.4 million in current liabilities. The increase in our working capital in fiscal 2023 from our fiscal 2022 year-end was primarily due to an overall reduction in project volume performed for our largest customer and partially offset by the acquisition of Stay-Lite Lighting.</w:t>
      </w:r>
    </w:p>
    <w:p>
      <w:pPr>
        <w:spacing w:after="0" w:line="69"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We generally attempt to maintain a three-month supply of on-hand inventory of purchased components and raw materials to meet anticipated demand, as well as to reduce our risk of unexpected raw material or component shortages or supply interruptions.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2024, the borrowing base supported approximately $20.1 million of availability under the Credit Facility with $10.0 million drawn against that availability. As of March 31, 2023, the borrowing base supported approximately $17.3 million of availability under the Credit Facility with $10.0 million drawn against that availability.</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63" w:lineRule="exact"/>
        <w:rPr>
          <w:sz w:val="20"/>
          <w:szCs w:val="20"/>
          <w:color w:val="auto"/>
        </w:rPr>
      </w:pPr>
    </w:p>
    <w:p>
      <w:pPr>
        <w:jc w:val="both"/>
        <w:ind w:right="20" w:firstLine="499"/>
        <w:spacing w:after="0" w:line="260"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jc w:val="both"/>
        <w:spacing w:after="0" w:line="281" w:lineRule="auto"/>
        <w:rPr>
          <w:sz w:val="20"/>
          <w:szCs w:val="20"/>
          <w:color w:val="auto"/>
        </w:rPr>
      </w:pPr>
      <w:r>
        <w:rPr>
          <w:rFonts w:ascii="Times New Roman" w:cs="Times New Roman" w:eastAsia="Times New Roman" w:hAnsi="Times New Roman"/>
          <w:sz w:val="18"/>
          <w:szCs w:val="18"/>
          <w:color w:val="auto"/>
        </w:rPr>
        <w:t>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63"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We did not incur any early termination fees in connection with the termination of the prior credit agreement, but did recognize a loss on debt extinguishment of $0.1 million on the write-off of unamortized debt issue costs related to the prior credit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$0.8 million in fiscal 2024, $0.7 million in fiscal 2023 and $0.5 million in fiscal 2022. Our capital spending plans predominantly consist of investments related to maintenance fleet vehicles,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estimates is set forth below.</w:t>
      </w:r>
    </w:p>
    <w:p>
      <w:pPr>
        <w:spacing w:after="0" w:line="185"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in accordance with the guidance in “Revenue from Contracts with Customers” (Topic 606)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606”) when control of the goods or services being provided (which we refer to as a performance obligation) is transferred to a customer at an amount that reflects the consideration we expect to receive in exchange for those goods or services.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8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The expected cost-plus margin per GAAP approach is used to determine the stand-alone selling price for the installation performance obligation and is based on average historical installation margin.</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performance obligation(s) for the sale of lighting fixtures and components we manufacture, lighting fixtures we source, and EV charging stations and related software and warranty arrangements we source, are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we refer to as a turnkey project) is allocated between each lighting fixture and the installation performance obligation based on relative standalone selling prices.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0" w:name="page41"/>
    <w:bookmarkEnd w:id="40"/>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Consolidated Statement of Operations. .</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5" w:lineRule="exact"/>
        <w:rPr>
          <w:sz w:val="20"/>
          <w:szCs w:val="20"/>
          <w:color w:val="auto"/>
        </w:rPr>
      </w:pPr>
    </w:p>
    <w:p>
      <w:pPr>
        <w:jc w:val="both"/>
        <w:ind w:firstLine="499"/>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Arial" w:cs="Arial" w:eastAsia="Arial" w:hAnsi="Arial"/>
          <w:sz w:val="16"/>
          <w:szCs w:val="16"/>
          <w:color w:val="auto"/>
        </w:rPr>
        <w:t>Inventories consist of raw materials and components, such as drivers, metal sheet and coil stock and molded parts; work in process</w:t>
      </w:r>
      <w:r>
        <w:rPr>
          <w:rFonts w:ascii="Times New Roman" w:cs="Times New Roman" w:eastAsia="Times New Roman" w:hAnsi="Times New Roman"/>
          <w:sz w:val="18"/>
          <w:szCs w:val="18"/>
          <w:i w:val="1"/>
          <w:iCs w:val="1"/>
          <w:color w:val="auto"/>
        </w:rPr>
        <w:t xml:space="preserve"> </w:t>
      </w:r>
      <w:r>
        <w:rPr>
          <w:rFonts w:ascii="Arial" w:cs="Arial" w:eastAsia="Arial" w:hAnsi="Arial"/>
          <w:sz w:val="16"/>
          <w:szCs w:val="16"/>
          <w:color w:val="auto"/>
        </w:rPr>
        <w:t>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Orion records, as a charge to cost of product revenue, the amount required to reduce the carrying value of inventory to net realizable value.</w:t>
      </w:r>
    </w:p>
    <w:p>
      <w:pPr>
        <w:spacing w:after="0" w:line="1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We evaluate long-lived assets such as property, equipment and definite lived intangible assets, such as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determine if the total estimated future cash flows on an undiscounted basis are less than the carrying amounts of the asset or assets. If so, an impairment loss is measured and recognized.</w:t>
      </w:r>
    </w:p>
    <w:p>
      <w:pPr>
        <w:spacing w:after="0" w:line="188"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As of January 1, 2024, due to a change in our forecast, a triggering event occurred requiring us to evaluate certain long-lived assets in our Maintenance segment. We performed the recoverability test for the asset group by comparing its carrying value to the group’s expected future undiscounted cash flows. We concluded that the carrying value exceeded the undiscounted cash flows of the long-lived asset group. As such the asset group was deemed not recoverable and an impairment charge of $0.5 million was recorded.</w:t>
      </w:r>
    </w:p>
    <w:p>
      <w:pPr>
        <w:spacing w:after="0" w:line="182" w:lineRule="exact"/>
        <w:rPr>
          <w:sz w:val="20"/>
          <w:szCs w:val="20"/>
          <w:color w:val="auto"/>
        </w:rPr>
      </w:pPr>
    </w:p>
    <w:p>
      <w:pPr>
        <w:jc w:val="both"/>
        <w:ind w:right="20" w:firstLine="499"/>
        <w:spacing w:after="0" w:line="265" w:lineRule="auto"/>
        <w:rPr>
          <w:sz w:val="20"/>
          <w:szCs w:val="20"/>
          <w:color w:val="auto"/>
        </w:rPr>
      </w:pPr>
      <w:r>
        <w:rPr>
          <w:rFonts w:ascii="Times New Roman" w:cs="Times New Roman" w:eastAsia="Times New Roman" w:hAnsi="Times New Roman"/>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61"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 Lived Intangible Assets and Goodwill. </w:t>
      </w:r>
      <w:r>
        <w:rPr>
          <w:rFonts w:ascii="Times New Roman" w:cs="Times New Roman" w:eastAsia="Times New Roman" w:hAnsi="Times New Roman"/>
          <w:sz w:val="18"/>
          <w:szCs w:val="18"/>
          <w:color w:val="auto"/>
        </w:rPr>
        <w:t>We test indefinite lived intangible assets and goodwill for impairment at least annually on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our fiscal fourth quarter, or when indications of potential impairment exist. We monitor for the existence of potential impairment indicators throughout the fiscal year. Our annual impairment test may begin with a qualitative test to determine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1" w:name="page42"/>
    <w:bookmarkEnd w:id="41"/>
    <w:p>
      <w:pPr>
        <w:jc w:val="both"/>
        <w:spacing w:after="0" w:line="265" w:lineRule="auto"/>
        <w:rPr>
          <w:sz w:val="20"/>
          <w:szCs w:val="20"/>
          <w:color w:val="auto"/>
        </w:rPr>
      </w:pPr>
      <w:r>
        <w:rPr>
          <w:rFonts w:ascii="Times New Roman" w:cs="Times New Roman" w:eastAsia="Times New Roman" w:hAnsi="Times New Roman"/>
          <w:sz w:val="18"/>
          <w:szCs w:val="18"/>
          <w:color w:val="auto"/>
        </w:rPr>
        <w:t>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7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performed a qualitative assessment in conjunction with our annual impairment test of our indefinite lived intangible assets and goodwill as of January 1, 2024. These qualitative assessments considered our operating results for the first nine months of fiscal 2024 in comparison to prior years as well as its anticipated fourth quarter results and fiscal 2024 plan. As a result of the conditions that existed as of the assessment date, we determined a quantitative assessment was necessary for our Maintenance segment reporting unit. We concluded that the undiscounted cash flows exceeded the carrying value for the indefinite lived intangibles and goodwill, and therefore no impairment charge was recorded.</w:t>
      </w:r>
    </w:p>
    <w:p>
      <w:pPr>
        <w:spacing w:after="0" w:line="182"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As a result of the conditions that existed as of the assessment date, an asset impairment was not deemed to be more likely than not in the Lighting and EV segments and a quantitative analysis was not required.</w:t>
      </w:r>
    </w:p>
    <w:p>
      <w:pPr>
        <w:spacing w:after="0" w:line="16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currently issue restricted stock awards to our employees, executive officers and directors. Prior to fiscal 2015,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issued stock options to these individuals. We apply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these restricted stock and stock option awards which requires us to expense the estimated fair value of the awards based on the fair value of the award on the date of grant. Compensation costs for equity incentives are recognized in earnings, on a straight-line basis over the requisite service period.</w:t>
      </w:r>
    </w:p>
    <w:p>
      <w:pPr>
        <w:spacing w:after="0" w:line="17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our consolidated financial statements, we are required to determine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8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During fiscal 2023, we established a full valuation allowance on our net deferred tax assets due to end of the period of sustained profitability. In making these determinations, we considered all available positive and negative evidence, including projected future taxable income, tax planning strategies, recent financial performance and ownership changes.</w:t>
      </w:r>
    </w:p>
    <w:p>
      <w:pPr>
        <w:spacing w:after="0" w:line="182"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2"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As of March 31, 2024, we had net operating loss carryforwards of approximately $78.2 million for federal tax purposes, $70.3 million for state tax purposes, and $0.8 million for foreign tax purposes.</w:t>
      </w:r>
    </w:p>
    <w:p>
      <w:pPr>
        <w:spacing w:after="0" w:line="163"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also had federal tax credit carryforwards of $1.3 million and state tax credit carryforwards of $0.3 million, which are reserved for as part of our valuation allowance. Of these tax attributes, $25.8 million of the federal and state net operating loss carryforwards are not subject to time restrictions on use but may only be used to offset 80% of future adjusted taxable income. The $123.5 million net operating loss and tax credit carryforwards will begin to expire in varying amounts between 2024 and 2044.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2" w:name="page43"/>
    <w:bookmarkEnd w:id="42"/>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63"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2024,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See Note 3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61"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have experienced increases in various input costs including labor, components and transportation in the past year. In response,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72" w:lineRule="exact"/>
        <w:rPr>
          <w:sz w:val="20"/>
          <w:szCs w:val="20"/>
          <w:color w:val="auto"/>
        </w:rPr>
      </w:pPr>
    </w:p>
    <w:p>
      <w:pPr>
        <w:jc w:val="both"/>
        <w:ind w:firstLine="49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Foreign Exchange Risk. </w:t>
      </w:r>
      <w:r>
        <w:rPr>
          <w:rFonts w:ascii="Times New Roman" w:cs="Times New Roman" w:eastAsia="Times New Roman" w:hAnsi="Times New Roman"/>
          <w:sz w:val="18"/>
          <w:szCs w:val="18"/>
          <w:color w:val="auto"/>
        </w:rPr>
        <w:t>We face minimal exposure to adverse movements in foreign currency exchange rates. Our foreign currency losses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have been nominal.</w:t>
      </w:r>
    </w:p>
    <w:p>
      <w:pPr>
        <w:spacing w:after="0" w:line="15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do not believe that we are subject to any material risks arising from changes in interest rates,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we had $10.0 million of outstanding debt with floating interest rates.</w:t>
      </w:r>
    </w:p>
    <w:p>
      <w:pPr>
        <w:spacing w:after="0" w:line="22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are exposed to certain commodity price risks associated with our purchases of raw materials, most significantly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purchases. During fiscal 2024, we have experienced commodity price increases; however, as of the date of this report, we are not able to predict the future impact of on this risk. A hypothetical additional 20% increase in aluminum prices would have had a negative impact of $0.7 million on our net income in fiscal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
        </w:trPr>
        <w:tc>
          <w:tcPr>
            <w:tcW w:w="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80" w:type="dxa"/>
            <w:vAlign w:val="bottom"/>
          </w:tcPr>
          <w:p>
            <w:pPr>
              <w:spacing w:after="0"/>
              <w:rPr>
                <w:sz w:val="19"/>
                <w:szCs w:val="19"/>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(BDO USA, P.C.; Milwaukee, WI; PCAOB ID#243)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708"/>
        </w:trPr>
        <w:tc>
          <w:tcPr>
            <w:tcW w:w="80" w:type="dxa"/>
            <w:vAlign w:val="bottom"/>
          </w:tcPr>
          <w:p>
            <w:pPr>
              <w:spacing w:after="0"/>
              <w:rPr>
                <w:sz w:val="24"/>
                <w:szCs w:val="24"/>
                <w:color w:val="auto"/>
              </w:rPr>
            </w:pPr>
          </w:p>
        </w:tc>
        <w:tc>
          <w:tcPr>
            <w:tcW w:w="3120" w:type="dxa"/>
            <w:vAlign w:val="bottom"/>
            <w:tcBorders>
              <w:top w:val="single" w:sz="8" w:color="0000FF"/>
            </w:tcBorders>
            <w:gridSpan w:val="4"/>
          </w:tcPr>
          <w:p>
            <w:pPr>
              <w:spacing w:after="0"/>
              <w:rPr>
                <w:sz w:val="24"/>
                <w:szCs w:val="24"/>
                <w:color w:val="auto"/>
              </w:rPr>
            </w:pPr>
          </w:p>
        </w:tc>
        <w:tc>
          <w:tcPr>
            <w:tcW w:w="6920" w:type="dxa"/>
            <w:vAlign w:val="bottom"/>
            <w:gridSpan w:val="3"/>
          </w:tcPr>
          <w:p>
            <w:pPr>
              <w:jc w:val="right"/>
              <w:ind w:right="440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Pr>
          <w:p>
            <w:pPr>
              <w:spacing w:after="0"/>
              <w:rPr>
                <w:sz w:val="24"/>
                <w:szCs w:val="24"/>
                <w:color w:val="auto"/>
              </w:rPr>
            </w:pPr>
          </w:p>
        </w:tc>
      </w:tr>
      <w:tr>
        <w:trPr>
          <w:trHeight w:val="762"/>
        </w:trPr>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4" w:name="page45"/>
    <w:bookmarkEnd w:id="4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00" w:lineRule="exact"/>
        <w:rPr>
          <w:sz w:val="20"/>
          <w:szCs w:val="20"/>
          <w:color w:val="auto"/>
        </w:rPr>
      </w:pPr>
    </w:p>
    <w:p>
      <w:pPr>
        <w:spacing w:after="0" w:line="24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Orion Energy Systems, Inc. (the “Company”) as of March 31, 2024 and 2023, the related consolidated statements of operations, shareholders’ equity, and cash flows for each of the three years in the period ended March 31, 2024, and the related notes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accounting principles generally accepted in the United States of America.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0" w:lineRule="exact"/>
        <w:rPr>
          <w:sz w:val="20"/>
          <w:szCs w:val="20"/>
          <w:color w:val="auto"/>
        </w:rPr>
      </w:pPr>
    </w:p>
    <w:p>
      <w:pPr>
        <w:spacing w:after="0" w:line="244"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0" w:lineRule="exact"/>
        <w:rPr>
          <w:sz w:val="20"/>
          <w:szCs w:val="20"/>
          <w:color w:val="auto"/>
        </w:rPr>
      </w:pPr>
    </w:p>
    <w:p>
      <w:pPr>
        <w:spacing w:after="0" w:line="24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Inventory Excess and Obsolescence Reserve</w:t>
      </w:r>
    </w:p>
    <w:p>
      <w:pPr>
        <w:spacing w:after="0" w:line="229"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As described in Note 2 to the Company’s consolidated financial statements, the Company reports inventory using the first-in, first-out (FIFO) method. The Company records the amount required to reduce the carrying value of its inventories to net realizable value as a charge to cost of product revenue. As of March 31, 2024, the Company had inventories of approximately $18.2 million.</w:t>
      </w:r>
    </w:p>
    <w:p>
      <w:pPr>
        <w:spacing w:after="0" w:line="393"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identified the Company’s evaluation of excess and obsolete inventory as a critical audit matter. The principal considerations for this determination was management’s significant judgments utilized to determine the inventory reserve, specifically the assumptions related to the recent historical sales activity (including usage in the preceding 9 to 12 months) and expected demand for the products. Auditing these elements involved especially subjective auditor judgment due to the nature and extent of audit effort required to address these matters.</w:t>
      </w:r>
    </w:p>
    <w:p>
      <w:pPr>
        <w:spacing w:after="0" w:line="3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underlying data and calculations used to determine the reserve, including inventory quantities, carrying costs, and usage on a sample basis.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inputs to management’s assumptions, including corroborating management’s considerations of usage trends during the year, usage subsequent to year-end, and comparing parts identified for substitutions when applicable on a sample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14,022</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13,728</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18,246</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18,205</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2,860</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0"/>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44,822</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50,361</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9,593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4,462</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3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2,808</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3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63,169</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18,350</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13,405</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9,440</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10,552</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3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28,053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24,454</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2,161</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3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40,627</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38,330</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shares</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March 31, 2024 and 2023; no shares issued and outstanding at</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2024 and 2023</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w:t>
            </w:r>
          </w:p>
        </w:tc>
        <w:tc>
          <w:tcPr>
            <w:tcW w:w="2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March 31, 2024 and 2023; shares issued: 42,038,967 and</w:t>
            </w:r>
          </w:p>
        </w:tc>
        <w:tc>
          <w:tcPr>
            <w:tcW w:w="2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41,767,092 at March 31, 2024 and 2023; shares outstanding:</w:t>
            </w:r>
          </w:p>
        </w:tc>
        <w:tc>
          <w:tcPr>
            <w:tcW w:w="2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32,567,746 and 32,295,408 at March 31, 2024 and 2023</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161,869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160,907</w:t>
            </w: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9,471,221 and 9,471,684 common shares at</w:t>
            </w:r>
          </w:p>
        </w:tc>
        <w:tc>
          <w:tcPr>
            <w:tcW w:w="2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March 31, 2024 and 2023</w:t>
            </w:r>
          </w:p>
        </w:tc>
        <w:tc>
          <w:tcPr>
            <w:tcW w:w="2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(36,235 )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(36,237 )</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2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(103,092 )</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(91,421 )</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3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22,542</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33,249</w:t>
            </w:r>
          </w:p>
        </w:tc>
        <w:tc>
          <w:tcPr>
            <w:tcW w:w="0" w:type="dxa"/>
            <w:vAlign w:val="bottom"/>
          </w:tcPr>
          <w:p>
            <w:pPr>
              <w:spacing w:after="0"/>
              <w:rPr>
                <w:sz w:val="1"/>
                <w:szCs w:val="1"/>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63,169</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38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3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3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-5068570</wp:posOffset>
            </wp:positionV>
            <wp:extent cx="120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-4109085</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-3167380</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-1095375</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63,307</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57,210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27,274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20,173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32,494</w:t>
            </w:r>
          </w:p>
        </w:tc>
      </w:tr>
      <w:tr>
        <w:trPr>
          <w:trHeight w:val="240"/>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90,581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77,383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124,383</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44,466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42,979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65,249</w:t>
            </w: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25,204</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16,893</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25,222</w:t>
            </w:r>
          </w:p>
        </w:tc>
      </w:tr>
      <w:tr>
        <w:trPr>
          <w:trHeight w:val="23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69,670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59,872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90,471</w:t>
            </w:r>
          </w:p>
        </w:tc>
      </w:tr>
      <w:tr>
        <w:trPr>
          <w:trHeight w:val="240"/>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20,911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17,511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33,912</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16,740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19,487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11,680</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12,988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1,701</w:t>
            </w:r>
          </w:p>
        </w:tc>
      </w:tr>
      <w:tr>
        <w:trPr>
          <w:trHeight w:val="23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33,496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25,521</w:t>
            </w:r>
          </w:p>
        </w:tc>
      </w:tr>
      <w:tr>
        <w:trPr>
          <w:trHeight w:val="24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(15,985 )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8,391</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1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3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8,250</w:t>
            </w: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17,978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r>
      <w:tr>
        <w:trPr>
          <w:trHeight w:val="23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r>
      <w:tr>
        <w:trPr>
          <w:trHeight w:val="20"/>
        </w:trPr>
        <w:tc>
          <w:tcPr>
            <w:tcW w:w="5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 attributable to common shareholders</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31,703,712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31,018,356</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r>
      <w:tr>
        <w:trPr>
          <w:trHeight w:val="211"/>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31,703,712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31,294,573</w:t>
            </w:r>
          </w:p>
        </w:tc>
      </w:tr>
      <w:tr>
        <w:trPr>
          <w:trHeight w:val="661"/>
        </w:trPr>
        <w:tc>
          <w:tcPr>
            <w:tcW w:w="5300" w:type="dxa"/>
            <w:vAlign w:val="bottom"/>
          </w:tcPr>
          <w:p>
            <w:pPr>
              <w:spacing w:after="0"/>
              <w:rPr>
                <w:sz w:val="24"/>
                <w:szCs w:val="24"/>
                <w:color w:val="auto"/>
              </w:rPr>
            </w:pPr>
          </w:p>
        </w:tc>
        <w:tc>
          <w:tcPr>
            <w:tcW w:w="13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5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-4674235</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-4674235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-3424555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-3424555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-2165350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-2165350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-1849120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-1849120</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180" w:type="dxa"/>
            <w:vAlign w:val="bottom"/>
            <w:gridSpan w:val="2"/>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30,805,300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157,485</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(36,240 )</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(63,171 )</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58,074</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31,845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260,014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6,091</w:t>
            </w:r>
          </w:p>
        </w:tc>
        <w:tc>
          <w:tcPr>
            <w:tcW w:w="0" w:type="dxa"/>
            <w:vAlign w:val="bottom"/>
          </w:tcPr>
          <w:p>
            <w:pPr>
              <w:spacing w:after="0"/>
              <w:rPr>
                <w:sz w:val="1"/>
                <w:szCs w:val="1"/>
                <w:color w:val="auto"/>
              </w:rPr>
            </w:pPr>
          </w:p>
        </w:tc>
      </w:tr>
      <w:tr>
        <w:trPr>
          <w:trHeight w:val="24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31,097,872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(57,080 )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65,100</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620,067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stock and shares for services</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12,848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26,646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536,622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0" w:type="dxa"/>
            <w:vAlign w:val="bottom"/>
          </w:tcPr>
          <w:p>
            <w:pPr>
              <w:spacing w:after="0"/>
              <w:rPr>
                <w:sz w:val="1"/>
                <w:szCs w:val="1"/>
                <w:color w:val="auto"/>
              </w:rPr>
            </w:pPr>
          </w:p>
        </w:tc>
      </w:tr>
      <w:tr>
        <w:trPr>
          <w:trHeight w:val="24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32,295,408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(36,237 )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33,249</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and shares for services</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260,555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0" w:type="dxa"/>
            <w:vAlign w:val="bottom"/>
          </w:tcPr>
          <w:p>
            <w:pPr>
              <w:spacing w:after="0"/>
              <w:rPr>
                <w:sz w:val="1"/>
                <w:szCs w:val="1"/>
                <w:color w:val="auto"/>
              </w:rPr>
            </w:pPr>
          </w:p>
        </w:tc>
      </w:tr>
      <w:tr>
        <w:trPr>
          <w:trHeight w:val="27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32,567,746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161,869</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(36,235 )</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(103,092 )</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22,542</w:t>
            </w:r>
          </w:p>
        </w:tc>
        <w:tc>
          <w:tcPr>
            <w:tcW w:w="0" w:type="dxa"/>
            <w:vAlign w:val="bottom"/>
          </w:tcPr>
          <w:p>
            <w:pPr>
              <w:spacing w:after="0"/>
              <w:rPr>
                <w:sz w:val="1"/>
                <w:szCs w:val="1"/>
                <w:color w:val="auto"/>
              </w:rPr>
            </w:pPr>
          </w:p>
        </w:tc>
      </w:tr>
      <w:tr>
        <w:trPr>
          <w:trHeight w:val="630"/>
        </w:trPr>
        <w:tc>
          <w:tcPr>
            <w:tcW w:w="468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-932815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-915670</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-932815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-915670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-932815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-915670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-932815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-915670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8"/>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1,327</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813</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17,881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1,980</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credit losses/bad debts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4,407</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r>
      <w:tr>
        <w:trPr>
          <w:trHeight w:val="247"/>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4,990</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(8,125 )</w:t>
            </w:r>
          </w:p>
        </w:tc>
      </w:tr>
      <w:tr>
        <w:trPr>
          <w:trHeight w:val="238"/>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(6,933 )</w:t>
            </w:r>
          </w:p>
        </w:tc>
      </w:tr>
      <w:tr>
        <w:trPr>
          <w:trHeight w:val="243"/>
        </w:trPr>
        <w:tc>
          <w:tcPr>
            <w:tcW w:w="54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1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45"/>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to fund acquisitions, net of cash received</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(4,012 )</w:t>
            </w:r>
          </w:p>
        </w:tc>
      </w:tr>
      <w:tr>
        <w:trPr>
          <w:trHeight w:val="247"/>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investment</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r>
      <w:tr>
        <w:trPr>
          <w:trHeight w:val="247"/>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r>
      <w:tr>
        <w:trPr>
          <w:trHeight w:val="240"/>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(6,195 )</w:t>
            </w: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(4,918 )</w:t>
            </w:r>
          </w:p>
        </w:tc>
      </w:tr>
      <w:tr>
        <w:trPr>
          <w:trHeight w:val="24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5"/>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48"/>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issue costs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employee equity exercises</w:t>
            </w:r>
          </w:p>
        </w:tc>
        <w:tc>
          <w:tcPr>
            <w:tcW w:w="1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10,012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45"/>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(4,927 )</w:t>
            </w: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15,992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14,466</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19,393</w:t>
            </w:r>
          </w:p>
        </w:tc>
      </w:tr>
      <w:tr>
        <w:trPr>
          <w:trHeight w:val="27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5,155</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15,992</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14,466</w:t>
            </w:r>
          </w:p>
        </w:tc>
      </w:tr>
      <w:tr>
        <w:trPr>
          <w:trHeight w:val="225"/>
        </w:trPr>
        <w:tc>
          <w:tcPr>
            <w:tcW w:w="5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45"/>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4"/>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656"/>
        </w:trPr>
        <w:tc>
          <w:tcPr>
            <w:tcW w:w="5480" w:type="dxa"/>
            <w:vAlign w:val="bottom"/>
          </w:tcPr>
          <w:p>
            <w:pPr>
              <w:spacing w:after="0"/>
              <w:rPr>
                <w:sz w:val="24"/>
                <w:szCs w:val="24"/>
                <w:color w:val="auto"/>
              </w:rPr>
            </w:pPr>
          </w:p>
        </w:tc>
        <w:tc>
          <w:tcPr>
            <w:tcW w:w="11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62"/>
        </w:trPr>
        <w:tc>
          <w:tcPr>
            <w:tcW w:w="5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-4648835</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-4648835</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-2336800</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-2336800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-1703070</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-1685925</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-1703070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-1685925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099"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stations and related installation services to commercial and industrial businesses, and federal and local governments, predominantly in North America and Germany.</w:t>
      </w:r>
    </w:p>
    <w:p>
      <w:pPr>
        <w:spacing w:after="0" w:line="182"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 Lawrence, Massachusetts and Pewaukee, Wisconsin.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considers all highly liquid, short-term investments with original maturities of three months or less to be cash equivalents.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Orion’s financial instruments consist of cash and cash equivalents, accounts receivable, accounts payable, accrued expenses and other, revolving credit facility and long-term debt. In addition, other long-term assets includes an equity investment of $0.5 million that is carried at cost less impairment, of which there has been no impairment as of March 31, 2024.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carrying amounts of Orion’s financial instruments approximate their respective fair values due to the relatively short-term nature of these instruments. Long-term debt and revolving credit facility are classified as Level 2 in the fair value hierarchy because of the interest rates currently available to Orion for similar obligations.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 See Note 4 – Accounts Receivable for further discussion of the allowance for credit losses.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Orion records, as a charge to cost of product revenue, the amount required to reduce the carrying value of inventory to net realizable value.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Orion’s human capital management and compensation committee annually approves an executive annual cash incentive program. Based upon the results for the fiscal years ended March 31, 2024, 2023, and 2022, Orion accrued approximately $0.2 million, $0, and $0.1 million expense related to these programs,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8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The expected cost-plus margin approach is used to determine the estimated stand-alone selling price for the service performance obligation and is based on average historical installation margin.</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Orion manufactured or sourced lighting fixtures and components is classified as Product revenue in the Consolidated Statements of Operations. The revenue for these transactions is recorded at the point in time when management believes that the customer obtains control of the products,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2" w:name="page53"/>
    <w:bookmarkEnd w:id="52"/>
    <w:p>
      <w:pPr>
        <w:jc w:val="both"/>
        <w:spacing w:after="0" w:line="281" w:lineRule="auto"/>
        <w:rPr>
          <w:sz w:val="20"/>
          <w:szCs w:val="20"/>
          <w:color w:val="auto"/>
        </w:rPr>
      </w:pPr>
      <w:r>
        <w:rPr>
          <w:rFonts w:ascii="Times New Roman" w:cs="Times New Roman" w:eastAsia="Times New Roman" w:hAnsi="Times New Roman"/>
          <w:sz w:val="18"/>
          <w:szCs w:val="18"/>
          <w:color w:val="auto"/>
        </w:rPr>
        <w:t>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spacing w:after="0" w:line="177"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2" w:lineRule="exact"/>
        <w:rPr>
          <w:sz w:val="20"/>
          <w:szCs w:val="20"/>
          <w:color w:val="auto"/>
        </w:rPr>
      </w:pPr>
    </w:p>
    <w:p>
      <w:pPr>
        <w:jc w:val="both"/>
        <w:ind w:firstLine="8"/>
        <w:spacing w:after="0" w:line="253" w:lineRule="auto"/>
        <w:tabs>
          <w:tab w:leader="none" w:pos="2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9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116" w:lineRule="exact"/>
        <w:rPr>
          <w:rFonts w:ascii="Times New Roman" w:cs="Times New Roman" w:eastAsia="Times New Roman" w:hAnsi="Times New Roman"/>
          <w:sz w:val="18"/>
          <w:szCs w:val="18"/>
          <w:color w:val="auto"/>
        </w:rPr>
      </w:pPr>
    </w:p>
    <w:p>
      <w:pPr>
        <w:ind w:left="880" w:hanging="373"/>
        <w:spacing w:after="0" w:line="281"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Orion maintains on the products after they are shipped to, and received at, the customer’s facility;</w:t>
      </w:r>
    </w:p>
    <w:p>
      <w:pPr>
        <w:spacing w:after="0" w:line="54" w:lineRule="exact"/>
        <w:rPr>
          <w:rFonts w:ascii="Times New Roman" w:cs="Times New Roman" w:eastAsia="Times New Roman" w:hAnsi="Times New Roman"/>
          <w:sz w:val="18"/>
          <w:szCs w:val="18"/>
          <w:color w:val="auto"/>
        </w:rPr>
      </w:pPr>
    </w:p>
    <w:p>
      <w:pPr>
        <w:ind w:left="880" w:hanging="373"/>
        <w:spacing w:after="0" w:line="281"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Orion is required to maintain insurance on the lighting fixtures when they are in transit and after they are delivered to the customer’s facility;</w:t>
      </w:r>
    </w:p>
    <w:p>
      <w:pPr>
        <w:spacing w:after="0" w:line="5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116"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Orion receives payment from the customer for the light fixtures.</w:t>
      </w:r>
    </w:p>
    <w:p>
      <w:pPr>
        <w:spacing w:after="0" w:line="225"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7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3" w:name="page54"/>
    <w:bookmarkEnd w:id="53"/>
    <w:p>
      <w:pPr>
        <w:jc w:val="both"/>
        <w:ind w:firstLine="8"/>
        <w:spacing w:after="0" w:line="265" w:lineRule="auto"/>
        <w:tabs>
          <w:tab w:leader="none" w:pos="3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Orion EV segment and compliment Orion’s existing turnkey installation model.</w:t>
      </w:r>
    </w:p>
    <w:p>
      <w:pPr>
        <w:spacing w:after="0" w:line="17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7"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From time to time, the EV segment enters into bill and hold arrangements, whereby the Company sells EV charging stations and the charging stations are warehoused at a Company location for a specified period of time in accordance with directions received from the Company's customers. Even though the charging stations are held at a Company location, a sale is recognized at the point in time when the customer obtains control of the product. Control is transferred to the customer in a bill and hold arrangement when: customer acceptance specifications have been met, legal title has transferred, the customer has a present obligation to pay for the product and the risk and rewards of ownership have transferred to the customer. Additionally, all the following bill and hold criteria have been met in order for control to be transferred to the customer: the reason for the bill and hold arrangement is substantive -the customer has requested the product be warehoused, the product has been identified as separately belonging to the customer, the product is currently ready for physical transfer to the customer, and the Company does not have the ability to use the product or direct it to another customer.</w:t>
      </w:r>
    </w:p>
    <w:p>
      <w:pPr>
        <w:spacing w:after="0" w:line="189"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See Note 10 – Accrued Expenses and Other for a discussion of Orion’s accounting for the limited warranty it provides to customers for its products and services.</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expenses research and development costs as incurred. Amounts are included in the Consolidated Statement of Operations on the line item Research and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4" w:name="page55"/>
    <w:bookmarkEnd w:id="54"/>
    <w:p>
      <w:pPr>
        <w:jc w:val="both"/>
        <w:spacing w:after="0" w:line="281" w:lineRule="auto"/>
        <w:rPr>
          <w:sz w:val="20"/>
          <w:szCs w:val="20"/>
          <w:color w:val="auto"/>
        </w:rPr>
      </w:pPr>
      <w:r>
        <w:rPr>
          <w:rFonts w:ascii="Times New Roman" w:cs="Times New Roman" w:eastAsia="Times New Roman" w:hAnsi="Times New Roman"/>
          <w:sz w:val="18"/>
          <w:szCs w:val="18"/>
          <w:color w:val="auto"/>
        </w:rPr>
        <w:t>carryforwards. A valuation allowance is established when management determines that it is more likely than not that all or a portion of a deferred tax asset will not be realized. For the fiscal year ended March 31, 2024 and 2023, Orion recognized a valuation allowance for all of its net deferred tax assets.</w:t>
      </w:r>
    </w:p>
    <w:p>
      <w:pPr>
        <w:spacing w:after="0" w:line="16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Orion’s share-based payments to employees are measured at fair value and are recognized against earnings, on a straight-line basis over the requisite service period.</w:t>
      </w:r>
    </w:p>
    <w:p>
      <w:pPr>
        <w:spacing w:after="0" w:line="163"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16 – Stock Options and Restricted Shares, Orion currently awards non-vested restricted stock (and in some cases, in conjunction with associated cash award accounted for as a liability) to employees, executive officers and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 related costs includes legal fees, consulting and success fees, and other integration related costs.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Orion’s cash is primarily deposited with one financial institution.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lamps and LED components, from multiple suppliers. For fiscal 2024, 2023 and 2022, no supplier accounted for more than 10% of total cost of revenue.</w:t>
      </w:r>
    </w:p>
    <w:p>
      <w:pPr>
        <w:spacing w:after="0" w:line="163"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In fiscal 2024, one customer accounted for 25.2% of revenue. In fiscal 2023, one customer accounted for 16.2% of total revenue. In fiscal 2022, one customer accounted for 49.1% of total revenue. The revenue from this customer is recorded in Orion's Lighting and Maintenance segments.</w:t>
      </w:r>
    </w:p>
    <w:p>
      <w:pPr>
        <w:spacing w:after="0" w:line="163"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As of March 31, 2024, two customers accounted for 17.3% and 11.7% of accounts receivable. As of March 31, 2023, one customer accounted for 10.8 % of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Continued Listing Standards of the Nasdaq Capital Market (“Nasdaq”)</w:t>
      </w:r>
    </w:p>
    <w:p>
      <w:pPr>
        <w:spacing w:after="0" w:line="229"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On December 21, 2023, Orion received a deficiency notice from Nasdaq that Orion was not in compliance with Rule 5450(a)(1) of the listing requirements (the “Minimum Bid Price Requirement”) because the per share closing bid price had been below $1.00 for thirty consecutive business days. On January 26, 2024, Orion received notice from Nasdaq Capital Market that Orion had regained compliance with Nasdaq's Minimum Bid Price Requirement.</w:t>
      </w:r>
    </w:p>
    <w:p>
      <w:pPr>
        <w:spacing w:after="0" w:line="182"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On April 5, 2024, Orion Energy Systems, Inc. (the “Company”) received written notice (the “Notification Letter”) from the Listing Qualifications Department of The NASDAQ Stock Market LLC (“Nasdaq”) notifying the Company that it is not in compliance with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minimum bid price requirements set forth in Nasdaq Listing Rule 5550(a)(2) (the “Bid Price Rule”) for continued listing on The Nasdaq Capital Market. The Bid Price Rule requires listed securities to maintain a minimum bid price of $1.00 per share, and Listing Rule 5810(c)(3)(A) provides that a failure to meet the minimum bid price requirement exists if the deficiency continues for a period of 30 consecutive business days. Based on the closing bid price of the Company’s common stock for the 30 consecutive business days prior to the date of the Notification Letter, the Company no longer meets the Bid Price Rule.</w:t>
      </w:r>
    </w:p>
    <w:p>
      <w:pPr>
        <w:spacing w:after="0" w:line="182"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Notification Letter does not impact the Company’s current listing on The Nasdaq Capital Market at this time, and shares of the Company’s common stock will continue to trade on the Nasdaq Capital Market under the symbol “OESX”. The Notification Letter states that the Company has 180 calendar days, or until October 2, 2024, to regain compliance with the Bid Price Rule. To regain compliance, the Company’s common stock must have a closing bid price of at least $1.00 per share for a minimum of 10 consecutive business days. If the Company does not regain compliance by October 2, 2024, an additional 180 days may be granted to regain compliance, so long as the Company meets The Nasdaq Capital Market initial listing criteria (except for the Bid Price Rule) and notifies Nasdaq in writing of its intention to cure the deficiency during the second compliance period, including the implementation of a reverse stock split, if necessary. If the Company does not qualify for the second compliance period or fails to regain compliance during the second 180-day period, then Nasdaq will notify the Company of its determination to delist the Company’s common stock, at which point the Company would have an opportunity to appeal the delisting determination to a hearings panel.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Orion considers the applicability and impact of all ASUs.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2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were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adopted ASU 2016-13 effective April 1, 2023. The effect of adoption was immaterial.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336"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Orion is currently evaluating the impact that this guidance will have on the presentation of its consolidated financial statements and accompanying notes.</w:t>
      </w:r>
    </w:p>
    <w:p>
      <w:pPr>
        <w:spacing w:after="0" w:line="297" w:lineRule="exact"/>
        <w:rPr>
          <w:sz w:val="20"/>
          <w:szCs w:val="20"/>
          <w:color w:val="auto"/>
        </w:rPr>
      </w:pPr>
    </w:p>
    <w:p>
      <w:pPr>
        <w:ind w:right="520" w:firstLine="494"/>
        <w:spacing w:after="0" w:line="28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6" w:name="page57"/>
    <w:bookmarkEnd w:id="56"/>
    <w:p>
      <w:pPr>
        <w:ind w:right="160"/>
        <w:spacing w:after="0" w:line="281" w:lineRule="auto"/>
        <w:rPr>
          <w:sz w:val="20"/>
          <w:szCs w:val="20"/>
          <w:color w:val="auto"/>
        </w:rPr>
      </w:pPr>
      <w:r>
        <w:rPr>
          <w:rFonts w:ascii="Times New Roman" w:cs="Times New Roman" w:eastAsia="Times New Roman" w:hAnsi="Times New Roman"/>
          <w:sz w:val="18"/>
          <w:szCs w:val="18"/>
          <w:color w:val="auto"/>
        </w:rPr>
        <w:t>and foreign jurisdictions. The update will be effective for annual periods beginning after December 15, 2025. Orion is currently evaluating the impact that this guidance will have on the presentation of its consolidated financial statements and accompanying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 Summary of Significant Accounting Policies for a discussion of Orion’s accounting policies related to revenue recognition.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Fulfillment Costs</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5 – Inventories. Costs associated with installation sales are expensed as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the federal government, and (b) commercial or industrial companies.</w:t>
      </w:r>
    </w:p>
    <w:p>
      <w:pPr>
        <w:spacing w:after="0" w:line="22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Lighting and EV Segments.</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Footnote 17 - Segment Data, for additional discussion concerning Orion’s reportable segments.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 of Orion’s total revenues for the year ended March 31, 2024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7"/>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7"/>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March 31, 2023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March 31, 2022</w:t>
            </w:r>
          </w:p>
        </w:tc>
      </w:tr>
      <w:tr>
        <w:trPr>
          <w:trHeight w:val="169"/>
        </w:trPr>
        <w:tc>
          <w:tcPr>
            <w:tcW w:w="394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Lighting product and installation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117,069</w:t>
            </w:r>
          </w:p>
        </w:tc>
        <w:tc>
          <w:tcPr>
            <w:tcW w:w="100" w:type="dxa"/>
            <w:vAlign w:val="bottom"/>
          </w:tcPr>
          <w:p>
            <w:pPr>
              <w:spacing w:after="0"/>
              <w:rPr>
                <w:sz w:val="15"/>
                <w:szCs w:val="15"/>
                <w:color w:val="auto"/>
              </w:rPr>
            </w:pPr>
          </w:p>
        </w:tc>
      </w:tr>
      <w:tr>
        <w:trPr>
          <w:trHeight w:val="17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Maintenance services</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17,147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11,289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shd w:val="clear" w:color="auto" w:fill="CFF0FC"/>
          </w:tcPr>
          <w:p>
            <w:pPr>
              <w:spacing w:after="0"/>
              <w:rPr>
                <w:sz w:val="15"/>
                <w:szCs w:val="15"/>
                <w:color w:val="auto"/>
              </w:rPr>
            </w:pPr>
          </w:p>
        </w:tc>
      </w:tr>
      <w:tr>
        <w:trPr>
          <w:trHeight w:val="17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Electric vehicle charging</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Solar energy-related revenues</w:t>
            </w:r>
          </w:p>
        </w:tc>
        <w:tc>
          <w:tcPr>
            <w:tcW w:w="1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63,245</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90,519</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74,418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90,442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122,936</w:t>
            </w:r>
          </w:p>
        </w:tc>
        <w:tc>
          <w:tcPr>
            <w:tcW w:w="100" w:type="dxa"/>
            <w:vAlign w:val="bottom"/>
          </w:tcPr>
          <w:p>
            <w:pPr>
              <w:spacing w:after="0"/>
              <w:rPr>
                <w:sz w:val="14"/>
                <w:szCs w:val="14"/>
                <w:color w:val="auto"/>
              </w:rPr>
            </w:pPr>
          </w:p>
        </w:tc>
      </w:tr>
      <w:tr>
        <w:trPr>
          <w:trHeight w:val="169"/>
        </w:trPr>
        <w:tc>
          <w:tcPr>
            <w:tcW w:w="394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Revenue accounted for under other guidance </w:t>
            </w:r>
            <w:r>
              <w:rPr>
                <w:rFonts w:ascii="Times New Roman" w:cs="Times New Roman" w:eastAsia="Times New Roman" w:hAnsi="Times New Roman"/>
                <w:sz w:val="19"/>
                <w:szCs w:val="19"/>
                <w:color w:val="auto"/>
                <w:vertAlign w:val="superscript"/>
              </w:rPr>
              <w:t>(1)</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124,383</w:t>
            </w:r>
          </w:p>
        </w:tc>
        <w:tc>
          <w:tcPr>
            <w:tcW w:w="100" w:type="dxa"/>
            <w:vAlign w:val="bottom"/>
          </w:tcPr>
          <w:p>
            <w:pPr>
              <w:spacing w:after="0"/>
              <w:rPr>
                <w:sz w:val="14"/>
                <w:szCs w:val="14"/>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-384810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-384810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-384810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-384810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-384810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-384810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-384810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-384810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-144780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-144780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-144780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-144780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-144780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-144780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-144780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-144780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left="500" w:hanging="492"/>
        <w:spacing w:after="0" w:line="256" w:lineRule="auto"/>
        <w:tabs>
          <w:tab w:leader="none" w:pos="5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accounted for under other guidance is recognized as Product revenue in the consolidated statements of operations and includes $0, $2.8 million, and $1.2 million derived from sales-type leases for light figures for the fiscal years ended March 31, 2024, 2023, and 2022, respectively; $0.1 million, $0.1 million, and $0.2 million derived from the sale of tax credits generated from Orion’s legacy operation for distributing solar energy for the fiscal years ended March 31, 2024, 2023, and 2022, respectively; and $0.1 million derived from the amortization of federal grants received in 2010 and 2011 as reimbursement for a portion of the costs to construct the legacy solar facilities for the fiscal years ended March 31, 2024, 2023, and 2022.</w:t>
      </w:r>
    </w:p>
    <w:p>
      <w:pPr>
        <w:spacing w:after="0" w:line="78" w:lineRule="exact"/>
        <w:rPr>
          <w:sz w:val="20"/>
          <w:szCs w:val="20"/>
          <w:color w:val="auto"/>
        </w:rPr>
      </w:pPr>
    </w:p>
    <w:p>
      <w:pPr>
        <w:ind w:firstLine="494"/>
        <w:spacing w:after="0" w:line="281" w:lineRule="auto"/>
        <w:rPr>
          <w:sz w:val="20"/>
          <w:szCs w:val="20"/>
          <w:color w:val="auto"/>
        </w:rPr>
      </w:pPr>
      <w:r>
        <w:rPr>
          <w:rFonts w:ascii="Times New Roman" w:cs="Times New Roman" w:eastAsia="Times New Roman" w:hAnsi="Times New Roman"/>
          <w:sz w:val="18"/>
          <w:szCs w:val="18"/>
          <w:color w:val="auto"/>
        </w:rPr>
        <w:t>As of March 31, 2024 $0.8 million of bill and hold revenue had not shipped. No bill-and-hold revenue was recognized during the years ended March 31, 2023 or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Cash Flow Considerations</w:t>
      </w:r>
    </w:p>
    <w:p>
      <w:pPr>
        <w:spacing w:after="0" w:line="119"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Material only orders are short-term in nature generally having terms of significantly less than one year. We record revenue from these contracts when the customer obtains control of those goods, which is generally consistent with the payment due date. There is not a significant impact on the nature, amount, timing, and uncertainty of revenue or cash flows based on when control transfers.</w:t>
      </w:r>
    </w:p>
    <w:p>
      <w:pPr>
        <w:spacing w:after="0" w:line="177"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Turnkey projects and repair services provided to commercial or industrial companies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77"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6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87"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March 31, 2024 are included in Accounts receivable, net in Orion’s Consolidated Balance Sheets. The remaining amounts due that are associated with these transactions are included in Long-term accounts receivable in Orion’s Consolidated Balance Sheets. As of March 31, 2024 and 2023, there were no such transactions included in Long-term accounts receivable.</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customer’s monthly payment obligation commences after completion of the turnkey project. Orion generally sells the receivable from the customer to a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twelve months ended March 31, 2024, 2023, and 2022 was $0, $6.3 million and $2.8 million, respectively. Orion’s losses on these sales aggregated to $0, $0.1 million and $13 thousand for the fiscal years ended March 31, 2024, 2023, and 2022, respectively, and are included in Interest expense in the Consolidated Statements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58" w:name="page59"/>
    <w:bookmarkEnd w:id="58"/>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63"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contracts for turnkey installations and repairs / replacement services. Once Orion has an unconditional right to consideration under these contracts, Orion typically bills the customer accordingly and reclassifies the amount to Accounts receivable, net. The change in contract assets is due to higher fiscal 2024 revenue and timing of project completions and invoicing.</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Deferred revenue, current as of March 31, 2024, includes $0.3 million of contract liabilities which represent consideration received from customers on which installation has not yet begun or is partially complete and Orion has not fulfilled its contractual obligations. The amount of revenues recognized in the period that were included in the opening deferred revenue balances were $0.5 million, $0, and $0 for the years ended March 31, 2024, 2023, and 2022 respectively. This revenue consists primarily of work performed on previous billings to customers. The difference between the opening and closing balances of Orion's deferred revenue primarily results from the timing of Orion's billings in relation to the performance of work.</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March 31, 2023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14,022</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13,728</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1,320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00" w:lineRule="exact"/>
        <w:rPr>
          <w:sz w:val="20"/>
          <w:szCs w:val="20"/>
          <w:color w:val="auto"/>
        </w:rPr>
      </w:pPr>
    </w:p>
    <w:p>
      <w:pPr>
        <w:spacing w:after="0" w:line="213" w:lineRule="exact"/>
        <w:rPr>
          <w:sz w:val="20"/>
          <w:szCs w:val="20"/>
          <w:color w:val="auto"/>
        </w:rPr>
      </w:pPr>
    </w:p>
    <w:p>
      <w:pPr>
        <w:ind w:left="500" w:hanging="492"/>
        <w:spacing w:after="0" w:line="265"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credit losses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credit losses balances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14,094</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13,814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14,022</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allowance for credit losses were as follows (dollars in thousands):</w:t>
      </w: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w:t>
            </w:r>
          </w:p>
        </w:tc>
        <w:tc>
          <w:tcPr>
            <w:tcW w:w="920" w:type="dxa"/>
            <w:vAlign w:val="bottom"/>
          </w:tcPr>
          <w:p>
            <w:pPr>
              <w:spacing w:after="0"/>
              <w:rPr>
                <w:sz w:val="20"/>
                <w:szCs w:val="20"/>
                <w:color w:val="auto"/>
              </w:rPr>
            </w:pPr>
          </w:p>
        </w:tc>
        <w:tc>
          <w:tcPr>
            <w:tcW w:w="7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8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loss/bad debt expense</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(170 )</w:t>
            </w:r>
          </w:p>
        </w:tc>
        <w:tc>
          <w:tcPr>
            <w:tcW w:w="3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7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(86 )</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794"/>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82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As of March 31, 2024 and 2023, Orion's inventory balances were as follows (dollars in thousands):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9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9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10,760</w:t>
            </w:r>
          </w:p>
        </w:tc>
        <w:tc>
          <w:tcPr>
            <w:tcW w:w="100" w:type="dxa"/>
            <w:vAlign w:val="bottom"/>
            <w:tcBorders>
              <w:bottom w:val="single" w:sz="8" w:color="auto"/>
            </w:tcBorders>
          </w:tcPr>
          <w:p>
            <w:pPr>
              <w:spacing w:after="0"/>
              <w:rPr>
                <w:sz w:val="20"/>
                <w:szCs w:val="20"/>
                <w:color w:val="auto"/>
              </w:rPr>
            </w:pPr>
          </w:p>
        </w:tc>
      </w:tr>
      <w:tr>
        <w:trPr>
          <w:trHeight w:val="276"/>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18,246</w:t>
            </w:r>
          </w:p>
        </w:tc>
        <w:tc>
          <w:tcPr>
            <w:tcW w:w="100" w:type="dxa"/>
            <w:vAlign w:val="bottom"/>
            <w:shd w:val="clear" w:color="auto" w:fill="CFF0FC"/>
          </w:tcPr>
          <w:p>
            <w:pPr>
              <w:spacing w:after="0"/>
              <w:rPr>
                <w:sz w:val="24"/>
                <w:szCs w:val="24"/>
                <w:color w:val="auto"/>
              </w:rPr>
            </w:pPr>
          </w:p>
        </w:tc>
      </w:tr>
      <w:tr>
        <w:trPr>
          <w:trHeight w:val="223"/>
        </w:trPr>
        <w:tc>
          <w:tcPr>
            <w:tcW w:w="6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As of March 31, 2023</w:t>
            </w:r>
          </w:p>
        </w:tc>
        <w:tc>
          <w:tcPr>
            <w:tcW w:w="920" w:type="dxa"/>
            <w:vAlign w:val="bottom"/>
            <w:tcBorders>
              <w:top w:val="single" w:sz="8" w:color="CFF0FC"/>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9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Finished goods</w:t>
            </w:r>
          </w:p>
        </w:tc>
        <w:tc>
          <w:tcPr>
            <w:tcW w:w="9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Borders>
              <w:bottom w:val="single" w:sz="8" w:color="auto"/>
            </w:tcBorders>
            <w:shd w:val="clear" w:color="auto" w:fill="CFF0FC"/>
          </w:tcPr>
          <w:p>
            <w:pPr>
              <w:spacing w:after="0"/>
              <w:rPr>
                <w:sz w:val="21"/>
                <w:szCs w:val="21"/>
                <w:color w:val="auto"/>
              </w:rPr>
            </w:pPr>
          </w:p>
        </w:tc>
      </w:tr>
      <w:tr>
        <w:trPr>
          <w:trHeight w:val="236"/>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18,205</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-2628265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-2611120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-2628265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-2611120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-2628265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Costs associated with the procurement and warehousing of inventories, such as inbound freight charges and purchasing and receiving costs, are also included in cost of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31" w:lineRule="exact"/>
        <w:rPr>
          <w:sz w:val="20"/>
          <w:szCs w:val="20"/>
          <w:color w:val="auto"/>
        </w:rPr>
      </w:pPr>
    </w:p>
    <w:p>
      <w:pPr>
        <w:jc w:val="both"/>
        <w:ind w:right="20" w:firstLine="499"/>
        <w:spacing w:after="0" w:line="260" w:lineRule="auto"/>
        <w:rPr>
          <w:sz w:val="20"/>
          <w:szCs w:val="20"/>
          <w:color w:val="auto"/>
        </w:rPr>
      </w:pPr>
      <w:r>
        <w:rPr>
          <w:rFonts w:ascii="Times New Roman" w:cs="Times New Roman" w:eastAsia="Times New Roman" w:hAnsi="Times New Roman"/>
          <w:sz w:val="18"/>
          <w:szCs w:val="18"/>
          <w:color w:val="auto"/>
        </w:rPr>
        <w:t>Prepaid expenses consists primarily of prepaid insurance premiums, debt issue costs, prepaid subscription fees and sales tax receivable. Prepaid expenses totaled $1.3 million and $1.0 million as of March 31, 2024 and March 31, 2023, respectively.</w:t>
      </w:r>
    </w:p>
    <w:p>
      <w:pPr>
        <w:spacing w:after="0" w:line="180"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Other current assets as of March 31, 2024 and March 31, 2023 consists primarily of $1.6 million and $32 thousand, respectively, of prepaid software and services.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121"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69"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9,491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7,941</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7,782</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equipment</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11,142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11,234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40"/>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35,516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35,234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(25,923 )</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(24,764 )</w:t>
            </w: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9,593</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Depreciation is recognized over the estimated useful lives of the respective assets, using the straight-line method. Orion recorded depreciation expense of $1.4 million, $1.4 million and $1.3 million for the years ended March 31, 2024, 2023 and 2022, respectively.</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Depreciable lives by asset category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10-15 years</w:t>
            </w:r>
          </w:p>
        </w:tc>
      </w:tr>
      <w:tr>
        <w:trPr>
          <w:trHeight w:val="23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10-39 years</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2-10 years</w:t>
            </w:r>
          </w:p>
        </w:tc>
      </w:tr>
      <w:tr>
        <w:trPr>
          <w:trHeight w:val="23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Shorter of asset life or life of lease</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leased to customers under Power Purchase Agreements</w:t>
            </w:r>
          </w:p>
        </w:tc>
        <w:tc>
          <w:tcPr>
            <w:tcW w:w="3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 years</w:t>
            </w:r>
          </w:p>
        </w:tc>
      </w:tr>
      <w:tr>
        <w:trPr>
          <w:trHeight w:val="23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equipment</w:t>
            </w:r>
          </w:p>
        </w:tc>
        <w:tc>
          <w:tcPr>
            <w:tcW w:w="3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 years</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5-7 years</w:t>
            </w:r>
          </w:p>
        </w:tc>
      </w:tr>
      <w:tr>
        <w:trPr>
          <w:trHeight w:val="459"/>
        </w:trPr>
        <w:tc>
          <w:tcPr>
            <w:tcW w:w="7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 interest was capitalized for construction in progress during fiscal 2024 or fiscal 2023.</w:t>
            </w:r>
          </w:p>
        </w:tc>
        <w:tc>
          <w:tcPr>
            <w:tcW w:w="3840" w:type="dxa"/>
            <w:vAlign w:val="bottom"/>
          </w:tcPr>
          <w:p>
            <w:pPr>
              <w:spacing w:after="0"/>
              <w:rPr>
                <w:sz w:val="24"/>
                <w:szCs w:val="24"/>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75"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 Leases are accounted for, and reported upon, following the requirements of ASC 842, Leases.</w:t>
      </w:r>
    </w:p>
    <w:p>
      <w:pPr>
        <w:spacing w:after="0" w:line="109"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judgment are the lease term when the agreement includes renewal or termination options and the interest rate used when initially determining the ROU asset and lease liability.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1" w:name="page62"/>
    <w:bookmarkEnd w:id="61"/>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35" w:lineRule="exact"/>
        <w:rPr>
          <w:sz w:val="20"/>
          <w:szCs w:val="20"/>
          <w:color w:val="auto"/>
        </w:rPr>
      </w:pPr>
    </w:p>
    <w:p>
      <w:pPr>
        <w:jc w:val="both"/>
        <w:ind w:right="20" w:firstLine="464"/>
        <w:spacing w:after="0" w:line="281" w:lineRule="auto"/>
        <w:rPr>
          <w:sz w:val="20"/>
          <w:szCs w:val="20"/>
          <w:color w:val="auto"/>
        </w:rPr>
      </w:pPr>
      <w:r>
        <w:rPr>
          <w:rFonts w:ascii="Times New Roman" w:cs="Times New Roman" w:eastAsia="Times New Roman" w:hAnsi="Times New Roman"/>
          <w:sz w:val="18"/>
          <w:szCs w:val="18"/>
          <w:color w:val="auto"/>
        </w:rPr>
        <w:t>Orion recognizes lease expense for leases with an initial term of 12 months or less, referred to as short term leases, on a straight-line basis over the lease term.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from Other Parties</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On January 31, 2020, Orion entered into the current lease for its primary manufacturing and distribution facility in Manitowoc, WI. The lease has a 10-year term, with the option to terminate after six years. The lease also has an option to renew for two additional successive periods of five years each. The renewal option is not in the calculation of the right of use asset or liability as the company has considered the termination option in the calculation. Orion is responsible for the costs of insurance and utilities for the facility. These costs are considered variable lease costs. The agreement is classified as an operating lease.</w:t>
      </w:r>
    </w:p>
    <w:p>
      <w:pPr>
        <w:spacing w:after="0" w:line="128"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In February 2014, Orion entered into a multi-year lease agreement for use of office space in a multi-use office building in Jacksonville, Florida. The lease has since been extended, most recently during the first quarter of fiscal 2024, and presently terminates on June 30, 2026. The agreement is classified as an operating lease.</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lease office space in Lawrence, Massachusetts. The lease presently terminates in October, 2026. The agreement is classified as an operating lease.</w:t>
      </w:r>
    </w:p>
    <w:p>
      <w:pPr>
        <w:spacing w:after="0" w:line="182"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We also lease office space in Pewaukee, Wisconsin. The lease has an option to renew one additional period of five years. The lease presently terminates in December, 2026. The renewal option is not in the calculation of the right of use asset or liability as the company is not reasonably certain to exercise the option. The agreement is classified as an operating lease.</w:t>
      </w:r>
    </w:p>
    <w:p>
      <w:pPr>
        <w:spacing w:after="0" w:line="123"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Orion has leased other assets from third parties, principally office and production equipment. The terms of our other leases vary from contract to contract and expire at various dates in the next five years.</w:t>
      </w:r>
    </w:p>
    <w:p>
      <w:pPr>
        <w:spacing w:after="0" w:line="109"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8"/>
          <w:szCs w:val="18"/>
          <w:color w:val="auto"/>
        </w:rPr>
        <w:t>The weighted average discount rate for Orion’s lease obligations as of March 31, 2024 and 2023 is 5.3% and 5.4%, respectively. The weighted average remaining lease term as of March 31, 2024 and 2023 is 2.1 years and 3.0 years, respectively.</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2,174</w:t>
            </w: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3480" w:type="dxa"/>
            <w:vAlign w:val="bottom"/>
            <w:shd w:val="clear" w:color="auto" w:fill="CFF0FC"/>
          </w:tcPr>
          <w:p>
            <w:pPr>
              <w:jc w:val="center"/>
              <w:ind w:right="115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823</w:t>
            </w: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3480" w:type="dxa"/>
            <w:vAlign w:val="bottom"/>
            <w:tcBorders>
              <w:bottom w:val="single" w:sz="8" w:color="CFF0FC"/>
            </w:tcBorders>
            <w:shd w:val="clear" w:color="auto" w:fill="CFF0FC"/>
          </w:tcPr>
          <w:p>
            <w:pPr>
              <w:jc w:val="center"/>
              <w:ind w:right="115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34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1,826</w:t>
            </w:r>
          </w:p>
        </w:tc>
      </w:tr>
      <w:tr>
        <w:trPr>
          <w:trHeight w:val="232"/>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Total lease liabilities</w:t>
            </w:r>
          </w:p>
        </w:tc>
        <w:tc>
          <w:tcPr>
            <w:tcW w:w="34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2,111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2,649</w:t>
            </w:r>
          </w:p>
        </w:tc>
      </w:tr>
      <w:tr>
        <w:trPr>
          <w:trHeight w:val="20"/>
        </w:trPr>
        <w:tc>
          <w:tcPr>
            <w:tcW w:w="3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-187960</wp:posOffset>
            </wp:positionV>
            <wp:extent cx="1282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77" w:lineRule="exact"/>
        <w:rPr>
          <w:sz w:val="20"/>
          <w:szCs w:val="20"/>
          <w:color w:val="auto"/>
        </w:rPr>
      </w:pPr>
    </w:p>
    <w:p>
      <w:pPr>
        <w:jc w:val="both"/>
        <w:ind w:firstLine="469"/>
        <w:spacing w:after="0" w:line="281" w:lineRule="auto"/>
        <w:rPr>
          <w:sz w:val="20"/>
          <w:szCs w:val="20"/>
          <w:color w:val="auto"/>
        </w:rPr>
      </w:pPr>
      <w:r>
        <w:rPr>
          <w:rFonts w:ascii="Times New Roman" w:cs="Times New Roman" w:eastAsia="Times New Roman" w:hAnsi="Times New Roman"/>
          <w:sz w:val="18"/>
          <w:szCs w:val="18"/>
          <w:color w:val="auto"/>
        </w:rPr>
        <w:t>Orion had operating lease costs of $1.9 million for the year ended March 31, 2024. This includes short-term leases and variable lease costs, which are immaterial.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5"/>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next five years is shown below (dollars in thousands):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45"/>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240" w:type="dxa"/>
            <w:vAlign w:val="bottom"/>
          </w:tcPr>
          <w:p>
            <w:pPr>
              <w:spacing w:after="0"/>
              <w:rPr>
                <w:sz w:val="21"/>
                <w:szCs w:val="21"/>
                <w:color w:val="auto"/>
              </w:rPr>
            </w:pPr>
          </w:p>
        </w:tc>
        <w:tc>
          <w:tcPr>
            <w:tcW w:w="1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9"/>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1,083</w:t>
            </w: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4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w:t>
            </w: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4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4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2,244</w:t>
            </w:r>
          </w:p>
        </w:tc>
      </w:tr>
      <w:tr>
        <w:trPr>
          <w:trHeight w:val="236"/>
        </w:trPr>
        <w:tc>
          <w:tcPr>
            <w:tcW w:w="9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3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r>
      <w:tr>
        <w:trPr>
          <w:trHeight w:val="20"/>
        </w:trPr>
        <w:tc>
          <w:tcPr>
            <w:tcW w:w="9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28" w:lineRule="exact"/>
        <w:rPr>
          <w:sz w:val="20"/>
          <w:szCs w:val="20"/>
          <w:color w:val="auto"/>
        </w:rPr>
      </w:pPr>
    </w:p>
    <w:p>
      <w:pPr>
        <w:jc w:val="both"/>
        <w:ind w:firstLine="464"/>
        <w:spacing w:after="0" w:line="265" w:lineRule="auto"/>
        <w:rPr>
          <w:sz w:val="20"/>
          <w:szCs w:val="20"/>
          <w:color w:val="auto"/>
        </w:rPr>
      </w:pPr>
      <w:r>
        <w:rPr>
          <w:rFonts w:ascii="Times New Roman" w:cs="Times New Roman" w:eastAsia="Times New Roman" w:hAnsi="Times New Roman"/>
          <w:sz w:val="18"/>
          <w:szCs w:val="18"/>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23"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spacing w:after="0" w:line="128" w:lineRule="exact"/>
        <w:rPr>
          <w:sz w:val="20"/>
          <w:szCs w:val="20"/>
          <w:color w:val="auto"/>
        </w:rPr>
      </w:pPr>
    </w:p>
    <w:p>
      <w:pPr>
        <w:ind w:firstLine="469"/>
        <w:spacing w:after="0" w:line="281"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year ended March 31, 2024, 2023 and 2022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31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7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3140" w:type="dxa"/>
            <w:vAlign w:val="bottom"/>
            <w:shd w:val="clear" w:color="auto" w:fill="CFF0FC"/>
          </w:tcPr>
          <w:p>
            <w:pPr>
              <w:jc w:val="right"/>
              <w:ind w:right="14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2,818</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1,169</w:t>
            </w: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3140" w:type="dxa"/>
            <w:vAlign w:val="bottom"/>
          </w:tcPr>
          <w:p>
            <w:pPr>
              <w:spacing w:after="0"/>
              <w:rPr>
                <w:sz w:val="22"/>
                <w:szCs w:val="22"/>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2,771</w:t>
            </w:r>
          </w:p>
        </w:tc>
        <w:tc>
          <w:tcPr>
            <w:tcW w:w="440" w:type="dxa"/>
            <w:vAlign w:val="bottom"/>
          </w:tcPr>
          <w:p>
            <w:pPr>
              <w:spacing w:after="0"/>
              <w:rPr>
                <w:sz w:val="22"/>
                <w:szCs w:val="22"/>
                <w:color w:val="auto"/>
              </w:rPr>
            </w:pP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1,073</w:t>
            </w:r>
          </w:p>
        </w:tc>
      </w:tr>
    </w:tbl>
    <w:p>
      <w:pPr>
        <w:spacing w:after="0" w:line="211"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The Consolidated Balance Sheet as of March 31, 2024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Agreements where Orion is the Lessor</w:t>
      </w:r>
    </w:p>
    <w:p>
      <w:pPr>
        <w:spacing w:after="0" w:line="175" w:lineRule="exact"/>
        <w:rPr>
          <w:sz w:val="20"/>
          <w:szCs w:val="20"/>
          <w:color w:val="auto"/>
        </w:rPr>
      </w:pPr>
    </w:p>
    <w:p>
      <w:pPr>
        <w:jc w:val="both"/>
        <w:ind w:firstLine="469"/>
        <w:spacing w:after="0" w:line="260" w:lineRule="auto"/>
        <w:rPr>
          <w:sz w:val="20"/>
          <w:szCs w:val="20"/>
          <w:color w:val="auto"/>
        </w:rPr>
      </w:pPr>
      <w:r>
        <w:rPr>
          <w:rFonts w:ascii="Times New Roman" w:cs="Times New Roman" w:eastAsia="Times New Roman" w:hAnsi="Times New Roman"/>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2024, 2023 and 2022. Orion has accounted for these transactions as operating leases.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has $0.9 million of goodwill related to its purchase of Voltrek in the third quarter of fiscal 2023, which is assigned to the EV Charging operating segment.</w:t>
      </w:r>
    </w:p>
    <w:p>
      <w:pPr>
        <w:spacing w:after="0" w:line="55"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has $0.6 million of goodwill related to its purchase of Stay-Lite Lighting during fiscal year 2022, which is assigned to the Orion Maintenance operating segment.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3" w:name="page64"/>
    <w:bookmarkEnd w:id="63"/>
    <w:p>
      <w:pPr>
        <w:ind w:left="500"/>
        <w:spacing w:after="0"/>
        <w:rPr>
          <w:sz w:val="20"/>
          <w:szCs w:val="20"/>
          <w:color w:val="auto"/>
        </w:rPr>
      </w:pPr>
      <w:r>
        <w:rPr>
          <w:rFonts w:ascii="Times New Roman" w:cs="Times New Roman" w:eastAsia="Times New Roman" w:hAnsi="Times New Roman"/>
          <w:sz w:val="18"/>
          <w:szCs w:val="18"/>
          <w:color w:val="auto"/>
        </w:rPr>
        <w:t>See Note 18 – Acquisition for further discussion of the Stay-Lite Lighting and Voltrek acquisitions.</w:t>
      </w:r>
    </w:p>
    <w:p>
      <w:pPr>
        <w:spacing w:after="0" w:line="11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costs of specifically identifiable intangible assets that do not have an indefinite life are amortized over their estimated useful lives. Goodwill and intangible assets with indefinite lives are not amortized.</w:t>
      </w:r>
    </w:p>
    <w:p>
      <w:pPr>
        <w:spacing w:after="0" w:line="163"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Amortizable intangible assets are amortized over their estimated economic useful life to reflect the pattern of economic benefits consumed based upon the following lives and methods: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2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10-17 years</w:t>
            </w:r>
          </w:p>
        </w:tc>
        <w:tc>
          <w:tcPr>
            <w:tcW w:w="63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Straight-line</w:t>
            </w: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2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7-13 years</w:t>
            </w:r>
          </w:p>
        </w:tc>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Straight-line</w:t>
            </w:r>
          </w:p>
        </w:tc>
      </w:tr>
      <w:tr>
        <w:trPr>
          <w:trHeight w:val="215"/>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5-8 years</w:t>
            </w:r>
          </w:p>
        </w:tc>
        <w:tc>
          <w:tcPr>
            <w:tcW w:w="63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48"/>
        </w:trPr>
        <w:tc>
          <w:tcPr>
            <w:tcW w:w="2640" w:type="dxa"/>
            <w:vAlign w:val="bottom"/>
            <w:shd w:val="clear" w:color="auto" w:fill="CFF0FC"/>
          </w:tcPr>
          <w:p>
            <w:pPr>
              <w:spacing w:after="0"/>
              <w:rPr>
                <w:sz w:val="21"/>
                <w:szCs w:val="21"/>
                <w:color w:val="auto"/>
              </w:rPr>
            </w:pPr>
          </w:p>
        </w:tc>
        <w:tc>
          <w:tcPr>
            <w:tcW w:w="2280" w:type="dxa"/>
            <w:vAlign w:val="bottom"/>
            <w:shd w:val="clear" w:color="auto" w:fill="CFF0FC"/>
          </w:tcPr>
          <w:p>
            <w:pPr>
              <w:spacing w:after="0"/>
              <w:rPr>
                <w:sz w:val="21"/>
                <w:szCs w:val="21"/>
                <w:color w:val="auto"/>
              </w:rPr>
            </w:pPr>
          </w:p>
        </w:tc>
        <w:tc>
          <w:tcPr>
            <w:tcW w:w="63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consumed</w:t>
            </w:r>
          </w:p>
        </w:tc>
      </w:tr>
      <w:tr>
        <w:trPr>
          <w:trHeight w:val="211"/>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relationships</w:t>
            </w:r>
          </w:p>
        </w:tc>
        <w:tc>
          <w:tcPr>
            <w:tcW w:w="22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5-8 years</w:t>
            </w:r>
          </w:p>
        </w:tc>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41"/>
        </w:trPr>
        <w:tc>
          <w:tcPr>
            <w:tcW w:w="2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consumed</w:t>
            </w:r>
          </w:p>
        </w:tc>
      </w:tr>
      <w:tr>
        <w:trPr>
          <w:trHeight w:val="218"/>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8 years</w:t>
            </w:r>
          </w:p>
        </w:tc>
        <w:tc>
          <w:tcPr>
            <w:tcW w:w="63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48"/>
        </w:trPr>
        <w:tc>
          <w:tcPr>
            <w:tcW w:w="2640" w:type="dxa"/>
            <w:vAlign w:val="bottom"/>
            <w:shd w:val="clear" w:color="auto" w:fill="CFF0FC"/>
          </w:tcPr>
          <w:p>
            <w:pPr>
              <w:spacing w:after="0"/>
              <w:rPr>
                <w:sz w:val="21"/>
                <w:szCs w:val="21"/>
                <w:color w:val="auto"/>
              </w:rPr>
            </w:pPr>
          </w:p>
        </w:tc>
        <w:tc>
          <w:tcPr>
            <w:tcW w:w="2280" w:type="dxa"/>
            <w:vAlign w:val="bottom"/>
            <w:shd w:val="clear" w:color="auto" w:fill="CFF0FC"/>
          </w:tcPr>
          <w:p>
            <w:pPr>
              <w:spacing w:after="0"/>
              <w:rPr>
                <w:sz w:val="21"/>
                <w:szCs w:val="21"/>
                <w:color w:val="auto"/>
              </w:rPr>
            </w:pPr>
          </w:p>
        </w:tc>
        <w:tc>
          <w:tcPr>
            <w:tcW w:w="63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consumed</w:t>
            </w: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2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5-10 years</w:t>
            </w:r>
          </w:p>
        </w:tc>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Straight-line</w:t>
            </w:r>
          </w:p>
        </w:tc>
      </w:tr>
    </w:tbl>
    <w:p>
      <w:pPr>
        <w:spacing w:after="0" w:line="233"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82"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Indefinite lived intangible assets and goodwill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8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indefinite lived intangible assets as of January 1, 2024. This qualitative assessment considered Orion’s operating results for the first nine months of fiscal 2024 in comparison to prior years as well as its anticipated fourth quarter results and fiscal 2024 plan. Orion determined a triggering event existed with the acquired intangible assets from the Stay-Lite acquisition, which represents the asset group, within the Maintenance segment, resulting in the need for a quantitative assessment on the definite-lived intangible assets. The Company recognized non-cash intangible impairment losses of $0.5 million in G&amp;A in fiscal 2024 related to the acquired Stay-Lite trade name and customer list within the Maintenance segment. We utilized the relief from royalty method and multi-period excess earnings method under the income approach to estimate fair value. The impairment charges are due to sustained expectations of declining revenue growth in future years and decreased margin expectations related to those acquired assets. After these impairments, the aggregate carrying amount of these intangible assets was $0.</w:t>
      </w:r>
    </w:p>
    <w:p>
      <w:pPr>
        <w:spacing w:after="0" w:line="18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goodwill as of January 1, 2024. This qualitative assessment considered Orion segment's operating results for the first nine months of fiscal 2024 in comparison to prior years as well as its anticipated fourth quarter results and fiscal 2024 plan. As a result of the conditions that existed as of the assessment date, Orion determined a triggering event existed and a quantitative assessment was required for the goodwill within the Maintenance segment. We utilized the multi-period excess earnings method under the income approach to estimate fair value. The quantitative assessment determined the undiscounted future cash flows exceeded the carrying value of the assets, and as such impairment conditions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did not exist at the measurement date. No triggering event existed in the EV segment, and as such an asset impairment was not deemed to be more likely than not and a quantitative analysis was not required.</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Weighte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60" w:type="dxa"/>
            <w:vAlign w:val="bottom"/>
            <w:gridSpan w:val="2"/>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70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2,521</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2,521</w:t>
            </w:r>
          </w:p>
        </w:tc>
        <w:tc>
          <w:tcPr>
            <w:tcW w:w="36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(1,930 )</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spacing w:after="0"/>
              <w:rPr>
                <w:sz w:val="20"/>
                <w:szCs w:val="20"/>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0"/>
                <w:szCs w:val="20"/>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5,509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Vendor relationships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2,600</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11,379</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3,452</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12,052</w:t>
            </w:r>
          </w:p>
        </w:tc>
        <w:tc>
          <w:tcPr>
            <w:tcW w:w="36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(7,058 )</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gridSpan w:val="2"/>
          </w:tcPr>
          <w:p>
            <w:pPr>
              <w:spacing w:after="0"/>
              <w:rPr>
                <w:sz w:val="20"/>
                <w:szCs w:val="20"/>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gridSpan w:val="3"/>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12,389</w:t>
            </w:r>
          </w:p>
        </w:tc>
        <w:tc>
          <w:tcPr>
            <w:tcW w:w="1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(7,927 )</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4,462</w:t>
            </w:r>
          </w:p>
        </w:tc>
        <w:tc>
          <w:tcPr>
            <w:tcW w:w="1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gridSpan w:val="2"/>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13,062</w:t>
            </w:r>
          </w:p>
        </w:tc>
        <w:tc>
          <w:tcPr>
            <w:tcW w:w="100" w:type="dxa"/>
            <w:vAlign w:val="bottom"/>
            <w:tcBorders>
              <w:bottom w:val="single" w:sz="8" w:color="CFF0FC"/>
            </w:tcBorders>
            <w:gridSpan w:val="2"/>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(7,058 )</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Borders>
              <w:bottom w:val="single" w:sz="8" w:color="auto"/>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816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is shown below (dollars 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360" w:type="dxa"/>
            <w:vAlign w:val="bottom"/>
            <w:gridSpan w:val="3"/>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360" w:type="dxa"/>
            <w:vAlign w:val="bottom"/>
            <w:tcBorders>
              <w:top w:val="single" w:sz="8" w:color="CFF0FC"/>
            </w:tcBorders>
            <w:gridSpan w:val="6"/>
          </w:tcPr>
          <w:p>
            <w:pPr>
              <w:ind w:left="500"/>
              <w:spacing w:after="0"/>
              <w:rPr>
                <w:sz w:val="20"/>
                <w:szCs w:val="20"/>
                <w:color w:val="auto"/>
              </w:rPr>
            </w:pPr>
            <w:r>
              <w:rPr>
                <w:rFonts w:ascii="Times New Roman" w:cs="Times New Roman" w:eastAsia="Times New Roman" w:hAnsi="Times New Roman"/>
                <w:sz w:val="18"/>
                <w:szCs w:val="18"/>
                <w:color w:val="auto"/>
              </w:rPr>
              <w:t>Amortization expense is set forth in the following table (dollars in thousands):</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included in cost of sales:</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Amortization included in operating expenses:</w:t>
            </w:r>
          </w:p>
        </w:tc>
        <w:tc>
          <w:tcPr>
            <w:tcW w:w="12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7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-3663950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-3646805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-3663950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-3646805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-3663950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-3646805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-3663950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-3646805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-3663950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-3646805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-1129665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-1129665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2024, 2023, and 2022, write-offs were immaterial.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10 — ACCRUED EXPENSES AND OTHER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and March 31, 2023, Accrued expenses and other included the following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acquisition earn-out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2,598</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2,255</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1,412</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due to customers</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1,310</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project costs</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1,218</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497</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2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returns reserve</w:t>
            </w:r>
          </w:p>
        </w:tc>
        <w:tc>
          <w:tcPr>
            <w:tcW w:w="2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9,440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10,552</w:t>
            </w: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earn-out is related to recent acquisitions. Refer to discussion of acquisitions at Note 18 – Acquisitions.</w:t>
      </w:r>
    </w:p>
    <w:p>
      <w:pPr>
        <w:spacing w:after="0" w:line="225"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860</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9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434</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646</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860</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-187960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(LOSS) INCOME PER COMMON SHARE</w:t>
      </w:r>
    </w:p>
    <w:p>
      <w:pPr>
        <w:spacing w:after="0" w:line="121" w:lineRule="exact"/>
        <w:rPr>
          <w:sz w:val="20"/>
          <w:szCs w:val="20"/>
          <w:color w:val="auto"/>
        </w:rPr>
      </w:pPr>
    </w:p>
    <w:p>
      <w:pPr>
        <w:jc w:val="both"/>
        <w:ind w:firstLine="494"/>
        <w:spacing w:after="0" w:line="281"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attributable to common shareholders by the weighted-average number of common shares outstanding for the period and does not consider common stock equivalents.</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Diluted net (loss) income per common share reflects the dilution that would occur if stock options were exercised and restricted shares vested. In the computation of diluted net (loss) income per common share, Orion uses the treasury stock method for outstanding options and restricted shares. Net (loss) income per common share is calculated based upon the following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(34,341 )</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6,091</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31,703,712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31,018,356</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effect of assumed conversion of stock options and restricted stock</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276,217</w:t>
            </w: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31,703,712</w:t>
            </w: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31,294,573</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0.20</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0.19</w:t>
            </w:r>
          </w:p>
        </w:tc>
      </w:tr>
      <w:tr>
        <w:trPr>
          <w:trHeight w:val="647"/>
        </w:trPr>
        <w:tc>
          <w:tcPr>
            <w:tcW w:w="6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6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-1557655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-1557655</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6" w:name="page67"/>
    <w:bookmarkEnd w:id="66"/>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(loss) income per common share because their inclusion would have been anti-dilutive. The number of shares is as of the end of each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132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11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38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5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1,485,485</w:t>
            </w:r>
          </w:p>
        </w:tc>
        <w:tc>
          <w:tcPr>
            <w:tcW w:w="1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883,899</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17,803</w:t>
            </w:r>
          </w:p>
        </w:tc>
      </w:tr>
      <w:tr>
        <w:trPr>
          <w:trHeight w:val="27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1,485,485</w:t>
            </w:r>
          </w:p>
        </w:tc>
        <w:tc>
          <w:tcPr>
            <w:tcW w:w="1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883,899</w:t>
            </w: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17,803</w:t>
            </w:r>
          </w:p>
        </w:tc>
      </w:tr>
      <w:tr>
        <w:trPr>
          <w:trHeight w:val="565"/>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324"/>
        </w:trPr>
        <w:tc>
          <w:tcPr>
            <w:tcW w:w="8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Long-term debt as of March 31, 2024 and 2023 consisted of the following (dollars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8"/>
        </w:trPr>
        <w:tc>
          <w:tcPr>
            <w:tcW w:w="6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tcBorders>
              <w:bottom w:val="single" w:sz="8" w:color="auto"/>
            </w:tcBorders>
          </w:tcPr>
          <w:p>
            <w:pPr>
              <w:spacing w:after="0"/>
              <w:rPr>
                <w:sz w:val="24"/>
                <w:szCs w:val="24"/>
                <w:color w:val="auto"/>
              </w:rPr>
            </w:pPr>
          </w:p>
        </w:tc>
      </w:tr>
      <w:tr>
        <w:trPr>
          <w:trHeight w:val="169"/>
        </w:trPr>
        <w:tc>
          <w:tcPr>
            <w:tcW w:w="6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1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r>
      <w:tr>
        <w:trPr>
          <w:trHeight w:val="24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10,003</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10,020</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-1797685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-1780540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-1797685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-1780540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jc w:val="both"/>
        <w:ind w:right="20" w:firstLine="494"/>
        <w:spacing w:after="0" w:line="260" w:lineRule="auto"/>
        <w:rPr>
          <w:sz w:val="20"/>
          <w:szCs w:val="20"/>
          <w:color w:val="auto"/>
        </w:rPr>
      </w:pPr>
      <w:r>
        <w:rPr>
          <w:rFonts w:ascii="Times New Roman" w:cs="Times New Roman" w:eastAsia="Times New Roman" w:hAnsi="Times New Roman"/>
          <w:sz w:val="18"/>
          <w:szCs w:val="18"/>
          <w:color w:val="auto"/>
        </w:rPr>
        <w:t>On December 29, 2020, Orion entered into a Loan and Security Agreement with Bank of America, N.A., as lender (the “Credit Agreement”). The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2024, the borrowing base of the Credit Facility supports $20.1 million of availability, with $10.1 million remaining availability net of $10.0 million borrowed.</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Orion’s assets.</w:t>
      </w:r>
    </w:p>
    <w:p>
      <w:pPr>
        <w:spacing w:after="0" w:line="117"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spacing w:after="0" w:line="69" w:lineRule="exact"/>
        <w:rPr>
          <w:sz w:val="20"/>
          <w:szCs w:val="20"/>
          <w:color w:val="auto"/>
        </w:rPr>
      </w:pPr>
    </w:p>
    <w:p>
      <w:pPr>
        <w:jc w:val="both"/>
        <w:ind w:right="20" w:firstLine="494"/>
        <w:spacing w:after="0" w:line="281"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55"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7" w:name="page68"/>
    <w:bookmarkEnd w:id="67"/>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Effective November 4, 2022, Orion, with Bank of America, N.A. as lender, executed Amendment No. 1 to its Credit Agreement. The primary purpose of the amendment was to include the assets of the acquired subsidiaries, Stay-Lite Lighting and Voltrek, as secured collateral under the Credit Agreement and to document the conversion from LIBOR to SOFR based loans. Accordingly, eligible assets of Stay-Lite and Voltrek will be included in the borrowing 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Orion is in compliance with all debt covenants.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Debt Obligation</w:t>
      </w:r>
    </w:p>
    <w:p>
      <w:pPr>
        <w:spacing w:after="0" w:line="121"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In February 2019, Orion entered into additional debt agreements with a financing company in the principal amount of $44 thousand and $30 thousand fund certain equipment. The debts are secured by the related equipment. The debts bear interest at a rate of 6.43% and 8.77% respectively and both debts matured in January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Maturities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March 31, 2024, aggregate maturities of long-term debt were as follows (dollars in thousands):</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7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7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240" w:type="dxa"/>
            <w:vAlign w:val="bottom"/>
          </w:tcPr>
          <w:p>
            <w:pPr>
              <w:spacing w:after="0"/>
              <w:rPr>
                <w:sz w:val="20"/>
                <w:szCs w:val="20"/>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10,003</w:t>
            </w: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provision (benefit) for income taxes consists of the following for the fiscal years ended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17,881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1,980</w:t>
            </w:r>
          </w:p>
        </w:tc>
      </w:tr>
      <w:tr>
        <w:trPr>
          <w:trHeight w:val="27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17,978</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2,159</w:t>
            </w:r>
          </w:p>
        </w:tc>
      </w:tr>
      <w:tr>
        <w:trPr>
          <w:trHeight w:val="403"/>
        </w:trPr>
        <w:tc>
          <w:tcPr>
            <w:tcW w:w="3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Current</w:t>
            </w:r>
          </w:p>
        </w:tc>
        <w:tc>
          <w:tcPr>
            <w:tcW w:w="41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Deferred</w:t>
            </w:r>
          </w:p>
        </w:tc>
        <w:tc>
          <w:tcPr>
            <w:tcW w:w="3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14,557</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1,658</w:t>
            </w: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Federal</w:t>
            </w:r>
          </w:p>
        </w:tc>
        <w:tc>
          <w:tcPr>
            <w:tcW w:w="41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14,557</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1,658</w:t>
            </w:r>
          </w:p>
        </w:tc>
      </w:tr>
      <w:tr>
        <w:trPr>
          <w:trHeight w:val="23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State, Current</w:t>
            </w:r>
          </w:p>
        </w:tc>
        <w:tc>
          <w:tcPr>
            <w:tcW w:w="320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Deferred</w:t>
            </w:r>
          </w:p>
        </w:tc>
        <w:tc>
          <w:tcPr>
            <w:tcW w:w="3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3,324</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322</w:t>
            </w: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State</w:t>
            </w:r>
          </w:p>
        </w:tc>
        <w:tc>
          <w:tcPr>
            <w:tcW w:w="3200" w:type="dxa"/>
            <w:vAlign w:val="bottom"/>
          </w:tcPr>
          <w:p>
            <w:pPr>
              <w:spacing w:after="0"/>
              <w:rPr>
                <w:sz w:val="20"/>
                <w:szCs w:val="20"/>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3,421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r>
      <w:tr>
        <w:trPr>
          <w:trHeight w:val="27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17,978</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2,159</w:t>
            </w:r>
          </w:p>
        </w:tc>
      </w:tr>
      <w:tr>
        <w:trPr>
          <w:trHeight w:val="632"/>
        </w:trPr>
        <w:tc>
          <w:tcPr>
            <w:tcW w:w="342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762"/>
        </w:trPr>
        <w:tc>
          <w:tcPr>
            <w:tcW w:w="3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-2345690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-2328545</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-2345690</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-2328545</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-1574800</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-1574800</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-1257935</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-1257935</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-932815</wp:posOffset>
            </wp:positionV>
            <wp:extent cx="1111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-915670</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-932815</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-915670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effective income tax rate is as follows:</w:t>
      </w:r>
    </w:p>
    <w:p>
      <w:pPr>
        <w:spacing w:after="0" w:line="25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credits, net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tax credit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18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tax contingency reserve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cancellations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return to provision</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4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0.4 %</w:t>
            </w:r>
          </w:p>
        </w:tc>
        <w:tc>
          <w:tcPr>
            <w:tcW w:w="2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6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(109.9 )%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26.2 %</w:t>
            </w:r>
          </w:p>
        </w:tc>
      </w:tr>
      <w:tr>
        <w:trPr>
          <w:trHeight w:val="20"/>
        </w:trPr>
        <w:tc>
          <w:tcPr>
            <w:tcW w:w="6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deferred tax assets reported in the accompanying consolidated financial statements include the following components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accruals and reserves</w:t>
            </w:r>
          </w:p>
        </w:tc>
        <w:tc>
          <w:tcPr>
            <w:tcW w:w="9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deduction carry-forward</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9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20,515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18,849</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1,459</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1,537</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9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984</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1,164</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798</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26,167</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23,801</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(25,367 )</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(22,731 )</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1,070</w:t>
            </w:r>
          </w:p>
        </w:tc>
      </w:tr>
      <w:tr>
        <w:trPr>
          <w:trHeight w:val="240"/>
        </w:trPr>
        <w:tc>
          <w:tcPr>
            <w:tcW w:w="7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ROU asset</w:t>
            </w: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Fixed assets</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80" w:type="dxa"/>
            <w:vAlign w:val="bottom"/>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(598 )</w:t>
            </w:r>
          </w:p>
        </w:tc>
      </w:tr>
      <w:tr>
        <w:trPr>
          <w:trHeight w:val="232"/>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(1,147 )</w:t>
            </w:r>
          </w:p>
        </w:tc>
      </w:tr>
      <w:tr>
        <w:trPr>
          <w:trHeight w:val="240"/>
        </w:trPr>
        <w:tc>
          <w:tcPr>
            <w:tcW w:w="77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r>
      <w:tr>
        <w:trPr>
          <w:trHeight w:val="23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(liabilities) assets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(72 )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-1137920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-525780</wp:posOffset>
            </wp:positionV>
            <wp:extent cx="145415" cy="196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5415" cy="19685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jc w:val="both"/>
        <w:ind w:right="100" w:firstLine="494"/>
        <w:spacing w:after="0" w:line="258" w:lineRule="auto"/>
        <w:rPr>
          <w:sz w:val="20"/>
          <w:szCs w:val="20"/>
          <w:color w:val="auto"/>
        </w:rPr>
      </w:pPr>
      <w:r>
        <w:rPr>
          <w:rFonts w:ascii="Times New Roman" w:cs="Times New Roman" w:eastAsia="Times New Roman" w:hAnsi="Times New Roman"/>
          <w:sz w:val="18"/>
          <w:szCs w:val="18"/>
          <w:color w:val="auto"/>
        </w:rPr>
        <w:t>For fiscal year ended March 31, 2024, Orion’s deferred tax assets were primarily the result of U.S. NOL and tax credit carryforwards. Orion recorded a valuation allowance of $25.4 million and $22.7 million against its net deferred tax asset balance as of March 31, 2024 and March 31, 2023, respectively, due to the uncertainty of its realization value in the future. For the fiscal year ended March 31, 2024, the valuation allowance against Orion’s deferred tax assets increased by $2.7 million, primarily due to the current year book loss. For the fiscal year ended March 31, 2023, the valuation allowance against Orion’s deferred tax assets increased by $21.5 million due to management’s reassessment of the realizability of the domestic deferred tax assets.</w:t>
      </w:r>
    </w:p>
    <w:p>
      <w:pPr>
        <w:spacing w:after="0" w:line="182" w:lineRule="exact"/>
        <w:rPr>
          <w:sz w:val="20"/>
          <w:szCs w:val="20"/>
          <w:color w:val="auto"/>
        </w:rPr>
      </w:pPr>
    </w:p>
    <w:p>
      <w:pPr>
        <w:jc w:val="both"/>
        <w:ind w:right="100" w:firstLine="494"/>
        <w:spacing w:after="0" w:line="260"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4" w:right="239" w:bottom="1440" w:gutter="0" w:footer="0" w:header="0"/>
        </w:sectPr>
      </w:pPr>
    </w:p>
    <w:bookmarkStart w:id="69" w:name="page70"/>
    <w:bookmarkEnd w:id="69"/>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As of March 31, 2024, Orion has federal NOL carryforwards of approximately $78.2 million, state NOL carryforwards of approximately $70.3 million, and foreign NOL carryforwards of approximately $0.8 million. Orion also had federal tax credit carryforwards of approximately $1.3 million and state tax credits of $0.3 million. All of Orion’s tax credit carryforwards and $123.5 million of its NOL carryforwards will begin to expire in varying amounts between 2024 and 2044. The remaining $25.8 million of its federal and state NOL carryforwards are not subject to time restrictions but may only be used to offset 80% of adjusted taxable income. Orion believes it is more likely than not that the benefit from its state credit carryforwards, foreign NOL carryforwards, federal credit carryforwards, and state loss carryforwards will not be realized. In recognition of this risk, Orion has provided a net valuation allowance of $25.4 million on the deferred tax assets related to these carryforwards.</w:t>
      </w:r>
    </w:p>
    <w:p>
      <w:pPr>
        <w:spacing w:after="0" w:line="18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2024, fiscal 2023, or fiscal 2022.</w:t>
      </w:r>
    </w:p>
    <w:p>
      <w:pPr>
        <w:spacing w:after="0" w:line="182"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2"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Orion files income tax returns in the United States federal jurisdiction and in several state jurisdictions. The Company's federal tax returns for tax years beginning April 1, 2020 or later are open. For states in which Orion files state income tax returns, the statute of limitations is generally open for tax years beginning April 1, 2020 or later.</w:t>
      </w:r>
    </w:p>
    <w:p>
      <w:pPr>
        <w:spacing w:after="0" w:line="177"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As of March 31, 2024, the balance of gross unrecognized tax benefits was approximately $0.2 million, all of which would affect Orion’s effective tax rate if recognized.</w:t>
      </w:r>
    </w:p>
    <w:p>
      <w:pPr>
        <w:spacing w:after="0" w:line="163"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Accrued interest and penalties for such unrecognized tax benefits as of March 31, 2024 and 2023 were $0.1 million. Orion had the following unrecognized tax benefit activity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beginning of fiscal year</w:t>
            </w:r>
          </w:p>
        </w:tc>
        <w:tc>
          <w:tcPr>
            <w:tcW w:w="222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 positions</w:t>
            </w: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Additions/(reductions) for tax positions of prior years</w:t>
            </w:r>
          </w:p>
        </w:tc>
        <w:tc>
          <w:tcPr>
            <w:tcW w:w="1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end of fiscal year</w:t>
            </w:r>
          </w:p>
        </w:tc>
        <w:tc>
          <w:tcPr>
            <w:tcW w:w="222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3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-1095375</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-1095375</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 enters into non-cancellable purchase commitments for certain inventory items in order to secure better pricing and ensure materials on hand. As of March 31, 2024, Orion had entered into $5.4 million of purchase commitments related primarily to inventory purchases. Orion expects the purchase commitments to be fulfilled during fiscal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2024, 2023 and 2022, Orion made matching contributions of approximately $0.2 million, $0.2 million, and $0.1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w:t>
      </w:r>
    </w:p>
    <w:p>
      <w:pPr>
        <w:spacing w:after="0" w:line="121" w:lineRule="exact"/>
        <w:rPr>
          <w:sz w:val="20"/>
          <w:szCs w:val="20"/>
          <w:color w:val="auto"/>
        </w:rPr>
      </w:pPr>
    </w:p>
    <w:p>
      <w:pPr>
        <w:jc w:val="both"/>
        <w:ind w:firstLine="494"/>
        <w:spacing w:after="0" w:line="260" w:lineRule="auto"/>
        <w:rPr>
          <w:sz w:val="20"/>
          <w:szCs w:val="20"/>
          <w:color w:val="auto"/>
        </w:rPr>
      </w:pPr>
      <w:r>
        <w:rPr>
          <w:rFonts w:ascii="Times New Roman" w:cs="Times New Roman" w:eastAsia="Times New Roman" w:hAnsi="Times New Roman"/>
          <w:sz w:val="18"/>
          <w:szCs w:val="18"/>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74"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No share sales have been effected pursuant to the ATM program through March 31,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 OPTIONS AND RESTRICTED SHARES</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At Orion’s 2023 annual meeting of shareholders, Orion’s shareholders approved the Orion Energy Systems, Inc. 2016 Omnibus Incentive Plan, as amended and restated (the “Amended 2016 Plan”). Approval of the Amended 2016 Plan increased the number of shares of Orion’s common stock available for issuance under the Amended 2016 Plan from 3,500,000 shares to 6,000,000 shares (an increase of 2,500,000 shares). As of March 31, 2024, the number of shares available for grant under the Amended 2016 Plan was 1,788,994.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1" w:name="page72"/>
    <w:bookmarkEnd w:id="71"/>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77" w:lineRule="exact"/>
        <w:rPr>
          <w:sz w:val="20"/>
          <w:szCs w:val="20"/>
          <w:color w:val="auto"/>
        </w:rPr>
      </w:pPr>
    </w:p>
    <w:p>
      <w:pPr>
        <w:ind w:right="80" w:firstLine="494"/>
        <w:spacing w:after="0" w:line="260" w:lineRule="auto"/>
        <w:rPr>
          <w:sz w:val="20"/>
          <w:szCs w:val="20"/>
          <w:color w:val="auto"/>
        </w:rPr>
      </w:pPr>
      <w:r>
        <w:rPr>
          <w:rFonts w:ascii="Times New Roman" w:cs="Times New Roman" w:eastAsia="Times New Roman" w:hAnsi="Times New Roman"/>
          <w:sz w:val="18"/>
          <w:szCs w:val="18"/>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w:t>
      </w:r>
    </w:p>
    <w:p>
      <w:pPr>
        <w:spacing w:after="0" w:line="182"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Certain non-employee directors have elected to receive stock awards in lieu of cash compensation pursuant to elections made under Orion’s non-employee director compensation program. The Amended 2016 Plan and the 2004 Plan also permit accelerated vesting in the event of certain changes of control of Orion as well as under other special circumstances.</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Orion historically granted stock options and restricted stock under the 2004 Plan. Orion has not issued stock options since fiscal 2014 and instead has issued restricted stock.</w:t>
      </w:r>
    </w:p>
    <w:p>
      <w:pPr>
        <w:spacing w:after="0" w:line="163"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Orion recognizes forfeitures as they occur.</w:t>
      </w:r>
    </w:p>
    <w:p>
      <w:pPr>
        <w:spacing w:after="0" w:line="17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added performance conditions to a portion of the annual long-term incentive grants for fiscal 2023 and 2024 for Orion's executive compensation program. The performance-vesting restricted stock will vest to the extent Orion achieves revenue growth targets over a three-year period. Orion recognizes performance-vesting restricted stock expense ratably over the requisite service period based on the likelihood of meeting the performance conditions. As of March 31, 2024 and 2023, Orion recognized $0.3 million and $0 in stock-based compensation expense for performance-vesting restricted stock.</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expense for restricted shares were recorded (dollars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793</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76"/>
        </w:trPr>
        <w:tc>
          <w:tcPr>
            <w:tcW w:w="66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1028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outstanding stock options: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5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376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376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376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(73,136 )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37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376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6"/>
        </w:trPr>
        <w:tc>
          <w:tcPr>
            <w:tcW w:w="3900" w:type="dxa"/>
            <w:vAlign w:val="bottom"/>
          </w:tcPr>
          <w:p>
            <w:pPr>
              <w:spacing w:after="0"/>
              <w:rPr>
                <w:sz w:val="24"/>
                <w:szCs w:val="24"/>
                <w:color w:val="auto"/>
              </w:rPr>
            </w:pPr>
          </w:p>
        </w:tc>
        <w:tc>
          <w:tcPr>
            <w:tcW w:w="376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72</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9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-1061085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2" w:name="page73"/>
    <w:bookmarkEnd w:id="72"/>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performance-vesting restricted stock and time vesting-restricted stock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4"/>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2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28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3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612,819</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2.82</w:t>
            </w:r>
          </w:p>
        </w:tc>
        <w:tc>
          <w:tcPr>
            <w:tcW w:w="1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130,635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677,090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1.42</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577,742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(260,555 )</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(15,250 )</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outstanding at March 31, 2024</w:t>
            </w:r>
          </w:p>
        </w:tc>
        <w:tc>
          <w:tcPr>
            <w:tcW w:w="13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1,014,104</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1.87</w:t>
            </w:r>
          </w:p>
        </w:tc>
        <w:tc>
          <w:tcPr>
            <w:tcW w:w="1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708,377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$0.95 - 1.55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$1.55 - 2.18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2024, Orion recognized $1.0 million of stock-based compensation expense related to restricted shares.</w:t>
      </w:r>
    </w:p>
    <w:p>
      <w:pPr>
        <w:spacing w:after="0" w:line="22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As of March 31, 2024, 2023 and 2022, the weighted average grant-date fair value of restricted shares granted was $1.42, $2.16 and $5.55, respectively. The total fair value of shares vested during fiscal years ended March 31, 2024, 2023 and 2022 are $0.8 million, $1.0 million and $1.4 million, respectively.</w:t>
      </w:r>
    </w:p>
    <w:p>
      <w:pPr>
        <w:spacing w:after="0" w:line="177"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Unrecognized compensation cost related to non-vested common stock-based compensation as of March 31, 2024 is expected to be recognized as follows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6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weighted average expected term</w:t>
            </w:r>
          </w:p>
        </w:tc>
        <w:tc>
          <w:tcPr>
            <w:tcW w:w="6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 years</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DATA</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CODM regularly reviews when allocating resources and assessing performance. Orion's CODM is the chief executive officer. Previously, Orion had four reportable segments: Orion Services Group Segment, Orion Distribution Services Segment, Orion U.S. Markets Segment and Orion Electric Vehicle Charging Segment (the “EV Segment”). Effective during the first quarter of fiscal 2024, Orion began to evaluate and report its business using three segments: Orion Lighting Segment, Orion Maintenance Segment and Orion Electric Vehicle Charging Segment. Orion configured its fiscal 2024 budget in order to compare actual performance to plan performance for these segments. Due to the change in composition of reportable segments in the first quarter of fiscal 2024, the corresponding segment information for fiscal years 2023 and 2022 have been restated for presentation on a comparable basis.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Lighting Segment</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The Lighting Segment sells mostly through direct sales, but it also sells lighting products though manufacturer representative agencies and to the wholesale contractor markets through energy service companies and contractors.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Segment</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Maintenance Segment provides retailers, distributors and other businesses with maintenance, repair and replacement services for the lighting and related electrical components deployed in their facilities.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 Vehicle Charging Segment</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EV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9"/>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40" w:type="dxa"/>
            <w:vAlign w:val="bottom"/>
          </w:tcPr>
          <w:p>
            <w:pPr>
              <w:spacing w:after="0"/>
              <w:rPr>
                <w:sz w:val="15"/>
                <w:szCs w:val="15"/>
                <w:color w:val="auto"/>
              </w:rPr>
            </w:pPr>
          </w:p>
        </w:tc>
      </w:tr>
      <w:tr>
        <w:trPr>
          <w:trHeight w:val="187"/>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40" w:type="dxa"/>
            <w:vAlign w:val="bottom"/>
            <w:tcBorders>
              <w:bottom w:val="single" w:sz="8" w:color="auto"/>
            </w:tcBorders>
          </w:tcPr>
          <w:p>
            <w:pPr>
              <w:spacing w:after="0"/>
              <w:rPr>
                <w:sz w:val="16"/>
                <w:szCs w:val="16"/>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4"/>
                <w:szCs w:val="14"/>
                <w:color w:val="auto"/>
              </w:rPr>
            </w:pPr>
          </w:p>
        </w:tc>
        <w:tc>
          <w:tcPr>
            <w:tcW w:w="9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5"/>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49"/>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61,102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56,553</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118,557</w:t>
            </w:r>
          </w:p>
        </w:tc>
        <w:tc>
          <w:tcPr>
            <w:tcW w:w="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(1,352 )</w:t>
            </w:r>
          </w:p>
        </w:tc>
        <w:tc>
          <w:tcPr>
            <w:tcW w:w="580" w:type="dxa"/>
            <w:vAlign w:val="bottom"/>
            <w:gridSpan w:val="3"/>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(5,150 )</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21,647</w:t>
            </w:r>
          </w:p>
        </w:tc>
      </w:tr>
      <w:tr>
        <w:trPr>
          <w:trHeight w:val="23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24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17,147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(2,221 )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r>
      <w:tr>
        <w:trPr>
          <w:trHeight w:val="247"/>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12,332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6,275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(4,158 )</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(2,386 )</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(4,456 )</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(13,593 )</w:t>
            </w:r>
          </w:p>
        </w:tc>
      </w:tr>
      <w:tr>
        <w:trPr>
          <w:trHeight w:val="232"/>
        </w:trPr>
        <w:tc>
          <w:tcPr>
            <w:tcW w:w="38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90,581</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77,383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124,383</w:t>
            </w:r>
          </w:p>
        </w:tc>
        <w:tc>
          <w:tcPr>
            <w:tcW w:w="12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(10,824 )</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(15,985 )</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8,391</w:t>
            </w:r>
          </w:p>
        </w:tc>
      </w:tr>
      <w:tr>
        <w:trPr>
          <w:trHeight w:val="20"/>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2"/>
        </w:trPr>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7"/>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40" w:type="dxa"/>
            <w:vAlign w:val="bottom"/>
            <w:tcBorders>
              <w:bottom w:val="single" w:sz="8" w:color="auto"/>
            </w:tcBorders>
          </w:tcPr>
          <w:p>
            <w:pPr>
              <w:spacing w:after="0"/>
              <w:rPr>
                <w:sz w:val="16"/>
                <w:szCs w:val="16"/>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4"/>
                <w:szCs w:val="14"/>
                <w:color w:val="auto"/>
              </w:rPr>
            </w:pPr>
          </w:p>
        </w:tc>
        <w:tc>
          <w:tcPr>
            <w:tcW w:w="9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5"/>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49"/>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1,094</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1,255</w:t>
            </w:r>
          </w:p>
        </w:tc>
        <w:tc>
          <w:tcPr>
            <w:tcW w:w="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80" w:type="dxa"/>
            <w:vAlign w:val="bottom"/>
            <w:gridSpan w:val="3"/>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r>
      <w:tr>
        <w:trPr>
          <w:trHeight w:val="23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24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r>
      <w:tr>
        <w:trPr>
          <w:trHeight w:val="247"/>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r>
      <w:tr>
        <w:trPr>
          <w:trHeight w:val="232"/>
        </w:trPr>
        <w:tc>
          <w:tcPr>
            <w:tcW w:w="38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2,590</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03"/>
        </w:trPr>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3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25,911</w:t>
            </w:r>
          </w:p>
        </w:tc>
        <w:tc>
          <w:tcPr>
            <w:tcW w:w="70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28,641</w:t>
            </w:r>
          </w:p>
        </w:tc>
      </w:tr>
      <w:tr>
        <w:trPr>
          <w:trHeight w:val="247"/>
        </w:trPr>
        <w:tc>
          <w:tcPr>
            <w:tcW w:w="3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6,739</w:t>
            </w:r>
          </w:p>
        </w:tc>
      </w:tr>
      <w:tr>
        <w:trPr>
          <w:trHeight w:val="238"/>
        </w:trPr>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11,502</w:t>
            </w:r>
          </w:p>
        </w:tc>
      </w:tr>
      <w:tr>
        <w:trPr>
          <w:trHeight w:val="247"/>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24,697</w:t>
            </w:r>
          </w:p>
        </w:tc>
      </w:tr>
      <w:tr>
        <w:trPr>
          <w:trHeight w:val="232"/>
        </w:trPr>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70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71,579</w:t>
            </w: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Orion’s Lighting segment revenue outside the United States in Germany was $6.4 million, $0.2 million and $0 in for the fiscal years ended March 31, 2024, 2023 and 2022, respectively. Orion has no long-lived assets outside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ACQUISITION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Voltrek</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on October 5, 2022, Orion acquired all the membership interests of Voltrek, an electric vehicle charging station solutions provider for a purchase price of $5.0 million in cash and $1.0 million of shares of common stock of Orion, subject to normal and customary closing adjustments of $0.9 million (the “Voltrek Acquisition”). In addition,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and will be expensed over the course of the earn-out periods to the extent they are earned. As of March 31, 2024, Orion paid $3.0 million related to the fiscal 2023 earn-out opportunity and recorded $0.9 million to accrued expenses for the fiscal 2024 earn-out opportunity with an additional $0.5 million to other long-term liabilities for the cumulative potential earn-out opportunity which would be paid in fiscal 2026. The Voltrek Acquisition was funded with cash and Orion shares. Voltrek operates as Voltrek, an Orion Energy Systems business. The Voltrek Acquisition leverages Orion’s project management and maintenance expertise into a rapidly growing sector.</w:t>
      </w:r>
    </w:p>
    <w:p>
      <w:pPr>
        <w:spacing w:after="0" w:line="7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has accounted for the Voltrek Acquisition as a business combination. Orion has preliminarily allocated the purchase price of approximately $6.9 million to the assets acquired and liabilities assumed at estimated fair values, and the excess of the purchase price over the aggregate fair values is recorded as goodwill. The purchase price and closing adjustments were paid in cash and 620,067 shares of common stock with a total fair market value of $1.0 million, which is recorded in the opening balance sheet at fair value of $0.8 million, the discount on which is due to lock-up requirements on the shares.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Voltrek:</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r>
      <w:tr>
        <w:trPr>
          <w:trHeight w:val="23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416</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0"/>
                <w:szCs w:val="20"/>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1,363</w:t>
            </w: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20"/>
                <w:szCs w:val="20"/>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880</w:t>
            </w: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20"/>
                <w:szCs w:val="20"/>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920</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20"/>
                <w:szCs w:val="20"/>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4,300</w:t>
            </w: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(1,133 )</w:t>
            </w: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76"/>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6,871</w:t>
            </w:r>
          </w:p>
        </w:tc>
      </w:tr>
    </w:tbl>
    <w:p>
      <w:pPr>
        <w:spacing w:after="0" w:line="30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spacing w:after="0" w:line="69"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tradename intangible asset was valued using a relief from royalty method. The significant assumptions used include the estimated revenue and royalty rate, among other factors.</w:t>
      </w:r>
    </w:p>
    <w:p>
      <w:pPr>
        <w:spacing w:after="0" w:line="55"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The vendor relationship intangible asset was valued using the income approach - excess earnings method. The significant assumptions include estimated revenue, cost of goods sold, and probability of renewal, among other factors.</w:t>
      </w:r>
    </w:p>
    <w:p>
      <w:pPr>
        <w:spacing w:after="0" w:line="55"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customer relationship intangible asset was valued using the income approach - with-and-without method. The significant assumptions include estimated cash flows (including appropriate revenue, cost of revenue and operating expenses attributable to the asset, retention rate, among other factors), and discount rate, reflecting the risks inherent in the future cash flow stream, among other factors.</w:t>
      </w:r>
    </w:p>
    <w:p>
      <w:pPr>
        <w:spacing w:after="0" w:line="69"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categorization of the framework used to measure fair value of the intangible assets is considered to be within the Level 3 valuation hierarchy due to the subjective nature of the unobservable inputs used.</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details of the intangible assets acquired at the date of Voltrek Acquisition (dollars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7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7"/>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300</w:t>
            </w:r>
          </w:p>
        </w:tc>
        <w:tc>
          <w:tcPr>
            <w:tcW w:w="1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2,600</w:t>
            </w:r>
          </w:p>
        </w:tc>
        <w:tc>
          <w:tcPr>
            <w:tcW w:w="1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1,400</w:t>
            </w:r>
          </w:p>
        </w:tc>
        <w:tc>
          <w:tcPr>
            <w:tcW w:w="1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r>
    </w:tbl>
    <w:p>
      <w:pPr>
        <w:spacing w:after="0" w:line="90"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Voltrek's post-acquisition results of operations since October 5, 2022 are included in Orion’s Consolidated Statements of Operations. The operating results of Voltrek are included in the EV segment. See note 17 - Segments, for results.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Stay-Lite Lighting</w:t>
      </w:r>
    </w:p>
    <w:p>
      <w:pPr>
        <w:spacing w:after="0" w:line="121" w:lineRule="exact"/>
        <w:rPr>
          <w:sz w:val="20"/>
          <w:szCs w:val="20"/>
          <w:color w:val="auto"/>
        </w:rPr>
      </w:pPr>
    </w:p>
    <w:p>
      <w:pPr>
        <w:jc w:val="both"/>
        <w:ind w:right="20" w:firstLine="499"/>
        <w:spacing w:after="0" w:line="260" w:lineRule="auto"/>
        <w:rPr>
          <w:sz w:val="20"/>
          <w:szCs w:val="20"/>
          <w:color w:val="auto"/>
        </w:rPr>
      </w:pPr>
      <w:r>
        <w:rPr>
          <w:rFonts w:ascii="Times New Roman" w:cs="Times New Roman" w:eastAsia="Times New Roman" w:hAnsi="Times New Roman"/>
          <w:sz w:val="18"/>
          <w:szCs w:val="18"/>
          <w:color w:val="auto"/>
        </w:rPr>
        <w:t>Effective on January 1, 2022, Orion acquired all of the issued and outstanding capital stock of Stay-Lite Lighting, a nationwide lighting and electrical maintenance service provider, for $4.3 million (the “Stay-Lite Acquisition”). Stay-Lite Lighting operates as Stay-Lite Lighting, an Orion Energy Systems business. The Stay-Lite Acquisition accelerates the growth of Orion's maintenance services offerings through its Orion Services Group, which provides lighting and electrical services to customers.</w:t>
      </w:r>
    </w:p>
    <w:p>
      <w:pPr>
        <w:spacing w:after="0" w:line="74"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 has accounted for this transaction as a business combination. Orion has allocated the purchase price of approximately $4.3 million, which included an estimate of the earn-out liability of $0.2 million and $0.1 million for the working capital adjustment received in the first quarter fiscal 2023, to the assets acquired and liabilities assumed at estimated fair values, and the excess of the purchase price over the aggregate fair values is recorded as goodwill. The remaining was $4.0 million funded with cash. The agreement also included an earn-out related purchase price adjustment of up to $0.7 million based on performance during the 2022 and 2023 calendar years. During fiscal 2023, the earn-out liability of $0.2 million was reversed, through acquisition related costs, based on Stay-Lite Lighting's actual performance during fiscal 2023. No adjustment was recorded in fiscal 2024 to the earn-out liability, and the earn-out period is now complete.</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Stay-Lite: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r>
      <w:tr>
        <w:trPr>
          <w:trHeight w:val="23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0"/>
                <w:szCs w:val="20"/>
                <w:color w:val="auto"/>
              </w:rPr>
            </w:pP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0"/>
                <w:szCs w:val="20"/>
                <w:color w:val="auto"/>
              </w:rPr>
            </w:pP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FF0FC"/>
          </w:tcPr>
          <w:p>
            <w:pPr>
              <w:spacing w:after="0"/>
              <w:rPr>
                <w:sz w:val="21"/>
                <w:szCs w:val="21"/>
                <w:color w:val="auto"/>
              </w:rPr>
            </w:pP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0"/>
                <w:szCs w:val="20"/>
                <w:color w:val="auto"/>
              </w:rPr>
            </w:pP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FF0FC"/>
          </w:tcPr>
          <w:p>
            <w:pPr>
              <w:spacing w:after="0"/>
              <w:rPr>
                <w:sz w:val="21"/>
                <w:szCs w:val="21"/>
                <w:color w:val="auto"/>
              </w:rPr>
            </w:pP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0"/>
                <w:szCs w:val="20"/>
                <w:color w:val="auto"/>
              </w:rPr>
            </w:pP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FF0FC"/>
          </w:tcPr>
          <w:p>
            <w:pPr>
              <w:spacing w:after="0"/>
              <w:rPr>
                <w:sz w:val="21"/>
                <w:szCs w:val="21"/>
                <w:color w:val="auto"/>
              </w:rPr>
            </w:pP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(965 )</w:t>
            </w:r>
          </w:p>
        </w:tc>
      </w:tr>
      <w:tr>
        <w:trPr>
          <w:trHeight w:val="247"/>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r>
      <w:tr>
        <w:trPr>
          <w:trHeight w:val="276"/>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60" w:firstLine="494"/>
        <w:spacing w:after="0" w:line="265" w:lineRule="auto"/>
        <w:rPr>
          <w:sz w:val="20"/>
          <w:szCs w:val="20"/>
          <w:color w:val="auto"/>
        </w:rPr>
      </w:pPr>
      <w:r>
        <w:rPr>
          <w:rFonts w:ascii="Times New Roman" w:cs="Times New Roman" w:eastAsia="Times New Roman" w:hAnsi="Times New Roman"/>
          <w:sz w:val="18"/>
          <w:szCs w:val="18"/>
          <w:color w:val="auto"/>
        </w:rPr>
        <w:t>Goodwill recorded from the Stay-Lite Acquisition is attributable to the expected synergies from the business combination. The goodwill resulting from the Stay-Lite Acquisition is deductible for tax purposes. The intangible assets include amounts recognized for the fair value of the trade name and customer relationships. The fair value of the intangible assets was determined based upon the income (discounted cash flow) approach.</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details of the intangible assets acquired at the date of Stay-Lite Acquisition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1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7"/>
        </w:trPr>
        <w:tc>
          <w:tcPr>
            <w:tcW w:w="7860" w:type="dxa"/>
            <w:vAlign w:val="bottom"/>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16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bl>
    <w:p>
      <w:pPr>
        <w:spacing w:after="0" w:line="98"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The value of the acquired definite-lived intangible assets from Stay-Lite were deemed fully impaired in fiscal 2024, and as such no future amortization expense will be recorded.</w:t>
      </w:r>
    </w:p>
    <w:p>
      <w:pPr>
        <w:spacing w:after="0" w:line="55" w:lineRule="exact"/>
        <w:rPr>
          <w:sz w:val="20"/>
          <w:szCs w:val="20"/>
          <w:color w:val="auto"/>
        </w:rPr>
      </w:pPr>
    </w:p>
    <w:p>
      <w:pPr>
        <w:jc w:val="both"/>
        <w:ind w:firstLine="499"/>
        <w:spacing w:after="0" w:line="281" w:lineRule="auto"/>
        <w:rPr>
          <w:sz w:val="20"/>
          <w:szCs w:val="20"/>
          <w:color w:val="auto"/>
        </w:rPr>
      </w:pPr>
      <w:r>
        <w:rPr>
          <w:rFonts w:ascii="Times New Roman" w:cs="Times New Roman" w:eastAsia="Times New Roman" w:hAnsi="Times New Roman"/>
          <w:sz w:val="18"/>
          <w:szCs w:val="18"/>
          <w:color w:val="auto"/>
        </w:rPr>
        <w:t>Stay-Lite Lighting’s post-acquisition results of operations since January 1, 2022 are included in Orion’s Consolidated Statements of Operations. The operating results of Stay-Lite Lighting are included in the Orion Maintenance segment.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The pro forma information was determined based on the historical results of Orion and unaudited financial results from Stay-Lite Lighting and Voltrek. These proforma results reflect additional depreciation and amortization that would have been charged assuming the fair value adjustments to property, plant, and equipment and intangible asset occurred at the beginning of the period, along with consequential tax effects. The unaudited pro forma results have been prepared for comparative purposes only and are not necessarily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6" w:name="page77"/>
    <w:bookmarkEnd w:id="76"/>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indicative of what would have occurred had the business combinations been completed at the beginning of the period or the results that may occur in the future. Furthermore, the unaudited pro forma financial information does not reflect the impact of any synergies resulting from the acquisitions.</w:t>
      </w:r>
    </w:p>
    <w:p>
      <w:pPr>
        <w:spacing w:after="0" w:line="55"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If Voltrek was acquired on April 1, 2021, the pro forma Orion revenue for the twelve-month period ended on March 31, 2023 would have been $79.8 million and proforma net loss would have been $(33.5) million. Orion pro forma fiscal 2022 revenue would have been $128.0 million and net income would have been $5.9 million. If Stay-Lite was acquired on April 1, 2020, the pro forma Orion full year fiscal 2022 revenue would have been $131.3 million and net income would have been $6.0 million.</w:t>
      </w:r>
    </w:p>
    <w:p>
      <w:pPr>
        <w:spacing w:after="0" w:line="74"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Transaction costs related to the Stay-Lite Acquisition and the Voltrek Acquisition are recorded in acquisition related costs in the Consolidated Statements of Operations. Transaction costs totaled $0.8 million in the twelve months ending March 31, 2023 and $0.5 million twelve months ended March 31, 2022,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RESTRUCTURING EXPENSE</w:t>
      </w:r>
    </w:p>
    <w:p>
      <w:pPr>
        <w:spacing w:after="0" w:line="314"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During the fourth quarter of fiscal 2024, as part of Orion's response to declining financial results, Orion entered into separation agreements with multiple employees and recognized $0.1 million of expense. Orion's restructuring expense for the 12 months ended March 31 2024, 2023 and 2022 is reflected within its consolidated statement of operations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540" w:type="dxa"/>
            <w:vAlign w:val="bottom"/>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Lighting</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EV</w:t>
            </w: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5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On April 22, 2024, the Company, with Bank of America, N.A. as lender, executed Amendment No. 2 (“Amendment No. 2”) to its Loan and Security Agreement dated December 29, 2020 and amended previously on November 4, 2022 (the “LSA”). The primary purpose of Amendment No. 2 was to add a $3.525 million mortgage loan facility to the LSA secured by the Company’s office headquarters property in Manitowoc, Wisconsin. Amendment No. 2 also broadened the definition of receivables to encompass government receivables as being eligible to be included in the Company’s borrowing base calculation for the purpose of establishing the Company’s monthly borrowing availability under the LSA.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21 — QUARTERLY FINANCIAL DATA (UNAUDITED)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Summary quarterly results for the years ended March 31, 2024 and March 31,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 30, 2023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 30, 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120" w:type="dxa"/>
            <w:vAlign w:val="bottom"/>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7"/>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17,613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20,586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25,971</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26,411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90,581</w:t>
            </w: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3,171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4,569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6,367</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20,911</w:t>
            </w:r>
          </w:p>
        </w:tc>
      </w:tr>
      <w:tr>
        <w:trPr>
          <w:trHeight w:val="247"/>
        </w:trPr>
        <w:tc>
          <w:tcPr>
            <w:tcW w:w="49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Net (loss) income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(6,637 )</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(2,256 )</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(11,671 )</w:t>
            </w: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Basic net (loss) income per share </w:t>
            </w:r>
            <w:r>
              <w:rPr>
                <w:rFonts w:ascii="Times New Roman" w:cs="Times New Roman" w:eastAsia="Times New Roman" w:hAnsi="Times New Roman"/>
                <w:sz w:val="24"/>
                <w:szCs w:val="24"/>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basic per share calculation</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32,346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32,503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32,531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32,486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32,486</w:t>
            </w: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Diluted net (loss) income per share </w:t>
            </w:r>
            <w:r>
              <w:rPr>
                <w:rFonts w:ascii="Times New Roman" w:cs="Times New Roman" w:eastAsia="Times New Roman" w:hAnsi="Times New Roman"/>
                <w:sz w:val="24"/>
                <w:szCs w:val="24"/>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diluted per share calculation</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32,346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32,503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32,531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33,965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32,486</w:t>
            </w:r>
          </w:p>
        </w:tc>
      </w:tr>
      <w:tr>
        <w:trPr>
          <w:trHeight w:val="418"/>
        </w:trPr>
        <w:tc>
          <w:tcPr>
            <w:tcW w:w="4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9"/>
        </w:trPr>
        <w:tc>
          <w:tcPr>
            <w:tcW w:w="4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 30, 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 30, 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7"/>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17,906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17,560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20,288</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21,629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77,383</w:t>
            </w: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4,781</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17,511</w:t>
            </w:r>
          </w:p>
        </w:tc>
      </w:tr>
      <w:tr>
        <w:trPr>
          <w:trHeight w:val="247"/>
        </w:trPr>
        <w:tc>
          <w:tcPr>
            <w:tcW w:w="49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(2,835 )</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(24,059 )</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(34,341 )</w:t>
            </w: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Basic net loss per share </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basic per share calculation</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31,138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31,031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32,048</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32,294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31,704</w:t>
            </w: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Diluted net loss per share </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diluted per share calculation</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31,138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31,031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32,048</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32,294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31,704</w:t>
            </w:r>
          </w:p>
        </w:tc>
      </w:tr>
    </w:tbl>
    <w:p>
      <w:pPr>
        <w:spacing w:after="0" w:line="224" w:lineRule="exact"/>
        <w:rPr>
          <w:sz w:val="20"/>
          <w:szCs w:val="20"/>
          <w:color w:val="auto"/>
        </w:rPr>
      </w:pPr>
    </w:p>
    <w:p>
      <w:pPr>
        <w:ind w:left="760" w:hanging="752"/>
        <w:spacing w:after="0" w:line="26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 million of tax expense related to the booking of the valuation allowance on deferred tax assets during the three months ended December 31, 2022.</w:t>
      </w:r>
    </w:p>
    <w:p>
      <w:pPr>
        <w:spacing w:after="0" w:line="1" w:lineRule="exact"/>
        <w:rPr>
          <w:rFonts w:ascii="Times New Roman" w:cs="Times New Roman" w:eastAsia="Times New Roman" w:hAnsi="Times New Roman"/>
          <w:sz w:val="18"/>
          <w:szCs w:val="18"/>
          <w:color w:val="auto"/>
        </w:rPr>
      </w:pPr>
    </w:p>
    <w:p>
      <w:pPr>
        <w:ind w:left="760" w:hanging="752"/>
        <w:spacing w:after="0" w:line="26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 million reversal of prior period recognized earnout expense related to the Voltrek earnout compensation in the three months ended March 31, 2024.</w:t>
      </w:r>
    </w:p>
    <w:p>
      <w:pPr>
        <w:spacing w:after="0" w:line="180" w:lineRule="exact"/>
        <w:rPr>
          <w:sz w:val="20"/>
          <w:szCs w:val="20"/>
          <w:color w:val="auto"/>
        </w:rPr>
      </w:pPr>
    </w:p>
    <w:p>
      <w:pPr>
        <w:ind w:firstLine="499"/>
        <w:spacing w:after="0" w:line="281" w:lineRule="auto"/>
        <w:rPr>
          <w:sz w:val="20"/>
          <w:szCs w:val="20"/>
          <w:color w:val="auto"/>
        </w:rPr>
      </w:pPr>
      <w:r>
        <w:rPr>
          <w:rFonts w:ascii="Times New Roman" w:cs="Times New Roman" w:eastAsia="Times New Roman" w:hAnsi="Times New Roman"/>
          <w:sz w:val="18"/>
          <w:szCs w:val="18"/>
          <w:color w:val="auto"/>
        </w:rPr>
        <w:t>The four quarters for net earnings per share may not add to the total year because of differences in the weighted average number of shares outstanding during the quarters and the 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2"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2024, pursuant to Exchange Act Rule 13a-15(b) and 15d-15. Based on that evaluation, our Chief Executive Officer and our Chief Financial Officer have concluded that our disclosure controls and procedures were effective at a level of reasonable assurance as of March 31, 2024.</w:t>
      </w:r>
    </w:p>
    <w:p>
      <w:pPr>
        <w:spacing w:after="0" w:line="182"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4" w:lineRule="exact"/>
        <w:rPr>
          <w:sz w:val="20"/>
          <w:szCs w:val="20"/>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6" w:lineRule="exact"/>
        <w:rPr>
          <w:rFonts w:ascii="Times New Roman" w:cs="Times New Roman" w:eastAsia="Times New Roman" w:hAnsi="Times New Roman"/>
          <w:sz w:val="18"/>
          <w:szCs w:val="18"/>
          <w:color w:val="auto"/>
        </w:rPr>
      </w:pPr>
    </w:p>
    <w:p>
      <w:pPr>
        <w:ind w:left="880" w:right="20" w:hanging="373"/>
        <w:spacing w:after="0" w:line="281"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54" w:lineRule="exact"/>
        <w:rPr>
          <w:rFonts w:ascii="Times New Roman" w:cs="Times New Roman" w:eastAsia="Times New Roman" w:hAnsi="Times New Roman"/>
          <w:sz w:val="18"/>
          <w:szCs w:val="18"/>
          <w:color w:val="auto"/>
        </w:rPr>
      </w:pPr>
    </w:p>
    <w:p>
      <w:pPr>
        <w:ind w:left="880" w:hanging="373"/>
        <w:spacing w:after="0" w:line="281"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3"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2024, our internal control over financial reporting was effective.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49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firstLine="499"/>
        <w:spacing w:after="0" w:line="281" w:lineRule="auto"/>
        <w:rPr>
          <w:sz w:val="20"/>
          <w:szCs w:val="20"/>
          <w:color w:val="auto"/>
        </w:rPr>
      </w:pPr>
      <w:r>
        <w:rPr>
          <w:rFonts w:ascii="Times New Roman" w:cs="Times New Roman" w:eastAsia="Times New Roman" w:hAnsi="Times New Roman"/>
          <w:sz w:val="18"/>
          <w:szCs w:val="18"/>
          <w:color w:val="auto"/>
        </w:rPr>
        <w:t>During the year ended March 31, 2024, no director or section 16 officer of the Company adopted or terminated a "Rule 10b5-1 trading arrangement," as each term is defined in Item 408(a)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executive officers and corporate governance is incorporated by reference to our Proxy Statement for our 2024 Annual Meeting of Shareholders to be filed with the SEC within 120 days after the end of the fiscal year ended March 31,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firstLine="499"/>
        <w:spacing w:after="0" w:line="260"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2024 Annual Meeting of Shareholders to be filed with the SEC within 120 days after the end of the fiscal year ended March 31, 2024.</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4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See Item 5, </w:t>
      </w:r>
      <w:r>
        <w:rPr>
          <w:rFonts w:ascii="Times New Roman" w:cs="Times New Roman" w:eastAsia="Times New Roman" w:hAnsi="Times New Roman"/>
          <w:sz w:val="18"/>
          <w:szCs w:val="18"/>
          <w:i w:val="1"/>
          <w:iCs w:val="1"/>
          <w:color w:val="auto"/>
        </w:rPr>
        <w:t>Market for Registrant’s Common Equity, Related Shareholder Matters and Issuer Purchaser of Securities</w:t>
      </w:r>
      <w:r>
        <w:rPr>
          <w:rFonts w:ascii="Times New Roman" w:cs="Times New Roman" w:eastAsia="Times New Roman" w:hAnsi="Times New Roman"/>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2024 Annual Meeting of Shareholders to be filed with the SEC within 120 days after the end of the fiscal year ended March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2024 Annual Meeting of Shareholders to be filed with the SEC within 120 days after the end of the fiscal year ended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firstLine="49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2024 Annual Meeting of Shareholders to be filed with the SEC within 120 days after the end of the fiscal year ended March 31, 2024.</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1" w:name="page82"/>
    <w:bookmarkEnd w:id="81"/>
    <w:p>
      <w:pPr>
        <w:ind w:left="52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(a)</w:t>
        <w:tab/>
        <w:t>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statements are set forth in Item 8 of this Form 10-K.</w:t>
      </w: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80" w:type="dxa"/>
            <w:vAlign w:val="bottom"/>
            <w:gridSpan w:val="26"/>
          </w:tcPr>
          <w:p>
            <w:pPr>
              <w:ind w:left="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7"/>
        </w:trPr>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gridSpan w:val="34"/>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336"/>
        </w:trPr>
        <w:tc>
          <w:tcPr>
            <w:tcW w:w="114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7"/>
              </w:rPr>
              <w:t>3.1</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Amended and Restated Articles of Incorporation of Orion Energy Systems, Inc., filed as Exhibit 3.3 to the Registrant’s Form S-1 filed</w:t>
              </w:r>
            </w:hyperlink>
          </w:p>
        </w:tc>
      </w:tr>
      <w:tr>
        <w:trPr>
          <w:trHeight w:val="196"/>
        </w:trPr>
        <w:tc>
          <w:tcPr>
            <w:tcW w:w="1140" w:type="dxa"/>
            <w:vAlign w:val="bottom"/>
          </w:tcPr>
          <w:p>
            <w:pPr>
              <w:spacing w:after="0"/>
              <w:rPr>
                <w:sz w:val="17"/>
                <w:szCs w:val="17"/>
                <w:color w:val="auto"/>
              </w:rPr>
            </w:pPr>
          </w:p>
        </w:tc>
        <w:tc>
          <w:tcPr>
            <w:tcW w:w="388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August 20, 2007, is hereby incorporated by reference.</w:t>
              </w:r>
            </w:hyperlink>
          </w:p>
        </w:tc>
        <w:tc>
          <w:tcPr>
            <w:tcW w:w="20" w:type="dxa"/>
            <w:vAlign w:val="bottom"/>
            <w:tcBorders>
              <w:bottom w:val="single" w:sz="8" w:color="0000EE"/>
            </w:tcBorders>
          </w:tcPr>
          <w:p>
            <w:pPr>
              <w:spacing w:after="0"/>
              <w:rPr>
                <w:sz w:val="17"/>
                <w:szCs w:val="17"/>
                <w:color w:val="auto"/>
              </w:rPr>
            </w:pPr>
          </w:p>
        </w:tc>
        <w:tc>
          <w:tcPr>
            <w:tcW w:w="6200" w:type="dxa"/>
            <w:vAlign w:val="bottom"/>
            <w:gridSpan w:val="24"/>
          </w:tcPr>
          <w:p>
            <w:pPr>
              <w:spacing w:after="0"/>
              <w:rPr>
                <w:sz w:val="17"/>
                <w:szCs w:val="17"/>
                <w:color w:val="auto"/>
              </w:rPr>
            </w:pPr>
          </w:p>
        </w:tc>
      </w:tr>
      <w:tr>
        <w:trPr>
          <w:trHeight w:val="371"/>
        </w:trPr>
        <w:tc>
          <w:tcPr>
            <w:tcW w:w="114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7"/>
              </w:rPr>
              <w:t>3.2</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Second Amended and Restated Bylaws of Orion Energy Systems, Inc., filed as Exhibit 3.1 to the Registrant’s Form 8-K filed November 14,</w:t>
              </w:r>
            </w:hyperlink>
          </w:p>
        </w:tc>
      </w:tr>
      <w:tr>
        <w:trPr>
          <w:trHeight w:val="196"/>
        </w:trPr>
        <w:tc>
          <w:tcPr>
            <w:tcW w:w="1140" w:type="dxa"/>
            <w:vAlign w:val="bottom"/>
          </w:tcPr>
          <w:p>
            <w:pPr>
              <w:spacing w:after="0"/>
              <w:rPr>
                <w:sz w:val="17"/>
                <w:szCs w:val="17"/>
                <w:color w:val="auto"/>
              </w:rPr>
            </w:pPr>
          </w:p>
        </w:tc>
        <w:tc>
          <w:tcPr>
            <w:tcW w:w="304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2022, is hereby incorporated by reference.</w:t>
              </w:r>
            </w:hyperlink>
          </w:p>
        </w:tc>
        <w:tc>
          <w:tcPr>
            <w:tcW w:w="20" w:type="dxa"/>
            <w:vAlign w:val="bottom"/>
            <w:tcBorders>
              <w:bottom w:val="single" w:sz="8" w:color="0000EE"/>
            </w:tcBorders>
          </w:tcPr>
          <w:p>
            <w:pPr>
              <w:spacing w:after="0"/>
              <w:rPr>
                <w:sz w:val="17"/>
                <w:szCs w:val="17"/>
                <w:color w:val="auto"/>
              </w:rPr>
            </w:pPr>
          </w:p>
        </w:tc>
        <w:tc>
          <w:tcPr>
            <w:tcW w:w="7040" w:type="dxa"/>
            <w:vAlign w:val="bottom"/>
            <w:gridSpan w:val="27"/>
          </w:tcPr>
          <w:p>
            <w:pPr>
              <w:spacing w:after="0"/>
              <w:rPr>
                <w:sz w:val="17"/>
                <w:szCs w:val="17"/>
                <w:color w:val="auto"/>
              </w:rPr>
            </w:pPr>
          </w:p>
        </w:tc>
      </w:tr>
      <w:tr>
        <w:trPr>
          <w:trHeight w:val="371"/>
        </w:trPr>
        <w:tc>
          <w:tcPr>
            <w:tcW w:w="114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7"/>
              </w:rPr>
              <w:t>4.1</w:t>
            </w:r>
          </w:p>
        </w:tc>
        <w:tc>
          <w:tcPr>
            <w:tcW w:w="4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Orion Energy Systems, Inc. Capital Stock. +</w:t>
            </w:r>
          </w:p>
        </w:tc>
        <w:tc>
          <w:tcPr>
            <w:tcW w:w="20" w:type="dxa"/>
            <w:vAlign w:val="bottom"/>
            <w:tcBorders>
              <w:bottom w:val="single" w:sz="8" w:color="0000EE"/>
            </w:tcBorders>
          </w:tcPr>
          <w:p>
            <w:pPr>
              <w:spacing w:after="0"/>
              <w:rPr>
                <w:sz w:val="24"/>
                <w:szCs w:val="24"/>
                <w:color w:val="auto"/>
              </w:rPr>
            </w:pPr>
          </w:p>
        </w:tc>
        <w:tc>
          <w:tcPr>
            <w:tcW w:w="5800" w:type="dxa"/>
            <w:vAlign w:val="bottom"/>
            <w:gridSpan w:val="22"/>
          </w:tcPr>
          <w:p>
            <w:pPr>
              <w:spacing w:after="0"/>
              <w:rPr>
                <w:sz w:val="24"/>
                <w:szCs w:val="24"/>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4"/>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Loan and Security Agreement dated as of December 29, 2020 among Orion Energy Systems, Inc., Bank of America, N.A., as lender, and</w:t>
              </w:r>
            </w:hyperlink>
          </w:p>
        </w:tc>
      </w:tr>
      <w:tr>
        <w:trPr>
          <w:trHeight w:val="20"/>
        </w:trPr>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the subsidiary borrowers party thereto, filed as Exhibit 10.1 to Registrant’s Form 8-K filed on January 5, 2021, is hereby incorporated by</w:t>
              </w:r>
            </w:hyperlink>
          </w:p>
        </w:tc>
      </w:tr>
      <w:tr>
        <w:trPr>
          <w:trHeight w:val="196"/>
        </w:trPr>
        <w:tc>
          <w:tcPr>
            <w:tcW w:w="1140" w:type="dxa"/>
            <w:vAlign w:val="bottom"/>
          </w:tcPr>
          <w:p>
            <w:pPr>
              <w:spacing w:after="0"/>
              <w:rPr>
                <w:sz w:val="17"/>
                <w:szCs w:val="17"/>
                <w:color w:val="auto"/>
              </w:rPr>
            </w:pPr>
          </w:p>
        </w:tc>
        <w:tc>
          <w:tcPr>
            <w:tcW w:w="7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295">
              <w:r>
                <w:rPr>
                  <w:rFonts w:ascii="Times New Roman" w:cs="Times New Roman" w:eastAsia="Times New Roman" w:hAnsi="Times New Roman"/>
                  <w:sz w:val="18"/>
                  <w:szCs w:val="18"/>
                  <w:color w:val="0000FF"/>
                  <w:w w:val="97"/>
                </w:rPr>
                <w:t>reference.</w:t>
              </w:r>
            </w:hyperlink>
          </w:p>
        </w:tc>
        <w:tc>
          <w:tcPr>
            <w:tcW w:w="20" w:type="dxa"/>
            <w:vAlign w:val="bottom"/>
            <w:tcBorders>
              <w:bottom w:val="single" w:sz="8" w:color="0000EE"/>
            </w:tcBorders>
          </w:tcPr>
          <w:p>
            <w:pPr>
              <w:spacing w:after="0"/>
              <w:rPr>
                <w:sz w:val="17"/>
                <w:szCs w:val="17"/>
                <w:color w:val="auto"/>
              </w:rPr>
            </w:pPr>
          </w:p>
        </w:tc>
        <w:tc>
          <w:tcPr>
            <w:tcW w:w="9360" w:type="dxa"/>
            <w:vAlign w:val="bottom"/>
            <w:gridSpan w:val="32"/>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Agreement No. 1 to Loan and Security Agreement, dated effective as of November 4, 2022, among Orion Energy Systems, Inc., Bank of</w:t>
              </w:r>
            </w:hyperlink>
          </w:p>
        </w:tc>
        <w:tc>
          <w:tcPr>
            <w:tcW w:w="22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America, N.A., as lender, and the subsidiary borrowers party thereto, filed as Exhibit 10.4 to the Registrant’s Quarterly Report on Form 10-</w:t>
              </w:r>
            </w:hyperlink>
          </w:p>
        </w:tc>
      </w:tr>
      <w:tr>
        <w:trPr>
          <w:trHeight w:val="196"/>
        </w:trPr>
        <w:tc>
          <w:tcPr>
            <w:tcW w:w="114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Q filed November 8, 2022, is hereby incorporated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5500" w:type="dxa"/>
            <w:vAlign w:val="bottom"/>
            <w:tcBorders>
              <w:top w:val="single" w:sz="8" w:color="0000FF"/>
            </w:tcBorders>
            <w:gridSpan w:val="20"/>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Amendment No. 2 to Loan and Security Agreement, dated effective as of April 22, 2024, among Orion Energy Systems, Inc., Bank of</w:t>
              </w:r>
            </w:hyperlink>
          </w:p>
        </w:tc>
        <w:tc>
          <w:tcPr>
            <w:tcW w:w="4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America, N.A., as lender, and the subsidiary borrowers party thereto, filed as Exhibit 10.1 to Registrant’s Form 8-K filed on April 24, 2024,</w:t>
              </w:r>
            </w:hyperlink>
          </w:p>
        </w:tc>
      </w:tr>
      <w:tr>
        <w:trPr>
          <w:trHeight w:val="196"/>
        </w:trPr>
        <w:tc>
          <w:tcPr>
            <w:tcW w:w="1140" w:type="dxa"/>
            <w:vAlign w:val="bottom"/>
          </w:tcPr>
          <w:p>
            <w:pPr>
              <w:spacing w:after="0"/>
              <w:rPr>
                <w:sz w:val="17"/>
                <w:szCs w:val="17"/>
                <w:color w:val="auto"/>
              </w:rPr>
            </w:pPr>
          </w:p>
        </w:tc>
        <w:tc>
          <w:tcPr>
            <w:tcW w:w="26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is hereby incorporated by reference.</w:t>
              </w:r>
            </w:hyperlink>
          </w:p>
        </w:tc>
        <w:tc>
          <w:tcPr>
            <w:tcW w:w="20" w:type="dxa"/>
            <w:vAlign w:val="bottom"/>
            <w:tcBorders>
              <w:bottom w:val="single" w:sz="8" w:color="0000EE"/>
            </w:tcBorders>
          </w:tcPr>
          <w:p>
            <w:pPr>
              <w:spacing w:after="0"/>
              <w:rPr>
                <w:sz w:val="17"/>
                <w:szCs w:val="17"/>
                <w:color w:val="auto"/>
              </w:rPr>
            </w:pPr>
          </w:p>
        </w:tc>
        <w:tc>
          <w:tcPr>
            <w:tcW w:w="7480" w:type="dxa"/>
            <w:vAlign w:val="bottom"/>
            <w:gridSpan w:val="29"/>
          </w:tcPr>
          <w:p>
            <w:pPr>
              <w:spacing w:after="0"/>
              <w:rPr>
                <w:sz w:val="17"/>
                <w:szCs w:val="17"/>
                <w:color w:val="auto"/>
              </w:rPr>
            </w:pPr>
          </w:p>
        </w:tc>
      </w:tr>
      <w:tr>
        <w:trPr>
          <w:trHeight w:val="465"/>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Orion Energy Systems, Inc. 2004 Stock and Incentive Awards Plan, filed as Exhibit 10.9 to the Registrant’s Form S-1 filed August 20,</w:t>
              </w:r>
            </w:hyperlink>
          </w:p>
        </w:tc>
        <w:tc>
          <w:tcPr>
            <w:tcW w:w="4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2007, is hereby incorporated by reference.*</w:t>
              </w:r>
            </w:hyperlink>
          </w:p>
        </w:tc>
      </w:tr>
      <w:tr>
        <w:trPr>
          <w:trHeight w:val="20"/>
        </w:trPr>
        <w:tc>
          <w:tcPr>
            <w:tcW w:w="114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10.5</w:t>
            </w:r>
          </w:p>
        </w:tc>
        <w:tc>
          <w:tcPr>
            <w:tcW w:w="9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Amendment to Orion Energy Systems, Inc. 2004 Stock and Incentive Awards Plan, filed September 9, 2011 as Appendix A to the</w:t>
              </w:r>
            </w:hyperlink>
          </w:p>
        </w:tc>
        <w:tc>
          <w:tcPr>
            <w:tcW w:w="74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2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Registrant’s definitive proxy statement is hereby incorporated by reference.*</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18"/>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Stock Option Agreement under the Orion Energy Systems, Inc. 2004 Equity Incentive Plan, filed as Exhibit 10.10 to the</w:t>
              </w:r>
            </w:hyperlink>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Registrant’s Form S-1 filed August 20, 2007, is hereby incorporated by reference.*</w:t>
              </w:r>
            </w:hyperlink>
          </w:p>
        </w:tc>
      </w:tr>
      <w:tr>
        <w:trPr>
          <w:trHeight w:val="20"/>
        </w:trPr>
        <w:tc>
          <w:tcPr>
            <w:tcW w:w="114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160" w:type="dxa"/>
            <w:vAlign w:val="bottom"/>
            <w:tcBorders>
              <w:right w:val="single" w:sz="8" w:color="0000EE"/>
            </w:tcBorders>
            <w:gridSpan w:val="1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Form of Stock Option Agreement as of May 14, 2013 under the Orion Energy Systems, Inc. 2004 Stock and Incentive Awards Plan, filed as</w:t>
              </w:r>
            </w:hyperlink>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Exhibit 10.7 to the Registrant’s Form 10-K filed on June 13, 2014, is hereby incorporated by reference.*</w:t>
              </w:r>
            </w:hyperlink>
          </w:p>
        </w:tc>
      </w:tr>
      <w:tr>
        <w:trPr>
          <w:trHeight w:val="20"/>
        </w:trPr>
        <w:tc>
          <w:tcPr>
            <w:tcW w:w="114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160" w:type="dxa"/>
            <w:vAlign w:val="bottom"/>
            <w:tcBorders>
              <w:right w:val="single" w:sz="8" w:color="0000FF"/>
            </w:tcBorders>
            <w:gridSpan w:val="1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Orion Energy Systems, Inc. 2016 Omnibus Incentive Plan, as amended and restated, filed as Annex A to the Registrant’s Definitive Proxy</w:t>
              </w:r>
            </w:hyperlink>
          </w:p>
        </w:tc>
        <w:tc>
          <w:tcPr>
            <w:tcW w:w="1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42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Statement on Schedule 14A filed on June 30, 2023, is hereby incorporated by reference.*</w:t>
              </w:r>
            </w:hyperlink>
          </w:p>
        </w:tc>
        <w:tc>
          <w:tcPr>
            <w:tcW w:w="20" w:type="dxa"/>
            <w:vAlign w:val="bottom"/>
            <w:tcBorders>
              <w:bottom w:val="single" w:sz="8" w:color="0000EE"/>
            </w:tcBorders>
          </w:tcPr>
          <w:p>
            <w:pPr>
              <w:spacing w:after="0"/>
              <w:rPr>
                <w:sz w:val="17"/>
                <w:szCs w:val="17"/>
                <w:color w:val="auto"/>
              </w:rPr>
            </w:pPr>
          </w:p>
        </w:tc>
        <w:tc>
          <w:tcPr>
            <w:tcW w:w="3660" w:type="dxa"/>
            <w:vAlign w:val="bottom"/>
            <w:gridSpan w:val="14"/>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10.9</w:t>
            </w:r>
          </w:p>
        </w:tc>
        <w:tc>
          <w:tcPr>
            <w:tcW w:w="95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Form of Non-Employee Director Tandem Restricted Stock and Cash Award Agreement under the Orion Energy Systems, Inc. 2016</w:t>
              </w:r>
            </w:hyperlink>
          </w:p>
        </w:tc>
        <w:tc>
          <w:tcPr>
            <w:tcW w:w="60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6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Omnibus Incentive Plan, filed as Exhibit 4.5 to the Registrant’s Form S-8 filed August 10, 2016, is hereby incorporated by reference.*</w:t>
              </w:r>
            </w:hyperlink>
          </w:p>
        </w:tc>
        <w:tc>
          <w:tcPr>
            <w:tcW w:w="20" w:type="dxa"/>
            <w:vAlign w:val="bottom"/>
            <w:tcBorders>
              <w:bottom w:val="single" w:sz="8" w:color="0000EE"/>
            </w:tcBorders>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10.10</w:t>
            </w:r>
          </w:p>
        </w:tc>
        <w:tc>
          <w:tcPr>
            <w:tcW w:w="99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Form of Non-Employee Director Restricted Stock Award Agreement under the Orion Energy Systems, Inc. 2016 Omnibus Incentive Plan,</w:t>
              </w:r>
            </w:hyperlink>
          </w:p>
        </w:tc>
        <w:tc>
          <w:tcPr>
            <w:tcW w:w="1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84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filed as Exhibit 4.6 to the Registrant’s Form S-8 filed August 10, 2016, is hereby incorporated by reference.*</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10"/>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10.11</w:t>
            </w:r>
          </w:p>
        </w:tc>
        <w:tc>
          <w:tcPr>
            <w:tcW w:w="98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Form of Executive Tandem Restricted Stock and Cash Award Agreement under the Orion Energy Systems, Inc. 2016 Omnibus Incentive</w:t>
              </w:r>
            </w:hyperlink>
          </w:p>
        </w:tc>
        <w:tc>
          <w:tcPr>
            <w:tcW w:w="22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Plan, filed as Exhibit 4.7 to the Registrant’s Form S-8 filed August 10, 2016, is hereby incorporated by reference.*</w:t>
              </w:r>
            </w:hyperlink>
          </w:p>
        </w:tc>
      </w:tr>
      <w:tr>
        <w:trPr>
          <w:trHeight w:val="20"/>
        </w:trPr>
        <w:tc>
          <w:tcPr>
            <w:tcW w:w="114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160" w:type="dxa"/>
            <w:vAlign w:val="bottom"/>
            <w:tcBorders>
              <w:right w:val="single" w:sz="8" w:color="0000FF"/>
            </w:tcBorders>
            <w:gridSpan w:val="1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10.12</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Form of Executive Restricted Stock Award Agreement under the Orion Energy Systems, Inc. 2016 Omnibus Incentive Plan, filed as Exhibit</w:t>
              </w:r>
            </w:hyperlink>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Registrant’s Form S-8 filed August 10, 2016, is hereby incorporated by reference.*</w:t>
              </w:r>
            </w:hyperlink>
          </w:p>
        </w:tc>
      </w:tr>
      <w:tr>
        <w:trPr>
          <w:trHeight w:val="20"/>
        </w:trPr>
        <w:tc>
          <w:tcPr>
            <w:tcW w:w="114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160" w:type="dxa"/>
            <w:vAlign w:val="bottom"/>
            <w:tcBorders>
              <w:right w:val="single" w:sz="8" w:color="0000FF"/>
            </w:tcBorders>
            <w:gridSpan w:val="1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10.13</w:t>
            </w:r>
          </w:p>
        </w:tc>
        <w:tc>
          <w:tcPr>
            <w:tcW w:w="101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Orion Energy Systems, Inc. Non-Employee Director Compensation Plan, effective as of February 16, 2023, filed as Exhibit 10.12 to the</w:t>
            </w:r>
          </w:p>
        </w:tc>
      </w:tr>
      <w:tr>
        <w:trPr>
          <w:trHeight w:val="196"/>
        </w:trPr>
        <w:tc>
          <w:tcPr>
            <w:tcW w:w="1140" w:type="dxa"/>
            <w:vAlign w:val="bottom"/>
          </w:tcPr>
          <w:p>
            <w:pPr>
              <w:spacing w:after="0"/>
              <w:rPr>
                <w:sz w:val="17"/>
                <w:szCs w:val="17"/>
                <w:color w:val="auto"/>
              </w:rPr>
            </w:pPr>
          </w:p>
        </w:tc>
        <w:tc>
          <w:tcPr>
            <w:tcW w:w="6160" w:type="dxa"/>
            <w:vAlign w:val="bottom"/>
            <w:tcBorders>
              <w:bottom w:val="single" w:sz="8" w:color="0000EE"/>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Registrant's Form 10-K filed on June 12, 2023, is hereby incorporated by reference.*</w:t>
            </w:r>
          </w:p>
        </w:tc>
        <w:tc>
          <w:tcPr>
            <w:tcW w:w="3940" w:type="dxa"/>
            <w:vAlign w:val="bottom"/>
            <w:gridSpan w:val="16"/>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10.14</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Executive Employment and Severance Agreement, effective as of October 19, 2020, between Orion Energy Systems, Inc. and J. Per Brodin,</w:t>
              </w:r>
            </w:hyperlink>
          </w:p>
        </w:tc>
      </w:tr>
      <w:tr>
        <w:trPr>
          <w:trHeight w:val="196"/>
        </w:trPr>
        <w:tc>
          <w:tcPr>
            <w:tcW w:w="1140" w:type="dxa"/>
            <w:vAlign w:val="bottom"/>
          </w:tcPr>
          <w:p>
            <w:pPr>
              <w:spacing w:after="0"/>
              <w:rPr>
                <w:sz w:val="17"/>
                <w:szCs w:val="17"/>
                <w:color w:val="auto"/>
              </w:rPr>
            </w:pPr>
          </w:p>
        </w:tc>
        <w:tc>
          <w:tcPr>
            <w:tcW w:w="824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filed as Exhibit 10.1 to the Registrant's Form 8-K filed on October 15, 2020, is hereby incorporated by reference.*</w:t>
              </w:r>
            </w:hyperlink>
          </w:p>
        </w:tc>
        <w:tc>
          <w:tcPr>
            <w:tcW w:w="1860" w:type="dxa"/>
            <w:vAlign w:val="bottom"/>
            <w:gridSpan w:val="9"/>
          </w:tcPr>
          <w:p>
            <w:pPr>
              <w:spacing w:after="0"/>
              <w:rPr>
                <w:sz w:val="17"/>
                <w:szCs w:val="17"/>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10.15</w:t>
            </w: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Amended and Restated Executive Employment and Severance Agreement, dated as of June 1, 2020, by and between Orion Energy</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Systems, Inc. and Scott A. Green, filed as Exhibit 10.17 to the Registrant's Form 10-K filed on June 1, 2021, is hereby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reference.*</w:t>
              </w:r>
            </w:hyperlink>
          </w:p>
        </w:tc>
      </w:tr>
      <w:tr>
        <w:trPr>
          <w:trHeight w:val="20"/>
        </w:trPr>
        <w:tc>
          <w:tcPr>
            <w:tcW w:w="1140" w:type="dxa"/>
            <w:vAlign w:val="bottom"/>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6700" w:type="dxa"/>
            <w:vAlign w:val="bottom"/>
            <w:gridSpan w:val="19"/>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71"/>
        </w:trPr>
        <w:tc>
          <w:tcPr>
            <w:tcW w:w="11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10.16</w:t>
            </w:r>
          </w:p>
        </w:tc>
        <w:tc>
          <w:tcPr>
            <w:tcW w:w="97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At Market Issuance Sales Agreement between Orion Energy Systems, Inc. and B. Riley Securities, Inc., dated March 26, 2021, filed as</w:t>
              </w:r>
            </w:hyperlink>
          </w:p>
        </w:tc>
        <w:tc>
          <w:tcPr>
            <w:tcW w:w="3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4"/>
          </w:tcPr>
          <w:p>
            <w:pPr>
              <w:spacing w:after="0" w:line="195"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Exhibit 10.1 to the Registrant's Form 8-K filed on March 26, 2021, is hereby incorporated by reference.</w:t>
              </w:r>
            </w:hyperlink>
          </w:p>
        </w:tc>
      </w:tr>
      <w:tr>
        <w:trPr>
          <w:trHeight w:val="614"/>
        </w:trPr>
        <w:tc>
          <w:tcPr>
            <w:tcW w:w="1140" w:type="dxa"/>
            <w:vAlign w:val="bottom"/>
          </w:tcPr>
          <w:p>
            <w:pPr>
              <w:spacing w:after="0"/>
              <w:rPr>
                <w:sz w:val="24"/>
                <w:szCs w:val="24"/>
                <w:color w:val="auto"/>
              </w:rPr>
            </w:pPr>
          </w:p>
        </w:tc>
        <w:tc>
          <w:tcPr>
            <w:tcW w:w="5520" w:type="dxa"/>
            <w:vAlign w:val="bottom"/>
            <w:tcBorders>
              <w:top w:val="single" w:sz="8" w:color="0000FF"/>
            </w:tcBorders>
            <w:gridSpan w:val="15"/>
          </w:tcPr>
          <w:p>
            <w:pPr>
              <w:ind w:left="440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937"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10.17</w:t>
            </w: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Amended Executive Employment and Severance Agreement, effective as of November 10, 2022, by and between Orion Energy Systems,</w:t>
              </w:r>
            </w:hyperlink>
          </w:p>
        </w:tc>
      </w:tr>
      <w:tr>
        <w:trPr>
          <w:trHeight w:val="196"/>
        </w:trPr>
        <w:tc>
          <w:tcPr>
            <w:tcW w:w="98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Inc. and Michael H. Jenkins, filed as Exhibit 10.2 to the Registrant's Form 8-K filed on August 3, 2022, is hereby incorporated by</w:t>
              </w:r>
            </w:hyperlink>
          </w:p>
        </w:tc>
      </w:tr>
      <w:tr>
        <w:trPr>
          <w:trHeight w:val="196"/>
        </w:trPr>
        <w:tc>
          <w:tcPr>
            <w:tcW w:w="980" w:type="dxa"/>
            <w:vAlign w:val="bottom"/>
          </w:tcPr>
          <w:p>
            <w:pPr>
              <w:spacing w:after="0"/>
              <w:rPr>
                <w:sz w:val="17"/>
                <w:szCs w:val="17"/>
                <w:color w:val="auto"/>
              </w:rPr>
            </w:pPr>
          </w:p>
        </w:tc>
        <w:tc>
          <w:tcPr>
            <w:tcW w:w="10100" w:type="dxa"/>
            <w:vAlign w:val="bottom"/>
            <w:gridSpan w:val="21"/>
          </w:tcPr>
          <w:p>
            <w:pPr>
              <w:spacing w:after="0" w:line="195"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reference.*</w:t>
              </w:r>
            </w:hyperlink>
          </w:p>
        </w:tc>
      </w:tr>
      <w:tr>
        <w:trPr>
          <w:trHeight w:val="20"/>
        </w:trPr>
        <w:tc>
          <w:tcPr>
            <w:tcW w:w="98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10.18</w:t>
            </w: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Executive Performance Share Award Agreement under the Orion Energy Systems, Inc. 2016 Omnibus Incentive Plan, filed as</w:t>
              </w:r>
            </w:hyperlink>
          </w:p>
        </w:tc>
      </w:tr>
      <w:tr>
        <w:trPr>
          <w:trHeight w:val="196"/>
        </w:trPr>
        <w:tc>
          <w:tcPr>
            <w:tcW w:w="980" w:type="dxa"/>
            <w:vAlign w:val="bottom"/>
          </w:tcPr>
          <w:p>
            <w:pPr>
              <w:spacing w:after="0"/>
              <w:rPr>
                <w:sz w:val="17"/>
                <w:szCs w:val="17"/>
                <w:color w:val="auto"/>
              </w:rPr>
            </w:pPr>
          </w:p>
        </w:tc>
        <w:tc>
          <w:tcPr>
            <w:tcW w:w="758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Exhibit 10.19 to the Registrant's Form 10-K filed on June 10, 2022, is hereby incorporated by reference.*</w:t>
              </w:r>
            </w:hyperlink>
          </w:p>
        </w:tc>
        <w:tc>
          <w:tcPr>
            <w:tcW w:w="20" w:type="dxa"/>
            <w:vAlign w:val="bottom"/>
            <w:tcBorders>
              <w:bottom w:val="single" w:sz="8" w:color="0000EE"/>
            </w:tcBorders>
          </w:tcPr>
          <w:p>
            <w:pPr>
              <w:spacing w:after="0"/>
              <w:rPr>
                <w:sz w:val="17"/>
                <w:szCs w:val="17"/>
                <w:color w:val="auto"/>
              </w:rPr>
            </w:pPr>
          </w:p>
        </w:tc>
        <w:tc>
          <w:tcPr>
            <w:tcW w:w="2500" w:type="dxa"/>
            <w:vAlign w:val="bottom"/>
            <w:gridSpan w:val="9"/>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10.19</w:t>
            </w: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Non-Employee Director Restricted Stock Award Agreement under the Orion Energy Systems, Inc. 2016 Omnibus Incentive Plan,</w:t>
              </w:r>
            </w:hyperlink>
          </w:p>
        </w:tc>
      </w:tr>
      <w:tr>
        <w:trPr>
          <w:trHeight w:val="196"/>
        </w:trPr>
        <w:tc>
          <w:tcPr>
            <w:tcW w:w="980" w:type="dxa"/>
            <w:vAlign w:val="bottom"/>
          </w:tcPr>
          <w:p>
            <w:pPr>
              <w:spacing w:after="0"/>
              <w:rPr>
                <w:sz w:val="17"/>
                <w:szCs w:val="17"/>
                <w:color w:val="auto"/>
              </w:rPr>
            </w:pPr>
          </w:p>
        </w:tc>
        <w:tc>
          <w:tcPr>
            <w:tcW w:w="820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filed as Exhibit 10.20 to the Registrant's Form 10-K filed on June 10, 2022, is hereby incorporated by reference. *</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7"/>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10.20</w:t>
            </w: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Executive Tandem Restricted Stock and Cash Award Agreement under the Orion Energy Systems, Inc. 2016 Omnibus Incentive</w:t>
              </w:r>
            </w:hyperlink>
          </w:p>
        </w:tc>
      </w:tr>
      <w:tr>
        <w:trPr>
          <w:trHeight w:val="196"/>
        </w:trPr>
        <w:tc>
          <w:tcPr>
            <w:tcW w:w="980" w:type="dxa"/>
            <w:vAlign w:val="bottom"/>
          </w:tcPr>
          <w:p>
            <w:pPr>
              <w:spacing w:after="0"/>
              <w:rPr>
                <w:sz w:val="17"/>
                <w:szCs w:val="17"/>
                <w:color w:val="auto"/>
              </w:rPr>
            </w:pPr>
          </w:p>
        </w:tc>
        <w:tc>
          <w:tcPr>
            <w:tcW w:w="10100" w:type="dxa"/>
            <w:vAlign w:val="bottom"/>
            <w:gridSpan w:val="21"/>
          </w:tcPr>
          <w:p>
            <w:pPr>
              <w:spacing w:after="0" w:line="195"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Plan, filed as Exhibit 10.21 to the Registrant's Form 10-K filed on June 10, 2022, is hereby incorporated by reference. *+</w:t>
              </w:r>
            </w:hyperlink>
          </w:p>
        </w:tc>
      </w:tr>
      <w:tr>
        <w:trPr>
          <w:trHeight w:val="20"/>
        </w:trPr>
        <w:tc>
          <w:tcPr>
            <w:tcW w:w="98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10.21</w:t>
            </w: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Form of Non-Employee Director Tandem Restricted Stock and Cash Award Agreement under the Orion Energy Systems, Inc. 2016</w:t>
              </w:r>
            </w:hyperlink>
          </w:p>
        </w:tc>
      </w:tr>
      <w:tr>
        <w:trPr>
          <w:trHeight w:val="196"/>
        </w:trPr>
        <w:tc>
          <w:tcPr>
            <w:tcW w:w="980" w:type="dxa"/>
            <w:vAlign w:val="bottom"/>
          </w:tcPr>
          <w:p>
            <w:pPr>
              <w:spacing w:after="0"/>
              <w:rPr>
                <w:sz w:val="17"/>
                <w:szCs w:val="17"/>
                <w:color w:val="auto"/>
              </w:rPr>
            </w:pPr>
          </w:p>
        </w:tc>
        <w:tc>
          <w:tcPr>
            <w:tcW w:w="1002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Omnibus Incentive Plan, filed as Exhibit 10.22 to the Registrant's Form 10-K filed on June 10, 2022, is hereby incorporated by reference. *</w:t>
              </w:r>
            </w:hyperlink>
          </w:p>
        </w:tc>
        <w:tc>
          <w:tcPr>
            <w:tcW w:w="20" w:type="dxa"/>
            <w:vAlign w:val="bottom"/>
            <w:tcBorders>
              <w:bottom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10.22</w:t>
            </w: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Form of Executive Restricted Stock Award Agreement under the Orion Energy Systems, Inc. 2016 Omnibus Incentive Plan, filed as Exhibit</w:t>
              </w:r>
            </w:hyperlink>
          </w:p>
        </w:tc>
      </w:tr>
      <w:tr>
        <w:trPr>
          <w:trHeight w:val="196"/>
        </w:trPr>
        <w:tc>
          <w:tcPr>
            <w:tcW w:w="980" w:type="dxa"/>
            <w:vAlign w:val="bottom"/>
          </w:tcPr>
          <w:p>
            <w:pPr>
              <w:spacing w:after="0"/>
              <w:rPr>
                <w:sz w:val="17"/>
                <w:szCs w:val="17"/>
                <w:color w:val="auto"/>
              </w:rPr>
            </w:pPr>
          </w:p>
        </w:tc>
        <w:tc>
          <w:tcPr>
            <w:tcW w:w="710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r>
                <w:rPr>
                  <w:rFonts w:ascii="Times New Roman" w:cs="Times New Roman" w:eastAsia="Times New Roman" w:hAnsi="Times New Roman"/>
                  <w:sz w:val="18"/>
                  <w:szCs w:val="18"/>
                  <w:color w:val="0000FF"/>
                </w:rPr>
                <w:t xml:space="preserve"> to the Registrant's Form 10-K filed on June 10, 2022, is hereby incorporated by reference. *</w:t>
              </w:r>
            </w:hyperlink>
          </w:p>
        </w:tc>
        <w:tc>
          <w:tcPr>
            <w:tcW w:w="3000" w:type="dxa"/>
            <w:vAlign w:val="bottom"/>
            <w:gridSpan w:val="11"/>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10.23</w:t>
            </w:r>
          </w:p>
        </w:tc>
        <w:tc>
          <w:tcPr>
            <w:tcW w:w="10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of Executive Tandem Performance Share and Cash Award Agreement under the Orion Energy Systems, Inc. 2016 Omnibus Incentive</w:t>
            </w:r>
          </w:p>
        </w:tc>
      </w:tr>
      <w:tr>
        <w:trPr>
          <w:trHeight w:val="196"/>
        </w:trPr>
        <w:tc>
          <w:tcPr>
            <w:tcW w:w="98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Plan, effective May 24, 2023, filed as Exhibit 10.24 to the Registrant's Form 10-K filed on June 12, 2023, is hereby incorporated by</w:t>
            </w:r>
          </w:p>
        </w:tc>
      </w:tr>
      <w:tr>
        <w:trPr>
          <w:trHeight w:val="196"/>
        </w:trPr>
        <w:tc>
          <w:tcPr>
            <w:tcW w:w="980" w:type="dxa"/>
            <w:vAlign w:val="bottom"/>
          </w:tcPr>
          <w:p>
            <w:pPr>
              <w:spacing w:after="0"/>
              <w:rPr>
                <w:sz w:val="17"/>
                <w:szCs w:val="17"/>
                <w:color w:val="auto"/>
              </w:rPr>
            </w:pPr>
          </w:p>
        </w:tc>
        <w:tc>
          <w:tcPr>
            <w:tcW w:w="1010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reference.*</w:t>
            </w:r>
          </w:p>
        </w:tc>
      </w:tr>
      <w:tr>
        <w:trPr>
          <w:trHeight w:val="20"/>
        </w:trPr>
        <w:tc>
          <w:tcPr>
            <w:tcW w:w="98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10.24</w:t>
            </w:r>
          </w:p>
        </w:tc>
        <w:tc>
          <w:tcPr>
            <w:tcW w:w="10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of Non-Employee Director Tandem Restricted Stock and Cash Award Agreement under the Orion Energy Systems, Inc. 2016</w:t>
            </w:r>
          </w:p>
        </w:tc>
      </w:tr>
      <w:tr>
        <w:trPr>
          <w:trHeight w:val="196"/>
        </w:trPr>
        <w:tc>
          <w:tcPr>
            <w:tcW w:w="98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Omnibus Incentive Plan, effective May 24, 2023, filed as Exhibit 10.25 to the Registrant's Form 10-K filed on June 12, 2023, is hereby</w:t>
            </w:r>
          </w:p>
        </w:tc>
      </w:tr>
      <w:tr>
        <w:trPr>
          <w:trHeight w:val="196"/>
        </w:trPr>
        <w:tc>
          <w:tcPr>
            <w:tcW w:w="980" w:type="dxa"/>
            <w:vAlign w:val="bottom"/>
          </w:tcPr>
          <w:p>
            <w:pPr>
              <w:spacing w:after="0"/>
              <w:rPr>
                <w:sz w:val="17"/>
                <w:szCs w:val="17"/>
                <w:color w:val="auto"/>
              </w:rPr>
            </w:pPr>
          </w:p>
        </w:tc>
        <w:tc>
          <w:tcPr>
            <w:tcW w:w="202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incorporated by reference.*</w:t>
            </w:r>
          </w:p>
        </w:tc>
        <w:tc>
          <w:tcPr>
            <w:tcW w:w="8080" w:type="dxa"/>
            <w:vAlign w:val="bottom"/>
            <w:gridSpan w:val="16"/>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10.25</w:t>
            </w:r>
          </w:p>
        </w:tc>
        <w:tc>
          <w:tcPr>
            <w:tcW w:w="10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of Executive Tandem Restricted Stock and Cash Award Agreement under the Orion Energy Systems, Inc. 2016 Omnibus Incentive</w:t>
            </w:r>
          </w:p>
        </w:tc>
      </w:tr>
      <w:tr>
        <w:trPr>
          <w:trHeight w:val="196"/>
        </w:trPr>
        <w:tc>
          <w:tcPr>
            <w:tcW w:w="98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Plan, effective May 24, 2023, filed as Exhibit 10.26 to the Registrant's Form 10-K filed on June 12, 2023, is hereby incorporated by</w:t>
            </w:r>
          </w:p>
        </w:tc>
      </w:tr>
      <w:tr>
        <w:trPr>
          <w:trHeight w:val="196"/>
        </w:trPr>
        <w:tc>
          <w:tcPr>
            <w:tcW w:w="980" w:type="dxa"/>
            <w:vAlign w:val="bottom"/>
          </w:tcPr>
          <w:p>
            <w:pPr>
              <w:spacing w:after="0"/>
              <w:rPr>
                <w:sz w:val="17"/>
                <w:szCs w:val="17"/>
                <w:color w:val="auto"/>
              </w:rPr>
            </w:pPr>
          </w:p>
        </w:tc>
        <w:tc>
          <w:tcPr>
            <w:tcW w:w="1010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reference.*</w:t>
            </w:r>
          </w:p>
        </w:tc>
      </w:tr>
      <w:tr>
        <w:trPr>
          <w:trHeight w:val="20"/>
        </w:trPr>
        <w:tc>
          <w:tcPr>
            <w:tcW w:w="98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10.26</w:t>
            </w:r>
          </w:p>
        </w:tc>
        <w:tc>
          <w:tcPr>
            <w:tcW w:w="10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Cooperation Agreement, dated January 3, 2023, by and among Orion Energy Systems, Inc., Kanen Wealth Management, LLC, Philotimo</w:t>
            </w:r>
          </w:p>
        </w:tc>
      </w:tr>
      <w:tr>
        <w:trPr>
          <w:trHeight w:val="196"/>
        </w:trPr>
        <w:tc>
          <w:tcPr>
            <w:tcW w:w="98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w w:val="99"/>
              </w:rPr>
              <w:t>Fund, LP and David Kanen and Charles McDulin (incorporated by reference to Exhibit 10.1 to the Company’s Current Report on Form 8-K</w:t>
            </w:r>
          </w:p>
        </w:tc>
      </w:tr>
      <w:tr>
        <w:trPr>
          <w:trHeight w:val="196"/>
        </w:trPr>
        <w:tc>
          <w:tcPr>
            <w:tcW w:w="980" w:type="dxa"/>
            <w:vAlign w:val="bottom"/>
          </w:tcPr>
          <w:p>
            <w:pPr>
              <w:spacing w:after="0"/>
              <w:rPr>
                <w:sz w:val="17"/>
                <w:szCs w:val="17"/>
                <w:color w:val="auto"/>
              </w:rPr>
            </w:pPr>
          </w:p>
        </w:tc>
        <w:tc>
          <w:tcPr>
            <w:tcW w:w="1010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filed on January 4, 2023).</w:t>
            </w:r>
          </w:p>
        </w:tc>
      </w:tr>
      <w:tr>
        <w:trPr>
          <w:trHeight w:val="20"/>
        </w:trPr>
        <w:tc>
          <w:tcPr>
            <w:tcW w:w="98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10.27</w:t>
            </w:r>
          </w:p>
        </w:tc>
        <w:tc>
          <w:tcPr>
            <w:tcW w:w="9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Consulting Agreement, dated as of August 2, 2022 and effective as of August 4, 2022, between Orion Energy Systems, Inc. and Alan</w:t>
            </w:r>
          </w:p>
        </w:tc>
        <w:tc>
          <w:tcPr>
            <w:tcW w:w="48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10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Howe, filed as Exhibit 10.3 to the Registrant's Form 8-K filed on August 3, 2022, is hereby incorporated by reference.*</w:t>
            </w: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21.1</w:t>
            </w:r>
          </w:p>
        </w:tc>
        <w:tc>
          <w:tcPr>
            <w:tcW w:w="85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Subsidiaries of Orion Energy Systems, Inc.+</w:t>
            </w:r>
          </w:p>
        </w:tc>
        <w:tc>
          <w:tcPr>
            <w:tcW w:w="1520" w:type="dxa"/>
            <w:vAlign w:val="bottom"/>
            <w:gridSpan w:val="6"/>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w:t>
            </w:r>
          </w:p>
        </w:tc>
      </w:tr>
      <w:tr>
        <w:trPr>
          <w:trHeight w:val="20"/>
        </w:trPr>
        <w:tc>
          <w:tcPr>
            <w:tcW w:w="98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Orion Energy Systems, Inc. pursuant to Rule 13a-14(a) or Rule 15d-14(a) promulgated under the</w:t>
            </w:r>
          </w:p>
        </w:tc>
      </w:tr>
      <w:tr>
        <w:trPr>
          <w:trHeight w:val="196"/>
        </w:trPr>
        <w:tc>
          <w:tcPr>
            <w:tcW w:w="980" w:type="dxa"/>
            <w:vAlign w:val="bottom"/>
          </w:tcPr>
          <w:p>
            <w:pPr>
              <w:spacing w:after="0"/>
              <w:rPr>
                <w:sz w:val="17"/>
                <w:szCs w:val="17"/>
                <w:color w:val="auto"/>
              </w:rPr>
            </w:pPr>
          </w:p>
        </w:tc>
        <w:tc>
          <w:tcPr>
            <w:tcW w:w="350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9"/>
              </w:rPr>
              <w:t>Securities Exchange Act of 1934, as amended. +</w:t>
            </w:r>
          </w:p>
        </w:tc>
        <w:tc>
          <w:tcPr>
            <w:tcW w:w="20" w:type="dxa"/>
            <w:vAlign w:val="bottom"/>
            <w:tcBorders>
              <w:bottom w:val="single" w:sz="8" w:color="0000EE"/>
            </w:tcBorders>
          </w:tcPr>
          <w:p>
            <w:pPr>
              <w:spacing w:after="0"/>
              <w:rPr>
                <w:sz w:val="17"/>
                <w:szCs w:val="17"/>
                <w:color w:val="auto"/>
              </w:rPr>
            </w:pPr>
          </w:p>
        </w:tc>
        <w:tc>
          <w:tcPr>
            <w:tcW w:w="6580" w:type="dxa"/>
            <w:vAlign w:val="bottom"/>
            <w:gridSpan w:val="13"/>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Orion Energy Systems, Inc. pursuant to Rule 13a-14(a) or Rule 15d-14(a) promulgated under the</w:t>
            </w:r>
          </w:p>
        </w:tc>
      </w:tr>
      <w:tr>
        <w:trPr>
          <w:trHeight w:val="196"/>
        </w:trPr>
        <w:tc>
          <w:tcPr>
            <w:tcW w:w="980" w:type="dxa"/>
            <w:vAlign w:val="bottom"/>
          </w:tcPr>
          <w:p>
            <w:pPr>
              <w:spacing w:after="0"/>
              <w:rPr>
                <w:sz w:val="17"/>
                <w:szCs w:val="17"/>
                <w:color w:val="auto"/>
              </w:rPr>
            </w:pPr>
          </w:p>
        </w:tc>
        <w:tc>
          <w:tcPr>
            <w:tcW w:w="350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9"/>
              </w:rPr>
              <w:t>Securities Exchange Act of 1934, as amended. +</w:t>
            </w:r>
          </w:p>
        </w:tc>
        <w:tc>
          <w:tcPr>
            <w:tcW w:w="20" w:type="dxa"/>
            <w:vAlign w:val="bottom"/>
            <w:tcBorders>
              <w:bottom w:val="single" w:sz="8" w:color="0000EE"/>
            </w:tcBorders>
          </w:tcPr>
          <w:p>
            <w:pPr>
              <w:spacing w:after="0"/>
              <w:rPr>
                <w:sz w:val="17"/>
                <w:szCs w:val="17"/>
                <w:color w:val="auto"/>
              </w:rPr>
            </w:pPr>
          </w:p>
        </w:tc>
        <w:tc>
          <w:tcPr>
            <w:tcW w:w="6580" w:type="dxa"/>
            <w:vAlign w:val="bottom"/>
            <w:gridSpan w:val="13"/>
          </w:tcPr>
          <w:p>
            <w:pPr>
              <w:spacing w:after="0"/>
              <w:rPr>
                <w:sz w:val="17"/>
                <w:szCs w:val="17"/>
                <w:color w:val="auto"/>
              </w:rPr>
            </w:pPr>
          </w:p>
        </w:tc>
      </w:tr>
      <w:tr>
        <w:trPr>
          <w:trHeight w:val="371"/>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of Orion Energy Systems, Inc. pursuant to Rule 13a-14(b) promulgated</w:t>
            </w:r>
          </w:p>
        </w:tc>
        <w:tc>
          <w:tcPr>
            <w:tcW w:w="20" w:type="dxa"/>
            <w:vAlign w:val="bottom"/>
            <w:tcBorders>
              <w:bottom w:val="single" w:sz="8" w:color="0000EE"/>
            </w:tcBorders>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under the Securities Exchange Act of 1934, as amended, and 18 U.S.C. Section 1350, as adopted pursuant to Section 906 of the Sarbanes-</w:t>
            </w:r>
          </w:p>
        </w:tc>
      </w:tr>
      <w:tr>
        <w:trPr>
          <w:trHeight w:val="196"/>
        </w:trPr>
        <w:tc>
          <w:tcPr>
            <w:tcW w:w="98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8"/>
              </w:rPr>
              <w:t>Oxley Act of 2002. +</w:t>
            </w:r>
          </w:p>
        </w:tc>
        <w:tc>
          <w:tcPr>
            <w:tcW w:w="20" w:type="dxa"/>
            <w:vAlign w:val="bottom"/>
            <w:tcBorders>
              <w:bottom w:val="single" w:sz="8" w:color="0000EE"/>
            </w:tcBorders>
          </w:tcPr>
          <w:p>
            <w:pPr>
              <w:spacing w:after="0"/>
              <w:rPr>
                <w:sz w:val="17"/>
                <w:szCs w:val="17"/>
                <w:color w:val="auto"/>
              </w:rPr>
            </w:pPr>
          </w:p>
        </w:tc>
        <w:tc>
          <w:tcPr>
            <w:tcW w:w="8540" w:type="dxa"/>
            <w:vAlign w:val="bottom"/>
            <w:gridSpan w:val="18"/>
          </w:tcPr>
          <w:p>
            <w:pPr>
              <w:spacing w:after="0"/>
              <w:rPr>
                <w:sz w:val="17"/>
                <w:szCs w:val="17"/>
                <w:color w:val="auto"/>
              </w:rPr>
            </w:pPr>
          </w:p>
        </w:tc>
      </w:tr>
      <w:tr>
        <w:trPr>
          <w:trHeight w:val="412"/>
        </w:trPr>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97</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Orion Energy Systems, Inc. Compensation Recovery Policy. +</w:t>
            </w:r>
          </w:p>
        </w:tc>
      </w:tr>
      <w:tr>
        <w:trPr>
          <w:trHeight w:val="485"/>
        </w:trPr>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101.INS Inline XBRL Instance Document+</w:t>
            </w:r>
          </w:p>
        </w:tc>
      </w:tr>
      <w:tr>
        <w:trPr>
          <w:trHeight w:val="391"/>
        </w:trPr>
        <w:tc>
          <w:tcPr>
            <w:tcW w:w="980" w:type="dxa"/>
            <w:vAlign w:val="bottom"/>
          </w:tcPr>
          <w:p>
            <w:pPr>
              <w:spacing w:after="0"/>
              <w:rPr>
                <w:sz w:val="24"/>
                <w:szCs w:val="24"/>
                <w:color w:val="auto"/>
              </w:rPr>
            </w:pP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tc>
      </w:tr>
      <w:tr>
        <w:trPr>
          <w:trHeight w:val="391"/>
        </w:trPr>
        <w:tc>
          <w:tcPr>
            <w:tcW w:w="980" w:type="dxa"/>
            <w:vAlign w:val="bottom"/>
          </w:tcPr>
          <w:p>
            <w:pPr>
              <w:spacing w:after="0"/>
              <w:rPr>
                <w:sz w:val="24"/>
                <w:szCs w:val="24"/>
                <w:color w:val="auto"/>
              </w:rPr>
            </w:pP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tc>
      </w:tr>
    </w:tbl>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184" w:lineRule="exact"/>
        <w:rPr>
          <w:sz w:val="20"/>
          <w:szCs w:val="20"/>
          <w:color w:val="auto"/>
        </w:rPr>
      </w:pPr>
    </w:p>
    <w:p>
      <w:pPr>
        <w:ind w:left="980" w:hanging="842"/>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March 31, 2024, has been formatted in Inline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984" w:right="359" w:bottom="1005" w:gutter="0" w:footer="0" w:header="0"/>
        </w:sectPr>
      </w:pPr>
    </w:p>
    <w:bookmarkStart w:id="84" w:name="page85"/>
    <w:bookmarkEnd w:id="84"/>
    <w:p>
      <w:pPr>
        <w:ind w:left="500"/>
        <w:spacing w:after="0"/>
        <w:rPr>
          <w:sz w:val="20"/>
          <w:szCs w:val="20"/>
          <w:color w:val="auto"/>
        </w:rPr>
      </w:pPr>
      <w:r>
        <w:rPr>
          <w:rFonts w:ascii="Times New Roman" w:cs="Times New Roman" w:eastAsia="Times New Roman" w:hAnsi="Times New Roman"/>
          <w:sz w:val="18"/>
          <w:szCs w:val="18"/>
          <w:color w:val="auto"/>
        </w:rPr>
        <w:t>Documents incorporated by reference by Orion Energy Systems, Inc. are filed with the Securities and Exchange Commission under File No. 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33887.</w:t>
      </w:r>
    </w:p>
    <w:p>
      <w:pPr>
        <w:spacing w:after="0" w:line="206" w:lineRule="exact"/>
        <w:rPr>
          <w:sz w:val="20"/>
          <w:szCs w:val="20"/>
          <w:color w:val="auto"/>
        </w:rPr>
      </w:pPr>
    </w:p>
    <w:p>
      <w:pPr>
        <w:ind w:right="6760" w:firstLine="8"/>
        <w:spacing w:after="0" w:line="281" w:lineRule="auto"/>
        <w:tabs>
          <w:tab w:leader="none" w:pos="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12, 2024.</w:t>
      </w:r>
    </w:p>
    <w:p>
      <w:pPr>
        <w:spacing w:after="0" w:line="20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184" w:lineRule="exact"/>
        <w:rPr>
          <w:sz w:val="20"/>
          <w:szCs w:val="20"/>
          <w:color w:val="auto"/>
        </w:rPr>
      </w:pPr>
    </w:p>
    <w:p>
      <w:pPr>
        <w:ind w:left="7220"/>
        <w:spacing w:after="0"/>
        <w:tabs>
          <w:tab w:leader="none" w:pos="7700" w:val="left"/>
        </w:tabs>
        <w:rPr>
          <w:sz w:val="20"/>
          <w:szCs w:val="20"/>
          <w:color w:val="auto"/>
        </w:rPr>
      </w:pPr>
      <w:r>
        <w:rPr>
          <w:rFonts w:ascii="Times New Roman" w:cs="Times New Roman" w:eastAsia="Times New Roman" w:hAnsi="Times New Roman"/>
          <w:sz w:val="18"/>
          <w:szCs w:val="18"/>
          <w:color w:val="auto"/>
        </w:rPr>
        <w:t>By:</w:t>
        <w:tab/>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26035</wp:posOffset>
            </wp:positionV>
            <wp:extent cx="22434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2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3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5" w:lineRule="exact"/>
        <w:rPr>
          <w:sz w:val="20"/>
          <w:szCs w:val="20"/>
          <w:color w:val="auto"/>
        </w:rPr>
      </w:pPr>
    </w:p>
    <w:p>
      <w:pPr>
        <w:ind w:right="20" w:firstLine="49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in the capacities indicated on June 12, 2024.</w:t>
      </w:r>
    </w:p>
    <w:p>
      <w:pPr>
        <w:sectPr>
          <w:pgSz w:w="11900" w:h="16838" w:orient="portrait"/>
          <w:cols w:equalWidth="0" w:num="1">
            <w:col w:w="11240"/>
          </w:cols>
          <w:pgMar w:left="320" w:top="980" w:right="339" w:bottom="1440" w:gutter="0" w:footer="0" w:header="0"/>
        </w:sectPr>
      </w:pPr>
    </w:p>
    <w:p>
      <w:pPr>
        <w:spacing w:after="0" w:line="26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5020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020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38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020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J. Per Brodin</w:t>
      </w:r>
    </w:p>
    <w:p>
      <w:pPr>
        <w:spacing w:after="0" w:line="18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 Anthony L. Otten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020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Anthony L. Otten</w:t>
      </w:r>
    </w:p>
    <w:p>
      <w:pPr>
        <w:spacing w:after="0" w:line="18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color w:val="auto"/>
        </w:rPr>
        <w:t>/s/ Heather L. Wishart-Smith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020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4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Heather L. Wishart-Smith</w:t>
      </w:r>
    </w:p>
    <w:p>
      <w:pPr>
        <w:spacing w:after="0" w:line="18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Ellen B. Richstone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020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Ellen B. Richstone</w:t>
      </w:r>
    </w:p>
    <w:p>
      <w:pPr>
        <w:spacing w:after="0" w:line="18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 Sally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020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Sally Washlow</w:t>
      </w:r>
    </w:p>
    <w:p>
      <w:pPr>
        <w:spacing w:after="0" w:line="18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Richard A.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34423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3442335" cy="8255"/>
                    </a:xfrm>
                    <a:prstGeom prst="rect">
                      <a:avLst/>
                    </a:prstGeom>
                    <a:noFill/>
                  </pic:spPr>
                </pic:pic>
              </a:graphicData>
            </a:graphic>
          </wp:anchor>
        </w:drawing>
      </w:r>
    </w:p>
    <w:p>
      <w:pPr>
        <w:spacing w:after="0" w:line="4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Richard A. Shapiro</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16510</wp:posOffset>
            </wp:positionV>
            <wp:extent cx="34937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84"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Chief Financial Officer, Executive Vice President, Chief Accounting Officer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Chair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42" w:lineRule="exact"/>
        <w:rPr>
          <w:sz w:val="20"/>
          <w:szCs w:val="20"/>
          <w:color w:val="auto"/>
        </w:rPr>
      </w:pPr>
    </w:p>
    <w:p>
      <w:pPr>
        <w:sectPr>
          <w:pgSz w:w="11900" w:h="16838" w:orient="portrait"/>
          <w:cols w:equalWidth="0" w:num="2">
            <w:col w:w="5080" w:space="720"/>
            <w:col w:w="5440"/>
          </w:cols>
          <w:pgMar w:left="320" w:top="980"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6"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Our authorized capital stock consists of 230,000,000 shares, consisting of 200,000,000 shares of common stock, no par value per share, and 30,000,000 shares of preferred stock, par value $0.01 per share.</w:t>
      </w:r>
    </w:p>
    <w:p>
      <w:pPr>
        <w:spacing w:after="0" w:line="163"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The description below summarizes the material terms of our common stock, preferred stock and provisions of our amended and restated articles of incorporation and amended and restated bylaws. This description is only a summary. For more detailed information, you should refer to our amended and restated articles of incorporation and bylaws filed as exhibits to our most recent Annual Report on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shareholders and do not have cumulative voting rights. Holders of common stock are entitled to receive proportionately any dividends as may be declared by our board of directors, subject to any preferential dividend rights of outstanding preferred stock.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is authorized to issue from time to time up to 30 million shares of preferred stock in one or more series without shareholder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on the rights of holders of common stock until our board of directors determines the specific rights associated with that preferred stock. The effects of issuing preferred stock could include one or more of the following:</w:t>
      </w:r>
    </w:p>
    <w:p>
      <w:pPr>
        <w:spacing w:after="0" w:line="101" w:lineRule="exact"/>
        <w:rPr>
          <w:sz w:val="20"/>
          <w:szCs w:val="20"/>
          <w:color w:val="auto"/>
        </w:rPr>
      </w:pPr>
    </w:p>
    <w:p>
      <w:pPr>
        <w:ind w:left="920" w:hanging="332"/>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amount of earnings and assets available for distribution to holders of common stock;</w:t>
      </w:r>
    </w:p>
    <w:p>
      <w:pPr>
        <w:spacing w:after="0" w:line="157"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57"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57"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57"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changes in our control or management.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Wisconsin Anti-Takeover Law and Certain Articles of Incorporation and Bylaw Provisions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Wisconsin law and our amended and restated articles of incorporation and amended and restated bylaws that will be effective upon closing of this offering contain provisions that could delay or prevent a change of control of our company or changes in our board of directors that our shareholders might consider favorable. The following is a summary of these provisions.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Articles of Incorporation and Amended and Restated Bylaws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 for cause</w:t>
      </w:r>
      <w:r>
        <w:rPr>
          <w:rFonts w:ascii="Times New Roman" w:cs="Times New Roman" w:eastAsia="Times New Roman" w:hAnsi="Times New Roman"/>
          <w:sz w:val="18"/>
          <w:szCs w:val="18"/>
          <w:color w:val="auto"/>
        </w:rPr>
        <w:t>. Our amended and restated articles of incorporation and amended and restated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our board of directors is divided into three classes, with the term of office of each class expiring at successive annual meetings of shareholders. At each annual meeting of shareholders, each director is elected for a term ending on the date of the third annual shareholders’ meeting</w:t>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7" w:name="page88"/>
    <w:bookmarkEnd w:id="87"/>
    <w:p>
      <w:pPr>
        <w:spacing w:after="0" w:line="8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following the annual shareholders’ meeting at which such director was elected and until his or her successor shall be elected and shall qualify, subject to prior death, resignation or removal from office.</w:t>
      </w:r>
    </w:p>
    <w:p>
      <w:pPr>
        <w:spacing w:after="0" w:line="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also provide that the affirmative vote of shareholders possessing at least 75% of the voting power of the then outstanding shares of our capital stock is required to amend, alter, change or repeal, or to adopt any provision inconsistent with, the relevant sections of the bylaws establishing the classified board. The board of directors (or its remaining members, even if less than a quorum) is also empowered to fill vacancies on the board of directors occurring for any reason for the remainder of the term of the class of directors in which the vacancy occurred, unless the vacancy was caused by the action of shareholders (in which event such vacancy will be filled by the shareholders and may not be filled by the directors).</w:t>
      </w:r>
    </w:p>
    <w:p>
      <w:pPr>
        <w:spacing w:after="0" w:line="186"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Members of the board of directors may be removed only for cause at a meeting of the shareholders called for the purpose of removing the director, and the meeting notice must state that the purpose, or one of the purposes, of the meeting is removal of the director and must state the alleged cause upon which the director’s removal would be based.</w:t>
      </w:r>
    </w:p>
    <w:p>
      <w:pPr>
        <w:spacing w:after="0" w:line="177"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These provisions are likely to increase the time required for shareholders to change the composition of our board of directors. For example, in general, at least two annual meetings will be necessary for shareholders to effect a change in a majority of the members of our board of directors.</w:t>
      </w:r>
    </w:p>
    <w:p>
      <w:pPr>
        <w:spacing w:after="0" w:line="16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Advance notice provisions for shareholder proposals and shareholder nominations of directors</w:t>
      </w:r>
      <w:r>
        <w:rPr>
          <w:rFonts w:ascii="Times New Roman" w:cs="Times New Roman" w:eastAsia="Times New Roman" w:hAnsi="Times New Roman"/>
          <w:sz w:val="18"/>
          <w:szCs w:val="18"/>
          <w:color w:val="auto"/>
        </w:rPr>
        <w:t>. Our amended and restated bylaws provide that,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nominations to the board of directors or for other business to be properly brought by a shareholder before a meeting of shareholders, the shareholder must first have given timely notice of the proposal in writing to our secretary. For an annual meeting, a shareholder’s notice generally must be delivered on or before December 31 of the year immediately preceding the annual meeting, unless the date of the annual meeting is on or after May 1 in any year, in which case notice must be received not later than the close of business on the day which is determined by adding to December 31 of the year immediately preceding such annual meeting the number of days starting with May 1 and ending on the date of the annual meeting in such year. Detailed requirements as to the form of the notice and information required in the notice are specified in the amended and restated bylaws. If it is determined that business was not properly brought before a meeting in accordance with our amended and restated bylaws, such business will not be conducted at the meeting.</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Wisconsin Business Corporation Law</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Sections 180.1140 to 180.1144 of the Wisconsin Business Corporation Law, or the WBCL, restrict a broad range of business combinations between a Wisconsin corporation and an “interested stockholder” for a period of three years unless specified conditions are met. The WBCL defines a “business combination” as including certain mergers or share exchanges, sales of assets, issuances of stock or rights to purchase stock and other related party transactions. An “interested stockholder” is a person who beneficially owns, directly or indirectly, 10% of the outstanding voting stock of a corporation or who is an affiliate or associate of the corporation and beneficially owned 10% of the voting stock within the last three years. During the initial three-year period after a person becomes an interested stockholder in a Wisconsin corporation, with some exceptions, the WBCL prohibits a business combination with the interested stockholder unless the corporation’s board of directors approved the business combination or the acquisition of the stock by the interested stockholder prior to the acquisition date. Following this three-year period, the WBCL also prohibits a business combination with an interested stockholder unless:</w:t>
      </w:r>
    </w:p>
    <w:p>
      <w:pPr>
        <w:spacing w:after="0" w:line="226" w:lineRule="exact"/>
        <w:rPr>
          <w:sz w:val="20"/>
          <w:szCs w:val="20"/>
          <w:color w:val="auto"/>
        </w:rPr>
      </w:pPr>
    </w:p>
    <w:p>
      <w:pPr>
        <w:ind w:left="920" w:hanging="332"/>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approved the acquisition of the stock prior to the acquisition date;</w:t>
      </w:r>
    </w:p>
    <w:p>
      <w:pPr>
        <w:spacing w:after="0" w:line="278"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a majority of the outstanding voting stock not owned by the interested stockholder;</w:t>
      </w:r>
    </w:p>
    <w:p>
      <w:pPr>
        <w:spacing w:after="0" w:line="278"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received by shareholders meets certain requirements of the statute with respect to form and amount; or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ind w:left="920" w:hanging="332"/>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of a type specifically excluded from the coverage of the statute.</w:t>
      </w:r>
    </w:p>
    <w:p>
      <w:pPr>
        <w:spacing w:after="0" w:line="17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Sections 180.1130 to 180.1133 of the WBCL govern certain mergers or share exchanges between public Wisconsin corporations and significant shareholders, and sales of all or substantially all of the assets of public Wisconsin corporations to significant shareholders. These transactions must be approved by 80% of all shareholders and two-thirds of shareholders other than the significant shareholder, unless the shareholders receive a statutory “fair price.” Section 180.1130 of the WBCL generally defines a “significant shareholder” as the beneficial owner of 10% or more of the voting power of the outstanding voting shares, or an affiliate of the corporation who beneficially owned 10% or more of the voting power of the then outstanding shares within the last two years.</w:t>
      </w:r>
    </w:p>
    <w:p>
      <w:pPr>
        <w:spacing w:after="0" w:line="18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Section 180.1150 of the WBCL provides that in particular circumstances the voting power of shares of a public Wisconsin corporation held by any person in excess of 20% of the voting power is limited to 10% of the voting power these excess shares would otherwise have. Full voting power may be restored if a majority of the voting power of shares represented at a meeting, including those held by the party seeking restoration, are voted in favor of the restoration. This voting restriction does not apply to shares acquired directly from the corporation.</w:t>
      </w:r>
    </w:p>
    <w:p>
      <w:pPr>
        <w:spacing w:after="0" w:line="18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Section 180.1134 of the WBCL requires shareholder approval for some transactions in the context of a tender offer or similar action for more than 5% of any class of a Wisconsin corporation’s stock. Shareholder approval is required for the acquisition of more than 5% of the corporation’s stock at a price above market value from any person who holds more than 3% of the voting shares and has held the shares for less than two years, unless the corporation makes an equal offer to acquire all shares. Shareholder approval is also required for the sale or option of assets that amount to at least 10% of the market value of the corporation, but this requirement does not apply if the corporation has at least three independent directors and a majority of the independent directors vote not to have this provision apply to the corporation.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Directors’ Liability and Indemnification</w:t>
      </w:r>
    </w:p>
    <w:p>
      <w:pPr>
        <w:spacing w:after="0" w:line="121"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or required by Wisconsin law, we will indemnify all of our directors and officers, any trustee of any of our employee benefit plans, and person who is serving at our request as a director, officer, employee or agent of another entity, against certain liabilities and losses incurred in connection with these positions or services. We will indemnify these parties to the extent the parties are successful in the defense of a proceeding and in proceedings in which the party is not successful in defense of the proceeding unless, in the latter case only, it is determined that the party breached or failed to perform his or her duties to us and this breach or failure constituted:</w:t>
      </w:r>
    </w:p>
    <w:p>
      <w:pPr>
        <w:spacing w:after="0" w:line="101" w:lineRule="exact"/>
        <w:rPr>
          <w:sz w:val="20"/>
          <w:szCs w:val="20"/>
          <w:color w:val="auto"/>
        </w:rPr>
      </w:pPr>
    </w:p>
    <w:p>
      <w:pPr>
        <w:ind w:left="920" w:right="80" w:hanging="332"/>
        <w:spacing w:after="0" w:line="281" w:lineRule="auto"/>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failure to deal fairly with us or our shareholders in connection with a matter in which the director or officer has a material conflict of interest;</w:t>
      </w:r>
    </w:p>
    <w:p>
      <w:pPr>
        <w:spacing w:after="0" w:line="95"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director or officer had reasonable cause to believe his or her conduct was unlawful;</w:t>
      </w:r>
    </w:p>
    <w:p>
      <w:pPr>
        <w:spacing w:after="0" w:line="157"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or officer derived an improper personal profit; or</w:t>
      </w:r>
    </w:p>
    <w:p>
      <w:pPr>
        <w:spacing w:after="0" w:line="157" w:lineRule="exact"/>
        <w:rPr>
          <w:rFonts w:ascii="Times New Roman" w:cs="Times New Roman" w:eastAsia="Times New Roman" w:hAnsi="Times New Roman"/>
          <w:sz w:val="18"/>
          <w:szCs w:val="18"/>
          <w:color w:val="auto"/>
        </w:rPr>
      </w:pPr>
    </w:p>
    <w:p>
      <w:pPr>
        <w:ind w:left="920" w:hanging="332"/>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38" w:lineRule="exact"/>
        <w:rPr>
          <w:sz w:val="20"/>
          <w:szCs w:val="20"/>
          <w:color w:val="auto"/>
        </w:rPr>
      </w:pPr>
    </w:p>
    <w:p>
      <w:pPr>
        <w:ind w:right="60" w:firstLine="509"/>
        <w:spacing w:after="0" w:line="288" w:lineRule="auto"/>
        <w:rPr>
          <w:sz w:val="20"/>
          <w:szCs w:val="20"/>
          <w:color w:val="auto"/>
        </w:rPr>
      </w:pPr>
      <w:r>
        <w:rPr>
          <w:rFonts w:ascii="Times New Roman" w:cs="Times New Roman" w:eastAsia="Times New Roman" w:hAnsi="Times New Roman"/>
          <w:sz w:val="17"/>
          <w:szCs w:val="17"/>
          <w:color w:val="auto"/>
        </w:rPr>
        <w:t>Our amended and restated bylaws provide that we are required to indemnify our directors and executive officers and may indemnify our employees and other agents to the fullest extent required or permitted by Wisconsin law. Additionally, our amended and restated bylaws require us under certain circumstances to advance reasonable expenses incurred by a director or officer who is a party to a proceeding for which indemnification may be available.</w:t>
      </w:r>
    </w:p>
    <w:p>
      <w:pPr>
        <w:spacing w:after="0" w:line="15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Wisconsin law further provides that it is the public policy of the State of Wisconsin to require or permit indemnification, allowance of expenses and insurance to the extent required or permitted under Wisconsin law for any liability incurred in connection with a proceeding involving a federal or state statute, rule or regulation regulating the offer, sale or purchase of securities.</w:t>
      </w:r>
    </w:p>
    <w:p>
      <w:pPr>
        <w:spacing w:after="0" w:line="11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Under Wisconsin law, a director is not personally liable for breach of any duty resulting solely from his or her status as a director, unless it is proved that the director’s conduct constituted conduct described in the bullet points</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9"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t>above. In addition, we maintain directors’ and officers’ liability insurance that will insure against certain liabilities, subject to applicable restrictions.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“OESX.”</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 Shareowner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16" w:right="89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Annual cash retainer: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Board meeting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Committee meeting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Annual restricted stock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Annual Independent Chair / Lead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retainer:</w:t>
      </w:r>
    </w:p>
    <w:p>
      <w:pPr>
        <w:spacing w:after="0" w:line="1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6 Annual Audit and Finance Committee . Chair retainer:</w:t>
      </w:r>
    </w:p>
    <w:p>
      <w:pPr>
        <w:spacing w:after="0" w:line="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7 Annual Compensation Committee Chair . retainer: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Annual Nominating and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Governance Committee Chair retainer: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Reimburse out-of-pocket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Non-Employee Director Early Retirement</w:t>
      </w:r>
    </w:p>
    <w:p>
      <w:pPr>
        <w:spacing w:after="0" w:line="3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Plan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17" w:lineRule="exact"/>
        <w:rPr>
          <w:sz w:val="20"/>
          <w:szCs w:val="20"/>
          <w:color w:val="auto"/>
        </w:rPr>
      </w:pPr>
    </w:p>
    <w:p>
      <w:pPr>
        <w:jc w:val="center"/>
        <w:ind w:right="3577"/>
        <w:spacing w:after="0"/>
        <w:rPr>
          <w:sz w:val="20"/>
          <w:szCs w:val="20"/>
          <w:color w:val="auto"/>
        </w:rPr>
      </w:pPr>
      <w:r>
        <w:rPr>
          <w:rFonts w:ascii="Times New Roman" w:cs="Times New Roman" w:eastAsia="Times New Roman" w:hAnsi="Times New Roman"/>
          <w:sz w:val="22"/>
          <w:szCs w:val="22"/>
          <w:color w:val="auto"/>
        </w:rPr>
        <w:t>Orion Energy Systems, Inc.</w:t>
      </w:r>
    </w:p>
    <w:p>
      <w:pPr>
        <w:jc w:val="center"/>
        <w:ind w:right="3577"/>
        <w:spacing w:after="0" w:line="230" w:lineRule="auto"/>
        <w:rPr>
          <w:sz w:val="20"/>
          <w:szCs w:val="20"/>
          <w:color w:val="auto"/>
        </w:rPr>
      </w:pPr>
      <w:r>
        <w:rPr>
          <w:rFonts w:ascii="Times New Roman" w:cs="Times New Roman" w:eastAsia="Times New Roman" w:hAnsi="Times New Roman"/>
          <w:sz w:val="22"/>
          <w:szCs w:val="22"/>
          <w:color w:val="auto"/>
        </w:rPr>
        <w:t>Non-Employee Director Compensation Plan</w:t>
      </w:r>
    </w:p>
    <w:p>
      <w:pPr>
        <w:jc w:val="center"/>
        <w:ind w:right="3577"/>
        <w:spacing w:after="0"/>
        <w:rPr>
          <w:sz w:val="20"/>
          <w:szCs w:val="20"/>
          <w:color w:val="auto"/>
        </w:rPr>
      </w:pPr>
      <w:r>
        <w:rPr>
          <w:rFonts w:ascii="Times New Roman" w:cs="Times New Roman" w:eastAsia="Times New Roman" w:hAnsi="Times New Roman"/>
          <w:sz w:val="22"/>
          <w:szCs w:val="22"/>
          <w:color w:val="auto"/>
        </w:rPr>
        <w:t>Updated and Effective February 16, 2023</w:t>
      </w:r>
    </w:p>
    <w:p>
      <w:pPr>
        <w:spacing w:after="0" w:line="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$45,000 (cash or stock) ($11,250 paid quarterly)</w:t>
      </w:r>
    </w:p>
    <w:p>
      <w:pPr>
        <w:spacing w:after="0" w:line="3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None</w:t>
      </w:r>
    </w:p>
    <w:p>
      <w:pPr>
        <w:spacing w:after="0" w:line="3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None</w:t>
      </w:r>
    </w:p>
    <w:p>
      <w:pPr>
        <w:spacing w:after="0" w:line="359" w:lineRule="exact"/>
        <w:rPr>
          <w:sz w:val="20"/>
          <w:szCs w:val="20"/>
          <w:color w:val="auto"/>
        </w:rPr>
      </w:pPr>
    </w:p>
    <w:p>
      <w:pPr>
        <w:ind w:left="3" w:right="180"/>
        <w:spacing w:after="0" w:line="281" w:lineRule="auto"/>
        <w:rPr>
          <w:sz w:val="20"/>
          <w:szCs w:val="20"/>
          <w:color w:val="auto"/>
        </w:rPr>
      </w:pPr>
      <w:r>
        <w:rPr>
          <w:rFonts w:ascii="Times New Roman" w:cs="Times New Roman" w:eastAsia="Times New Roman" w:hAnsi="Times New Roman"/>
          <w:sz w:val="18"/>
          <w:szCs w:val="18"/>
          <w:color w:val="auto"/>
        </w:rPr>
        <w:t>$50,000 grant date fair market value (option to accept tandem restricted stock (60%) and restricted cash (40%))</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$40,000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($10,000 paid quarterly)</w:t>
      </w:r>
    </w:p>
    <w:p>
      <w:pPr>
        <w:spacing w:after="0" w:line="2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$30,000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($7,500 paid quarterly)</w:t>
      </w:r>
    </w:p>
    <w:p>
      <w:pPr>
        <w:spacing w:after="0" w:line="2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($5,000 paid quarterly)</w:t>
      </w:r>
    </w:p>
    <w:p>
      <w:pPr>
        <w:spacing w:after="0" w:line="2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($5,000 paid quarterly)</w:t>
      </w:r>
    </w:p>
    <w:p>
      <w:pPr>
        <w:spacing w:after="0" w:line="3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Yes</w:t>
      </w:r>
    </w:p>
    <w:p>
      <w:pPr>
        <w:spacing w:after="0" w:line="359" w:lineRule="exact"/>
        <w:rPr>
          <w:sz w:val="20"/>
          <w:szCs w:val="20"/>
          <w:color w:val="auto"/>
        </w:rPr>
      </w:pPr>
    </w:p>
    <w:p>
      <w:pPr>
        <w:jc w:val="both"/>
        <w:ind w:left="243" w:right="100" w:hanging="243"/>
        <w:spacing w:after="0" w:line="254" w:lineRule="auto"/>
        <w:tabs>
          <w:tab w:leader="none" w:pos="2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recommendation of the Compensation Committee and the approval of the Board of Directors, any non-employee director who voluntarily retires from the Board prior to the end of his or her stated term or who voluntarily decides not to stand for re-election at the end of his or her stated term will be entitled to continued vesting of up to all of his or her then outstanding unvested restricted stock, restricted cash and options on the dates when such vesting would otherwise occur if such director remained on the Board on such dates, subject to such additional terms and conditions, if any, as may be determined necessary or appropriate by the Compensation Committee and the Board of Directors.</w:t>
      </w:r>
    </w:p>
    <w:p>
      <w:pPr>
        <w:spacing w:after="0" w:line="81" w:lineRule="exact"/>
        <w:rPr>
          <w:rFonts w:ascii="Times New Roman" w:cs="Times New Roman" w:eastAsia="Times New Roman" w:hAnsi="Times New Roman"/>
          <w:sz w:val="18"/>
          <w:szCs w:val="18"/>
          <w:color w:val="auto"/>
        </w:rPr>
      </w:pPr>
    </w:p>
    <w:p>
      <w:pPr>
        <w:jc w:val="both"/>
        <w:ind w:left="243" w:right="100" w:hanging="243"/>
        <w:spacing w:after="0" w:line="255" w:lineRule="auto"/>
        <w:tabs>
          <w:tab w:leader="none" w:pos="2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recommendation of the Compensation Committee and approval by the Board of Directors, any non-employee director who voluntarily retires from the Board prior to the end of his or her stated term or who voluntarily decides not to stand for re-election at the end of his or her stated term will be entitled to receive a services fee of $200 per hour for any time spent at the request of the Company on Company-related matters, plus reimbursement for all out-of-pocket expenses, subject to such additional terms and conditions, if any, as may be determined necessary or appropriate by the Compensation Committee and the Board of Directors.</w:t>
      </w:r>
    </w:p>
    <w:p>
      <w:pPr>
        <w:spacing w:after="0" w:line="78" w:lineRule="exact"/>
        <w:rPr>
          <w:rFonts w:ascii="Times New Roman" w:cs="Times New Roman" w:eastAsia="Times New Roman" w:hAnsi="Times New Roman"/>
          <w:sz w:val="18"/>
          <w:szCs w:val="18"/>
          <w:color w:val="auto"/>
        </w:rPr>
      </w:pPr>
    </w:p>
    <w:p>
      <w:pPr>
        <w:jc w:val="both"/>
        <w:ind w:left="243" w:right="100" w:hanging="243"/>
        <w:spacing w:after="0" w:line="255" w:lineRule="auto"/>
        <w:tabs>
          <w:tab w:leader="none" w:pos="2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approval of the Compensation Committee, any non-employee director who voluntarily retires from the Board prior to the end of his or her stated term or who voluntarily decides not to stand for re-election at the end of his or her stated term will be entitled to an extension of the terms of all vested stock options until dates determined by the Compensation Committee that shall not exceed the dates on which such term would have otherwise expired if such director remained on the Board on such dates, subject to such additional terms and conditions, if any, as may be determined necessary or appropriate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759460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40" w:space="257"/>
            <w:col w:w="7643"/>
          </w:cols>
          <w:pgMar w:left="420" w:top="1007" w:right="339" w:bottom="1440" w:gutter="0" w:footer="0" w:header="0"/>
        </w:sectPr>
      </w:pPr>
    </w:p>
    <w:bookmarkStart w:id="91" w:name="page92"/>
    <w:bookmarkEnd w:id="91"/>
    <w:p>
      <w:pPr>
        <w:ind w:left="1022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58"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22"/>
          <w:szCs w:val="22"/>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6855460</wp:posOffset>
            </wp:positionH>
            <wp:positionV relativeFrom="paragraph">
              <wp:posOffset>-13970</wp:posOffset>
            </wp:positionV>
            <wp:extent cx="2819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ind w:left="8680"/>
        <w:spacing w:after="0"/>
        <w:rPr>
          <w:sz w:val="20"/>
          <w:szCs w:val="20"/>
          <w:color w:val="auto"/>
        </w:rPr>
      </w:pPr>
      <w:r>
        <w:rPr>
          <w:rFonts w:ascii="Times New Roman" w:cs="Times New Roman" w:eastAsia="Times New Roman" w:hAnsi="Times New Roman"/>
          <w:sz w:val="22"/>
          <w:szCs w:val="22"/>
          <w:color w:val="auto"/>
        </w:rPr>
        <w:t xml:space="preserve">Grant Date: </w:t>
      </w:r>
      <w:r>
        <w:rPr>
          <w:rFonts w:ascii="Times New Roman" w:cs="Times New Roman" w:eastAsia="Times New Roman" w:hAnsi="Times New Roman"/>
          <w:sz w:val="22"/>
          <w:szCs w:val="22"/>
          <w:u w:val="single" w:color="auto"/>
          <w:color w:val="auto"/>
        </w:rPr>
        <w:t>August 10, 2023</w:t>
      </w:r>
    </w:p>
    <w:p>
      <w:pPr>
        <w:ind w:left="8660"/>
        <w:spacing w:after="0" w:line="230" w:lineRule="auto"/>
        <w:rPr>
          <w:sz w:val="20"/>
          <w:szCs w:val="20"/>
          <w:color w:val="auto"/>
        </w:rPr>
      </w:pPr>
      <w:r>
        <w:rPr>
          <w:rFonts w:ascii="Times New Roman" w:cs="Times New Roman" w:eastAsia="Times New Roman" w:hAnsi="Times New Roman"/>
          <w:sz w:val="22"/>
          <w:szCs w:val="22"/>
          <w:color w:val="auto"/>
        </w:rPr>
        <w:t>No. of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7083425</wp:posOffset>
            </wp:positionH>
            <wp:positionV relativeFrom="paragraph">
              <wp:posOffset>-22860</wp:posOffset>
            </wp:positionV>
            <wp:extent cx="539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ind w:left="8220"/>
        <w:spacing w:after="0"/>
        <w:rPr>
          <w:sz w:val="20"/>
          <w:szCs w:val="20"/>
          <w:color w:val="auto"/>
        </w:rPr>
      </w:pPr>
      <w:r>
        <w:rPr>
          <w:rFonts w:ascii="Times New Roman" w:cs="Times New Roman" w:eastAsia="Times New Roman" w:hAnsi="Times New Roman"/>
          <w:sz w:val="22"/>
          <w:szCs w:val="22"/>
          <w:color w:val="auto"/>
        </w:rPr>
        <w:t>Amount of Restricted Cash: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6889750</wp:posOffset>
            </wp:positionH>
            <wp:positionV relativeFrom="paragraph">
              <wp:posOffset>-29210</wp:posOffset>
            </wp:positionV>
            <wp:extent cx="2476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spacing w:after="0" w:line="221"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1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2"/>
          <w:szCs w:val="22"/>
          <w:color w:val="auto"/>
        </w:rPr>
        <w:t>Grantee: ______________</w:t>
      </w:r>
    </w:p>
    <w:p>
      <w:pPr>
        <w:ind w:left="8600"/>
        <w:spacing w:after="0" w:line="230" w:lineRule="auto"/>
        <w:rPr>
          <w:sz w:val="20"/>
          <w:szCs w:val="20"/>
          <w:color w:val="auto"/>
        </w:rPr>
      </w:pPr>
      <w:r>
        <w:rPr>
          <w:rFonts w:ascii="Times New Roman" w:cs="Times New Roman" w:eastAsia="Times New Roman" w:hAnsi="Times New Roman"/>
          <w:sz w:val="22"/>
          <w:szCs w:val="22"/>
          <w:color w:val="auto"/>
        </w:rPr>
        <w:t>Grant Date: ______________</w:t>
      </w:r>
    </w:p>
    <w:p>
      <w:pPr>
        <w:ind w:left="7220"/>
        <w:spacing w:after="0"/>
        <w:rPr>
          <w:sz w:val="20"/>
          <w:szCs w:val="20"/>
          <w:color w:val="auto"/>
        </w:rPr>
      </w:pPr>
      <w:r>
        <w:rPr>
          <w:rFonts w:ascii="Times New Roman" w:cs="Times New Roman" w:eastAsia="Times New Roman" w:hAnsi="Times New Roman"/>
          <w:sz w:val="20"/>
          <w:szCs w:val="20"/>
          <w:color w:val="auto"/>
        </w:rPr>
        <w:t>No. of Performance Shares: ______________</w:t>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0"/>
          <w:szCs w:val="20"/>
          <w:color w:val="auto"/>
        </w:rPr>
        <w:t>Amount of Restricted Cash: $_____________</w:t>
      </w:r>
    </w:p>
    <w:p>
      <w:pPr>
        <w:spacing w:after="0" w:line="1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TANDEM PERFORMANCE SHARE AND CASH AWARD AGREEMENT</w:t>
      </w:r>
    </w:p>
    <w:p>
      <w:pPr>
        <w:spacing w:after="0" w:line="2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Tandem Performance Share and Cash Award under the Plan; and</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WHEREAS, as a condition to the receipt by Grantee of this Tandem Performance Share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Performance Share and Cash Award pursuant hereto, continued employment, and other good and valuable consideration.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1"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Performance Shares and Restricted Cash</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 tandem and coupled award of (i) the number of performance shares of the Company specified above (“Performance Shares”) and (ii) the amount of restricted cash specificized above (“Restricted Cash”), in each instance, subject to, and in accordance with, the restrictions, terms and conditions set forth in the Plan and this Agreement. Each Performance Share represents the potential right to receive a Share subject to, and in accordance with, the restrictions, terms and conditions set forth in the Plan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2" w:name="page93"/>
    <w:bookmarkEnd w:id="92"/>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1.3This Tandem Performance Share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Performance Share and Cash Award may be cancelled by the Administrator.</w:t>
      </w:r>
    </w:p>
    <w:p>
      <w:pPr>
        <w:spacing w:after="0" w:line="176"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Performance Goals; Settlement</w:t>
      </w:r>
    </w:p>
    <w:p>
      <w:pPr>
        <w:spacing w:after="0" w:line="20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2.1Subject to the terms of the Plan and this Agreement, if Grantee remains employed by the Company through the date (the “Vesting Date”) on which the Administrator determines the level of achievement of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during the applicable performance period indicated therein, the percentage of the Performance Shares and Restricted Cash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each vest on the Vesting Date. The Administrator will determine the level of the performance goals achieved in its sole and absolute discretion following the end of the applicable performance period. Except as otherwise expressly provided herein, upon any termination of Grantee’s employment or service with the Company or a Subsidiary prior to the Vesting Date, the Performance Shares and Restricted Cash will be immediately and automatically forfeited without consideration. For purposes of this Agreement, employment with a Subsidiary of the Company or service as a member of the Board of Directors of the Company shall be considered employment or service with the Company. To the extent Performance Shares and Restricted Cash do not vest following the end of the applicable performance period based on the Administrator’s determination of the level of the performance goal achieved, such Performance Shares and Restricted Cash shall be immediately and automatically forfeited without consideration on the Vesting Date.</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2.2As soon as reasonably practicable (and in no event later than thirty (30) days) following the vesting of the Performance Shares hereunder, the Company will issue to the Grantee one Share for each Performance Share that has vested. Any Restricted Cash (less any applicable withholding pursuant to Section 5) that vests following the end of the applicable performance period will be payable in cash in accordance with the Company’s standard payroll practices (provided that the vested Restricted Cash shall in no event be paid later than two and one-half (2 ½) months after the end of the year in which the Restricted Cash vests)). The Grantee will have no further rights with regard to a Performance Share or Restricted Cash, and such Performance Share and rights with respect to Restricted Cash will be deemed extinguished, once the Shares and cash related to this Tandem Performance Share and Cash Award have been issued or paid (or such Performance Share and Restricted Cash have been forfeited).</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the Performance Shares and Restricted Cash shall become fully vested and nonforfeitable as of the date of Grantee’s death or Disability.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3" w:name="page94"/>
    <w:bookmarkEnd w:id="93"/>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2.4In exchange for receipt of consideration in the form of this Tandem Performance Share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3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2.5Except for death or Disability as provided in Section 2.3, or except as otherwise provided in a severance agreement with Grantee, if Grantee terminates his or her employment or if the Company terminates Grantee’s employment prior to vesting, the Performance Shares and the Restricted Cash shall each cease to be eligible to vest, all of the unvested Performance Shares and Restricted Cash shall be immediately forfeited and cancelled, and Grantee shall only be entitled to the Performance Shares and Restricted Cash that have vested as of his or her date of termination.</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2.6In the event of a Change of Control prior to vesting, the provisions of Section 17(c) of the Plan as in effect on the date hereof shall apply.</w:t>
      </w:r>
    </w:p>
    <w:p>
      <w:pPr>
        <w:spacing w:after="0" w:line="15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2.7Neither the Performance Shares nor the Restricted Cash may be sold, assigned, transferred, pledged, or otherwise encumbered,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44"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No Dividends; No Voting; Interest</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3.1The Company reserves the right to place a legend on any stock certificate(s), or an appropriate stop-transfer order in the case of book-entry registration, restricting the transferability of any Shares issued following the vesting of the Performance Shares and referring to the terms and conditions (including forfeiture) of this Agreement and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3.2Prior to the vesting of the Performance Shares in accordance with Section 2.1, the Plan and this Agreement, and the issuance of Shares hereunder, the Grantee shall have no rights as a shareholder with respect to the Performance Shares. Prior to the settlement of the Performance Shares, the Grantee shall not be entitled to receive any dividends or similar distributions declared on the Shares subject to the Performance Shares, and Grantee shall not be entitled to vote any Shares subject to the Performance Shares.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4" w:name="page95"/>
    <w:bookmarkEnd w:id="94"/>
    <w:p>
      <w:pPr>
        <w:ind w:left="760" w:hanging="752"/>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76"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Performance Share and Cash Award. In the event the Company or one of its Affiliates is required to withhold any Federal, state or local taxes or other amounts in respect of any income recognized by Grantee as a result of the grant, vesting, payment or settlement of, or other event relating to, this Tandem Performance Share and Cash Award or the issuance or disposition of any Shares acquired under this Tandem Performance Share and Cash Award, the Company may deduct (or require an Affiliate to deduct) from any payments of any kind otherwise due to Grantee in cash (including Restricted Cash), or with the consent of the Administrator, Shares otherwise deliverable or vesting under this Tandem Performance Share and Cash Award, to satisfy such tax or other obligations. Alternatively, the Company or its Affiliate may require Grantee to pay to the Company or its Affiliate, in cash, promptly on demand, or make other arrangements satisfactory to the Company or its Affiliate regarding the payment to the Company or its Affiliate of, the aggregate amount of any such taxes and other amounts.</w:t>
      </w:r>
    </w:p>
    <w:p>
      <w:pPr>
        <w:spacing w:after="0" w:line="172"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3"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3"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5" w:name="page96"/>
    <w:bookmarkEnd w:id="95"/>
    <w:p>
      <w:pPr>
        <w:ind w:left="760" w:hanging="752"/>
        <w:spacing w:after="0"/>
        <w:tabs>
          <w:tab w:leader="none" w:pos="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09"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20"/>
          <w:szCs w:val="20"/>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09"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0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44"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8"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2"/>
                <w:szCs w:val="22"/>
                <w:color w:val="auto"/>
              </w:rPr>
            </w:pPr>
          </w:p>
        </w:tc>
        <w:tc>
          <w:tcPr>
            <w:tcW w:w="8220" w:type="dxa"/>
            <w:vAlign w:val="bottom"/>
          </w:tcPr>
          <w:p>
            <w:pPr>
              <w:jc w:val="right"/>
              <w:ind w:right="4338"/>
              <w:spacing w:after="0"/>
              <w:rPr>
                <w:sz w:val="20"/>
                <w:szCs w:val="20"/>
                <w:color w:val="auto"/>
              </w:rPr>
            </w:pPr>
            <w:r>
              <w:rPr>
                <w:rFonts w:ascii="Times New Roman" w:cs="Times New Roman" w:eastAsia="Times New Roman" w:hAnsi="Times New Roman"/>
                <w:sz w:val="22"/>
                <w:szCs w:val="22"/>
                <w:color w:val="auto"/>
                <w:w w:val="97"/>
              </w:rPr>
              <w:t>___________________________________</w:t>
            </w:r>
          </w:p>
        </w:tc>
      </w:t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w w:val="99"/>
              </w:rPr>
              <w:t>By: ________________________</w:t>
            </w:r>
          </w:p>
        </w:tc>
        <w:tc>
          <w:tcPr>
            <w:tcW w:w="8220" w:type="dxa"/>
            <w:vAlign w:val="bottom"/>
          </w:tcPr>
          <w:p>
            <w:pPr>
              <w:jc w:val="right"/>
              <w:ind w:right="6138"/>
              <w:spacing w:after="0"/>
              <w:rPr>
                <w:sz w:val="20"/>
                <w:szCs w:val="20"/>
                <w:color w:val="auto"/>
              </w:rPr>
            </w:pPr>
            <w:r>
              <w:rPr>
                <w:rFonts w:ascii="Times New Roman" w:cs="Times New Roman" w:eastAsia="Times New Roman" w:hAnsi="Times New Roman"/>
                <w:sz w:val="22"/>
                <w:szCs w:val="22"/>
                <w:color w:val="auto"/>
              </w:rPr>
              <w:t>Grantee</w:t>
            </w:r>
          </w:p>
        </w:tc>
      </w:tr>
      <w:tr>
        <w:trPr>
          <w:trHeight w:val="351"/>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w w:val="97"/>
              </w:rPr>
              <w:t>Title: _______________________</w:t>
            </w:r>
          </w:p>
        </w:tc>
        <w:tc>
          <w:tcPr>
            <w:tcW w:w="8220" w:type="dxa"/>
            <w:vAlign w:val="bottom"/>
          </w:tcPr>
          <w:p>
            <w:pPr>
              <w:spacing w:after="0"/>
              <w:rPr>
                <w:sz w:val="24"/>
                <w:szCs w:val="24"/>
                <w:color w:val="auto"/>
              </w:rPr>
            </w:pPr>
          </w:p>
        </w:tc>
      </w:tr>
      <w:tr>
        <w:trPr>
          <w:trHeight w:val="932"/>
        </w:trPr>
        <w:tc>
          <w:tcPr>
            <w:tcW w:w="3020" w:type="dxa"/>
            <w:vAlign w:val="bottom"/>
          </w:tcPr>
          <w:p>
            <w:pPr>
              <w:spacing w:after="0"/>
              <w:rPr>
                <w:sz w:val="24"/>
                <w:szCs w:val="24"/>
                <w:color w:val="auto"/>
              </w:rPr>
            </w:pPr>
          </w:p>
        </w:tc>
        <w:tc>
          <w:tcPr>
            <w:tcW w:w="8220" w:type="dxa"/>
            <w:vAlign w:val="bottom"/>
          </w:tcPr>
          <w:p>
            <w:pPr>
              <w:jc w:val="right"/>
              <w:ind w:right="5478"/>
              <w:spacing w:after="0"/>
              <w:rPr>
                <w:sz w:val="20"/>
                <w:szCs w:val="20"/>
                <w:color w:val="auto"/>
              </w:rPr>
            </w:pPr>
            <w:r>
              <w:rPr>
                <w:rFonts w:ascii="Times New Roman" w:cs="Times New Roman" w:eastAsia="Times New Roman" w:hAnsi="Times New Roman"/>
                <w:sz w:val="18"/>
                <w:szCs w:val="18"/>
                <w:color w:val="auto"/>
              </w:rPr>
              <w:t>6</w:t>
            </w:r>
          </w:p>
        </w:tc>
      </w:tr>
      <w:tr>
        <w:trPr>
          <w:trHeight w:val="1167"/>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w:t>
      </w:r>
    </w:p>
    <w:p>
      <w:pPr>
        <w:spacing w:after="0" w:line="2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Grantee remains employed by the Company through the date on which the Administrator determines the level of revenue growth (“Revenue Growth”) achieved for fiscal year 2026 compared to fiscal year 2023, the following percentage of the Performance Shares and Restricted Cash shall vest to the extent the Administrator determines the applicable level of Revenue Growth has been achieved following the end of fiscal year 2026:</w:t>
      </w:r>
    </w:p>
    <w:p>
      <w:pPr>
        <w:sectPr>
          <w:pgSz w:w="11900" w:h="16838" w:orient="portrait"/>
          <w:cols w:equalWidth="0" w:num="1">
            <w:col w:w="11240"/>
          </w:cols>
          <w:pgMar w:left="320" w:top="1403" w:right="339" w:bottom="1440" w:gutter="0" w:footer="0" w:header="0"/>
        </w:sectPr>
      </w:pPr>
    </w:p>
    <w:p>
      <w:pPr>
        <w:spacing w:after="0" w:line="202" w:lineRule="exact"/>
        <w:rPr>
          <w:sz w:val="20"/>
          <w:szCs w:val="20"/>
          <w:color w:val="auto"/>
        </w:rPr>
      </w:pPr>
    </w:p>
    <w:p>
      <w:pPr>
        <w:jc w:val="center"/>
        <w:ind w:left="340"/>
        <w:spacing w:after="0" w:line="261" w:lineRule="auto"/>
        <w:rPr>
          <w:sz w:val="20"/>
          <w:szCs w:val="20"/>
          <w:color w:val="auto"/>
        </w:rPr>
      </w:pPr>
      <w:r>
        <w:rPr>
          <w:rFonts w:ascii="Times New Roman" w:cs="Times New Roman" w:eastAsia="Times New Roman" w:hAnsi="Times New Roman"/>
          <w:sz w:val="22"/>
          <w:szCs w:val="22"/>
          <w:b w:val="1"/>
          <w:bCs w:val="1"/>
          <w:color w:val="auto"/>
        </w:rPr>
        <w:t>Fiscal Year 2026 Revenue Growth Rate Compared to Fiscal Year 2023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00"/>
        <w:spacing w:after="0" w:line="261" w:lineRule="auto"/>
        <w:rPr>
          <w:sz w:val="20"/>
          <w:szCs w:val="20"/>
          <w:color w:val="auto"/>
        </w:rPr>
      </w:pPr>
      <w:r>
        <w:rPr>
          <w:rFonts w:ascii="Times New Roman" w:cs="Times New Roman" w:eastAsia="Times New Roman" w:hAnsi="Times New Roman"/>
          <w:sz w:val="22"/>
          <w:szCs w:val="22"/>
          <w:b w:val="1"/>
          <w:bCs w:val="1"/>
          <w:color w:val="auto"/>
        </w:rPr>
        <w:t>Percentage of Total Tandem Performance Shares and Restricted Cash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-347980</wp:posOffset>
            </wp:positionV>
            <wp:extent cx="7134860" cy="1431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34860" cy="143192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220" w:space="720"/>
            <w:col w:w="5300"/>
          </w:cols>
          <w:pgMar w:left="320" w:top="1403" w:right="339" w:bottom="144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c>
          <w:tcPr>
            <w:tcW w:w="5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17"/>
        </w:trPr>
        <w:tc>
          <w:tcPr>
            <w:tcW w:w="2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r>
      <w:tr>
        <w:trPr>
          <w:trHeight w:val="276"/>
        </w:trPr>
        <w:tc>
          <w:tcPr>
            <w:tcW w:w="562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9"/>
              </w:rPr>
              <w:t>40%</w:t>
            </w:r>
          </w:p>
        </w:tc>
        <w:tc>
          <w:tcPr>
            <w:tcW w:w="5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03"/>
        </w:trPr>
        <w:tc>
          <w:tcPr>
            <w:tcW w:w="2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r>
        <w:trPr>
          <w:trHeight w:val="209"/>
        </w:trPr>
        <w:tc>
          <w:tcPr>
            <w:tcW w:w="5620" w:type="dxa"/>
            <w:vAlign w:val="bottom"/>
            <w:gridSpan w:val="3"/>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&gt;50%</w:t>
            </w:r>
          </w:p>
        </w:tc>
        <w:tc>
          <w:tcPr>
            <w:tcW w:w="562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150%</w:t>
            </w:r>
          </w:p>
        </w:tc>
      </w:tr>
      <w:tr>
        <w:trPr>
          <w:trHeight w:val="20"/>
        </w:trPr>
        <w:tc>
          <w:tcPr>
            <w:tcW w:w="2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number of Performance Shares, and the amount of Restricted Cash, vesting will be interpolated for Revenue Growth between 25% and 40%, or between 40% and 50%. The Administrator will include acquired revenue in its determination of Revenue Growth, and will otherwise determine the Revenue Growth achieved in its sole and absolute discretion following the end of fiscal year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*Comprised of 60% Performance Shares and 40% of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6" w:lineRule="exact"/>
        <w:rPr>
          <w:sz w:val="20"/>
          <w:szCs w:val="20"/>
          <w:color w:val="auto"/>
        </w:rPr>
      </w:pPr>
    </w:p>
    <w:p>
      <w:pPr>
        <w:jc w:val="both"/>
        <w:ind w:firstLine="1505"/>
        <w:spacing w:after="0" w:line="255" w:lineRule="auto"/>
        <w:tabs>
          <w:tab w:leader="none" w:pos="203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w:t>
      </w:r>
    </w:p>
    <w:p>
      <w:pPr>
        <w:spacing w:after="0" w:line="7" w:lineRule="exact"/>
        <w:rPr>
          <w:rFonts w:ascii="Times New Roman" w:cs="Times New Roman" w:eastAsia="Times New Roman" w:hAnsi="Times New Roman"/>
          <w:sz w:val="20"/>
          <w:szCs w:val="20"/>
          <w:color w:val="auto"/>
        </w:rPr>
      </w:pPr>
    </w:p>
    <w:p>
      <w:pPr>
        <w:jc w:val="both"/>
        <w:ind w:firstLine="8"/>
        <w:spacing w:after="0" w:line="231"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7" w:lineRule="exact"/>
        <w:rPr>
          <w:sz w:val="20"/>
          <w:szCs w:val="20"/>
          <w:color w:val="auto"/>
        </w:rPr>
      </w:pPr>
    </w:p>
    <w:p>
      <w:pPr>
        <w:jc w:val="both"/>
        <w:ind w:firstLine="1505"/>
        <w:spacing w:after="0" w:line="257" w:lineRule="auto"/>
        <w:tabs>
          <w:tab w:leader="none" w:pos="203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jc w:val="both"/>
        <w:ind w:firstLine="1505"/>
        <w:spacing w:after="0" w:line="235" w:lineRule="auto"/>
        <w:tabs>
          <w:tab w:leader="none" w:pos="20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0" w:name="page101"/>
    <w:bookmarkEnd w:id="100"/>
    <w:p>
      <w:pPr>
        <w:ind w:left="10220"/>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3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0"/>
          <w:szCs w:val="20"/>
          <w:color w:val="auto"/>
        </w:rPr>
        <w:t>Grantee: ___________________</w:t>
      </w:r>
    </w:p>
    <w:p>
      <w:pPr>
        <w:spacing w:after="0" w:line="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22"/>
          <w:szCs w:val="22"/>
          <w:color w:val="auto"/>
        </w:rPr>
        <w:t xml:space="preserve">Grant Date: </w:t>
      </w:r>
      <w:r>
        <w:rPr>
          <w:rFonts w:ascii="Times New Roman" w:cs="Times New Roman" w:eastAsia="Times New Roman" w:hAnsi="Times New Roman"/>
          <w:sz w:val="22"/>
          <w:szCs w:val="22"/>
          <w:u w:val="single" w:color="auto"/>
          <w:color w:val="auto"/>
        </w:rPr>
        <w:t>August 10, 2023</w:t>
      </w:r>
    </w:p>
    <w:p>
      <w:pPr>
        <w:ind w:left="8660"/>
        <w:spacing w:after="0" w:line="230" w:lineRule="auto"/>
        <w:rPr>
          <w:sz w:val="20"/>
          <w:szCs w:val="20"/>
          <w:color w:val="auto"/>
        </w:rPr>
      </w:pPr>
      <w:r>
        <w:rPr>
          <w:rFonts w:ascii="Times New Roman" w:cs="Times New Roman" w:eastAsia="Times New Roman" w:hAnsi="Times New Roman"/>
          <w:sz w:val="22"/>
          <w:szCs w:val="22"/>
          <w:color w:val="auto"/>
        </w:rPr>
        <w:t>No.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6939280</wp:posOffset>
            </wp:positionH>
            <wp:positionV relativeFrom="paragraph">
              <wp:posOffset>-22860</wp:posOffset>
            </wp:positionV>
            <wp:extent cx="1981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198120" cy="8255"/>
                    </a:xfrm>
                    <a:prstGeom prst="rect">
                      <a:avLst/>
                    </a:prstGeom>
                    <a:noFill/>
                  </pic:spPr>
                </pic:pic>
              </a:graphicData>
            </a:graphic>
          </wp:anchor>
        </w:drawing>
      </w:r>
    </w:p>
    <w:p>
      <w:pPr>
        <w:ind w:left="7800"/>
        <w:spacing w:after="0"/>
        <w:rPr>
          <w:sz w:val="20"/>
          <w:szCs w:val="20"/>
          <w:color w:val="auto"/>
        </w:rPr>
      </w:pPr>
      <w:r>
        <w:rPr>
          <w:rFonts w:ascii="Times New Roman" w:cs="Times New Roman" w:eastAsia="Times New Roman" w:hAnsi="Times New Roman"/>
          <w:sz w:val="20"/>
          <w:szCs w:val="20"/>
          <w:color w:val="auto"/>
        </w:rPr>
        <w:t>Amount of Restricted Cash: $________</w:t>
      </w:r>
    </w:p>
    <w:p>
      <w:pPr>
        <w:spacing w:after="0" w:line="28"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1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2"/>
          <w:szCs w:val="22"/>
          <w:color w:val="auto"/>
        </w:rPr>
        <w:t>Grantee: ______________</w:t>
      </w:r>
    </w:p>
    <w:p>
      <w:pPr>
        <w:ind w:left="8600"/>
        <w:spacing w:after="0" w:line="230" w:lineRule="auto"/>
        <w:rPr>
          <w:sz w:val="20"/>
          <w:szCs w:val="20"/>
          <w:color w:val="auto"/>
        </w:rPr>
      </w:pPr>
      <w:r>
        <w:rPr>
          <w:rFonts w:ascii="Times New Roman" w:cs="Times New Roman" w:eastAsia="Times New Roman" w:hAnsi="Times New Roman"/>
          <w:sz w:val="22"/>
          <w:szCs w:val="22"/>
          <w:color w:val="auto"/>
        </w:rPr>
        <w:t>Grant Date: ______________</w:t>
      </w:r>
    </w:p>
    <w:p>
      <w:pPr>
        <w:ind w:left="7460"/>
        <w:spacing w:after="0"/>
        <w:rPr>
          <w:sz w:val="20"/>
          <w:szCs w:val="20"/>
          <w:color w:val="auto"/>
        </w:rPr>
      </w:pPr>
      <w:r>
        <w:rPr>
          <w:rFonts w:ascii="Times New Roman" w:cs="Times New Roman" w:eastAsia="Times New Roman" w:hAnsi="Times New Roman"/>
          <w:sz w:val="20"/>
          <w:szCs w:val="20"/>
          <w:color w:val="auto"/>
        </w:rPr>
        <w:t>No. of Restricted Shares: ______________</w:t>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0"/>
          <w:szCs w:val="20"/>
          <w:color w:val="auto"/>
        </w:rPr>
        <w:t>Amount of Restricted Cash: $_____________</w:t>
      </w:r>
    </w:p>
    <w:p>
      <w:pPr>
        <w:spacing w:after="0" w:line="1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2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Tandem Restricted Stock and Cash Award under the Plan; and</w:t>
      </w:r>
    </w:p>
    <w:p>
      <w:pPr>
        <w:spacing w:after="0" w:line="15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WHEREAS, as a condition to the receipt by Grantee of this Tandem Restricted Stock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Restricted Stock and Cash Award pursuant hereto, continued employment, and other good and valuable consideration.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1"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209"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 tandem and coupled award of (i) the number of shares of restricted Stock of the Company specified above (“Restricted Stock”) and (ii) the amount of restricted cash specified above (“Restricted Cash”), in each instance, subject to, and in accordance with, the restrictions, terms and conditions set forth in the Plan and this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1" w:name="page102"/>
    <w:bookmarkEnd w:id="101"/>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1.3This Tandem Restricted Stock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 by the Administrator.</w:t>
      </w:r>
    </w:p>
    <w:p>
      <w:pPr>
        <w:spacing w:after="0" w:line="176"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0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2.1Subject to the terms of the Plan and this Agreement, if the Grantee remains employed by the Company as of the applicable vesting date, the Restricted Stock and the Restricted Cash shall each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48"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0"/>
          <w:szCs w:val="20"/>
          <w:color w:val="auto"/>
        </w:rPr>
        <w:t>2.2Subject to vesting in accordance with Section 2.1, the terms of the Plan and this Agreement, Grantee shall own the vested Restricted Stock and the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payroll practices, in each event as soon as practical after each applicable anniversary of the Grant Date on which the Grantee remains employed by the Company (provided that the vested Restricted Cash shall in no event be paid later than two and one-half (2 ½) months after the end of the year in which the Restricted Cash vests).</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79"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2.4In exchange for receipt of consideration in the form of this Tandem Restricted Stock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3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2.5Except for death or Disability as provided in Section 2.3, or except as otherwise provided in a severance agreement with Grantee, if Grantee terminates his or her employment or if the Company terminates Grantee’s employment prior to vesting, the Restricted Stock and the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02" w:name="page103"/>
    <w:bookmarkEnd w:id="102"/>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2.6Notwithstanding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2.7Neither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6"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 Interest</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others rights as a creditor of the Company with respect to the Restricted Cash.</w:t>
      </w:r>
    </w:p>
    <w:p>
      <w:pPr>
        <w:spacing w:after="0" w:line="175"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any time, and, even if the Plan is not terminated, Grantee shall not be entitled to any additional awards under the Plan.</w:t>
      </w:r>
    </w:p>
    <w:p>
      <w:pPr>
        <w:spacing w:after="0" w:line="201"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0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84"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3"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3"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04" w:name="page105"/>
    <w:bookmarkEnd w:id="104"/>
    <w:p>
      <w:pPr>
        <w:ind w:left="760" w:hanging="752"/>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09"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20"/>
          <w:szCs w:val="20"/>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09"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0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44"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8" w:lineRule="exact"/>
        <w:rPr>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5" w:name="page106"/>
    <w:bookmarkEnd w:id="105"/>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_______________________________</w:t>
            </w: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30"/>
        </w:trPr>
        <w:tc>
          <w:tcPr>
            <w:tcW w:w="3400" w:type="dxa"/>
            <w:vAlign w:val="bottom"/>
            <w:gridSpan w:val="5"/>
          </w:tcPr>
          <w:p>
            <w:pPr>
              <w:spacing w:after="0" w:line="229" w:lineRule="exact"/>
              <w:rPr>
                <w:sz w:val="20"/>
                <w:szCs w:val="20"/>
                <w:color w:val="auto"/>
              </w:rPr>
            </w:pPr>
            <w:r>
              <w:rPr>
                <w:rFonts w:ascii="Times New Roman" w:cs="Times New Roman" w:eastAsia="Times New Roman" w:hAnsi="Times New Roman"/>
                <w:sz w:val="22"/>
                <w:szCs w:val="22"/>
                <w:color w:val="auto"/>
              </w:rPr>
              <w:t>By: __________</w:t>
            </w:r>
          </w:p>
        </w:tc>
        <w:tc>
          <w:tcPr>
            <w:tcW w:w="4260" w:type="dxa"/>
            <w:vAlign w:val="bottom"/>
            <w:gridSpan w:val="3"/>
          </w:tcPr>
          <w:p>
            <w:pPr>
              <w:jc w:val="right"/>
              <w:ind w:right="1840"/>
              <w:spacing w:after="0" w:line="229" w:lineRule="exact"/>
              <w:rPr>
                <w:sz w:val="20"/>
                <w:szCs w:val="20"/>
                <w:color w:val="auto"/>
              </w:rPr>
            </w:pPr>
            <w:r>
              <w:rPr>
                <w:rFonts w:ascii="Times New Roman" w:cs="Times New Roman" w:eastAsia="Times New Roman" w:hAnsi="Times New Roman"/>
                <w:sz w:val="22"/>
                <w:szCs w:val="22"/>
                <w:color w:val="auto"/>
              </w:rPr>
              <w:t>Grantee: ______________</w:t>
            </w: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31"/>
        </w:trPr>
        <w:tc>
          <w:tcPr>
            <w:tcW w:w="34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Title: ________________</w:t>
            </w: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6" w:lineRule="exact"/>
        <w:rPr>
          <w:sz w:val="20"/>
          <w:szCs w:val="20"/>
          <w:color w:val="auto"/>
        </w:rPr>
      </w:pPr>
    </w:p>
    <w:p>
      <w:pPr>
        <w:jc w:val="both"/>
        <w:ind w:firstLine="1505"/>
        <w:spacing w:after="0" w:line="255" w:lineRule="auto"/>
        <w:tabs>
          <w:tab w:leader="none" w:pos="203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w:t>
      </w:r>
    </w:p>
    <w:p>
      <w:pPr>
        <w:spacing w:after="0" w:line="7" w:lineRule="exact"/>
        <w:rPr>
          <w:rFonts w:ascii="Times New Roman" w:cs="Times New Roman" w:eastAsia="Times New Roman" w:hAnsi="Times New Roman"/>
          <w:sz w:val="20"/>
          <w:szCs w:val="20"/>
          <w:color w:val="auto"/>
        </w:rPr>
      </w:pPr>
    </w:p>
    <w:p>
      <w:pPr>
        <w:jc w:val="both"/>
        <w:ind w:firstLine="8"/>
        <w:spacing w:after="0" w:line="231" w:lineRule="auto"/>
        <w:tabs>
          <w:tab w:leader="none" w:pos="30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07" w:name="page108"/>
    <w:bookmarkEnd w:id="107"/>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7" w:lineRule="exact"/>
        <w:rPr>
          <w:sz w:val="20"/>
          <w:szCs w:val="20"/>
          <w:color w:val="auto"/>
        </w:rPr>
      </w:pPr>
    </w:p>
    <w:p>
      <w:pPr>
        <w:jc w:val="both"/>
        <w:ind w:firstLine="1505"/>
        <w:spacing w:after="0" w:line="257" w:lineRule="auto"/>
        <w:tabs>
          <w:tab w:leader="none" w:pos="203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jc w:val="both"/>
        <w:ind w:firstLine="1505"/>
        <w:spacing w:after="0" w:line="235" w:lineRule="auto"/>
        <w:tabs>
          <w:tab w:leader="none" w:pos="20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8" w:name="page109"/>
    <w:bookmarkEnd w:id="108"/>
    <w:p>
      <w:pPr>
        <w:ind w:left="10220"/>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2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Non-Employee Director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6847840</wp:posOffset>
            </wp:positionH>
            <wp:positionV relativeFrom="paragraph">
              <wp:posOffset>-13970</wp:posOffset>
            </wp:positionV>
            <wp:extent cx="2901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22"/>
          <w:szCs w:val="22"/>
          <w:color w:val="auto"/>
        </w:rPr>
        <w:t xml:space="preserve">Grant Date: </w:t>
      </w:r>
      <w:r>
        <w:rPr>
          <w:rFonts w:ascii="Times New Roman" w:cs="Times New Roman" w:eastAsia="Times New Roman" w:hAnsi="Times New Roman"/>
          <w:sz w:val="22"/>
          <w:szCs w:val="22"/>
          <w:u w:val="single" w:color="auto"/>
          <w:color w:val="auto"/>
        </w:rPr>
        <w:t>August 15, 2023</w:t>
      </w:r>
    </w:p>
    <w:p>
      <w:pPr>
        <w:ind w:left="8660"/>
        <w:spacing w:after="0" w:line="230" w:lineRule="auto"/>
        <w:rPr>
          <w:sz w:val="20"/>
          <w:szCs w:val="20"/>
          <w:color w:val="auto"/>
        </w:rPr>
      </w:pPr>
      <w:r>
        <w:rPr>
          <w:rFonts w:ascii="Times New Roman" w:cs="Times New Roman" w:eastAsia="Times New Roman" w:hAnsi="Times New Roman"/>
          <w:sz w:val="22"/>
          <w:szCs w:val="22"/>
          <w:color w:val="auto"/>
        </w:rPr>
        <w:t>No.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6939280</wp:posOffset>
            </wp:positionH>
            <wp:positionV relativeFrom="paragraph">
              <wp:posOffset>-22860</wp:posOffset>
            </wp:positionV>
            <wp:extent cx="1981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198120" cy="8255"/>
                    </a:xfrm>
                    <a:prstGeom prst="rect">
                      <a:avLst/>
                    </a:prstGeom>
                    <a:noFill/>
                  </pic:spPr>
                </pic:pic>
              </a:graphicData>
            </a:graphic>
          </wp:anchor>
        </w:drawing>
      </w:r>
    </w:p>
    <w:p>
      <w:pPr>
        <w:ind w:left="8220"/>
        <w:spacing w:after="0"/>
        <w:rPr>
          <w:sz w:val="20"/>
          <w:szCs w:val="20"/>
          <w:color w:val="auto"/>
        </w:rPr>
      </w:pPr>
      <w:r>
        <w:rPr>
          <w:rFonts w:ascii="Times New Roman" w:cs="Times New Roman" w:eastAsia="Times New Roman" w:hAnsi="Times New Roman"/>
          <w:sz w:val="22"/>
          <w:szCs w:val="22"/>
          <w:color w:val="auto"/>
        </w:rPr>
        <w:t>Amount of Restricted Cash: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6889750</wp:posOffset>
            </wp:positionH>
            <wp:positionV relativeFrom="paragraph">
              <wp:posOffset>-29210</wp:posOffset>
            </wp:positionV>
            <wp:extent cx="2476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ind w:left="10160"/>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1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2"/>
          <w:szCs w:val="22"/>
          <w:color w:val="auto"/>
        </w:rPr>
        <w:t>Grantee: ______________</w:t>
      </w:r>
    </w:p>
    <w:p>
      <w:pPr>
        <w:ind w:left="8600"/>
        <w:spacing w:after="0" w:line="230" w:lineRule="auto"/>
        <w:rPr>
          <w:sz w:val="20"/>
          <w:szCs w:val="20"/>
          <w:color w:val="auto"/>
        </w:rPr>
      </w:pPr>
      <w:r>
        <w:rPr>
          <w:rFonts w:ascii="Times New Roman" w:cs="Times New Roman" w:eastAsia="Times New Roman" w:hAnsi="Times New Roman"/>
          <w:sz w:val="22"/>
          <w:szCs w:val="22"/>
          <w:color w:val="auto"/>
        </w:rPr>
        <w:t>Grant Date: ______________</w:t>
      </w:r>
    </w:p>
    <w:p>
      <w:pPr>
        <w:ind w:left="7460"/>
        <w:spacing w:after="0"/>
        <w:rPr>
          <w:sz w:val="20"/>
          <w:szCs w:val="20"/>
          <w:color w:val="auto"/>
        </w:rPr>
      </w:pPr>
      <w:r>
        <w:rPr>
          <w:rFonts w:ascii="Times New Roman" w:cs="Times New Roman" w:eastAsia="Times New Roman" w:hAnsi="Times New Roman"/>
          <w:sz w:val="20"/>
          <w:szCs w:val="20"/>
          <w:color w:val="auto"/>
        </w:rPr>
        <w:t>No. of Restricted Shares: ______________</w:t>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0"/>
          <w:szCs w:val="20"/>
          <w:color w:val="auto"/>
        </w:rPr>
        <w:t>Amount of Restricted Cash: $_____________</w:t>
      </w:r>
    </w:p>
    <w:p>
      <w:pPr>
        <w:spacing w:after="0" w:line="1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1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 Non-Employee Members of the Board of Directors)</w:t>
      </w:r>
    </w:p>
    <w:p>
      <w:pPr>
        <w:spacing w:after="0" w:line="23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is receiving this Tandem Restricted Stock and Cash Award under the Plan as part of the Grantee’s annual retainer for services as a non-employee member of the Board of Directors of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1" w:lineRule="exact"/>
        <w:rPr>
          <w:sz w:val="20"/>
          <w:szCs w:val="20"/>
          <w:color w:val="auto"/>
        </w:rPr>
      </w:pPr>
    </w:p>
    <w:p>
      <w:pPr>
        <w:ind w:left="760" w:hanging="752"/>
        <w:spacing w:after="0"/>
        <w:tabs>
          <w:tab w:leader="none" w:pos="7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209"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 tandem and coupled award of (i) the number of shares of restricted Stock of the Company specified above (“Restricted Stock”) and (ii) the amount of restricted cash specified above (“Restricted Cash”), subject to, and in accordance with, the restrictions, terms and conditions set forth in the Plan and this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1.3This Tandem Restricted Stock and Cash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ind w:left="760" w:hanging="752"/>
        <w:spacing w:after="0"/>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2.1Subject to the terms of the Plan and this Agreement, if the Grantee remains a member of the Board of Directors of the Company as of the applicable vesting date, the Restricted Stock and Restricted Cash shall each vest one-third (1/3) per year on each of the first three (3) anniversaries of the Grant Date set forth herein.</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2.2Subject to vesting in accordance with Section 2.1, the terms of the Plan and this Agreement, Grantee shall own the vested Restricted Stock and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practices, in each event as soon as practical after each applicable anniversary of the Grant Date (provided that the vested Restricted Cash shall in no event be paid later than two and one-half (2 ½) months after the end of the year in which the Restricted Cash vests).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2.3In the event, prior to vesting, (i) Grantee dies while serving as a member of the Board of Directors of the Company, or</w:t>
      </w:r>
    </w:p>
    <w:p>
      <w:pPr>
        <w:spacing w:after="0" w:line="37" w:lineRule="exact"/>
        <w:rPr>
          <w:sz w:val="20"/>
          <w:szCs w:val="20"/>
          <w:color w:val="auto"/>
        </w:rPr>
      </w:pPr>
    </w:p>
    <w:p>
      <w:pPr>
        <w:jc w:val="both"/>
        <w:ind w:firstLine="8"/>
        <w:spacing w:after="0" w:line="233" w:lineRule="auto"/>
        <w:tabs>
          <w:tab w:leader="none" w:pos="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has his or her directorship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2.4Except for death or Disability as provided in Section 2.3, if Grantee’s status as a member of the Board of Directors of the Company terminates prior to vesting for any reason, the Restricted Stock and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 as a director; provided, however, if Grantee’s status as a member of the Board of Directors of the Company terminates prior to vesting for any reason (except for death or Disability as provided in Section 2.3), the Administrator may, in its absolute discretion and in lieu of the forfeiture and cancellation of unvested Restricted Stock and Restricted Cash provided for in this Section 2.4, decide to: (i) accelerate the vesting of all or a portion of the unvested Restricted Stock and/or Restricted Cash or (ii) allow all or a portion of the unvested Restricted Stock to continue to vest on the same or a revised schedule; in each instance, subject to any additional terms and conditions the Administrator determines appropriate.</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2.5Neither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0" w:name="page111"/>
    <w:bookmarkEnd w:id="110"/>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2.6Notwithstanding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175"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 Interest</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175"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Service or Additional Grants</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76" w:lineRule="exact"/>
        <w:rPr>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20"/>
          <w:szCs w:val="20"/>
          <w:color w:val="auto"/>
        </w:rPr>
        <w:t>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66"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3" w:lineRule="exact"/>
        <w:rPr>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3" w:lineRule="exact"/>
        <w:rPr>
          <w:sz w:val="20"/>
          <w:szCs w:val="20"/>
          <w:color w:val="auto"/>
        </w:rPr>
      </w:pPr>
    </w:p>
    <w:p>
      <w:pPr>
        <w:ind w:left="760" w:hanging="752"/>
        <w:spacing w:after="0"/>
        <w:tabs>
          <w:tab w:leader="none" w:pos="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8" w:lineRule="exact"/>
        <w:rPr>
          <w:sz w:val="20"/>
          <w:szCs w:val="20"/>
          <w:color w:val="auto"/>
        </w:rPr>
      </w:pPr>
    </w:p>
    <w:p>
      <w:pPr>
        <w:ind w:left="760" w:hanging="752"/>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09"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20"/>
          <w:szCs w:val="20"/>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12" w:name="page113"/>
    <w:bookmarkEnd w:id="112"/>
    <w:p>
      <w:pPr>
        <w:ind w:left="760" w:hanging="752"/>
        <w:spacing w:after="0"/>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0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44"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8" w:lineRule="exact"/>
        <w:rPr>
          <w:sz w:val="20"/>
          <w:szCs w:val="20"/>
          <w:color w:val="auto"/>
        </w:rPr>
      </w:pPr>
    </w:p>
    <w:p>
      <w:pPr>
        <w:ind w:left="760" w:hanging="752"/>
        <w:spacing w:after="0"/>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3" w:name="page114"/>
    <w:bookmarkEnd w:id="113"/>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ectPr>
          <w:pgSz w:w="11900" w:h="16838" w:orient="portrait"/>
          <w:cols w:equalWidth="0" w:num="1">
            <w:col w:w="11240"/>
          </w:cols>
          <w:pgMar w:left="320" w:top="1164"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Grantee</w:t>
      </w:r>
    </w:p>
    <w:p>
      <w:pPr>
        <w:spacing w:after="0" w:line="74" w:lineRule="exact"/>
        <w:rPr>
          <w:sz w:val="20"/>
          <w:szCs w:val="20"/>
          <w:color w:val="auto"/>
        </w:rPr>
      </w:pPr>
    </w:p>
    <w:p>
      <w:pPr>
        <w:sectPr>
          <w:pgSz w:w="11900" w:h="16838" w:orient="portrait"/>
          <w:cols w:equalWidth="0" w:num="2">
            <w:col w:w="3020" w:space="0"/>
            <w:col w:w="8220"/>
          </w:cols>
          <w:pgMar w:left="320" w:top="116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Title: _______________________</w:t>
      </w:r>
    </w:p>
    <w:p>
      <w:pPr>
        <w:sectPr>
          <w:pgSz w:w="11900" w:h="16838" w:orient="portrait"/>
          <w:cols w:equalWidth="0" w:num="1">
            <w:col w:w="11240"/>
          </w:cols>
          <w:pgMar w:left="320" w:top="11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6" w:lineRule="exact"/>
        <w:rPr>
          <w:sz w:val="20"/>
          <w:szCs w:val="20"/>
          <w:color w:val="auto"/>
        </w:rPr>
      </w:pPr>
    </w:p>
    <w:p>
      <w:pPr>
        <w:jc w:val="both"/>
        <w:ind w:firstLine="1505"/>
        <w:spacing w:after="0" w:line="255" w:lineRule="auto"/>
        <w:tabs>
          <w:tab w:leader="none" w:pos="203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w:t>
      </w:r>
    </w:p>
    <w:p>
      <w:pPr>
        <w:spacing w:after="0" w:line="7" w:lineRule="exact"/>
        <w:rPr>
          <w:rFonts w:ascii="Times New Roman" w:cs="Times New Roman" w:eastAsia="Times New Roman" w:hAnsi="Times New Roman"/>
          <w:sz w:val="20"/>
          <w:szCs w:val="20"/>
          <w:color w:val="auto"/>
        </w:rPr>
      </w:pPr>
    </w:p>
    <w:p>
      <w:pPr>
        <w:jc w:val="both"/>
        <w:ind w:firstLine="8"/>
        <w:spacing w:after="0" w:line="231" w:lineRule="auto"/>
        <w:tabs>
          <w:tab w:leader="none" w:pos="30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15" w:name="page116"/>
    <w:bookmarkEnd w:id="115"/>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7" w:lineRule="exact"/>
        <w:rPr>
          <w:sz w:val="20"/>
          <w:szCs w:val="20"/>
          <w:color w:val="auto"/>
        </w:rPr>
      </w:pPr>
    </w:p>
    <w:p>
      <w:pPr>
        <w:jc w:val="both"/>
        <w:ind w:firstLine="1505"/>
        <w:spacing w:after="0" w:line="257" w:lineRule="auto"/>
        <w:tabs>
          <w:tab w:leader="none" w:pos="203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jc w:val="both"/>
        <w:ind w:firstLine="1505"/>
        <w:spacing w:after="0" w:line="235" w:lineRule="auto"/>
        <w:tabs>
          <w:tab w:leader="none" w:pos="20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720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79"/>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 Lakes Energy Technologies, LLC</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Clean Energy Solutions, LLC</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Asset Management, LLC</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LED Canada, Inc.</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Stay-Lite Lighting, Inc.</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Voltrek, LLC</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1638"/>
        </w:trPr>
        <w:tc>
          <w:tcPr>
            <w:tcW w:w="4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8"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Orion Energy Systems, Inc.</w:t>
      </w:r>
    </w:p>
    <w:p>
      <w:pPr>
        <w:spacing w:after="0" w:line="222"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Manitowoc, Wisconsin</w:t>
      </w:r>
    </w:p>
    <w:p>
      <w:pPr>
        <w:spacing w:after="0" w:line="222" w:lineRule="exact"/>
        <w:rPr>
          <w:sz w:val="20"/>
          <w:szCs w:val="20"/>
          <w:color w:val="auto"/>
        </w:rPr>
      </w:pPr>
    </w:p>
    <w:p>
      <w:pPr>
        <w:jc w:val="both"/>
        <w:spacing w:after="0" w:line="251" w:lineRule="auto"/>
        <w:rPr>
          <w:sz w:val="20"/>
          <w:szCs w:val="20"/>
          <w:color w:val="auto"/>
        </w:rPr>
      </w:pPr>
      <w:r>
        <w:rPr>
          <w:rFonts w:ascii="Trebuchet MS" w:cs="Trebuchet MS" w:eastAsia="Trebuchet MS" w:hAnsi="Trebuchet MS"/>
          <w:sz w:val="18"/>
          <w:szCs w:val="18"/>
          <w:color w:val="auto"/>
        </w:rPr>
        <w:t>We hereby consent to the incorporation by reference in the Registration Statements on Form S-3 (No. 333-270197) and Form S-8 (No. 333-169611, 333-176176, 333-213042 and 333-233180) of Orion Energy Systems, Inc. of our report dated June 12, 2024, relating to the consolidated financial statements which appears in this Form 10-K.</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/s/ BDO USA, P.C.</w:t>
      </w:r>
    </w:p>
    <w:p>
      <w:pPr>
        <w:spacing w:after="0" w:line="222"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Milwaukee, Wisconsin</w:t>
      </w:r>
    </w:p>
    <w:p>
      <w:pPr>
        <w:spacing w:after="0" w:line="222"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Jenkins, certify that:</w:t>
      </w:r>
    </w:p>
    <w:p>
      <w:pPr>
        <w:spacing w:after="0" w:line="225"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280" w:hanging="378"/>
        <w:spacing w:after="0" w:line="265"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2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380" w:hanging="372"/>
        <w:spacing w:after="0"/>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280" w:hanging="378"/>
        <w:spacing w:after="0" w:line="265" w:lineRule="auto"/>
        <w:tabs>
          <w:tab w:leader="none" w:pos="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2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 Per Brodin</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2024,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179705</wp:posOffset>
            </wp:positionV>
            <wp:extent cx="32023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7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Michael H. Jenkins</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179705</wp:posOffset>
            </wp:positionV>
            <wp:extent cx="32023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7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 Per Brodin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8" w:lineRule="exact"/>
        <w:rPr>
          <w:sz w:val="20"/>
          <w:szCs w:val="20"/>
          <w:color w:val="auto"/>
        </w:rPr>
      </w:pPr>
    </w:p>
    <w:p>
      <w:pPr>
        <w:ind w:left="6240"/>
        <w:spacing w:after="0"/>
        <w:tabs>
          <w:tab w:leader="none" w:pos="6860" w:val="left"/>
        </w:tabs>
        <w:rPr>
          <w:sz w:val="20"/>
          <w:szCs w:val="20"/>
          <w:color w:val="auto"/>
        </w:rPr>
      </w:pPr>
      <w:r>
        <w:rPr>
          <w:rFonts w:ascii="Times New Roman" w:cs="Times New Roman" w:eastAsia="Times New Roman" w:hAnsi="Times New Roman"/>
          <w:sz w:val="18"/>
          <w:szCs w:val="18"/>
          <w:color w:val="auto"/>
        </w:rPr>
        <w:t>Date:</w:t>
        <w:tab/>
        <w:t>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2"/>
    </w:lvl>
  </w:abstractNum>
  <w:abstractNum w:abstractNumId="17">
    <w:nsid w:val="3DC240FB"/>
    <w:multiLevelType w:val="hybridMultilevel"/>
    <w:lvl w:ilvl="0">
      <w:lvlJc w:val="left"/>
      <w:lvlText w:val="(%1)"/>
      <w:numFmt w:val="decimal"/>
      <w:start w:val="6"/>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1)"/>
      <w:numFmt w:val="lowerLetter"/>
      <w:start w:val="3"/>
    </w:lvl>
    <w:lvl w:ilvl="1">
      <w:lvlJc w:val="left"/>
      <w:lvlText w:val="•"/>
      <w:numFmt w:val="bullet"/>
      <w:start w:val="1"/>
    </w:lvl>
  </w:abstractNum>
  <w:abstractNum w:abstractNumId="20">
    <w:nsid w:val="75C6C33A"/>
    <w:multiLevelType w:val="hybridMultilevel"/>
    <w:lvl w:ilvl="0">
      <w:lvlJc w:val="left"/>
      <w:lvlText w:val="%1."/>
      <w:numFmt w:val="decimal"/>
      <w:start w:val="606"/>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lowerRoman"/>
      <w:start w:val="1"/>
    </w:lvl>
  </w:abstractNum>
  <w:abstractNum w:abstractNumId="25">
    <w:nsid w:val="4F4EF005"/>
    <w:multiLevelType w:val="hybridMultilevel"/>
    <w:lvl w:ilvl="0">
      <w:lvlJc w:val="left"/>
      <w:lvlText w:val="%1"/>
      <w:numFmt w:val="decimal"/>
      <w:start w:val="104"/>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2"/>
    </w:lvl>
  </w:abstractNum>
  <w:abstractNum w:abstractNumId="34">
    <w:nsid w:val="354FE9F9"/>
    <w:multiLevelType w:val="hybridMultilevel"/>
    <w:lvl w:ilvl="0">
      <w:lvlJc w:val="left"/>
      <w:lvlText w:val="%1."/>
      <w:numFmt w:val="decimal"/>
      <w:start w:val="3"/>
    </w:lvl>
  </w:abstractNum>
  <w:abstractNum w:abstractNumId="35">
    <w:nsid w:val="15B5AF5C"/>
    <w:multiLevelType w:val="hybridMultilevel"/>
    <w:lvl w:ilvl="0">
      <w:lvlJc w:val="left"/>
      <w:lvlText w:val="%1."/>
      <w:numFmt w:val="decimal"/>
      <w:start w:val="4"/>
    </w:lvl>
  </w:abstractNum>
  <w:abstractNum w:abstractNumId="36">
    <w:nsid w:val="741226BB"/>
    <w:multiLevelType w:val="hybridMultilevel"/>
    <w:lvl w:ilvl="0">
      <w:lvlJc w:val="left"/>
      <w:lvlText w:val="%1."/>
      <w:numFmt w:val="decimal"/>
      <w:start w:val="5"/>
    </w:lvl>
  </w:abstractNum>
  <w:abstractNum w:abstractNumId="37">
    <w:nsid w:val="D34B6A8"/>
    <w:multiLevelType w:val="hybridMultilevel"/>
    <w:lvl w:ilvl="0">
      <w:lvlJc w:val="left"/>
      <w:lvlText w:val="%1."/>
      <w:numFmt w:val="decimal"/>
      <w:start w:val="6"/>
    </w:lvl>
  </w:abstractNum>
  <w:abstractNum w:abstractNumId="38">
    <w:nsid w:val="10233C99"/>
    <w:multiLevelType w:val="hybridMultilevel"/>
    <w:lvl w:ilvl="0">
      <w:lvlJc w:val="left"/>
      <w:lvlText w:val="%1."/>
      <w:numFmt w:val="decimal"/>
      <w:start w:val="7"/>
    </w:lvl>
  </w:abstractNum>
  <w:abstractNum w:abstractNumId="39">
    <w:nsid w:val="3F6AB60F"/>
    <w:multiLevelType w:val="hybridMultilevel"/>
    <w:lvl w:ilvl="0">
      <w:lvlJc w:val="left"/>
      <w:lvlText w:val="%1."/>
      <w:numFmt w:val="decimal"/>
      <w:start w:val="8"/>
    </w:lvl>
  </w:abstractNum>
  <w:abstractNum w:abstractNumId="40">
    <w:nsid w:val="61574095"/>
    <w:multiLevelType w:val="hybridMultilevel"/>
    <w:lvl w:ilvl="0">
      <w:lvlJc w:val="left"/>
      <w:lvlText w:val="%1."/>
      <w:numFmt w:val="decimal"/>
      <w:start w:val="9"/>
    </w:lvl>
  </w:abstractNum>
  <w:abstractNum w:abstractNumId="41">
    <w:nsid w:val="7E0C57B1"/>
    <w:multiLevelType w:val="hybridMultilevel"/>
    <w:lvl w:ilvl="0">
      <w:lvlJc w:val="left"/>
      <w:lvlText w:val="%1."/>
      <w:numFmt w:val="decimal"/>
      <w:start w:val="10"/>
    </w:lvl>
  </w:abstractNum>
  <w:abstractNum w:abstractNumId="42">
    <w:nsid w:val="77AE35EB"/>
    <w:multiLevelType w:val="hybridMultilevel"/>
    <w:lvl w:ilvl="0">
      <w:lvlJc w:val="left"/>
      <w:lvlText w:val="%1."/>
      <w:numFmt w:val="decimal"/>
      <w:start w:val="11"/>
    </w:lvl>
  </w:abstractNum>
  <w:abstractNum w:abstractNumId="43">
    <w:nsid w:val="579BE4F1"/>
    <w:multiLevelType w:val="hybridMultilevel"/>
    <w:lvl w:ilvl="0">
      <w:lvlJc w:val="left"/>
      <w:lvlText w:val="%1."/>
      <w:numFmt w:val="decimal"/>
      <w:start w:val="12"/>
    </w:lvl>
  </w:abstractNum>
  <w:abstractNum w:abstractNumId="44">
    <w:nsid w:val="310C50B3"/>
    <w:multiLevelType w:val="hybridMultilevel"/>
    <w:lvl w:ilvl="0">
      <w:lvlJc w:val="left"/>
      <w:lvlText w:val="%1."/>
      <w:numFmt w:val="decimal"/>
      <w:start w:val="13"/>
    </w:lvl>
  </w:abstractNum>
  <w:abstractNum w:abstractNumId="45">
    <w:nsid w:val="5FF87E05"/>
    <w:multiLevelType w:val="hybridMultilevel"/>
    <w:lvl w:ilvl="0">
      <w:lvlJc w:val="left"/>
      <w:lvlText w:val="%1"/>
      <w:numFmt w:val="lowerRoman"/>
      <w:start w:val="1"/>
    </w:lvl>
    <w:lvl w:ilvl="1">
      <w:lvlJc w:val="left"/>
      <w:lvlText w:val="%2."/>
      <w:numFmt w:val="upperLetter"/>
      <w:start w:val="1"/>
    </w:lvl>
  </w:abstractNum>
  <w:abstractNum w:abstractNumId="46">
    <w:nsid w:val="2F305DEF"/>
    <w:multiLevelType w:val="hybridMultilevel"/>
    <w:lvl w:ilvl="0">
      <w:lvlJc w:val="left"/>
      <w:lvlText w:val="(%1)"/>
      <w:numFmt w:val="lowerRoman"/>
      <w:start w:val="1"/>
    </w:lvl>
    <w:lvl w:ilvl="1">
      <w:lvlJc w:val="left"/>
      <w:lvlText w:val="%2."/>
      <w:numFmt w:val="upperLetter"/>
      <w:start w:val="2"/>
    </w:lvl>
  </w:abstractNum>
  <w:abstractNum w:abstractNumId="47">
    <w:nsid w:val="25A70BF7"/>
    <w:multiLevelType w:val="hybridMultilevel"/>
    <w:lvl w:ilvl="0">
      <w:lvlJc w:val="left"/>
      <w:lvlText w:val="%1."/>
      <w:numFmt w:val="upperLetter"/>
      <w:start w:val="3"/>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2"/>
    </w:lvl>
  </w:abstractNum>
  <w:abstractNum w:abstractNumId="50">
    <w:nsid w:val="1F48EAA1"/>
    <w:multiLevelType w:val="hybridMultilevel"/>
    <w:lvl w:ilvl="0">
      <w:lvlJc w:val="left"/>
      <w:lvlText w:val="%1."/>
      <w:numFmt w:val="decimal"/>
      <w:start w:val="3"/>
    </w:lvl>
  </w:abstractNum>
  <w:abstractNum w:abstractNumId="51">
    <w:nsid w:val="1381823A"/>
    <w:multiLevelType w:val="hybridMultilevel"/>
    <w:lvl w:ilvl="0">
      <w:lvlJc w:val="left"/>
      <w:lvlText w:val="%1."/>
      <w:numFmt w:val="decimal"/>
      <w:start w:val="4"/>
    </w:lvl>
  </w:abstractNum>
  <w:abstractNum w:abstractNumId="52">
    <w:nsid w:val="5DB70AE5"/>
    <w:multiLevelType w:val="hybridMultilevel"/>
    <w:lvl w:ilvl="0">
      <w:lvlJc w:val="left"/>
      <w:lvlText w:val="%1."/>
      <w:numFmt w:val="decimal"/>
      <w:start w:val="5"/>
    </w:lvl>
  </w:abstractNum>
  <w:abstractNum w:abstractNumId="53">
    <w:nsid w:val="100F8FCA"/>
    <w:multiLevelType w:val="hybridMultilevel"/>
    <w:lvl w:ilvl="0">
      <w:lvlJc w:val="left"/>
      <w:lvlText w:val="%1."/>
      <w:numFmt w:val="decimal"/>
      <w:start w:val="6"/>
    </w:lvl>
  </w:abstractNum>
  <w:abstractNum w:abstractNumId="54">
    <w:nsid w:val="6590700B"/>
    <w:multiLevelType w:val="hybridMultilevel"/>
    <w:lvl w:ilvl="0">
      <w:lvlJc w:val="left"/>
      <w:lvlText w:val="%1."/>
      <w:numFmt w:val="decimal"/>
      <w:start w:val="7"/>
    </w:lvl>
  </w:abstractNum>
  <w:abstractNum w:abstractNumId="55">
    <w:nsid w:val="15014ACB"/>
    <w:multiLevelType w:val="hybridMultilevel"/>
    <w:lvl w:ilvl="0">
      <w:lvlJc w:val="left"/>
      <w:lvlText w:val="%1."/>
      <w:numFmt w:val="decimal"/>
      <w:start w:val="8"/>
    </w:lvl>
  </w:abstractNum>
  <w:abstractNum w:abstractNumId="56">
    <w:nsid w:val="5F5E7FD0"/>
    <w:multiLevelType w:val="hybridMultilevel"/>
    <w:lvl w:ilvl="0">
      <w:lvlJc w:val="left"/>
      <w:lvlText w:val="%1."/>
      <w:numFmt w:val="decimal"/>
      <w:start w:val="9"/>
    </w:lvl>
  </w:abstractNum>
  <w:abstractNum w:abstractNumId="57">
    <w:nsid w:val="98A3148"/>
    <w:multiLevelType w:val="hybridMultilevel"/>
    <w:lvl w:ilvl="0">
      <w:lvlJc w:val="left"/>
      <w:lvlText w:val="%1."/>
      <w:numFmt w:val="decimal"/>
      <w:start w:val="10"/>
    </w:lvl>
  </w:abstractNum>
  <w:abstractNum w:abstractNumId="58">
    <w:nsid w:val="799D0247"/>
    <w:multiLevelType w:val="hybridMultilevel"/>
    <w:lvl w:ilvl="0">
      <w:lvlJc w:val="left"/>
      <w:lvlText w:val="%1."/>
      <w:numFmt w:val="decimal"/>
      <w:start w:val="11"/>
    </w:lvl>
  </w:abstractNum>
  <w:abstractNum w:abstractNumId="59">
    <w:nsid w:val="6B94764"/>
    <w:multiLevelType w:val="hybridMultilevel"/>
    <w:lvl w:ilvl="0">
      <w:lvlJc w:val="left"/>
      <w:lvlText w:val="%1."/>
      <w:numFmt w:val="decimal"/>
      <w:start w:val="12"/>
    </w:lvl>
  </w:abstractNum>
  <w:abstractNum w:abstractNumId="60">
    <w:nsid w:val="42C296BD"/>
    <w:multiLevelType w:val="hybridMultilevel"/>
    <w:lvl w:ilvl="0">
      <w:lvlJc w:val="left"/>
      <w:lvlText w:val="%1."/>
      <w:numFmt w:val="decimal"/>
      <w:start w:val="13"/>
    </w:lvl>
  </w:abstractNum>
  <w:abstractNum w:abstractNumId="61">
    <w:nsid w:val="168E121F"/>
    <w:multiLevelType w:val="hybridMultilevel"/>
    <w:lvl w:ilvl="0">
      <w:lvlJc w:val="left"/>
      <w:lvlText w:val="%1"/>
      <w:numFmt w:val="lowerRoman"/>
      <w:start w:val="1"/>
    </w:lvl>
    <w:lvl w:ilvl="1">
      <w:lvlJc w:val="left"/>
      <w:lvlText w:val="%2."/>
      <w:numFmt w:val="upperLetter"/>
      <w:start w:val="1"/>
    </w:lvl>
  </w:abstractNum>
  <w:abstractNum w:abstractNumId="62">
    <w:nsid w:val="1EBA5D23"/>
    <w:multiLevelType w:val="hybridMultilevel"/>
    <w:lvl w:ilvl="0">
      <w:lvlJc w:val="left"/>
      <w:lvlText w:val="(%1)"/>
      <w:numFmt w:val="lowerRoman"/>
      <w:start w:val="1"/>
    </w:lvl>
    <w:lvl w:ilvl="1">
      <w:lvlJc w:val="left"/>
      <w:lvlText w:val="%2."/>
      <w:numFmt w:val="upperLetter"/>
      <w:start w:val="2"/>
    </w:lvl>
  </w:abstractNum>
  <w:abstractNum w:abstractNumId="63">
    <w:nsid w:val="661E3F1E"/>
    <w:multiLevelType w:val="hybridMultilevel"/>
    <w:lvl w:ilvl="0">
      <w:lvlJc w:val="left"/>
      <w:lvlText w:val="%1."/>
      <w:numFmt w:val="upperLetter"/>
      <w:start w:val="3"/>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2"/>
    </w:lvl>
  </w:abstractNum>
  <w:abstractNum w:abstractNumId="66">
    <w:nsid w:val="7BD3EE7B"/>
    <w:multiLevelType w:val="hybridMultilevel"/>
    <w:lvl w:ilvl="0">
      <w:lvlJc w:val="left"/>
      <w:lvlText w:val="(%1)"/>
      <w:numFmt w:val="lowerRoman"/>
      <w:start w:val="2"/>
    </w:lvl>
  </w:abstractNum>
  <w:abstractNum w:abstractNumId="67">
    <w:nsid w:val="51D9C564"/>
    <w:multiLevelType w:val="hybridMultilevel"/>
    <w:lvl w:ilvl="0">
      <w:lvlJc w:val="left"/>
      <w:lvlText w:val="%1."/>
      <w:numFmt w:val="decimal"/>
      <w:start w:val="3"/>
    </w:lvl>
  </w:abstractNum>
  <w:abstractNum w:abstractNumId="68">
    <w:nsid w:val="613EFDC5"/>
    <w:multiLevelType w:val="hybridMultilevel"/>
    <w:lvl w:ilvl="0">
      <w:lvlJc w:val="left"/>
      <w:lvlText w:val="%1."/>
      <w:numFmt w:val="decimal"/>
      <w:start w:val="4"/>
    </w:lvl>
  </w:abstractNum>
  <w:abstractNum w:abstractNumId="69">
    <w:nsid w:val="BF72B14"/>
    <w:multiLevelType w:val="hybridMultilevel"/>
    <w:lvl w:ilvl="0">
      <w:lvlJc w:val="left"/>
      <w:lvlText w:val="%1."/>
      <w:numFmt w:val="decimal"/>
      <w:start w:val="5"/>
    </w:lvl>
  </w:abstractNum>
  <w:abstractNum w:abstractNumId="70">
    <w:nsid w:val="11447B73"/>
    <w:multiLevelType w:val="hybridMultilevel"/>
    <w:lvl w:ilvl="0">
      <w:lvlJc w:val="left"/>
      <w:lvlText w:val="%1."/>
      <w:numFmt w:val="decimal"/>
      <w:start w:val="6"/>
    </w:lvl>
  </w:abstractNum>
  <w:abstractNum w:abstractNumId="71">
    <w:nsid w:val="42963E5A"/>
    <w:multiLevelType w:val="hybridMultilevel"/>
    <w:lvl w:ilvl="0">
      <w:lvlJc w:val="left"/>
      <w:lvlText w:val="%1."/>
      <w:numFmt w:val="decimal"/>
      <w:start w:val="7"/>
    </w:lvl>
  </w:abstractNum>
  <w:abstractNum w:abstractNumId="72">
    <w:nsid w:val="A0382C5"/>
    <w:multiLevelType w:val="hybridMultilevel"/>
    <w:lvl w:ilvl="0">
      <w:lvlJc w:val="left"/>
      <w:lvlText w:val="%1."/>
      <w:numFmt w:val="decimal"/>
      <w:start w:val="8"/>
    </w:lvl>
  </w:abstractNum>
  <w:abstractNum w:abstractNumId="73">
    <w:nsid w:val="8F2B15E"/>
    <w:multiLevelType w:val="hybridMultilevel"/>
    <w:lvl w:ilvl="0">
      <w:lvlJc w:val="left"/>
      <w:lvlText w:val="%1."/>
      <w:numFmt w:val="decimal"/>
      <w:start w:val="9"/>
    </w:lvl>
  </w:abstractNum>
  <w:abstractNum w:abstractNumId="74">
    <w:nsid w:val="1A32234B"/>
    <w:multiLevelType w:val="hybridMultilevel"/>
    <w:lvl w:ilvl="0">
      <w:lvlJc w:val="left"/>
      <w:lvlText w:val="%1."/>
      <w:numFmt w:val="decimal"/>
      <w:start w:val="10"/>
    </w:lvl>
  </w:abstractNum>
  <w:abstractNum w:abstractNumId="75">
    <w:nsid w:val="3B0FD379"/>
    <w:multiLevelType w:val="hybridMultilevel"/>
    <w:lvl w:ilvl="0">
      <w:lvlJc w:val="left"/>
      <w:lvlText w:val="%1."/>
      <w:numFmt w:val="decimal"/>
      <w:start w:val="11"/>
    </w:lvl>
  </w:abstractNum>
  <w:abstractNum w:abstractNumId="76">
    <w:nsid w:val="68EB2F63"/>
    <w:multiLevelType w:val="hybridMultilevel"/>
    <w:lvl w:ilvl="0">
      <w:lvlJc w:val="left"/>
      <w:lvlText w:val="%1."/>
      <w:numFmt w:val="decimal"/>
      <w:start w:val="12"/>
    </w:lvl>
  </w:abstractNum>
  <w:abstractNum w:abstractNumId="77">
    <w:nsid w:val="4962813B"/>
    <w:multiLevelType w:val="hybridMultilevel"/>
    <w:lvl w:ilvl="0">
      <w:lvlJc w:val="left"/>
      <w:lvlText w:val="%1."/>
      <w:numFmt w:val="decimal"/>
      <w:start w:val="13"/>
    </w:lvl>
  </w:abstractNum>
  <w:abstractNum w:abstractNumId="78">
    <w:nsid w:val="60B6DF70"/>
    <w:multiLevelType w:val="hybridMultilevel"/>
    <w:lvl w:ilvl="0">
      <w:lvlJc w:val="left"/>
      <w:lvlText w:val="%1"/>
      <w:numFmt w:val="lowerRoman"/>
      <w:start w:val="1"/>
    </w:lvl>
    <w:lvl w:ilvl="1">
      <w:lvlJc w:val="left"/>
      <w:lvlText w:val="%2."/>
      <w:numFmt w:val="upperLetter"/>
      <w:start w:val="1"/>
    </w:lvl>
  </w:abstractNum>
  <w:abstractNum w:abstractNumId="79">
    <w:nsid w:val="6A5EE64"/>
    <w:multiLevelType w:val="hybridMultilevel"/>
    <w:lvl w:ilvl="0">
      <w:lvlJc w:val="left"/>
      <w:lvlText w:val="(%1)"/>
      <w:numFmt w:val="lowerRoman"/>
      <w:start w:val="1"/>
    </w:lvl>
    <w:lvl w:ilvl="1">
      <w:lvlJc w:val="left"/>
      <w:lvlText w:val="%2."/>
      <w:numFmt w:val="upperLetter"/>
      <w:start w:val="2"/>
    </w:lvl>
  </w:abstractNum>
  <w:abstractNum w:abstractNumId="80">
    <w:nsid w:val="14330624"/>
    <w:multiLevelType w:val="hybridMultilevel"/>
    <w:lvl w:ilvl="0">
      <w:lvlJc w:val="left"/>
      <w:lvlText w:val="%1."/>
      <w:numFmt w:val="upperLetter"/>
      <w:start w:val="3"/>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293" Type="http://schemas.openxmlformats.org/officeDocument/2006/relationships/hyperlink" Target="https://www.sec.gov/Archives/edgar/data/1409375/000095013407018504/c17612exv3w3.htm" TargetMode="External"/><Relationship Id="rId294" Type="http://schemas.openxmlformats.org/officeDocument/2006/relationships/hyperlink" Target="https://www.sec.gov/Archives/edgar/data/1409375/000119312520150150/d895611dex31.htm" TargetMode="External"/><Relationship Id="rId295" Type="http://schemas.openxmlformats.org/officeDocument/2006/relationships/hyperlink" Target="https://www.sec.gov/Archives/edgar/data/0001409375/000119312521001520/d104429dex101.htm" TargetMode="External"/><Relationship Id="rId296" Type="http://schemas.openxmlformats.org/officeDocument/2006/relationships/hyperlink" Target="https://www.sec.gov/Archives/edgar/data/1409375/000095017022023245/oesx-ex10_4.htm" TargetMode="External"/><Relationship Id="rId297" Type="http://schemas.openxmlformats.org/officeDocument/2006/relationships/hyperlink" Target="https://www.sec.gov/Archives/edgar/data/1409375/000095017024047260/oesx-ex10_1.htm" TargetMode="External"/><Relationship Id="rId298" Type="http://schemas.openxmlformats.org/officeDocument/2006/relationships/hyperlink" Target="https://www.sec.gov/Archives/edgar/data/1409375/000095013407018504/c17612exv10w9.htm" TargetMode="External"/><Relationship Id="rId299" Type="http://schemas.openxmlformats.org/officeDocument/2006/relationships/hyperlink" Target="https://www.sec.gov/Archives/edgar/data/1409375/000095012311083696/c66008ddef14a.htm" TargetMode="External"/><Relationship Id="rId300" Type="http://schemas.openxmlformats.org/officeDocument/2006/relationships/hyperlink" Target="https://www.sec.gov/Archives/edgar/data/1409375/000095013407018504/c17612exv10w10.htm" TargetMode="External"/><Relationship Id="rId301" Type="http://schemas.openxmlformats.org/officeDocument/2006/relationships/hyperlink" Target="https://www.sec.gov/Archives/edgar/data/1409375/000140937514000014/oesx-20140331xex107.htm" TargetMode="External"/><Relationship Id="rId302" Type="http://schemas.openxmlformats.org/officeDocument/2006/relationships/hyperlink" Target="https://www.sec.gov/Archives/edgar/data/1409375/000119312523180384/d506406ddef14a.htm" TargetMode="External"/><Relationship Id="rId303" Type="http://schemas.openxmlformats.org/officeDocument/2006/relationships/hyperlink" Target="https://www.sec.gov/Archives/edgar/data/1409375/000119312516677067/d208453dex45.htm" TargetMode="External"/><Relationship Id="rId304" Type="http://schemas.openxmlformats.org/officeDocument/2006/relationships/hyperlink" Target="https://www.sec.gov/Archives/edgar/data/1409375/000119312516677067/d208453dex46.htm" TargetMode="External"/><Relationship Id="rId305" Type="http://schemas.openxmlformats.org/officeDocument/2006/relationships/hyperlink" Target="https://www.sec.gov/Archives/edgar/data/1409375/000119312516677067/d208453dex47.htm" TargetMode="External"/><Relationship Id="rId306" Type="http://schemas.openxmlformats.org/officeDocument/2006/relationships/hyperlink" Target="https://www.sec.gov/Archives/edgar/data/1409375/000119312516677067/d208453dex48.htm" TargetMode="External"/><Relationship Id="rId307" Type="http://schemas.openxmlformats.org/officeDocument/2006/relationships/hyperlink" Target="https://www.sec.gov/Archives/edgar/data/0001409375/000119312520270310/d43679dex101.htm" TargetMode="External"/><Relationship Id="rId308" Type="http://schemas.openxmlformats.org/officeDocument/2006/relationships/hyperlink" Target="https://www.sec.gov/Archives/edgar/data/1409375/000156459020028509/oesx-ex1017_207.htm" TargetMode="External"/><Relationship Id="rId309" Type="http://schemas.openxmlformats.org/officeDocument/2006/relationships/hyperlink" Target="https://www.sec.gov/Archives/edgar/data/0001409375/000119312521096717/d156952dex101.htm" TargetMode="External"/><Relationship Id="rId312" Type="http://schemas.openxmlformats.org/officeDocument/2006/relationships/hyperlink" Target="https://www.sec.gov/Archives/edgar/data/1409375/000119312521319367/d152064dex101.htm" TargetMode="External"/><Relationship Id="rId313" Type="http://schemas.openxmlformats.org/officeDocument/2006/relationships/hyperlink" Target="https://www.sec.gov/Archives/edgar/data/1409375/000156459022022983/oesx-ex1019_285.htm" TargetMode="External"/><Relationship Id="rId314" Type="http://schemas.openxmlformats.org/officeDocument/2006/relationships/hyperlink" Target="https://www.sec.gov/Archives/edgar/data/1409375/000156459022022983/oesx-ex1020_283.htm" TargetMode="External"/><Relationship Id="rId315" Type="http://schemas.openxmlformats.org/officeDocument/2006/relationships/hyperlink" Target="https://www.sec.gov/Archives/edgar/data/1409375/000156459022022983/oesx-ex1021_284.htm" TargetMode="External"/><Relationship Id="rId316" Type="http://schemas.openxmlformats.org/officeDocument/2006/relationships/hyperlink" Target="https://www.sec.gov/Archives/edgar/data/1409375/000156459022022983/oesx-ex1022_282.htm" TargetMode="External"/><Relationship Id="rId317" Type="http://schemas.openxmlformats.org/officeDocument/2006/relationships/hyperlink" Target="https://www.sec.gov/Archives/edgar/data/1409375/000156459022022983/oesx-ex1023_2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2024-06-12T15:16:11Z</dcterms:created>
  <dcterms:modified xsi:type="dcterms:W3CDTF">2024-06-12T15:16:11Z</dcterms:modified>
</cp:coreProperties>
</file>