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esx-20250930.htm"/>
      <w:bookmarkStart w:id="1" w:name="ksoesx20250930"/>
      <w:bookmarkEnd w:id="0"/>
      <w:bookmarkEnd w:id="1"/>
      <w:r>
        <w:rPr/>
        <w:t> </w:t>
      </w:r>
    </w:p>
    <w:p>
      <w:pPr>
        <w:pStyle w:val="TextBody"/>
        <w:pBdr>
          <w:bottom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0" w:after="120"/>
        <w:jc w:val="center"/>
        <w:rPr/>
      </w:pPr>
      <w:r>
        <w:rPr/>
        <w:t> </w:t>
      </w:r>
    </w:p>
    <w:p>
      <w:pPr>
        <w:pStyle w:val="TextBody"/>
        <w:bidi w:val="0"/>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001-33887</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Orion Energy Systems,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303" w:type="dxa"/>
        <w:jc w:val="left"/>
        <w:tblInd w:w="0" w:type="dxa"/>
        <w:tblLayout w:type="fixed"/>
        <w:tblCellMar>
          <w:top w:w="28" w:type="dxa"/>
          <w:left w:w="28" w:type="dxa"/>
          <w:bottom w:w="28" w:type="dxa"/>
          <w:right w:w="28" w:type="dxa"/>
        </w:tblCellMar>
      </w:tblPr>
      <w:tblGrid>
        <w:gridCol w:w="2371"/>
        <w:gridCol w:w="146"/>
        <w:gridCol w:w="17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39-1847269</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left"/>
        <w:rPr/>
      </w:pPr>
      <w:r>
        <w:rPr/>
        <w:t> </w:t>
      </w:r>
    </w:p>
    <w:tbl>
      <w:tblPr>
        <w:tblW w:w="5023" w:type="dxa"/>
        <w:jc w:val="left"/>
        <w:tblInd w:w="0" w:type="dxa"/>
        <w:tblLayout w:type="fixed"/>
        <w:tblCellMar>
          <w:top w:w="28" w:type="dxa"/>
          <w:left w:w="28" w:type="dxa"/>
          <w:bottom w:w="28" w:type="dxa"/>
          <w:right w:w="28" w:type="dxa"/>
        </w:tblCellMar>
      </w:tblPr>
      <w:tblGrid>
        <w:gridCol w:w="3991"/>
        <w:gridCol w:w="146"/>
        <w:gridCol w:w="88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2210 Woodland Drive, Manitowoc, Wisconsin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54220</w:t>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(920) 892-9340</w:t>
      </w:r>
    </w:p>
    <w:p>
      <w:pPr>
        <w:pStyle w:val="TextBody"/>
        <w:bidi w:val="0"/>
        <w:spacing w:before="40" w:after="283"/>
        <w:jc w:val="center"/>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7390" w:type="dxa"/>
        <w:jc w:val="left"/>
        <w:tblInd w:w="0" w:type="dxa"/>
        <w:tblLayout w:type="fixed"/>
        <w:tblCellMar>
          <w:top w:w="28" w:type="dxa"/>
          <w:left w:w="28" w:type="dxa"/>
          <w:bottom w:w="28" w:type="dxa"/>
          <w:right w:w="28" w:type="dxa"/>
        </w:tblCellMar>
      </w:tblPr>
      <w:tblGrid>
        <w:gridCol w:w="2131"/>
        <w:gridCol w:w="146"/>
        <w:gridCol w:w="1501"/>
        <w:gridCol w:w="146"/>
        <w:gridCol w:w="34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 (s)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OESX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The Nasdaq Stock Market LLC</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Capital Market)</w:t>
            </w:r>
          </w:p>
        </w:tc>
      </w:tr>
    </w:tbl>
    <w:p>
      <w:pPr>
        <w:pStyle w:val="TextBody"/>
        <w:bidi w:val="0"/>
        <w:spacing w:before="100" w:after="283"/>
        <w:jc w:val="both"/>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There were 3,530,870</w:t>
      </w:r>
      <w:r>
        <w:rPr>
          <w:rFonts w:ascii="Times New Roman" w:hAnsi="Times New Roman"/>
          <w:color w:val="000000"/>
          <w:sz w:val="20"/>
        </w:rPr>
        <w:t xml:space="preserve"> </w:t>
      </w:r>
      <w:r>
        <w:rPr>
          <w:rFonts w:ascii="Times New Roman" w:hAnsi="Times New Roman"/>
          <w:color w:val="000000"/>
          <w:sz w:val="16"/>
        </w:rPr>
        <w:t>shares of the Registrant’s common stock outstanding on November 4, 2025.</w:t>
      </w:r>
    </w:p>
    <w:p>
      <w:pPr>
        <w:pStyle w:val="TextBody"/>
        <w:pBdr>
          <w:bottom w:val="double" w:sz="4" w:space="3"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_of_contents"/>
      <w:bookmarkEnd w:id="2"/>
      <w:r>
        <w:rPr>
          <w:rFonts w:ascii="Times New Roman" w:hAnsi="Times New Roman"/>
          <w:b/>
          <w:color w:val="000000"/>
          <w:sz w:val="20"/>
        </w:rPr>
        <w:t>ORION ENERGY SYSTEMS, INC.</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QUARTER ENDED SEPTEMBER 30, 2025</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5"/>
        <w:gridCol w:w="8712"/>
        <w:gridCol w:w="658"/>
      </w:tblGrid>
      <w:tr>
        <w:trPr/>
        <w:tc>
          <w:tcPr>
            <w:tcW w:w="835"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835" w:type="dxa"/>
            <w:tcBorders/>
            <w:tcMar>
              <w:top w:w="0" w:type="dxa"/>
              <w:left w:w="0" w:type="dxa"/>
              <w:bottom w:w="0" w:type="dxa"/>
              <w:right w:w="0" w:type="dxa"/>
            </w:tcMar>
            <w:vAlign w:val="center"/>
          </w:tcPr>
          <w:p>
            <w:pPr>
              <w:pStyle w:val="TableContents"/>
              <w:bidi w:val="0"/>
              <w:spacing w:before="40" w:after="40"/>
              <w:jc w:val="left"/>
              <w:rPr/>
            </w:pPr>
            <w:r>
              <w:rPr/>
              <w:t> </w:t>
            </w:r>
          </w:p>
        </w:tc>
        <w:tc>
          <w:tcPr>
            <w:tcW w:w="8712" w:type="dxa"/>
            <w:tcBorders/>
            <w:tcMar>
              <w:top w:w="0" w:type="dxa"/>
              <w:left w:w="0" w:type="dxa"/>
              <w:bottom w:w="0" w:type="dxa"/>
              <w:right w:w="0" w:type="dxa"/>
            </w:tcMar>
            <w:vAlign w:val="center"/>
          </w:tcPr>
          <w:p>
            <w:pPr>
              <w:pStyle w:val="TableContents"/>
              <w:bidi w:val="0"/>
              <w:spacing w:before="40" w:after="40"/>
              <w:jc w:val="left"/>
              <w:rPr/>
            </w:pPr>
            <w:r>
              <w:rPr/>
              <w:t> </w:t>
            </w:r>
          </w:p>
        </w:tc>
        <w:tc>
          <w:tcPr>
            <w:tcW w:w="658"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Page(s)</w:t>
            </w:r>
          </w:p>
        </w:tc>
      </w:tr>
      <w:tr>
        <w:trPr/>
        <w:tc>
          <w:tcPr>
            <w:tcW w:w="9547" w:type="dxa"/>
            <w:gridSpan w:val="2"/>
            <w:tcBorders/>
            <w:tcMar>
              <w:top w:w="0" w:type="dxa"/>
              <w:left w:w="0" w:type="dxa"/>
              <w:bottom w:w="0" w:type="dxa"/>
              <w:right w:w="0" w:type="dxa"/>
            </w:tcMar>
            <w:vAlign w:val="center"/>
          </w:tcPr>
          <w:p>
            <w:pPr>
              <w:pStyle w:val="TableContents"/>
              <w:bidi w:val="0"/>
              <w:spacing w:before="40" w:after="40"/>
              <w:jc w:val="left"/>
              <w:rPr/>
            </w:pPr>
            <w:hyperlink w:anchor="part_i_financial_information">
              <w:r>
                <w:rPr>
                  <w:rStyle w:val="InternetLink"/>
                  <w:rFonts w:ascii="Times New Roman" w:hAnsi="Times New Roman"/>
                  <w:color w:val="0000FF"/>
                  <w:sz w:val="20"/>
                  <w:u w:val="single"/>
                </w:rPr>
                <w:t>PART I FINANCIAL INFORMATION</w:t>
              </w:r>
            </w:hyperlink>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8712" w:type="dxa"/>
            <w:tcBorders/>
            <w:tcMar>
              <w:top w:w="0" w:type="dxa"/>
              <w:left w:w="0" w:type="dxa"/>
              <w:bottom w:w="0" w:type="dxa"/>
              <w:right w:w="0" w:type="dxa"/>
            </w:tcMar>
            <w:vAlign w:val="center"/>
          </w:tcPr>
          <w:p>
            <w:pPr>
              <w:pStyle w:val="TableContents"/>
              <w:bidi w:val="0"/>
              <w:spacing w:before="40" w:after="40"/>
              <w:jc w:val="left"/>
              <w:rPr/>
            </w:pPr>
            <w:hyperlink w:anchor="item_1__financial_statements">
              <w:r>
                <w:rPr>
                  <w:rStyle w:val="InternetLink"/>
                  <w:rFonts w:ascii="Times New Roman" w:hAnsi="Times New Roman"/>
                  <w:color w:val="0000FF"/>
                  <w:sz w:val="20"/>
                  <w:u w:val="single"/>
                </w:rPr>
                <w:t>Financial Statements (unaudited)</w:t>
              </w:r>
            </w:hyperlink>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35" w:type="dxa"/>
            <w:tcBorders/>
            <w:tcMar>
              <w:top w:w="0" w:type="dxa"/>
              <w:left w:w="0" w:type="dxa"/>
              <w:bottom w:w="0" w:type="dxa"/>
              <w:right w:w="0" w:type="dxa"/>
            </w:tcMar>
            <w:vAlign w:val="center"/>
          </w:tcPr>
          <w:p>
            <w:pPr>
              <w:pStyle w:val="TableContents"/>
              <w:bidi w:val="0"/>
              <w:spacing w:before="40" w:after="40"/>
              <w:jc w:val="left"/>
              <w:rPr/>
            </w:pPr>
            <w:r>
              <w:rPr/>
              <w:t> </w:t>
            </w:r>
          </w:p>
        </w:tc>
        <w:tc>
          <w:tcPr>
            <w:tcW w:w="8712" w:type="dxa"/>
            <w:tcBorders/>
            <w:tcMar>
              <w:top w:w="0" w:type="dxa"/>
              <w:left w:w="0" w:type="dxa"/>
              <w:bottom w:w="0" w:type="dxa"/>
              <w:right w:w="0" w:type="dxa"/>
            </w:tcMar>
            <w:vAlign w:val="center"/>
          </w:tcPr>
          <w:p>
            <w:pPr>
              <w:pStyle w:val="TableContents"/>
              <w:bidi w:val="0"/>
              <w:spacing w:before="40" w:after="40"/>
              <w:jc w:val="left"/>
              <w:rPr/>
            </w:pPr>
            <w:hyperlink w:anchor="condensed_consolidated_balance">
              <w:r>
                <w:rPr>
                  <w:rStyle w:val="InternetLink"/>
                  <w:rFonts w:ascii="Times New Roman" w:hAnsi="Times New Roman"/>
                  <w:color w:val="0000FF"/>
                  <w:sz w:val="20"/>
                  <w:u w:val="single"/>
                </w:rPr>
                <w:t>Condensed Consolidated Balance Sheets as of September 30, 2025 and March 31, 2025</w:t>
              </w:r>
            </w:hyperlink>
          </w:p>
        </w:tc>
        <w:tc>
          <w:tcPr>
            <w:tcW w:w="658"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20"/>
              </w:rPr>
            </w:pPr>
            <w:r>
              <w:rPr>
                <w:rFonts w:ascii="Times New Roman" w:hAnsi="Times New Roman"/>
                <w:color w:val="000000"/>
                <w:sz w:val="20"/>
              </w:rPr>
              <w:t>3</w:t>
            </w:r>
          </w:p>
        </w:tc>
      </w:tr>
      <w:tr>
        <w:trPr/>
        <w:tc>
          <w:tcPr>
            <w:tcW w:w="835" w:type="dxa"/>
            <w:tcBorders/>
            <w:tcMar>
              <w:top w:w="0" w:type="dxa"/>
              <w:left w:w="0" w:type="dxa"/>
              <w:bottom w:w="0" w:type="dxa"/>
              <w:right w:w="0" w:type="dxa"/>
            </w:tcMar>
            <w:vAlign w:val="center"/>
          </w:tcPr>
          <w:p>
            <w:pPr>
              <w:pStyle w:val="TableContents"/>
              <w:bidi w:val="0"/>
              <w:spacing w:before="40" w:after="40"/>
              <w:jc w:val="left"/>
              <w:rPr/>
            </w:pPr>
            <w:r>
              <w:rPr/>
              <w:t> </w:t>
            </w:r>
          </w:p>
        </w:tc>
        <w:tc>
          <w:tcPr>
            <w:tcW w:w="8712" w:type="dxa"/>
            <w:tcBorders/>
            <w:tcMar>
              <w:top w:w="0" w:type="dxa"/>
              <w:left w:w="0" w:type="dxa"/>
              <w:bottom w:w="0" w:type="dxa"/>
              <w:right w:w="0" w:type="dxa"/>
            </w:tcMar>
            <w:vAlign w:val="center"/>
          </w:tcPr>
          <w:p>
            <w:pPr>
              <w:pStyle w:val="TableContents"/>
              <w:bidi w:val="0"/>
              <w:spacing w:before="40" w:after="40"/>
              <w:jc w:val="left"/>
              <w:rPr/>
            </w:pPr>
            <w:hyperlink w:anchor="unaudited_condensed_consolidated_stateme">
              <w:r>
                <w:rPr>
                  <w:rStyle w:val="InternetLink"/>
                  <w:rFonts w:ascii="Times New Roman" w:hAnsi="Times New Roman"/>
                  <w:color w:val="0000FF"/>
                  <w:sz w:val="20"/>
                  <w:u w:val="single"/>
                </w:rPr>
                <w:t>Condensed Consolidated Statements of Operations for the Three and Six Months Ended September 30, 2025 and September 30, 2024</w:t>
              </w:r>
            </w:hyperlink>
          </w:p>
        </w:tc>
        <w:tc>
          <w:tcPr>
            <w:tcW w:w="658" w:type="dxa"/>
            <w:tcBorders/>
            <w:tcMar>
              <w:top w:w="0" w:type="dxa"/>
              <w:left w:w="0" w:type="dxa"/>
              <w:bottom w:w="0" w:type="dxa"/>
              <w:right w:w="0" w:type="dxa"/>
            </w:tcMar>
            <w:vAlign w:val="center"/>
          </w:tcPr>
          <w:p>
            <w:pPr>
              <w:pStyle w:val="TableContents"/>
              <w:bidi w:val="0"/>
              <w:spacing w:before="10" w:after="10"/>
              <w:jc w:val="right"/>
              <w:rPr>
                <w:rFonts w:ascii="Times New Roman" w:hAnsi="Times New Roman"/>
                <w:color w:val="000000"/>
                <w:sz w:val="20"/>
              </w:rPr>
            </w:pPr>
            <w:r>
              <w:rPr>
                <w:rFonts w:ascii="Times New Roman" w:hAnsi="Times New Roman"/>
                <w:color w:val="000000"/>
                <w:sz w:val="20"/>
              </w:rPr>
              <w:t>4</w:t>
            </w:r>
          </w:p>
        </w:tc>
      </w:tr>
      <w:tr>
        <w:trPr/>
        <w:tc>
          <w:tcPr>
            <w:tcW w:w="835" w:type="dxa"/>
            <w:tcBorders/>
            <w:tcMar>
              <w:top w:w="0" w:type="dxa"/>
              <w:left w:w="0" w:type="dxa"/>
              <w:bottom w:w="0" w:type="dxa"/>
              <w:right w:w="0" w:type="dxa"/>
            </w:tcMar>
            <w:vAlign w:val="center"/>
          </w:tcPr>
          <w:p>
            <w:pPr>
              <w:pStyle w:val="TableContents"/>
              <w:bidi w:val="0"/>
              <w:spacing w:before="40" w:after="40"/>
              <w:jc w:val="left"/>
              <w:rPr/>
            </w:pPr>
            <w:r>
              <w:rPr/>
              <w:t> </w:t>
            </w:r>
          </w:p>
        </w:tc>
        <w:tc>
          <w:tcPr>
            <w:tcW w:w="8712" w:type="dxa"/>
            <w:tcBorders/>
            <w:tcMar>
              <w:top w:w="0" w:type="dxa"/>
              <w:left w:w="0" w:type="dxa"/>
              <w:bottom w:w="0" w:type="dxa"/>
              <w:right w:w="0" w:type="dxa"/>
            </w:tcMar>
            <w:vAlign w:val="center"/>
          </w:tcPr>
          <w:p>
            <w:pPr>
              <w:pStyle w:val="TableContents"/>
              <w:bidi w:val="0"/>
              <w:spacing w:before="40" w:after="40"/>
              <w:jc w:val="left"/>
              <w:rPr/>
            </w:pPr>
            <w:hyperlink w:anchor="statements_shareholders_equity">
              <w:r>
                <w:rPr>
                  <w:rStyle w:val="InternetLink"/>
                  <w:rFonts w:ascii="Times New Roman" w:hAnsi="Times New Roman"/>
                  <w:color w:val="0000FF"/>
                  <w:sz w:val="20"/>
                  <w:u w:val="single"/>
                </w:rPr>
                <w:t>Condensed Consolidated Statements of Shareholders’ Equity for the Three and Six Months Ended September 30, 2025 and September 30, 2024</w:t>
              </w:r>
            </w:hyperlink>
          </w:p>
        </w:tc>
        <w:tc>
          <w:tcPr>
            <w:tcW w:w="658" w:type="dxa"/>
            <w:tcBorders/>
            <w:tcMar>
              <w:top w:w="0" w:type="dxa"/>
              <w:left w:w="0" w:type="dxa"/>
              <w:bottom w:w="0" w:type="dxa"/>
              <w:right w:w="0" w:type="dxa"/>
            </w:tcMar>
            <w:vAlign w:val="center"/>
          </w:tcPr>
          <w:p>
            <w:pPr>
              <w:pStyle w:val="TableContents"/>
              <w:bidi w:val="0"/>
              <w:spacing w:before="10" w:after="10"/>
              <w:jc w:val="right"/>
              <w:rPr>
                <w:rFonts w:ascii="Times New Roman" w:hAnsi="Times New Roman"/>
                <w:color w:val="000000"/>
                <w:sz w:val="20"/>
              </w:rPr>
            </w:pPr>
            <w:r>
              <w:rPr>
                <w:rFonts w:ascii="Times New Roman" w:hAnsi="Times New Roman"/>
                <w:color w:val="000000"/>
                <w:sz w:val="20"/>
              </w:rPr>
              <w:t>5</w:t>
            </w:r>
          </w:p>
        </w:tc>
      </w:tr>
      <w:tr>
        <w:trPr/>
        <w:tc>
          <w:tcPr>
            <w:tcW w:w="835" w:type="dxa"/>
            <w:tcBorders/>
            <w:tcMar>
              <w:top w:w="0" w:type="dxa"/>
              <w:left w:w="0" w:type="dxa"/>
              <w:bottom w:w="0" w:type="dxa"/>
              <w:right w:w="0" w:type="dxa"/>
            </w:tcMar>
            <w:vAlign w:val="center"/>
          </w:tcPr>
          <w:p>
            <w:pPr>
              <w:pStyle w:val="TableContents"/>
              <w:bidi w:val="0"/>
              <w:spacing w:before="40" w:after="40"/>
              <w:jc w:val="left"/>
              <w:rPr/>
            </w:pPr>
            <w:r>
              <w:rPr/>
              <w:t> </w:t>
            </w:r>
          </w:p>
        </w:tc>
        <w:tc>
          <w:tcPr>
            <w:tcW w:w="8712" w:type="dxa"/>
            <w:tcBorders/>
            <w:tcMar>
              <w:top w:w="0" w:type="dxa"/>
              <w:left w:w="0" w:type="dxa"/>
              <w:bottom w:w="0" w:type="dxa"/>
              <w:right w:w="0" w:type="dxa"/>
            </w:tcMar>
            <w:vAlign w:val="center"/>
          </w:tcPr>
          <w:p>
            <w:pPr>
              <w:pStyle w:val="TableContents"/>
              <w:bidi w:val="0"/>
              <w:spacing w:before="40" w:after="40"/>
              <w:jc w:val="left"/>
              <w:rPr/>
            </w:pPr>
            <w:hyperlink w:anchor="consolidated_stateme_cash_flow">
              <w:r>
                <w:rPr>
                  <w:rStyle w:val="InternetLink"/>
                  <w:rFonts w:ascii="Times New Roman" w:hAnsi="Times New Roman"/>
                  <w:color w:val="0000FF"/>
                  <w:sz w:val="20"/>
                  <w:u w:val="single"/>
                </w:rPr>
                <w:t>Condensed Consolidated Statements of Cash Flows for the Six Months Ended September 30, 2025 and September 30, 2024</w:t>
              </w:r>
            </w:hyperlink>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35" w:type="dxa"/>
            <w:tcBorders/>
            <w:tcMar>
              <w:top w:w="0" w:type="dxa"/>
              <w:left w:w="0" w:type="dxa"/>
              <w:bottom w:w="0" w:type="dxa"/>
              <w:right w:w="0" w:type="dxa"/>
            </w:tcMar>
            <w:vAlign w:val="center"/>
          </w:tcPr>
          <w:p>
            <w:pPr>
              <w:pStyle w:val="TableContents"/>
              <w:bidi w:val="0"/>
              <w:spacing w:before="40" w:after="40"/>
              <w:jc w:val="left"/>
              <w:rPr/>
            </w:pPr>
            <w:r>
              <w:rPr/>
              <w:t> </w:t>
            </w:r>
          </w:p>
        </w:tc>
        <w:tc>
          <w:tcPr>
            <w:tcW w:w="8712" w:type="dxa"/>
            <w:tcBorders/>
            <w:tcMar>
              <w:top w:w="0" w:type="dxa"/>
              <w:left w:w="0" w:type="dxa"/>
              <w:bottom w:w="0" w:type="dxa"/>
              <w:right w:w="0" w:type="dxa"/>
            </w:tcMar>
            <w:vAlign w:val="center"/>
          </w:tcPr>
          <w:p>
            <w:pPr>
              <w:pStyle w:val="TableContents"/>
              <w:bidi w:val="0"/>
              <w:spacing w:before="40" w:after="40"/>
              <w:jc w:val="left"/>
              <w:rPr/>
            </w:pPr>
            <w:hyperlink w:anchor="notes_to_condensed_consolidate_financial">
              <w:r>
                <w:rPr>
                  <w:rStyle w:val="InternetLink"/>
                  <w:rFonts w:ascii="Times New Roman" w:hAnsi="Times New Roman"/>
                  <w:color w:val="0000FF"/>
                  <w:sz w:val="20"/>
                  <w:u w:val="single"/>
                </w:rPr>
                <w:t>Notes to the Condensed Consolidated Financial Statements</w:t>
              </w:r>
            </w:hyperlink>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2.</w:t>
            </w:r>
          </w:p>
        </w:tc>
        <w:tc>
          <w:tcPr>
            <w:tcW w:w="8712" w:type="dxa"/>
            <w:tcBorders/>
            <w:tcMar>
              <w:top w:w="0" w:type="dxa"/>
              <w:left w:w="0" w:type="dxa"/>
              <w:bottom w:w="0" w:type="dxa"/>
              <w:right w:w="0" w:type="dxa"/>
            </w:tcMar>
            <w:vAlign w:val="center"/>
          </w:tcPr>
          <w:p>
            <w:pPr>
              <w:pStyle w:val="TableContents"/>
              <w:bidi w:val="0"/>
              <w:spacing w:before="40" w:after="40"/>
              <w:jc w:val="left"/>
              <w:rPr/>
            </w:pPr>
            <w:hyperlink w:anchor="item_2__management_s_discussion_and_anal">
              <w:r>
                <w:rPr>
                  <w:rStyle w:val="InternetLink"/>
                  <w:rFonts w:ascii="Times New Roman" w:hAnsi="Times New Roman"/>
                  <w:color w:val="0000FF"/>
                  <w:sz w:val="20"/>
                  <w:u w:val="single"/>
                </w:rPr>
                <w:t>Management’s Discussion and Analysis of Financial Condition and Results of Operations</w:t>
              </w:r>
            </w:hyperlink>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3.</w:t>
            </w:r>
          </w:p>
        </w:tc>
        <w:tc>
          <w:tcPr>
            <w:tcW w:w="8712" w:type="dxa"/>
            <w:tcBorders/>
            <w:tcMar>
              <w:top w:w="0" w:type="dxa"/>
              <w:left w:w="0" w:type="dxa"/>
              <w:bottom w:w="0" w:type="dxa"/>
              <w:right w:w="0" w:type="dxa"/>
            </w:tcMar>
            <w:vAlign w:val="center"/>
          </w:tcPr>
          <w:p>
            <w:pPr>
              <w:pStyle w:val="TableContents"/>
              <w:bidi w:val="0"/>
              <w:spacing w:before="40" w:after="40"/>
              <w:jc w:val="left"/>
              <w:rPr/>
            </w:pPr>
            <w:hyperlink w:anchor="item_3__quantitative_and_qualitative_dis">
              <w:r>
                <w:rPr>
                  <w:rStyle w:val="InternetLink"/>
                  <w:rFonts w:ascii="Times New Roman" w:hAnsi="Times New Roman"/>
                  <w:color w:val="0000FF"/>
                  <w:sz w:val="20"/>
                  <w:u w:val="single"/>
                </w:rPr>
                <w:t>Quantitative and Qualitative Disclosures about Market Risk</w:t>
              </w:r>
            </w:hyperlink>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4.</w:t>
            </w:r>
          </w:p>
        </w:tc>
        <w:tc>
          <w:tcPr>
            <w:tcW w:w="8712" w:type="dxa"/>
            <w:tcBorders/>
            <w:tcMar>
              <w:top w:w="0" w:type="dxa"/>
              <w:left w:w="0" w:type="dxa"/>
              <w:bottom w:w="0" w:type="dxa"/>
              <w:right w:w="0" w:type="dxa"/>
            </w:tcMar>
            <w:vAlign w:val="center"/>
          </w:tcPr>
          <w:p>
            <w:pPr>
              <w:pStyle w:val="TableContents"/>
              <w:bidi w:val="0"/>
              <w:spacing w:before="40" w:after="40"/>
              <w:jc w:val="left"/>
              <w:rPr/>
            </w:pPr>
            <w:hyperlink w:anchor="item_4__controls_and_procedures">
              <w:r>
                <w:rPr>
                  <w:rStyle w:val="InternetLink"/>
                  <w:rFonts w:ascii="Times New Roman" w:hAnsi="Times New Roman"/>
                  <w:color w:val="0000FF"/>
                  <w:sz w:val="20"/>
                  <w:u w:val="single"/>
                </w:rPr>
                <w:t>Controls and Procedures</w:t>
              </w:r>
            </w:hyperlink>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547" w:type="dxa"/>
            <w:gridSpan w:val="2"/>
            <w:tcBorders/>
            <w:tcMar>
              <w:top w:w="0" w:type="dxa"/>
              <w:left w:w="0" w:type="dxa"/>
              <w:bottom w:w="0" w:type="dxa"/>
              <w:right w:w="0" w:type="dxa"/>
            </w:tcMar>
            <w:vAlign w:val="center"/>
          </w:tcPr>
          <w:p>
            <w:pPr>
              <w:pStyle w:val="TableContents"/>
              <w:bidi w:val="0"/>
              <w:spacing w:before="40" w:after="40"/>
              <w:jc w:val="left"/>
              <w:rPr/>
            </w:pPr>
            <w:hyperlink w:anchor="part_ii_other_information">
              <w:r>
                <w:rPr>
                  <w:rStyle w:val="InternetLink"/>
                  <w:rFonts w:ascii="Times New Roman" w:hAnsi="Times New Roman"/>
                  <w:color w:val="0000FF"/>
                  <w:sz w:val="20"/>
                  <w:u w:val="single"/>
                </w:rPr>
                <w:t>PART II OTHER INFORMATION</w:t>
              </w:r>
            </w:hyperlink>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8712" w:type="dxa"/>
            <w:tcBorders/>
            <w:tcMar>
              <w:top w:w="0" w:type="dxa"/>
              <w:left w:w="0" w:type="dxa"/>
              <w:bottom w:w="0" w:type="dxa"/>
              <w:right w:w="0" w:type="dxa"/>
            </w:tcMar>
            <w:vAlign w:val="center"/>
          </w:tcPr>
          <w:p>
            <w:pPr>
              <w:pStyle w:val="TableContents"/>
              <w:bidi w:val="0"/>
              <w:spacing w:before="40" w:after="40"/>
              <w:jc w:val="left"/>
              <w:rPr/>
            </w:pPr>
            <w:hyperlink w:anchor="item_1__legal_proceedings">
              <w:r>
                <w:rPr>
                  <w:rStyle w:val="InternetLink"/>
                  <w:rFonts w:ascii="Times New Roman" w:hAnsi="Times New Roman"/>
                  <w:color w:val="0000FF"/>
                  <w:sz w:val="20"/>
                  <w:u w:val="single"/>
                </w:rPr>
                <w:t>Legal Proceedings</w:t>
              </w:r>
            </w:hyperlink>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1A.</w:t>
            </w:r>
          </w:p>
        </w:tc>
        <w:tc>
          <w:tcPr>
            <w:tcW w:w="8712" w:type="dxa"/>
            <w:tcBorders/>
            <w:tcMar>
              <w:top w:w="0" w:type="dxa"/>
              <w:left w:w="0" w:type="dxa"/>
              <w:bottom w:w="0" w:type="dxa"/>
              <w:right w:w="0" w:type="dxa"/>
            </w:tcMar>
            <w:vAlign w:val="center"/>
          </w:tcPr>
          <w:p>
            <w:pPr>
              <w:pStyle w:val="TableContents"/>
              <w:bidi w:val="0"/>
              <w:spacing w:before="40" w:after="40"/>
              <w:jc w:val="left"/>
              <w:rPr/>
            </w:pPr>
            <w:hyperlink w:anchor="item_1a__risk_factors">
              <w:r>
                <w:rPr>
                  <w:rStyle w:val="InternetLink"/>
                  <w:rFonts w:ascii="Times New Roman" w:hAnsi="Times New Roman"/>
                  <w:color w:val="0000FF"/>
                  <w:sz w:val="20"/>
                  <w:u w:val="single"/>
                </w:rPr>
                <w:t>Risk Factors</w:t>
              </w:r>
            </w:hyperlink>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2.</w:t>
            </w:r>
          </w:p>
        </w:tc>
        <w:tc>
          <w:tcPr>
            <w:tcW w:w="8712" w:type="dxa"/>
            <w:tcBorders/>
            <w:tcMar>
              <w:top w:w="0" w:type="dxa"/>
              <w:left w:w="0" w:type="dxa"/>
              <w:bottom w:w="0" w:type="dxa"/>
              <w:right w:w="0" w:type="dxa"/>
            </w:tcMar>
            <w:vAlign w:val="center"/>
          </w:tcPr>
          <w:p>
            <w:pPr>
              <w:pStyle w:val="TableContents"/>
              <w:bidi w:val="0"/>
              <w:spacing w:before="40" w:after="40"/>
              <w:jc w:val="left"/>
              <w:rPr/>
            </w:pPr>
            <w:hyperlink w:anchor="item_2__unregistered_sale_of_equity_secu">
              <w:r>
                <w:rPr>
                  <w:rStyle w:val="InternetLink"/>
                  <w:rFonts w:ascii="Times New Roman" w:hAnsi="Times New Roman"/>
                  <w:color w:val="0000FF"/>
                  <w:sz w:val="20"/>
                  <w:u w:val="single"/>
                </w:rPr>
                <w:t>Unregistered Sales of Equity Securities and Use of Proceeds</w:t>
              </w:r>
            </w:hyperlink>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5.</w:t>
            </w:r>
          </w:p>
        </w:tc>
        <w:tc>
          <w:tcPr>
            <w:tcW w:w="8712"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FF"/>
                <w:sz w:val="20"/>
                <w:u w:val="single"/>
              </w:rPr>
            </w:pPr>
            <w:r>
              <w:rPr>
                <w:rFonts w:ascii="Times New Roman" w:hAnsi="Times New Roman"/>
                <w:color w:val="0000FF"/>
                <w:sz w:val="20"/>
                <w:u w:val="single"/>
              </w:rPr>
              <w:t>Other Information</w:t>
            </w:r>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6.</w:t>
            </w:r>
          </w:p>
        </w:tc>
        <w:tc>
          <w:tcPr>
            <w:tcW w:w="8712" w:type="dxa"/>
            <w:tcBorders/>
            <w:tcMar>
              <w:top w:w="0" w:type="dxa"/>
              <w:left w:w="0" w:type="dxa"/>
              <w:bottom w:w="0" w:type="dxa"/>
              <w:right w:w="0" w:type="dxa"/>
            </w:tcMar>
            <w:vAlign w:val="center"/>
          </w:tcPr>
          <w:p>
            <w:pPr>
              <w:pStyle w:val="TableContents"/>
              <w:bidi w:val="0"/>
              <w:spacing w:before="40" w:after="40"/>
              <w:jc w:val="left"/>
              <w:rPr/>
            </w:pPr>
            <w:hyperlink w:anchor="item_6__exhibits">
              <w:r>
                <w:rPr>
                  <w:rStyle w:val="InternetLink"/>
                  <w:rFonts w:ascii="Times New Roman" w:hAnsi="Times New Roman"/>
                  <w:color w:val="0000FF"/>
                  <w:sz w:val="20"/>
                  <w:u w:val="single"/>
                </w:rPr>
                <w:t>Exhibits</w:t>
              </w:r>
            </w:hyperlink>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547" w:type="dxa"/>
            <w:gridSpan w:val="2"/>
            <w:tcBorders/>
            <w:tcMar>
              <w:top w:w="0" w:type="dxa"/>
              <w:left w:w="0" w:type="dxa"/>
              <w:bottom w:w="0" w:type="dxa"/>
              <w:right w:w="0" w:type="dxa"/>
            </w:tcMar>
            <w:vAlign w:val="center"/>
          </w:tcPr>
          <w:p>
            <w:pPr>
              <w:pStyle w:val="TableContents"/>
              <w:bidi w:val="0"/>
              <w:spacing w:before="40" w:after="40"/>
              <w:jc w:val="left"/>
              <w:rPr/>
            </w:pPr>
            <w:hyperlink w:anchor="signature">
              <w:r>
                <w:rPr>
                  <w:rStyle w:val="InternetLink"/>
                  <w:rFonts w:ascii="Times New Roman" w:hAnsi="Times New Roman"/>
                  <w:color w:val="0000FF"/>
                  <w:sz w:val="20"/>
                  <w:u w:val="single"/>
                </w:rPr>
                <w:t>SIGNATURE</w:t>
              </w:r>
            </w:hyperlink>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bl>
    <w:p>
      <w:pPr>
        <w:pStyle w:val="TextBody"/>
        <w:bidi w:val="0"/>
        <w:spacing w:before="60" w:after="283"/>
        <w:jc w:val="left"/>
        <w:rPr/>
      </w:pPr>
      <w:r>
        <w:rPr/>
        <w:t> </w:t>
      </w:r>
    </w:p>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180" w:after="283"/>
        <w:jc w:val="both"/>
        <w:rPr>
          <w:rFonts w:ascii="Times New Roman" w:hAnsi="Times New Roman"/>
          <w:b/>
          <w:color w:val="000000"/>
          <w:sz w:val="20"/>
        </w:rPr>
      </w:pPr>
      <w:bookmarkStart w:id="4" w:name="item_1__financial_statements"/>
      <w:bookmarkEnd w:id="4"/>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bookmarkStart w:id="5" w:name="unaudited_condensed_consolidated_balance"/>
      <w:bookmarkEnd w:id="5"/>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6" w:name="condensed_consolidated_balance"/>
      <w:bookmarkEnd w:id="6"/>
      <w:r>
        <w:rPr>
          <w:rFonts w:ascii="Times New Roman" w:hAnsi="Times New Roman"/>
          <w:b/>
          <w:color w:val="000000"/>
          <w:sz w:val="20"/>
        </w:rPr>
        <w:t>UNAUDITED 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79"/>
        <w:gridCol w:w="146"/>
        <w:gridCol w:w="274"/>
        <w:gridCol w:w="1095"/>
        <w:gridCol w:w="166"/>
        <w:gridCol w:w="146"/>
        <w:gridCol w:w="237"/>
        <w:gridCol w:w="948"/>
        <w:gridCol w:w="414"/>
      </w:tblGrid>
      <w:tr>
        <w:trPr/>
        <w:tc>
          <w:tcPr>
            <w:tcW w:w="6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Shares authorized: 30,000,000 at</w:t>
              <w:br/>
              <w:t>September 30, 2025 and March 31, 2025; no shares issued and outstanding at September 30, 2025 and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no par value: Shares authorized: 20,000,000 at </w:t>
              <w:br/>
              <w:t xml:space="preserve">September 30, 2025 and March 31, 2025; shares issued: 4,314,551 at </w:t>
              <w:br/>
              <w:t xml:space="preserve">September 30, 2025 and 4,247,023 at March 31, 2025; shares outstanding: </w:t>
              <w:br/>
              <w:t>3,530,870 at September 30, 2025 and 3,298,389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163,025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common shares: 783,681 at September 30, 2025 and 948,634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22, 2025, Orion enacted a 1-for-10 reverse stock split on all common stock. All current and prior periods have been adjusted to accurately show the amount of shares post-split.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7" w:name="unaudited_condensed_consolidated_stateme"/>
      <w:bookmarkEnd w:id="7"/>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045" w:type="dxa"/>
        <w:jc w:val="left"/>
        <w:tblInd w:w="0" w:type="dxa"/>
        <w:tblLayout w:type="fixed"/>
        <w:tblCellMar>
          <w:top w:w="28" w:type="dxa"/>
          <w:left w:w="28" w:type="dxa"/>
          <w:bottom w:w="28" w:type="dxa"/>
          <w:right w:w="28" w:type="dxa"/>
        </w:tblCellMar>
      </w:tblPr>
      <w:tblGrid>
        <w:gridCol w:w="3916"/>
        <w:gridCol w:w="146"/>
        <w:gridCol w:w="218"/>
        <w:gridCol w:w="963"/>
        <w:gridCol w:w="171"/>
        <w:gridCol w:w="151"/>
        <w:gridCol w:w="218"/>
        <w:gridCol w:w="963"/>
        <w:gridCol w:w="166"/>
        <w:gridCol w:w="146"/>
        <w:gridCol w:w="211"/>
        <w:gridCol w:w="931"/>
        <w:gridCol w:w="166"/>
        <w:gridCol w:w="146"/>
        <w:gridCol w:w="211"/>
        <w:gridCol w:w="931"/>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3,498,786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and share</w:t>
              <w:br/>
              <w:t>   equivalents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3,498,786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22, 2025, Orion enacted a 1-for-10 reverse stock split on all common stock. All current and prior periods have been adjusted to accurately show the amount of shares post-split.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8" w:name="statements_shareholders_equity"/>
      <w:bookmarkEnd w:id="8"/>
      <w:r>
        <w:rPr>
          <w:rFonts w:ascii="Times New Roman" w:hAnsi="Times New Roman"/>
          <w:b/>
          <w:color w:val="000000"/>
          <w:sz w:val="20"/>
        </w:rPr>
        <w:t>UNAUDITED 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43"/>
        <w:gridCol w:w="146"/>
        <w:gridCol w:w="146"/>
        <w:gridCol w:w="931"/>
        <w:gridCol w:w="146"/>
        <w:gridCol w:w="146"/>
        <w:gridCol w:w="211"/>
        <w:gridCol w:w="781"/>
        <w:gridCol w:w="146"/>
        <w:gridCol w:w="146"/>
        <w:gridCol w:w="211"/>
        <w:gridCol w:w="736"/>
        <w:gridCol w:w="166"/>
        <w:gridCol w:w="146"/>
        <w:gridCol w:w="211"/>
        <w:gridCol w:w="841"/>
        <w:gridCol w:w="166"/>
        <w:gridCol w:w="146"/>
        <w:gridCol w:w="268"/>
        <w:gridCol w:w="860"/>
        <w:gridCol w:w="212"/>
      </w:tblGrid>
      <w:tr>
        <w:trPr/>
        <w:tc>
          <w:tcPr>
            <w:tcW w:w="3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to Final Frontier as partial payment of the accrued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3,530,870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4"/>
        <w:gridCol w:w="146"/>
        <w:gridCol w:w="146"/>
        <w:gridCol w:w="931"/>
        <w:gridCol w:w="146"/>
        <w:gridCol w:w="146"/>
        <w:gridCol w:w="211"/>
        <w:gridCol w:w="781"/>
        <w:gridCol w:w="146"/>
        <w:gridCol w:w="146"/>
        <w:gridCol w:w="211"/>
        <w:gridCol w:w="736"/>
        <w:gridCol w:w="166"/>
        <w:gridCol w:w="146"/>
        <w:gridCol w:w="211"/>
        <w:gridCol w:w="841"/>
        <w:gridCol w:w="166"/>
        <w:gridCol w:w="146"/>
        <w:gridCol w:w="272"/>
        <w:gridCol w:w="875"/>
        <w:gridCol w:w="212"/>
      </w:tblGrid>
      <w:tr>
        <w:trPr/>
        <w:tc>
          <w:tcPr>
            <w:tcW w:w="3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22, 2025, Orion enacted a 1-for-10 reverse stock split on all common stock. All current and prior periods have been adjusted to accurately show the amount of shares post-split.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condensed_consolidated_statements_of_cas"/>
      <w:bookmarkEnd w:id="9"/>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10" w:name="consolidated_stateme_cash_flow"/>
      <w:bookmarkEnd w:id="10"/>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06"/>
        <w:gridCol w:w="146"/>
        <w:gridCol w:w="257"/>
        <w:gridCol w:w="771"/>
        <w:gridCol w:w="203"/>
        <w:gridCol w:w="178"/>
        <w:gridCol w:w="257"/>
        <w:gridCol w:w="771"/>
        <w:gridCol w:w="616"/>
      </w:tblGrid>
      <w:tr>
        <w:trPr/>
        <w:tc>
          <w:tcPr>
            <w:tcW w:w="7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provided by (used in)</w:t>
              <w:b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inventory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 current and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patents and 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incurred related to issuance of 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equity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to Final Frontier, LLC as partial payment of earnout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subordinated debt for earnout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orion_energy_systems_inc_subsidiaries"/>
      <w:bookmarkEnd w:id="11"/>
      <w:r>
        <w:rPr>
          <w:rFonts w:ascii="Times New Roman" w:hAnsi="Times New Roman"/>
          <w:b/>
          <w:color w:val="000000"/>
          <w:sz w:val="20"/>
        </w:rPr>
        <w:t>ORION ENERGY SYSTEMS, INC. AND SUBSIDIARIES</w:t>
      </w:r>
    </w:p>
    <w:p>
      <w:pPr>
        <w:pStyle w:val="TextBody"/>
        <w:bidi w:val="0"/>
        <w:jc w:val="center"/>
        <w:rPr>
          <w:rFonts w:ascii="Times New Roman" w:hAnsi="Times New Roman"/>
          <w:sz w:val="20"/>
        </w:rPr>
      </w:pPr>
      <w:bookmarkStart w:id="12" w:name="notes_to_condensed_consolidate_financial"/>
      <w:bookmarkEnd w:id="12"/>
      <w:r>
        <w:rPr>
          <w:rFonts w:ascii="Times New Roman" w:hAnsi="Times New Roman"/>
          <w:b/>
          <w:color w:val="000000"/>
          <w:sz w:val="20"/>
        </w:rPr>
        <w:t>UNAUDITED NOTES TO THE CONDENSED C</w:t>
      </w:r>
      <w:bookmarkStart w:id="13" w:name="unaudited_notes_to_condensed_consolidate"/>
      <w:bookmarkEnd w:id="13"/>
      <w:r>
        <w:rPr>
          <w:rFonts w:ascii="Times New Roman" w:hAnsi="Times New Roman"/>
          <w:b/>
          <w:color w:val="000000"/>
          <w:sz w:val="20"/>
        </w:rPr>
        <w:t>ONSOLIDATED FINANCIAL STATEMENTS</w:t>
      </w:r>
    </w:p>
    <w:p>
      <w:pPr>
        <w:pStyle w:val="TextBody"/>
        <w:bidi w:val="0"/>
        <w:spacing w:before="180" w:after="283"/>
        <w:jc w:val="left"/>
        <w:rPr>
          <w:rFonts w:ascii="Times New Roman" w:hAnsi="Times New Roman"/>
          <w:b/>
          <w:color w:val="000000"/>
          <w:sz w:val="20"/>
        </w:rPr>
      </w:pPr>
      <w:bookmarkStart w:id="14" w:name="note_1___description_of_business"/>
      <w:bookmarkEnd w:id="14"/>
      <w:r>
        <w:rPr>
          <w:rFonts w:ascii="Times New Roman" w:hAnsi="Times New Roman"/>
          <w:b/>
          <w:color w:val="000000"/>
          <w:sz w:val="20"/>
        </w:rPr>
        <w:t>NOTE 1 — DESCRIPTION OF BUSINESS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 installation services to commercial and industrial businesses, and federal and local governments, predominantly in North America.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corporate offices and leased primary manufacturing operations are located in Manitowoc, Wisconsin. Orion also leases office space in Jacksonville, Florida and Lawrence, Massachusetts.</w:t>
      </w:r>
    </w:p>
    <w:p>
      <w:pPr>
        <w:pStyle w:val="TextBody"/>
        <w:bidi w:val="0"/>
        <w:spacing w:before="280" w:after="283"/>
        <w:jc w:val="left"/>
        <w:rPr>
          <w:rFonts w:ascii="Times New Roman" w:hAnsi="Times New Roman"/>
          <w:b/>
          <w:color w:val="000000"/>
          <w:sz w:val="20"/>
        </w:rPr>
      </w:pPr>
      <w:bookmarkStart w:id="15" w:name="note_2___summary_of_significant_accounti"/>
      <w:bookmarkEnd w:id="15"/>
      <w:r>
        <w:rPr>
          <w:rFonts w:ascii="Times New Roman" w:hAnsi="Times New Roman"/>
          <w:b/>
          <w:color w:val="000000"/>
          <w:sz w:val="20"/>
        </w:rPr>
        <w:t>NOTE 2 — SUMMARY OF SIGNIFICANT ACCOUNTING POLICIES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consolidated financial statements include the accounts of Orion Energy Systems, Inc. and its wholly-owned subsidiaries. All intercompany transactions and balances have been eliminated in consolidation.</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2026 or other interim periods.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Condensed Consolidated Balance Sheet as of March 31, 2025 has been derived from the audited consolidated financial statements at that date but does not include all of the information required by GAAP for complete financial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audited consolidated financial statements and footnotes thereto included in Orion’s Annual Report on Form 10-K for the fiscal year ended March 31, 2025 filed with the SEC on June 26,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August 22, 2025, Orion enacted a 1-for-10 reverse stock split in order to remain compliant with the Minimum Bid Price Rule. The par value was not adjusted for the reverse stock split. All share and per share data have been adjusted for all periods presented to reflect the reverse stock split.</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management estimates include revenue recognition, net realizable value of inventory, allowance for credit losses, accruals for warranty, loss contingencies, earnout, income taxes, impairment analyses, and certain equity transactions. Accordingly,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cash is primarily deposited with one 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purchases components necessary for its lighting products, including lamps and LED components, from multiple suppliers. For the three and six months ended September 30, 2025 and 2024, no suppliers accounted for more than 10% of total cost of revenue.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September 30, 2025, two customers accounted for 34.3% and 13.9% of total revenue, respectively. For the six months ended September 30, 2025, one customer accounted for 32.2% of total revenue. For the three months ended September 30, 2024, two customers accounted for 25.0% and 12.5% of total revenue, respectively. For the six months ended September 30, 2024, two customers accounted for 23.0% and 10.4% of total revenue,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one customer accounted for 20.9% of accounts receivable. As of March 31, 2025, one customer accounted for 13.0% of accounts receivable.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Compliance with the Continued Listing Standards of the Nasdaq Capital Market (“NASDAQ”)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disclosed, on September 20, 2024, Orion received written notice from the Listing Qualifications Department (the “Staff”) of NASDAQ notifying Orion that it was not in compliance with the minimum bid price requirements set forth in Nasdaq Listing Rule 5550(a)(2) (the “Minimum Bid Price Rule”) for continued listing on NASDAQ, as the closing bid price of the Orion’s common stock had been below $1.00 per share for 30 consecutive trading days. Pursuant to Nasdaq Listing Rule 5810(c)(3)(A), Orion was granted 180 calendar days, or until March 19, 2025, to regain compliance with the Minimum Bid Price Rule which was followed by another 180-day extension. On March 19, 2025, Orion submitted a formal request to NASDAQ for an additional 180-calendar day period to regain compliance with the Minimum Bid Price Rule and provided written notice to NASDAQ of its intent to effectuate a reverse stock split during the additional compliance period if necessary to regain compliance with the Minimum Bid Price Rule.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20, 2025, Orion received a letter from NASDAQ granting Orion the additional period, through September 15, 2025, to regain compliance with the Minimum Bid Price Rule.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Ultimately, in order to regain compliance with the Minimum Bid Price Rule, Orion effected a 1-for-10 reverse stock split of its common stock as of the opening of trading on August 22,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 effect of Orion's reverse stock split, on September 8, 2025, Orion received a written notification from the Staff indicating that Orion had regained compliance with the Minimum Bid Price Rule. Consequently, Orion is now in compliance with all applicable listing standards of, and will continue to be listed on, the Nasdaq.</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80" w:after="283"/>
        <w:jc w:val="both"/>
        <w:rPr>
          <w:rFonts w:ascii="Times New Roman" w:hAnsi="Times New Roman"/>
          <w:b/>
          <w:color w:val="000000"/>
          <w:sz w:val="20"/>
          <w:u w:val="single"/>
        </w:rPr>
      </w:pPr>
      <w:r>
        <w:rPr>
          <w:rFonts w:ascii="Times New Roman" w:hAnsi="Times New Roman"/>
          <w:b/>
          <w:color w:val="000000"/>
          <w:sz w:val="20"/>
          <w:u w:val="single"/>
        </w:rPr>
        <w:t>Issued: Not Yet Adopted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July 2025, the Financial Accounting Standards Board (FASB) issued Accounting Standards Update (ASU) No. 2025-05, Financial Instruments - Credit Losses (Topic 326), which modifies the current credit loss guidance in Topic 326 to expand on how an entity develops and estimate of expected credit losses. The amendments in this update provide (1) all entities with a practical expedient and (2) entities other than public business entities with an accounting policy election when estimating expected credit loses for current accounts receivable and current contract assets arising from transactions accounted for under Topic 606, as follows: 1. Practical expedient. In developing reasonable and supportable forecasts as part of estimating expected credit losses, all entities may elect a practical expedient that assumes that current conditions as of the balance sheet date do not change for the remaining life of the asset. 2. Accounting policy election. An entity other than a public business entity that elects the practical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expedient is permitted to make an accounting policy election to consider collection activity after the balance sheet date when estimating expected credit losses.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Orion is currently evaluating the impact that this guidance will have on the presentation of its consolidated financial statements and accompanying 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(Subtopic 220-40), which modifies the disclosure and presentation requirements relating to expenses shown on the statements of operations. The amendments in the update require disclosure, in the notes to financial statements, of specified information about certain costs and expenses. The amendments require that at each interim and annual reporting period an entity: 1. Disclose the amounts of (a) purchases of inventory, (b) employee compensation, (c) depreciation, (d) intangible asset amortization, and (e) depreciation, depletion, and amortization recognized as part of oil and gas-producing activities. 2. Include certain amounts that are already required to be disclosed under current generally accepted accounting principles in the same disclosure as the other disaggregation requirements. 3. Disclose a qualitative description of the amounts remaining in relevant expense captions that are not separately disaggregated quantitatively. 4. Disclose the total amount of selling expense and, in annual reporting periods, an entity's definition of selling expenses. The amendments in this update are effective for annual reporting periods beginning after December 15, 2026, and interim reporting periods beginning after December 15, 2027. Early adoption is permitted. Orion is currently evaluating the impact that this guidance will have on the presentation of its consolidated financial statements and accompanying 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2025. Orion is currently evaluating the impact that this guidance will have on the presentation of its consolidated financial statements and accompanying notes.</w:t>
      </w:r>
    </w:p>
    <w:p>
      <w:pPr>
        <w:pStyle w:val="TextBody"/>
        <w:bidi w:val="0"/>
        <w:spacing w:before="280" w:after="283"/>
        <w:jc w:val="both"/>
        <w:rPr>
          <w:rFonts w:ascii="Times New Roman" w:hAnsi="Times New Roman"/>
          <w:b/>
          <w:color w:val="000000"/>
          <w:sz w:val="20"/>
        </w:rPr>
      </w:pPr>
      <w:bookmarkStart w:id="16" w:name="note_3___revenue"/>
      <w:bookmarkEnd w:id="16"/>
      <w:r>
        <w:rPr>
          <w:rFonts w:ascii="Times New Roman" w:hAnsi="Times New Roman"/>
          <w:b/>
          <w:color w:val="000000"/>
          <w:sz w:val="20"/>
        </w:rPr>
        <w:t>NOTE 3 — REVENUE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generates revenue primarily by selling commercial lighting fixtures and components, installing these fixtures in its customer's facilities, and providing maintenance services including repairs and replacements for the lighting and related electrical components deployed in its customer's facilities. Orion recognizes revenue in accordance with the guidance in "Revenue from Contracts with Customers" (Topic 606)(Accounting Standards Codification ("ASC") "ASC" 606") when control of the goods or services being provided (which Orion refers to as a performance obligation) is transferred to a customer at an amount that reflects the consideration management expects to receive in exchange for those goods or services. Prices are generally fixed at the time of order confirmation, either for the contract as a whole or for the hourly rates that will be charged for the type of maintenance services delivered.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sale of charging stations and related software subscriptions, renewals and extended warranty is presented in Product revenue. Orion is the principal in the sales of charging stations as it has control of the physical products prior to transfer to the customer. Accordingly, revenue is recognized on a gross basis. For certain sales, primarily software subscriptions, renewals, and extended warranty,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Condensed Consolidated Statements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Revenue from the lighting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Condensed Consolidated Statements of Operations.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provide detail of Orion’s total revenue for the three and six months ended September 30, 2025 and September 30, 2024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91"/>
        <w:gridCol w:w="146"/>
        <w:gridCol w:w="211"/>
        <w:gridCol w:w="676"/>
        <w:gridCol w:w="146"/>
        <w:gridCol w:w="146"/>
        <w:gridCol w:w="211"/>
        <w:gridCol w:w="571"/>
        <w:gridCol w:w="146"/>
        <w:gridCol w:w="146"/>
        <w:gridCol w:w="211"/>
        <w:gridCol w:w="676"/>
        <w:gridCol w:w="146"/>
        <w:gridCol w:w="146"/>
        <w:gridCol w:w="211"/>
        <w:gridCol w:w="676"/>
        <w:gridCol w:w="146"/>
        <w:gridCol w:w="146"/>
        <w:gridCol w:w="211"/>
        <w:gridCol w:w="676"/>
        <w:gridCol w:w="146"/>
        <w:gridCol w:w="146"/>
        <w:gridCol w:w="211"/>
        <w:gridCol w:w="676"/>
        <w:gridCol w:w="2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Lighting product and installation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Maintenance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Electric vehicle charging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Solar energy related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accounted for under other guidance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Lighting product and installation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Maintenance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Electric vehicle charging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Solar energy related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accounted for under other guidance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From time to time, Orion sells the receivables from one customer to a financing institution. The total amount received from the advances of these receivables was $0.0 million and $0.5 million for the three and six months ended September 30, 2025, respectively. Orion's losses on these sales were $26 thousand and $2 thousand for the three and six months ended September 30, 2025, respectively, and are included in Interest expense in the Condensed Consolidated Statements of Operations. The total amount received from the advances of these receivables was $0.6 million for the three and six months ended September 30, 2024. Orion's losses on these sales were $18 thousand for the three and six months ended September 30,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chart shows the balance of Orion’s receivables arising from contracts with customers, contract assets and contract liabilities as of September 30, 2025 and March 31, 2025 (dollars in thousands):</w:t>
      </w:r>
    </w:p>
    <w:p>
      <w:pPr>
        <w:pStyle w:val="TextBody"/>
        <w:bidi w:val="0"/>
        <w:jc w:val="both"/>
        <w:rPr/>
      </w:pPr>
      <w:r>
        <w:rPr/>
        <w:t> </w:t>
      </w:r>
    </w:p>
    <w:tbl>
      <w:tblPr>
        <w:tblW w:w="5507" w:type="dxa"/>
        <w:jc w:val="left"/>
        <w:tblInd w:w="0" w:type="dxa"/>
        <w:tblLayout w:type="fixed"/>
        <w:tblCellMar>
          <w:top w:w="28" w:type="dxa"/>
          <w:left w:w="28" w:type="dxa"/>
          <w:bottom w:w="28" w:type="dxa"/>
          <w:right w:w="28" w:type="dxa"/>
        </w:tblCellMar>
      </w:tblPr>
      <w:tblGrid>
        <w:gridCol w:w="2851"/>
        <w:gridCol w:w="146"/>
        <w:gridCol w:w="271"/>
        <w:gridCol w:w="869"/>
        <w:gridCol w:w="146"/>
        <w:gridCol w:w="146"/>
        <w:gridCol w:w="211"/>
        <w:gridCol w:w="676"/>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earned but not billed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Within the revenue earned not billed line on the Condensed Consolidated Balance Sheets, $0.1 million is accounted for as a sales type lease under ASC 842, and therefore not considered a "contract asset", which is an asset defined by ASC 606.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Includes the unamortized portion of the funds received from the federal government in 2010 and 2011 as reimbursement for the costs to build the two facilities related to the power purchase agreements. As the transaction is not considered a contract with a customer, this value is not a contract liability as defined by ASC 606.</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significant changes in the contract assets outside of standard increases due to timing of contract completion, offset by the reclassifications to accounts receivable, net upon billing. Deferred revenue, current as of September 30, 2025, and March 31, 2025, includes $0.2 million and $0.4 million, respectively, of contract liabilities which represent consideration received from a new customer contract on which installation has not yet begun and Orion has not fulfilled the promises included. Of the $0.4 million outstanding as of March 31, 2025, $0.3 million has been recognized as revenue for the six months ended September 30,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performance obligations related to lighting fixtures and EV charging stations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pStyle w:val="TextBody"/>
        <w:bidi w:val="0"/>
        <w:spacing w:before="280" w:after="283"/>
        <w:jc w:val="both"/>
        <w:rPr>
          <w:rFonts w:ascii="Times New Roman" w:hAnsi="Times New Roman"/>
          <w:b/>
          <w:color w:val="000000"/>
          <w:sz w:val="20"/>
        </w:rPr>
      </w:pPr>
      <w:bookmarkStart w:id="17" w:name="note_4___accounts_receivable"/>
      <w:bookmarkEnd w:id="17"/>
      <w:r>
        <w:rPr>
          <w:rFonts w:ascii="Times New Roman" w:hAnsi="Times New Roman"/>
          <w:b/>
          <w:color w:val="000000"/>
          <w:sz w:val="20"/>
        </w:rPr>
        <w:t>NOTE 4 — ACCOUNTS RECEIVABLE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and March 31, 2025, Orion's accounts receivable and allowance for credit losses balances were as follows (dollars in thousands):</w:t>
      </w:r>
    </w:p>
    <w:p>
      <w:pPr>
        <w:pStyle w:val="TextBody"/>
        <w:bidi w:val="0"/>
        <w:jc w:val="both"/>
        <w:rPr/>
      </w:pPr>
      <w:r>
        <w:rPr/>
        <w:t> </w:t>
      </w:r>
    </w:p>
    <w:tbl>
      <w:tblPr>
        <w:tblW w:w="4992" w:type="dxa"/>
        <w:jc w:val="left"/>
        <w:tblInd w:w="0" w:type="dxa"/>
        <w:tblLayout w:type="fixed"/>
        <w:tblCellMar>
          <w:top w:w="28" w:type="dxa"/>
          <w:left w:w="28" w:type="dxa"/>
          <w:bottom w:w="28" w:type="dxa"/>
          <w:right w:w="28" w:type="dxa"/>
        </w:tblCellMar>
      </w:tblPr>
      <w:tblGrid>
        <w:gridCol w:w="2296"/>
        <w:gridCol w:w="146"/>
        <w:gridCol w:w="271"/>
        <w:gridCol w:w="869"/>
        <w:gridCol w:w="166"/>
        <w:gridCol w:w="146"/>
        <w:gridCol w:w="211"/>
        <w:gridCol w:w="676"/>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Changes in Orion’s allowance for credit losses were as follows (dollars in thousands):</w:t>
      </w:r>
    </w:p>
    <w:tbl>
      <w:tblPr>
        <w:tblW w:w="6622" w:type="dxa"/>
        <w:jc w:val="left"/>
        <w:tblInd w:w="0" w:type="dxa"/>
        <w:tblLayout w:type="fixed"/>
        <w:tblCellMar>
          <w:top w:w="28" w:type="dxa"/>
          <w:left w:w="28" w:type="dxa"/>
          <w:bottom w:w="28" w:type="dxa"/>
          <w:right w:w="28" w:type="dxa"/>
        </w:tblCellMar>
      </w:tblPr>
      <w:tblGrid>
        <w:gridCol w:w="1771"/>
        <w:gridCol w:w="146"/>
        <w:gridCol w:w="290"/>
        <w:gridCol w:w="517"/>
        <w:gridCol w:w="228"/>
        <w:gridCol w:w="201"/>
        <w:gridCol w:w="290"/>
        <w:gridCol w:w="662"/>
        <w:gridCol w:w="166"/>
        <w:gridCol w:w="146"/>
        <w:gridCol w:w="283"/>
        <w:gridCol w:w="505"/>
        <w:gridCol w:w="222"/>
        <w:gridCol w:w="196"/>
        <w:gridCol w:w="283"/>
        <w:gridCol w:w="505"/>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80" w:after="283"/>
        <w:jc w:val="left"/>
        <w:rPr>
          <w:rFonts w:ascii="Times New Roman" w:hAnsi="Times New Roman"/>
          <w:b/>
          <w:color w:val="000000"/>
          <w:sz w:val="20"/>
        </w:rPr>
      </w:pPr>
      <w:bookmarkStart w:id="18" w:name="note_5___inventories"/>
      <w:bookmarkEnd w:id="18"/>
      <w:r>
        <w:rPr>
          <w:rFonts w:ascii="Times New Roman" w:hAnsi="Times New Roman"/>
          <w:b/>
          <w:color w:val="000000"/>
          <w:sz w:val="20"/>
        </w:rPr>
        <w:t>NOTE 5 — INVENTORIES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and March 31, 2025, Orion's inventory balances, net of excess and obsolete reserves of $2.0 million and $1.8 million, respectively, were as follows (dollars in thousands):</w:t>
      </w:r>
    </w:p>
    <w:p>
      <w:pPr>
        <w:pStyle w:val="TextBody"/>
        <w:bidi w:val="0"/>
        <w:jc w:val="left"/>
        <w:rPr/>
      </w:pPr>
      <w:r>
        <w:rPr/>
        <w:t> </w:t>
      </w:r>
    </w:p>
    <w:tbl>
      <w:tblPr>
        <w:tblW w:w="4494" w:type="dxa"/>
        <w:jc w:val="left"/>
        <w:tblInd w:w="0" w:type="dxa"/>
        <w:tblLayout w:type="fixed"/>
        <w:tblCellMar>
          <w:top w:w="28" w:type="dxa"/>
          <w:left w:w="28" w:type="dxa"/>
          <w:bottom w:w="28" w:type="dxa"/>
          <w:right w:w="28" w:type="dxa"/>
        </w:tblCellMar>
      </w:tblPr>
      <w:tblGrid>
        <w:gridCol w:w="2841"/>
        <w:gridCol w:w="146"/>
        <w:gridCol w:w="217"/>
        <w:gridCol w:w="699"/>
        <w:gridCol w:w="5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Inventories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 and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 and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NOTE 6 — PREPAID EXPENSES AND OTHER CURRENT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Prepaid expenses and other current assets consist primarily of prepaid insurance premiums, debt issue costs, prepaid subscription fees and value added tax receivable. Prepaid expenses totaled $1.0 million and $1.3 million as of September 30, 2025 and March 31,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current assets as of September 30, 2025 and March 31, 2025 consists primarily of $0.2 million and $0.6 million, respectively, of prepaid software and services.</w:t>
      </w:r>
    </w:p>
    <w:p>
      <w:pPr>
        <w:pStyle w:val="TextBody"/>
        <w:bidi w:val="0"/>
        <w:jc w:val="both"/>
        <w:rPr/>
      </w:pPr>
      <w:r>
        <w:rPr/>
        <w:t> </w:t>
      </w:r>
    </w:p>
    <w:p>
      <w:pPr>
        <w:pStyle w:val="TextBody"/>
        <w:bidi w:val="0"/>
        <w:spacing w:before="280" w:after="283"/>
        <w:jc w:val="left"/>
        <w:rPr>
          <w:rFonts w:ascii="Times New Roman" w:hAnsi="Times New Roman"/>
          <w:b/>
          <w:color w:val="000000"/>
          <w:sz w:val="20"/>
        </w:rPr>
      </w:pPr>
      <w:bookmarkStart w:id="19" w:name="note_7___property_and_equipment"/>
      <w:bookmarkEnd w:id="19"/>
      <w:r>
        <w:rPr>
          <w:rFonts w:ascii="Times New Roman" w:hAnsi="Times New Roman"/>
          <w:b/>
          <w:color w:val="000000"/>
          <w:sz w:val="20"/>
        </w:rPr>
        <w:t>NOTE 7 — PROPERTY AND EQUIPMENT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and March 31, 2025, property and equipment, net, included the following (dollars in thousands):</w:t>
      </w:r>
    </w:p>
    <w:p>
      <w:pPr>
        <w:pStyle w:val="TextBody"/>
        <w:bidi w:val="0"/>
        <w:jc w:val="left"/>
        <w:rPr/>
      </w:pPr>
      <w:r>
        <w:rPr/>
        <w:t> </w:t>
      </w:r>
    </w:p>
    <w:tbl>
      <w:tblPr>
        <w:tblW w:w="6202" w:type="dxa"/>
        <w:jc w:val="left"/>
        <w:tblInd w:w="0" w:type="dxa"/>
        <w:tblLayout w:type="fixed"/>
        <w:tblCellMar>
          <w:top w:w="28" w:type="dxa"/>
          <w:left w:w="28" w:type="dxa"/>
          <w:bottom w:w="28" w:type="dxa"/>
          <w:right w:w="28" w:type="dxa"/>
        </w:tblCellMar>
      </w:tblPr>
      <w:tblGrid>
        <w:gridCol w:w="3346"/>
        <w:gridCol w:w="146"/>
        <w:gridCol w:w="254"/>
        <w:gridCol w:w="886"/>
        <w:gridCol w:w="166"/>
        <w:gridCol w:w="146"/>
        <w:gridCol w:w="211"/>
        <w:gridCol w:w="736"/>
        <w:gridCol w:w="3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land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building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leased to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NOTE 8 — LEASES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From time to time, Orion leases assets from third parties. Orion also leases certain assets to third parties.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Under ASC 842, both finance and operating lease Right-Of-Use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A summary of Orion’s assets leased from third parties follows (dollars in thousands):</w:t>
      </w:r>
    </w:p>
    <w:tbl>
      <w:tblPr>
        <w:tblW w:w="8817" w:type="dxa"/>
        <w:jc w:val="left"/>
        <w:tblInd w:w="0" w:type="dxa"/>
        <w:tblLayout w:type="fixed"/>
        <w:tblCellMar>
          <w:top w:w="28" w:type="dxa"/>
          <w:left w:w="28" w:type="dxa"/>
          <w:bottom w:w="28" w:type="dxa"/>
          <w:right w:w="28" w:type="dxa"/>
        </w:tblCellMar>
      </w:tblPr>
      <w:tblGrid>
        <w:gridCol w:w="2406"/>
        <w:gridCol w:w="146"/>
        <w:gridCol w:w="2431"/>
        <w:gridCol w:w="146"/>
        <w:gridCol w:w="417"/>
        <w:gridCol w:w="1128"/>
        <w:gridCol w:w="146"/>
        <w:gridCol w:w="146"/>
        <w:gridCol w:w="340"/>
        <w:gridCol w:w="920"/>
        <w:gridCol w:w="59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Orion had operating lease costs of $0.3 million and $0.6 million for the three and six months ended September 30, 2025, respectively. Orion had operating lease costs of $0.3 million and $0.7 million for the three and six months ended September 30, 2024, respectively.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estimated maturity of lease liabilities for each of the remaining years is shown below (dollars in thousands):</w:t>
      </w:r>
    </w:p>
    <w:p>
      <w:pPr>
        <w:pStyle w:val="TextBody"/>
        <w:bidi w:val="0"/>
        <w:jc w:val="both"/>
        <w:rPr/>
      </w:pPr>
      <w:r>
        <w:rPr/>
        <w:t> </w:t>
      </w:r>
    </w:p>
    <w:tbl>
      <w:tblPr>
        <w:tblW w:w="4713" w:type="dxa"/>
        <w:jc w:val="left"/>
        <w:tblInd w:w="0" w:type="dxa"/>
        <w:tblLayout w:type="fixed"/>
        <w:tblCellMar>
          <w:top w:w="28" w:type="dxa"/>
          <w:left w:w="28" w:type="dxa"/>
          <w:bottom w:w="28" w:type="dxa"/>
          <w:right w:w="28" w:type="dxa"/>
        </w:tblCellMar>
      </w:tblPr>
      <w:tblGrid>
        <w:gridCol w:w="2686"/>
        <w:gridCol w:w="146"/>
        <w:gridCol w:w="428"/>
        <w:gridCol w:w="1162"/>
        <w:gridCol w:w="2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Maturity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 (period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Assets Orion Leases to Other Parties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provides long-term financing to one customer who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Revenues, and production and acquisition costs, associated with sales-type leases are included in Product revenue and Cost of product revenue in the Condensed Consolidated Statements of Operations. These amounts are recorded for each fixture separately based on the customer’s monthly acknowledgment that specified fixtures have been installed and are operating as specified. The execution of the acknowledgment is considered the commencement date as defined in ASC 842.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chart shows the amount of revenue and cost of sales arising from sales-type leases during the quarter ended September 30, 2025 and 2024 (dollars in thousands):</w:t>
      </w:r>
    </w:p>
    <w:p>
      <w:pPr>
        <w:pStyle w:val="TextBody"/>
        <w:bidi w:val="0"/>
        <w:spacing w:before="180" w:after="283"/>
        <w:jc w:val="both"/>
        <w:rPr/>
      </w:pPr>
      <w:r>
        <w:rPr/>
        <w:t> </w:t>
      </w:r>
    </w:p>
    <w:tbl>
      <w:tblPr>
        <w:tblW w:w="7869" w:type="dxa"/>
        <w:jc w:val="left"/>
        <w:tblInd w:w="0" w:type="dxa"/>
        <w:tblLayout w:type="fixed"/>
        <w:tblCellMar>
          <w:top w:w="28" w:type="dxa"/>
          <w:left w:w="28" w:type="dxa"/>
          <w:bottom w:w="28" w:type="dxa"/>
          <w:right w:w="28" w:type="dxa"/>
        </w:tblCellMar>
      </w:tblPr>
      <w:tblGrid>
        <w:gridCol w:w="2071"/>
        <w:gridCol w:w="146"/>
        <w:gridCol w:w="390"/>
        <w:gridCol w:w="584"/>
        <w:gridCol w:w="270"/>
        <w:gridCol w:w="270"/>
        <w:gridCol w:w="390"/>
        <w:gridCol w:w="779"/>
        <w:gridCol w:w="146"/>
        <w:gridCol w:w="146"/>
        <w:gridCol w:w="337"/>
        <w:gridCol w:w="673"/>
        <w:gridCol w:w="233"/>
        <w:gridCol w:w="233"/>
        <w:gridCol w:w="337"/>
        <w:gridCol w:w="673"/>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280" w:after="283"/>
        <w:jc w:val="left"/>
        <w:rPr>
          <w:rFonts w:ascii="Times New Roman" w:hAnsi="Times New Roman"/>
          <w:b/>
          <w:color w:val="000000"/>
          <w:sz w:val="20"/>
        </w:rPr>
      </w:pPr>
      <w:bookmarkStart w:id="20" w:name="note_8___intangible_assets"/>
      <w:bookmarkEnd w:id="20"/>
      <w:r>
        <w:rPr>
          <w:rFonts w:ascii="Times New Roman" w:hAnsi="Times New Roman"/>
          <w:b/>
          <w:color w:val="000000"/>
          <w:sz w:val="20"/>
        </w:rPr>
        <w:t>NOTE 9 — GOODWILL AND OTHER INTANGIBLE ASSETS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recorded $0.9 million of goodwill related to its purchase of Voltrek LLC ("Voltrek") in the third quarter of fiscal 2023, which has an indefinite life, and is assigned to the EV Charging operating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recorded $0.6 million of goodwill related to its purchase of Stay-Light Lighting, Inc. during fiscal year 2022, which has an indefinite life, and is assigned to the Maintenance operating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and March 31, 2025, the components of, and changes in, the carrying amount of other intangible assets, net, were as follows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4"/>
        <w:gridCol w:w="146"/>
        <w:gridCol w:w="196"/>
        <w:gridCol w:w="601"/>
        <w:gridCol w:w="146"/>
        <w:gridCol w:w="146"/>
        <w:gridCol w:w="276"/>
        <w:gridCol w:w="805"/>
        <w:gridCol w:w="166"/>
        <w:gridCol w:w="146"/>
        <w:gridCol w:w="196"/>
        <w:gridCol w:w="511"/>
        <w:gridCol w:w="146"/>
        <w:gridCol w:w="146"/>
        <w:gridCol w:w="243"/>
        <w:gridCol w:w="578"/>
        <w:gridCol w:w="146"/>
        <w:gridCol w:w="146"/>
        <w:gridCol w:w="196"/>
        <w:gridCol w:w="601"/>
        <w:gridCol w:w="146"/>
        <w:gridCol w:w="146"/>
        <w:gridCol w:w="276"/>
        <w:gridCol w:w="805"/>
        <w:gridCol w:w="166"/>
        <w:gridCol w:w="146"/>
        <w:gridCol w:w="196"/>
        <w:gridCol w:w="511"/>
        <w:gridCol w:w="392"/>
      </w:tblGrid>
      <w:tr>
        <w:trPr/>
        <w:tc>
          <w:tcPr>
            <w:tcW w:w="1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Trade name and 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Vendor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Indefinite-lived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Trade name and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Non-Amortized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Amortization expense on intangible assets was $0.2 million and $0.5 million for the three and six months ended September 30, 2025, and 2024,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estimated amortization expense for the remainder of fiscal 2026, the next five fiscal years and beyond is shown below (dollars in thousands):</w:t>
      </w:r>
    </w:p>
    <w:p>
      <w:pPr>
        <w:pStyle w:val="TextBody"/>
        <w:bidi w:val="0"/>
        <w:jc w:val="left"/>
        <w:rPr/>
      </w:pPr>
      <w:r>
        <w:rPr/>
        <w:t> </w:t>
      </w:r>
    </w:p>
    <w:tbl>
      <w:tblPr>
        <w:tblW w:w="3745" w:type="dxa"/>
        <w:jc w:val="left"/>
        <w:tblInd w:w="0" w:type="dxa"/>
        <w:tblLayout w:type="fixed"/>
        <w:tblCellMar>
          <w:top w:w="28" w:type="dxa"/>
          <w:left w:w="28" w:type="dxa"/>
          <w:bottom w:w="28" w:type="dxa"/>
          <w:right w:w="28" w:type="dxa"/>
        </w:tblCellMar>
      </w:tblPr>
      <w:tblGrid>
        <w:gridCol w:w="2626"/>
        <w:gridCol w:w="146"/>
        <w:gridCol w:w="211"/>
        <w:gridCol w:w="57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 (period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left"/>
        <w:rPr>
          <w:rFonts w:ascii="Times New Roman" w:hAnsi="Times New Roman"/>
          <w:b/>
          <w:color w:val="000000"/>
          <w:sz w:val="20"/>
        </w:rPr>
      </w:pPr>
      <w:bookmarkStart w:id="21" w:name="note_9___accrued_expenses_and_other"/>
      <w:bookmarkEnd w:id="21"/>
      <w:r>
        <w:rPr>
          <w:rFonts w:ascii="Times New Roman" w:hAnsi="Times New Roman"/>
          <w:b/>
          <w:color w:val="000000"/>
          <w:sz w:val="20"/>
        </w:rPr>
        <w:t>NOTE 10 — ACCRUED EXPENSES AND 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and March 31, 2025, accrued expenses and other included the following (dollars in thousands):</w:t>
      </w:r>
    </w:p>
    <w:p>
      <w:pPr>
        <w:pStyle w:val="TextBody"/>
        <w:bidi w:val="0"/>
        <w:jc w:val="both"/>
        <w:rPr/>
      </w:pPr>
      <w:r>
        <w:rPr/>
        <w:t> </w:t>
      </w:r>
    </w:p>
    <w:tbl>
      <w:tblPr>
        <w:tblW w:w="5272" w:type="dxa"/>
        <w:jc w:val="left"/>
        <w:tblInd w:w="0" w:type="dxa"/>
        <w:tblLayout w:type="fixed"/>
        <w:tblCellMar>
          <w:top w:w="28" w:type="dxa"/>
          <w:left w:w="28" w:type="dxa"/>
          <w:bottom w:w="28" w:type="dxa"/>
          <w:right w:w="28" w:type="dxa"/>
        </w:tblCellMar>
      </w:tblPr>
      <w:tblGrid>
        <w:gridCol w:w="2416"/>
        <w:gridCol w:w="146"/>
        <w:gridCol w:w="307"/>
        <w:gridCol w:w="833"/>
        <w:gridCol w:w="146"/>
        <w:gridCol w:w="146"/>
        <w:gridCol w:w="211"/>
        <w:gridCol w:w="676"/>
        <w:gridCol w:w="3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acquisition 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Credits due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returns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Orion generally offers a limited warranty of one to ten years on its lighting products, including the pass-through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Changes in Orion’s warranty accrual (both current and long-term) were as follows (dollars in thousands):</w:t>
      </w:r>
    </w:p>
    <w:p>
      <w:pPr>
        <w:pStyle w:val="TextBody"/>
        <w:bidi w:val="0"/>
        <w:jc w:val="both"/>
        <w:rPr/>
      </w:pPr>
      <w:r>
        <w:rPr/>
        <w:t> </w:t>
      </w:r>
    </w:p>
    <w:tbl>
      <w:tblPr>
        <w:tblW w:w="8857" w:type="dxa"/>
        <w:jc w:val="left"/>
        <w:tblInd w:w="0" w:type="dxa"/>
        <w:tblLayout w:type="fixed"/>
        <w:tblCellMar>
          <w:top w:w="28" w:type="dxa"/>
          <w:left w:w="28" w:type="dxa"/>
          <w:bottom w:w="28" w:type="dxa"/>
          <w:right w:w="28" w:type="dxa"/>
        </w:tblCellMar>
      </w:tblPr>
      <w:tblGrid>
        <w:gridCol w:w="4006"/>
        <w:gridCol w:w="146"/>
        <w:gridCol w:w="293"/>
        <w:gridCol w:w="585"/>
        <w:gridCol w:w="230"/>
        <w:gridCol w:w="202"/>
        <w:gridCol w:w="293"/>
        <w:gridCol w:w="585"/>
        <w:gridCol w:w="166"/>
        <w:gridCol w:w="146"/>
        <w:gridCol w:w="248"/>
        <w:gridCol w:w="566"/>
        <w:gridCol w:w="195"/>
        <w:gridCol w:w="171"/>
        <w:gridCol w:w="248"/>
        <w:gridCol w:w="566"/>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claims (net of vendor reimbursements)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80"/>
        <w:jc w:val="both"/>
        <w:rPr>
          <w:rFonts w:ascii="Times New Roman" w:hAnsi="Times New Roman"/>
          <w:color w:val="000000"/>
          <w:sz w:val="20"/>
        </w:rPr>
      </w:pPr>
      <w:r>
        <w:rPr>
          <w:rFonts w:ascii="Times New Roman" w:hAnsi="Times New Roman"/>
          <w:color w:val="000000"/>
          <w:sz w:val="20"/>
        </w:rPr>
        <w:t xml:space="preserve">As of March 31, 2025, the balance of the accrued acquisition earnout was $3.3 million. During the second quarter, Orion issued common stock to Final Frontier to the value of $1 million and paid $875 thousand in cash as partial payment of the accrued acquisition earnout. See Note 12 below for additional details around the remaining accrued earnout liability. These compensatory payments have been expensed over the course of the earnout periods to the extent they were or are earned. On June 23, 2025, Orion entered into a binding term sheet (the “Initial Term Sheet”) with respect to its remaining earnout obligations owed to the owner of Voltrek pursuant to the Voltrek Acquisition, and on July 31, 2025, Orion entered into an amendment to the Initial Term Sheet (the "Term Sheet Amendment"), each as further described in Note 12 below. Pursuant to the Initial Term Sheet, as amended by the Term Sheet Amendment (the “Term Sheet”), on September 30, 2025, Orion, as borrower, Great Lakes Energy Technologies, LLC (“Great Lakes”), Clean Energy Solutions, LLC (“Clean Energy”), Orion Asset Management, LLC (“Asset Management”), Orion Technologies Ventures, LLC (“Orion Technology”, and together with Voltrek, Clean Energy, Asset Management and Orion Technology, the “Company Subsidiaries”) and Voltrek, as guarantors, and Final Frontier, as lender, entered into a senior subordinated loan agreement (the “Subordinated Loan Agreement”), pursuant to which Final Frontier agreed to defer payment of the Remaining Earnout Amount (as defined below) by Orion pursuant to the terms of the Subordinated Loan Agreement. Orion’s obligation to pay the Remaining Earnout Amount is further evidenced by a senior subordinated note issued by Orion under the Subordinated Loan Agreement (the “Senior Subordinated Note”). </w:t>
      </w:r>
    </w:p>
    <w:p>
      <w:pPr>
        <w:pStyle w:val="TextBody"/>
        <w:bidi w:val="0"/>
        <w:jc w:val="left"/>
        <w:rPr>
          <w:rFonts w:ascii="Times New Roman" w:hAnsi="Times New Roman"/>
          <w:b/>
          <w:color w:val="000000"/>
          <w:sz w:val="20"/>
        </w:rPr>
      </w:pPr>
      <w:r>
        <w:rPr>
          <w:rFonts w:ascii="Times New Roman" w:hAnsi="Times New Roman"/>
          <w:b/>
          <w:color w:val="000000"/>
          <w:sz w:val="20"/>
        </w:rPr>
        <w:t>NOTE 11 — NET LOSS PER COMMON SHARE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Basic net loss per common share is computed by dividing net loss attributable to common shareholders by the weighted-average number of common shares outstanding for the period and does not consider common stock equivalents.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Diluted net loss per common share reflects the dilution that would occur if restricted shares were vested. In the computation of diluted net loss per common share, Orion uses the treasury stock method for outstanding options and restricted shares. For the three and six months ended September 30, 2025 and 2024, Orion was in a net loss position; therefore, the Basic and Diluted weighted-average shares outstanding are equal because any increase to the basic shares would be anti-dilutive. Net loss per common share is calculated based upon the following shares: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4"/>
        <w:gridCol w:w="146"/>
        <w:gridCol w:w="211"/>
        <w:gridCol w:w="931"/>
        <w:gridCol w:w="166"/>
        <w:gridCol w:w="146"/>
        <w:gridCol w:w="211"/>
        <w:gridCol w:w="931"/>
        <w:gridCol w:w="166"/>
        <w:gridCol w:w="146"/>
        <w:gridCol w:w="211"/>
        <w:gridCol w:w="931"/>
        <w:gridCol w:w="166"/>
        <w:gridCol w:w="146"/>
        <w:gridCol w:w="211"/>
        <w:gridCol w:w="931"/>
        <w:gridCol w:w="411"/>
      </w:tblGrid>
      <w:tr>
        <w:trPr/>
        <w:tc>
          <w:tcPr>
            <w:tcW w:w="4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and common share</w:t>
              <w:br/>
              <w:t>   equivalents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3,271,863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indicates the number of potentially dilutive securities excluded from the calculation of Diluted net loss per common share because their inclusion would have been anti-dilutive. The number of shares is as of the end of each period:</w:t>
      </w:r>
    </w:p>
    <w:p>
      <w:pPr>
        <w:pStyle w:val="TextBody"/>
        <w:bidi w:val="0"/>
        <w:jc w:val="left"/>
        <w:rPr/>
      </w:pPr>
      <w:r>
        <w:rPr/>
        <w:t> </w:t>
      </w:r>
    </w:p>
    <w:tbl>
      <w:tblPr>
        <w:tblW w:w="8056" w:type="dxa"/>
        <w:jc w:val="left"/>
        <w:tblInd w:w="0" w:type="dxa"/>
        <w:tblLayout w:type="fixed"/>
        <w:tblCellMar>
          <w:top w:w="28" w:type="dxa"/>
          <w:left w:w="28" w:type="dxa"/>
          <w:bottom w:w="28" w:type="dxa"/>
          <w:right w:w="28" w:type="dxa"/>
        </w:tblCellMar>
      </w:tblPr>
      <w:tblGrid>
        <w:gridCol w:w="3091"/>
        <w:gridCol w:w="146"/>
        <w:gridCol w:w="149"/>
        <w:gridCol w:w="797"/>
        <w:gridCol w:w="149"/>
        <w:gridCol w:w="149"/>
        <w:gridCol w:w="149"/>
        <w:gridCol w:w="797"/>
        <w:gridCol w:w="146"/>
        <w:gridCol w:w="146"/>
        <w:gridCol w:w="146"/>
        <w:gridCol w:w="781"/>
        <w:gridCol w:w="146"/>
        <w:gridCol w:w="146"/>
        <w:gridCol w:w="146"/>
        <w:gridCol w:w="78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104,053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80,160</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184,213</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b/>
          <w:color w:val="000000"/>
          <w:sz w:val="20"/>
        </w:rPr>
      </w:pPr>
      <w:bookmarkStart w:id="22" w:name="note_11___debt"/>
      <w:bookmarkEnd w:id="22"/>
      <w:r>
        <w:rPr>
          <w:rFonts w:ascii="Times New Roman" w:hAnsi="Times New Roman"/>
          <w:b/>
          <w:color w:val="000000"/>
          <w:sz w:val="20"/>
        </w:rPr>
        <w:t>NOTE 12 —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Debt, including the revolving credit facility, consisted of the following (dollars in thousands):</w:t>
      </w:r>
    </w:p>
    <w:p>
      <w:pPr>
        <w:pStyle w:val="TextBody"/>
        <w:bidi w:val="0"/>
        <w:jc w:val="left"/>
        <w:rPr/>
      </w:pPr>
      <w:r>
        <w:rPr/>
        <w:t> </w:t>
      </w:r>
    </w:p>
    <w:tbl>
      <w:tblPr>
        <w:tblW w:w="5937" w:type="dxa"/>
        <w:jc w:val="left"/>
        <w:tblInd w:w="0" w:type="dxa"/>
        <w:tblLayout w:type="fixed"/>
        <w:tblCellMar>
          <w:top w:w="28" w:type="dxa"/>
          <w:left w:w="28" w:type="dxa"/>
          <w:bottom w:w="28" w:type="dxa"/>
          <w:right w:w="28" w:type="dxa"/>
        </w:tblCellMar>
      </w:tblPr>
      <w:tblGrid>
        <w:gridCol w:w="3241"/>
        <w:gridCol w:w="146"/>
        <w:gridCol w:w="307"/>
        <w:gridCol w:w="833"/>
        <w:gridCol w:w="166"/>
        <w:gridCol w:w="146"/>
        <w:gridCol w:w="211"/>
        <w:gridCol w:w="67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b/>
          <w:i/>
          <w:color w:val="000000"/>
          <w:sz w:val="20"/>
        </w:rPr>
        <w:t>Revolving Credit Facility</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December 29, 2020, Orion entered into a $25 million Loan and Security Agreement with Bank of America, N.A. (“Bank of America”), as lender (as amended, the “Credit Agreement”). The Credit Agreement provides for a $25.0 million revolving credit facility (the “Credit Facility”) that matures on June 30, 2027. Borrowings under the Credit Facility are subject to a borrowing base requirement based on eligible receivables, inventory and cash. As of September 30, 2025, the borrowing base of the Credit Facility supported approximately $14.1 million of availability, with $8.3 million of remaining availability net of $5.8 million borrowed.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Borrowings under the Credit Agreement are permitted in the form of Secured Overnight Financing Rate (“SOFR”), or prime rate-based loans and generally bear interest at floating rates plus an applicable margin determined by reference to Orion’s availability under the Credit Agreement. Among other fees, Orion is required to pay an annual facility fee and a fee on the unused portion of the 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Credit Agreement includes a springing minimum fixed cost coverage ratio of 1.0 to 1.0 when excess availability under the Credit Facility falls below $4.0 million of the committed facility. Currently, the required springing minimum fixed cost coverage ratio is not required.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Effective November 4, 2022, Orion, with Bank of America as lender, executed Amendment No. 1 to its Credit Agreement (“Amendment No. 1”). The primary purpose of Amendment No. 1 was to include the assets of the acquired subsidiaries, Stay-Lite Lighting, Inc. (“Stay-Lite”) and Voltrek, as secured collateral under the Credit Agreement. Accordingly, eligible assets of Stay-Lite and Voltrek will be included in the borrowing base calculation for the purpose of establishing the monthly borrowing availability under the Credit Agreement. Amendment No. 1 also clarified that the earnout liabilities associated with the Stay-Lite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and Voltrek transactions are permitted under the Credit Agreement and that the expenses recognized in connection with those earnouts should be added back in the computation of EBITDA, as defined, under the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April 22, 2024, Orion, with Bank of America as lender, executed Amendment No. 2 to its Credit Agreement (“Amendment No. 2”). The primary purpose of Amendment No. 2 was to add a $3.525 million mortgage loan facility to the Credit Agreement secured by Orion’s office headquarters property in Manitowoc, Wisconsin. Amendment No. 2 also broadened the definition of receivables to encompass government receivables as being eligible to be included in Orion’s borrowing base calculation for the purpose of establishing Orion monthly borrowing availability under the Credit Agreement. Quarterly installments of $88,125 are due on the first day of each fiscal quarter beginning October 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October 30, 2024, Orion, with Bank of America as lender, executed Amendment No. 3 ("Amendment No. 3") to its Credit Agreement. The primary purpose of Amendment No. 3 was to extend the maturity date of the Credit Facility from December 29, 2025 to June 30, 2027.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Orion was in compliance with all debt covenants.</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Subordinated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below table outlines the total subordinated debt, net of the costs incurred to issue the debt (numbers in thousands): </w:t>
      </w:r>
    </w:p>
    <w:p>
      <w:pPr>
        <w:pStyle w:val="TextBody"/>
        <w:bidi w:val="0"/>
        <w:spacing w:before="80" w:after="283"/>
        <w:jc w:val="both"/>
        <w:rPr/>
      </w:pPr>
      <w:r>
        <w:rPr/>
        <w:t> </w:t>
      </w:r>
    </w:p>
    <w:tbl>
      <w:tblPr>
        <w:tblW w:w="4610" w:type="dxa"/>
        <w:jc w:val="left"/>
        <w:tblInd w:w="0" w:type="dxa"/>
        <w:tblLayout w:type="fixed"/>
        <w:tblCellMar>
          <w:top w:w="28" w:type="dxa"/>
          <w:left w:w="28" w:type="dxa"/>
          <w:bottom w:w="28" w:type="dxa"/>
          <w:right w:w="28" w:type="dxa"/>
        </w:tblCellMar>
      </w:tblPr>
      <w:tblGrid>
        <w:gridCol w:w="1966"/>
        <w:gridCol w:w="146"/>
        <w:gridCol w:w="307"/>
        <w:gridCol w:w="833"/>
        <w:gridCol w:w="166"/>
        <w:gridCol w:w="146"/>
        <w:gridCol w:w="322"/>
        <w:gridCol w:w="533"/>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on June 23, 2025, Orion entered into the Term Sheet with Final Frontier, LLC (“Final Frontier”) and its owner Kathleen Connors, the prior owner of Voltrek, with respect to Orion’s remaining earnout obligations owed to Final Frontier pursuant to its October 5, 2022 acquisition of Voltrek. Pursuant to the Term Sheet, on August 1, 2025, Orion paid Final Frontier $500,000, and on September 2, 2025 Orion paid an additional $375,000, in full and final payment of its fiscal 2024 Voltrek acquisition earnout obligations. Additionally, pursuant to the Term Sheet, on July 16, 2025, Orion issued $1.0 million in common stock of Orion, constituting 164,908 shares, to Kathleen Connors in partial payment of Orion’s fiscal 2025 and aggregate fiscal 2023 through fiscal 2025 earnout obligations. Orion agreed with Final Frontier to pay the remainder of the finally determined remaining amount of Orion’s fiscal 2025 earnout obligations (the “Remaining Earnout Amount”) pursuant to the Subordinated Loan Agreement (as defined below). In addition, Orion and Final Frontier agreed to submit the final determination of its Remaining Earnout Amount to binding arbitration.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 Sheet, on September 30, 2025, Orion, as borrower, the Company Subsidiaries and Voltrek, as guarantors, and Final Frontier, as lender, entered into the Subordinated Loan Agreement, pursuant to which Final Frontier agreed to defer payment of the Remaining Earnout Amount by Orion pursuant to the terms of the Subordinated Loan Agreement. Orion’s obligation to pay the Remaining Earnout Amount is further evidenced by the Senior Subordinated Note. Orion agreed to pay monthly principal payments to Final Frontier on the Senior Subordinated Note of $25,000 beginning on January 15, 2026, which will increase to $50,000 on July 15, 2026 through the maturity date of July 15, 2027. Orion also agreed to pay interest monthly to Final Frontier at the annual rate of 7% beginning on July 15, 2025, subject to adjustment following the final determination in binding arbitration of the Remaining Earnout Amount, as set forth in more detail in the Subordinated Loan Agreement. Orion has the right to pay up to 20% of the remaining principal on the Senior Subordinated Note on the maturity date in shares of its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30, 2025, in order to secure Orion’s obligations to Final Frontier under the Subordinated Loan Agreement and Senior Subordinated Note, Orion, the Company Subsidiaries and Final Frontier entered into a security agreement (the “Security Agreement”), pursuant to which Orion and each Company Subsidiary granted Final Frontier a security interest in, and lien upon, substantially all of Orion’s and each Company Subsidiary’s assets, which security interest and lien are subordinated pursuant to the Subordination Agreement (as defined below) to the first priority security interest and lien of Bank of America.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on September 30, 2025, Orion, the Company Subsidiaries, Final Frontier and Bank of America, entered into a subordination and intercreditor agreement (the “Subordination Agreement”), pursuant to which Orion and the Company Subsidiaries’ obligations under the Subordinated Loan Agreement and Senior Subordinated Note and liens granted under the Security Agreement are subordinated to Orion’s senior credit facilities with Bank of America, as set forth in more detail in the Subordination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Orion’s entry into the Subordinated Loan Agreement, Senior Subordinated Note, Security Agreement and Subordination Agreement, on September 30, 2025, Orion, the Company Subsidiaries and Bank of America entered into an Amendment No. 4 to its Credit Agreement (“Amendment No. 4”), pursuant to which Bank of America consented to the subordinated liens granted by Orion and the Company Subsidiaries in favor of Final Frontier and consented to the Remaining Earnout Amount evidenced by the Subordinated Loan Agreement in (a) a maximum amount of up $3.0 million following the final determination in binding arbitration of the Remaining Earnout Amount or (b) such higher amount as consented to in writing by Bank of America promptly following its receipt of notice of the binding arbitration decision. In addition, Amendment No. 4 permits Orion to make the cash interest and principal payments to Final Frontier as set forth in the Subordinated Loan Agreement, subject to the terms set forth in Amendment No. 4 and the Subordination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value of the subordinated debt approximates fair value.</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Voltrek Earnout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initial purchase price in the Voltrek Acquisition consisted of $5.0 million cash and $1.0 million of common stock. We also paid $3.0 million in initial earnout payments based on Voltrek's financial performance in fiscal 2023. We may owe additional material earnout payments based on Voltrek's financial performance in fiscal 2025.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final Voltrek Acquisition Remaining Earnout Amount determined to be owed by us could be in excess of our current accrued liability for such Remaining Earnout Amount and could materially adversely affect our future liquidity.</w:t>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23" w:name="note_12___income_taxes"/>
      <w:bookmarkEnd w:id="23"/>
      <w:r>
        <w:rPr>
          <w:rFonts w:ascii="Times New Roman" w:hAnsi="Times New Roman"/>
          <w:b/>
          <w:color w:val="000000"/>
          <w:sz w:val="20"/>
        </w:rPr>
        <w:t>NOTE 13 — INCOME TAXES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income tax provision was determined by applying an estimated annual effective tax rate, based upon the facts and circumstances known, to book loss before income tax, adjusting for discrete items. Orion’s actual effective tax rate is adjusted each interim period, as appropriate, for changes in facts and circumstances. For the three months ended September 30, 2025 and 2024, Orion recorded income tax expense of $10 thousand and $23 thousand, respectively. For the six months ended September 30, 2025 and 2024, Orion recorded income tax expense of $23 thousand and $44 thousand,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and March 31, 2025, Orion had a full valuation allowance against its net deferred tax asset balance.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Uncertain Tax Positions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Orion’s balance of gross unrecognized tax benefits was approximately $0.3 million, all of which would reduce Orion’s effective tax rate if recognized.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has classified the amounts recorded for uncertain tax benefits in the Condensed Consolidated Balance Sheets as Other long-term liabilities to the extent that payment is not anticipated within one year. Orion recognizes penalties and interest related to uncertain tax liabilities in income tax (benefit) expense. Penalties and interest are included in the unrecognized tax benefits.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bookmarkStart w:id="24" w:name="note_13___commitments_and_contingencies"/>
      <w:bookmarkEnd w:id="24"/>
      <w:r>
        <w:rPr>
          <w:rFonts w:ascii="Times New Roman" w:hAnsi="Times New Roman"/>
          <w:b/>
          <w:color w:val="000000"/>
          <w:sz w:val="20"/>
        </w:rPr>
        <w:t>NOTE 14 — COMMITMENTS AND CONTINGENCIES</w:t>
      </w:r>
      <w:r>
        <w:rPr>
          <w:rFonts w:ascii="Times New Roman" w:hAnsi="Times New Roman"/>
          <w:color w:val="000000"/>
          <w:sz w:val="20"/>
        </w:rPr>
        <w:t xml:space="preserve">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 </w:t>
      </w:r>
    </w:p>
    <w:p>
      <w:pPr>
        <w:pStyle w:val="TextBody"/>
        <w:bidi w:val="0"/>
        <w:spacing w:before="280" w:after="283"/>
        <w:jc w:val="left"/>
        <w:rPr>
          <w:rFonts w:ascii="Times New Roman" w:hAnsi="Times New Roman"/>
          <w:b/>
          <w:color w:val="000000"/>
          <w:sz w:val="20"/>
        </w:rPr>
      </w:pPr>
      <w:bookmarkStart w:id="25" w:name="note_14___shareholders__equity"/>
      <w:bookmarkEnd w:id="25"/>
      <w:r>
        <w:rPr>
          <w:rFonts w:ascii="Times New Roman" w:hAnsi="Times New Roman"/>
          <w:b/>
          <w:color w:val="000000"/>
          <w:sz w:val="20"/>
        </w:rPr>
        <w:t>NOTE 15 — SHAREHOLDERS’ EQUITY</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August 22, 2025, Orion enacted a 1-for-10 reverse stock split in order to remain compliant with the Minimum Bid Price Rule. The par value was not adjusted for the reverse stock split. All share and per share data have been adjusted for all periods presented to reflect the reverse stock split.</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In August 2010, Orion’s board of directors approved a non-compensatory employee stock purchase plan, or “ESPP”. In the three months ended September 30, 2025, Orion issued 20 shares under the ESPP plan at a closing market price of $8.76. In the three months ended September 30, 2024, Orion issued 69 shares under the ESPP plan at a closing market price of $8.60.</w:t>
      </w:r>
    </w:p>
    <w:p>
      <w:pPr>
        <w:pStyle w:val="TextBody"/>
        <w:bidi w:val="0"/>
        <w:spacing w:before="100" w:after="283"/>
        <w:jc w:val="both"/>
        <w:rPr>
          <w:rFonts w:ascii="Times New Roman" w:hAnsi="Times New Roman"/>
          <w:b/>
          <w:i/>
          <w:color w:val="000000"/>
          <w:sz w:val="20"/>
        </w:rPr>
      </w:pPr>
      <w:r>
        <w:rPr>
          <w:rFonts w:ascii="Times New Roman" w:hAnsi="Times New Roman"/>
          <w:b/>
          <w:i/>
          <w:color w:val="000000"/>
          <w:sz w:val="20"/>
        </w:rPr>
        <w:t>Sale of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2023, Orion filed a shelf registration statement with the Securities and Exchange Commission. Under the shelf registration statement, Orion currently has the flexibility to publicly offer and sell from time to time up to $100 million of debt and/or equity securities, subject to regulatory limitations.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 million. In March 2025, the ATM was terminated without any shares being sold thereunder.</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16 — STOCK OPTIONS AND RESTRICTED SHARES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At Orion’s 2023 annual meeting of shareholders, Orion’s shareholders approved the Orion Energy Systems, Inc. 2016 Omnibus Incentive Plan, as amended and restated (the “Amended 2016 Plan”). The Amended 2016 Plan increased the number of shares of Orion’s common stock available for issuance under the Amended 2016 Plan from 350,000 shares to 600,000 shares (an increase of 250,000 shares); added a minimum vesting period for all awards granted under the Amended 2016 Plan (with limited exceptions); and added a specific prohibition on the payment of dividends and dividend equivalents on unvested awards.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Amended 2016 Plan also permits accelerated vesting in the event of certain changes of control of Orion as well as under other special circumstances. Certain non-employee directors have from time to time elected to receive stock awards in lieu of cash compensation pursuant to elections made under Orion’s non-employee director compensation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amounts of Orion's consolidated stock-based compensation were recorded (dollars in thousands):</w:t>
      </w:r>
    </w:p>
    <w:p>
      <w:pPr>
        <w:pStyle w:val="TextBody"/>
        <w:bidi w:val="0"/>
        <w:jc w:val="both"/>
        <w:rPr/>
      </w:pPr>
      <w:r>
        <w:rPr/>
        <w:t> </w:t>
      </w:r>
    </w:p>
    <w:tbl>
      <w:tblPr>
        <w:tblW w:w="7122" w:type="dxa"/>
        <w:jc w:val="left"/>
        <w:tblInd w:w="0" w:type="dxa"/>
        <w:tblLayout w:type="fixed"/>
        <w:tblCellMar>
          <w:top w:w="28" w:type="dxa"/>
          <w:left w:w="28" w:type="dxa"/>
          <w:bottom w:w="28" w:type="dxa"/>
          <w:right w:w="28" w:type="dxa"/>
        </w:tblCellMar>
      </w:tblPr>
      <w:tblGrid>
        <w:gridCol w:w="2311"/>
        <w:gridCol w:w="146"/>
        <w:gridCol w:w="297"/>
        <w:gridCol w:w="592"/>
        <w:gridCol w:w="205"/>
        <w:gridCol w:w="205"/>
        <w:gridCol w:w="297"/>
        <w:gridCol w:w="592"/>
        <w:gridCol w:w="146"/>
        <w:gridCol w:w="146"/>
        <w:gridCol w:w="270"/>
        <w:gridCol w:w="540"/>
        <w:gridCol w:w="187"/>
        <w:gridCol w:w="187"/>
        <w:gridCol w:w="270"/>
        <w:gridCol w:w="540"/>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information with respect to performance-vesting restricted stock and time vesting-restricted stock activity:</w:t>
      </w:r>
    </w:p>
    <w:p>
      <w:pPr>
        <w:pStyle w:val="TextBody"/>
        <w:bidi w:val="0"/>
        <w:jc w:val="both"/>
        <w:rPr/>
      </w:pPr>
      <w:r>
        <w:rPr/>
        <w:t> </w:t>
      </w:r>
    </w:p>
    <w:tbl>
      <w:tblPr>
        <w:tblW w:w="8673" w:type="dxa"/>
        <w:jc w:val="left"/>
        <w:tblInd w:w="0" w:type="dxa"/>
        <w:tblLayout w:type="fixed"/>
        <w:tblCellMar>
          <w:top w:w="28" w:type="dxa"/>
          <w:left w:w="28" w:type="dxa"/>
          <w:bottom w:w="28" w:type="dxa"/>
          <w:right w:w="28" w:type="dxa"/>
        </w:tblCellMar>
      </w:tblPr>
      <w:tblGrid>
        <w:gridCol w:w="3526"/>
        <w:gridCol w:w="146"/>
        <w:gridCol w:w="146"/>
        <w:gridCol w:w="781"/>
        <w:gridCol w:w="166"/>
        <w:gridCol w:w="146"/>
        <w:gridCol w:w="275"/>
        <w:gridCol w:w="745"/>
        <w:gridCol w:w="146"/>
        <w:gridCol w:w="146"/>
        <w:gridCol w:w="146"/>
        <w:gridCol w:w="781"/>
        <w:gridCol w:w="166"/>
        <w:gridCol w:w="146"/>
        <w:gridCol w:w="275"/>
        <w:gridCol w:w="745"/>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Time-Based</w:t>
              <w:br/>
              <w:t>Restricted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w:t>
              <w:br/>
              <w:t>Restricted 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Fair Value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Fair Value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summarized information with respect to performance-based option and time-based option activity:</w:t>
      </w:r>
    </w:p>
    <w:p>
      <w:pPr>
        <w:pStyle w:val="TextBody"/>
        <w:bidi w:val="0"/>
        <w:jc w:val="both"/>
        <w:rPr/>
      </w:pPr>
      <w:r>
        <w:rPr/>
        <w:t> </w:t>
      </w:r>
    </w:p>
    <w:tbl>
      <w:tblPr>
        <w:tblW w:w="8335" w:type="dxa"/>
        <w:jc w:val="left"/>
        <w:tblInd w:w="0" w:type="dxa"/>
        <w:tblLayout w:type="fixed"/>
        <w:tblCellMar>
          <w:top w:w="28" w:type="dxa"/>
          <w:left w:w="28" w:type="dxa"/>
          <w:bottom w:w="28" w:type="dxa"/>
          <w:right w:w="28" w:type="dxa"/>
        </w:tblCellMar>
      </w:tblPr>
      <w:tblGrid>
        <w:gridCol w:w="3646"/>
        <w:gridCol w:w="146"/>
        <w:gridCol w:w="146"/>
        <w:gridCol w:w="676"/>
        <w:gridCol w:w="146"/>
        <w:gridCol w:w="146"/>
        <w:gridCol w:w="285"/>
        <w:gridCol w:w="631"/>
        <w:gridCol w:w="146"/>
        <w:gridCol w:w="146"/>
        <w:gridCol w:w="146"/>
        <w:gridCol w:w="676"/>
        <w:gridCol w:w="146"/>
        <w:gridCol w:w="146"/>
        <w:gridCol w:w="285"/>
        <w:gridCol w:w="631"/>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Time-Based</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w:t>
              <w:br/>
              <w:t>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the amount of deferred stock-based compensation expense to be recognized, over a remaining period of 1.8 years, was approximately $1.3 million.</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17 — SEGMENT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Reportable segments are components of an entity that have separate financial data that the entity's chief operating decision maker ("CODM") regularly reviews when allocating resources and assessing performance. Orion's CODM is the chief executive officer. Orion's CODM focuses primarily on each segment's ability to generate sufficient revenues and manage cost of services along with operating expenses. As such, the CODM measures operating performance at the segment level based on operating income or loss, including evaluation of budget to actual variances. Orion evaluates and reports on the business using three segments: lighting segment, maintenance segment and electric vehicle charging segment (“EV segment”).</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mostly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through direct sales and also sells lighting products though manufacturer representative agencies and to the wholesale contractor markets through energy service companies and contractors.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maintenance segment provides retailers, distributors and other businesses with maintenance, repair and replacement services for the lighting and related electrical components deployed in their facilities.</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EV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EV segment offers leading electric vehicle charging expertise, sells and installs sourced electric vehicle charging stations with related software subscriptions and renewals and provides EV turnkey installation solutions with ongoing support to all commercial verticals.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Corporate and 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Corporate and other is comprised of operating expenses not allocated to Orion’s segments and adjustments to reconcile to consolidated results.</w:t>
      </w:r>
    </w:p>
    <w:p>
      <w:pPr>
        <w:pStyle w:val="TextBody"/>
        <w:bidi w:val="0"/>
        <w:jc w:val="both"/>
        <w:rPr/>
      </w:pPr>
      <w:r>
        <w:rPr/>
        <w:t> </w:t>
      </w:r>
    </w:p>
    <w:tbl>
      <w:tblPr>
        <w:tblW w:w="10183" w:type="dxa"/>
        <w:jc w:val="left"/>
        <w:tblInd w:w="0" w:type="dxa"/>
        <w:tblLayout w:type="fixed"/>
        <w:tblCellMar>
          <w:top w:w="28" w:type="dxa"/>
          <w:left w:w="28" w:type="dxa"/>
          <w:bottom w:w="28" w:type="dxa"/>
          <w:right w:w="28" w:type="dxa"/>
        </w:tblCellMar>
      </w:tblPr>
      <w:tblGrid>
        <w:gridCol w:w="3601"/>
        <w:gridCol w:w="211"/>
        <w:gridCol w:w="676"/>
        <w:gridCol w:w="166"/>
        <w:gridCol w:w="324"/>
        <w:gridCol w:w="877"/>
        <w:gridCol w:w="146"/>
        <w:gridCol w:w="211"/>
        <w:gridCol w:w="571"/>
        <w:gridCol w:w="146"/>
        <w:gridCol w:w="473"/>
        <w:gridCol w:w="1417"/>
        <w:gridCol w:w="166"/>
        <w:gridCol w:w="211"/>
        <w:gridCol w:w="676"/>
        <w:gridCol w:w="311"/>
      </w:tblGrid>
      <w:tr>
        <w:trPr/>
        <w:tc>
          <w:tcPr>
            <w:tcW w:w="3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September 30, 2025</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(dollars in thousands)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Lighting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Maintenance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income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issue cost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588"/>
        <w:gridCol w:w="211"/>
        <w:gridCol w:w="676"/>
        <w:gridCol w:w="166"/>
        <w:gridCol w:w="324"/>
        <w:gridCol w:w="877"/>
        <w:gridCol w:w="166"/>
        <w:gridCol w:w="211"/>
        <w:gridCol w:w="571"/>
        <w:gridCol w:w="166"/>
        <w:gridCol w:w="471"/>
        <w:gridCol w:w="1413"/>
        <w:gridCol w:w="166"/>
        <w:gridCol w:w="211"/>
        <w:gridCol w:w="676"/>
        <w:gridCol w:w="312"/>
      </w:tblGrid>
      <w:tr>
        <w:trPr/>
        <w:tc>
          <w:tcPr>
            <w:tcW w:w="3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September 30, 2024</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(dollars in thousands)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Lighting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Maintenance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12,367</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14,889</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7,744</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issue cost</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80" w:after="283"/>
        <w:jc w:val="both"/>
        <w:rPr/>
      </w:pPr>
      <w:r>
        <w:rPr/>
        <w:t> </w:t>
      </w:r>
    </w:p>
    <w:tbl>
      <w:tblPr>
        <w:tblW w:w="9943" w:type="dxa"/>
        <w:jc w:val="left"/>
        <w:tblInd w:w="0" w:type="dxa"/>
        <w:tblLayout w:type="fixed"/>
        <w:tblCellMar>
          <w:top w:w="28" w:type="dxa"/>
          <w:left w:w="28" w:type="dxa"/>
          <w:bottom w:w="28" w:type="dxa"/>
          <w:right w:w="28" w:type="dxa"/>
        </w:tblCellMar>
      </w:tblPr>
      <w:tblGrid>
        <w:gridCol w:w="3361"/>
        <w:gridCol w:w="211"/>
        <w:gridCol w:w="676"/>
        <w:gridCol w:w="166"/>
        <w:gridCol w:w="324"/>
        <w:gridCol w:w="877"/>
        <w:gridCol w:w="146"/>
        <w:gridCol w:w="211"/>
        <w:gridCol w:w="571"/>
        <w:gridCol w:w="146"/>
        <w:gridCol w:w="473"/>
        <w:gridCol w:w="1417"/>
        <w:gridCol w:w="166"/>
        <w:gridCol w:w="211"/>
        <w:gridCol w:w="676"/>
        <w:gridCol w:w="311"/>
      </w:tblGrid>
      <w:tr>
        <w:trPr/>
        <w:tc>
          <w:tcPr>
            <w:tcW w:w="3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September 30, 2025</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(dollars in thousands)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Lighting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Maintenance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income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issue cost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8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83" w:type="dxa"/>
        <w:jc w:val="left"/>
        <w:tblInd w:w="0" w:type="dxa"/>
        <w:tblLayout w:type="fixed"/>
        <w:tblCellMar>
          <w:top w:w="28" w:type="dxa"/>
          <w:left w:w="28" w:type="dxa"/>
          <w:bottom w:w="28" w:type="dxa"/>
          <w:right w:w="28" w:type="dxa"/>
        </w:tblCellMar>
      </w:tblPr>
      <w:tblGrid>
        <w:gridCol w:w="3361"/>
        <w:gridCol w:w="211"/>
        <w:gridCol w:w="676"/>
        <w:gridCol w:w="166"/>
        <w:gridCol w:w="300"/>
        <w:gridCol w:w="901"/>
        <w:gridCol w:w="166"/>
        <w:gridCol w:w="211"/>
        <w:gridCol w:w="571"/>
        <w:gridCol w:w="166"/>
        <w:gridCol w:w="473"/>
        <w:gridCol w:w="1417"/>
        <w:gridCol w:w="166"/>
        <w:gridCol w:w="211"/>
        <w:gridCol w:w="676"/>
        <w:gridCol w:w="311"/>
      </w:tblGrid>
      <w:tr>
        <w:trPr/>
        <w:tc>
          <w:tcPr>
            <w:tcW w:w="3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September 30, 2024</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(dollars in thousands)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Lighting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Maintenance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issue cost</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80" w:after="283"/>
        <w:jc w:val="both"/>
        <w:rPr/>
      </w:pPr>
      <w:r>
        <w:rPr/>
        <w:t> </w:t>
      </w:r>
    </w:p>
    <w:tbl>
      <w:tblPr>
        <w:tblW w:w="7308" w:type="dxa"/>
        <w:jc w:val="left"/>
        <w:tblInd w:w="0" w:type="dxa"/>
        <w:tblLayout w:type="fixed"/>
        <w:tblCellMar>
          <w:top w:w="28" w:type="dxa"/>
          <w:left w:w="28" w:type="dxa"/>
          <w:bottom w:w="28" w:type="dxa"/>
          <w:right w:w="28" w:type="dxa"/>
        </w:tblCellMar>
      </w:tblPr>
      <w:tblGrid>
        <w:gridCol w:w="1996"/>
        <w:gridCol w:w="146"/>
        <w:gridCol w:w="244"/>
        <w:gridCol w:w="662"/>
        <w:gridCol w:w="169"/>
        <w:gridCol w:w="169"/>
        <w:gridCol w:w="244"/>
        <w:gridCol w:w="662"/>
        <w:gridCol w:w="169"/>
        <w:gridCol w:w="169"/>
        <w:gridCol w:w="354"/>
        <w:gridCol w:w="708"/>
        <w:gridCol w:w="245"/>
        <w:gridCol w:w="245"/>
        <w:gridCol w:w="354"/>
        <w:gridCol w:w="58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Depreciation and Amortization</w:t>
            </w:r>
          </w:p>
        </w:tc>
        <w:tc>
          <w:tcPr>
            <w:tcW w:w="24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Expenditures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2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Lighting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Maintenance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EV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tbl>
      <w:tblPr>
        <w:tblW w:w="5430" w:type="dxa"/>
        <w:jc w:val="left"/>
        <w:tblInd w:w="0" w:type="dxa"/>
        <w:tblLayout w:type="fixed"/>
        <w:tblCellMar>
          <w:top w:w="28" w:type="dxa"/>
          <w:left w:w="28" w:type="dxa"/>
          <w:bottom w:w="28" w:type="dxa"/>
          <w:right w:w="28" w:type="dxa"/>
        </w:tblCellMar>
      </w:tblPr>
      <w:tblGrid>
        <w:gridCol w:w="1996"/>
        <w:gridCol w:w="146"/>
        <w:gridCol w:w="367"/>
        <w:gridCol w:w="1178"/>
        <w:gridCol w:w="146"/>
        <w:gridCol w:w="146"/>
        <w:gridCol w:w="299"/>
        <w:gridCol w:w="96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Assets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Lighting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Maintenance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EV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18 — RESTRUCTURING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part of Orion's restructuring effort in fiscal 2025, Orion entered into certain retention bonus agreements with certain key employees. The remainder of those retention bonuses were paid in the third quarter of fiscal 2025 and are not anticipated to recur. In addition, an inventory write-off was recognized in the first quarter of fiscal 2025 for inventory related to a customer Orion no longer does business with due to the restructuring, along with a lease breakage fee that occurred in the second quarter of fiscal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2025 due to the closing of the Pewaukee office. Orion's restructuring expense for the three and six months ended September 30, 2025 and 2024 is reflected within its Condensed Consolidated Statement of Operations as follows (dollars in thousands):</w:t>
      </w:r>
    </w:p>
    <w:p>
      <w:pPr>
        <w:pStyle w:val="TextBody"/>
        <w:bidi w:val="0"/>
        <w:jc w:val="both"/>
        <w:rPr/>
      </w:pPr>
      <w:r>
        <w:rPr/>
        <w:t> </w:t>
      </w:r>
    </w:p>
    <w:tbl>
      <w:tblPr>
        <w:tblW w:w="7120" w:type="dxa"/>
        <w:jc w:val="left"/>
        <w:tblInd w:w="0" w:type="dxa"/>
        <w:tblLayout w:type="fixed"/>
        <w:tblCellMar>
          <w:top w:w="28" w:type="dxa"/>
          <w:left w:w="28" w:type="dxa"/>
          <w:bottom w:w="28" w:type="dxa"/>
          <w:right w:w="28" w:type="dxa"/>
        </w:tblCellMar>
      </w:tblPr>
      <w:tblGrid>
        <w:gridCol w:w="2311"/>
        <w:gridCol w:w="146"/>
        <w:gridCol w:w="312"/>
        <w:gridCol w:w="511"/>
        <w:gridCol w:w="215"/>
        <w:gridCol w:w="215"/>
        <w:gridCol w:w="312"/>
        <w:gridCol w:w="622"/>
        <w:gridCol w:w="146"/>
        <w:gridCol w:w="146"/>
        <w:gridCol w:w="284"/>
        <w:gridCol w:w="466"/>
        <w:gridCol w:w="196"/>
        <w:gridCol w:w="196"/>
        <w:gridCol w:w="284"/>
        <w:gridCol w:w="567"/>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Total restructuring expense by segment was recorded as follows (dollars in thousands):</w:t>
      </w:r>
    </w:p>
    <w:tbl>
      <w:tblPr>
        <w:tblW w:w="6680" w:type="dxa"/>
        <w:jc w:val="left"/>
        <w:tblInd w:w="0" w:type="dxa"/>
        <w:tblLayout w:type="fixed"/>
        <w:tblCellMar>
          <w:top w:w="28" w:type="dxa"/>
          <w:left w:w="28" w:type="dxa"/>
          <w:bottom w:w="28" w:type="dxa"/>
          <w:right w:w="28" w:type="dxa"/>
        </w:tblCellMar>
      </w:tblPr>
      <w:tblGrid>
        <w:gridCol w:w="1771"/>
        <w:gridCol w:w="146"/>
        <w:gridCol w:w="312"/>
        <w:gridCol w:w="511"/>
        <w:gridCol w:w="215"/>
        <w:gridCol w:w="215"/>
        <w:gridCol w:w="312"/>
        <w:gridCol w:w="622"/>
        <w:gridCol w:w="146"/>
        <w:gridCol w:w="146"/>
        <w:gridCol w:w="284"/>
        <w:gridCol w:w="466"/>
        <w:gridCol w:w="196"/>
        <w:gridCol w:w="196"/>
        <w:gridCol w:w="284"/>
        <w:gridCol w:w="567"/>
        <w:gridCol w:w="2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28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6" w:name="item_2__management_s_discussion_and_anal"/>
      <w:bookmarkEnd w:id="26"/>
      <w:r>
        <w:rPr>
          <w:rFonts w:ascii="Times New Roman" w:hAnsi="Times New Roman"/>
          <w:b/>
          <w:color w:val="000000"/>
          <w:sz w:val="20"/>
        </w:rPr>
        <w:t>ITEM 2. MANAGEMENT’S DISCUSSION AND ANALYSIS OF FINANCIAL CONDITION AND RESULTS OF OPERATIONS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2025.</w:t>
      </w:r>
    </w:p>
    <w:p>
      <w:pPr>
        <w:pStyle w:val="TextBody"/>
        <w:bidi w:val="0"/>
        <w:spacing w:before="280" w:after="283"/>
        <w:jc w:val="both"/>
        <w:rPr>
          <w:rFonts w:ascii="Times New Roman" w:hAnsi="Times New Roman"/>
          <w:b/>
          <w:color w:val="000000"/>
          <w:sz w:val="20"/>
        </w:rPr>
      </w:pPr>
      <w:bookmarkStart w:id="27" w:name="cautionary_note_regarding_forward_lookin"/>
      <w:bookmarkEnd w:id="27"/>
      <w:r>
        <w:rPr>
          <w:rFonts w:ascii="Times New Roman" w:hAnsi="Times New Roman"/>
          <w:b/>
          <w:color w:val="000000"/>
          <w:sz w:val="20"/>
        </w:rPr>
        <w:t>Cautionary Note Regarding Forward-Looking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several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2025.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pStyle w:val="TextBody"/>
        <w:bidi w:val="0"/>
        <w:spacing w:before="280" w:after="283"/>
        <w:jc w:val="both"/>
        <w:rPr>
          <w:rFonts w:ascii="Times New Roman" w:hAnsi="Times New Roman"/>
          <w:b/>
          <w:color w:val="000000"/>
          <w:sz w:val="20"/>
        </w:rPr>
      </w:pPr>
      <w:bookmarkStart w:id="28" w:name="overview"/>
      <w:bookmarkEnd w:id="28"/>
      <w:r>
        <w:rPr>
          <w:rFonts w:ascii="Times New Roman" w:hAnsi="Times New Roman"/>
          <w:b/>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provide state-of-the-art light emitting diode (“LED”) lighting systems, wireless Internet of Things (“IoT”) enabled control solutions, project engineering, energy project management design and maintenance services and electric vehicle (“EV”) charging infrastructure solutions.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the following segments: commercial office and retail, area lighting, industrial applications and government, although we do sell and install products into other markets. Our services consist of turnkey installation and system maintenance. Virtually all of our sales occur within North America.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principal lighting customers include large national account end-users, electrical distributors, electrical contractors and energy service companies (“ESCOs”). Currently, a significant amount of our interior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 and offerings.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differentiate ourselves from our competitors by offering very efficient light fixtures (measured in lumens per watt) coupled with our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began to offer lighting and electrical maintenance services in fiscal 2021. We believe that providing these services enables us to support a long-term business relationship with our customers and results in an increase in our recurring revenue. We completed the acquisition of Stay-Lite on January 1, 2022, which further expanded our maintenance services capabilities. On October 5, 2022, we acquired Voltrek, LLC ("Voltrek"), which leveraged our project management and maintenance expertise in the EV sector.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 market for LED lighting products and related controls continues to grow. Due to their size and flexibility in application, we also believe that LED lighting systems can address opportunities for retrofit applications that cannot be satisfied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other lighting technologies. Our LED technologies have become the primary component of our revenue as we continue to strive to be a leader in the LED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see opportunity to cross-sell our three platforms of lighting, maintenance services and EV charging installation systems to our commercial and industrial customer base. We are pursuing opportunities to cross-sell to direct customers, as well as through select partners. We also see opportunity for further integration of our service capabilities to expand our geographic reach and we intend to pursue growth organically.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than our multi-year maintenance service contracts, we generally do not have long-term contracts with our customers for product or turnkey services that provide us with recurring annual revenue. We typically generate substantially all of our revenue from sales of lighting and control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typically sell our lighting systems in replacement of our customers’ lighting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fiscal year ends on March 31. We refer to our current fiscal year which ends on March 31, 2026 as "fiscal 2026". We refer to our most recently completed fiscal year, which ended on March 31, 2025, as “fiscal 2025”, and our prior fiscal year which ended on March 31, 2024 as "fiscal 2024". Our fiscal first quarter of each fiscal year ends on June 30, our fiscal second quarter ends on September 30, our fiscal third quarter ends on December 31, and our fiscal fourth quarter ends on March 31.</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280" w:after="283"/>
        <w:jc w:val="both"/>
        <w:rPr>
          <w:rFonts w:ascii="Times New Roman" w:hAnsi="Times New Roman"/>
          <w:color w:val="000000"/>
          <w:sz w:val="20"/>
        </w:rPr>
      </w:pPr>
      <w:r>
        <w:rPr>
          <w:rFonts w:ascii="Times New Roman" w:hAnsi="Times New Roman"/>
          <w:color w:val="000000"/>
          <w:sz w:val="20"/>
        </w:rPr>
        <w:t>On August 22, 2025, Orion enacted a 1-for-10 reverse stock split on all common stock in order to remain compliant with the Minimum Bid Price Rule required by Nasdaq. By regaining compliance with the Minimum Bid Price Rule, the Company will continue to be listed on the Nasdaq Capital Market.</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Finalization of Voltrek Earnout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on October 5, 2022, we acquired all of the outstanding membership interest of Voltrek, a leading electric vehicle charging company that provides turnkey installation solutions with ongoing support to all commercial verticals. In connection with such acquisition, we may owe additional material earnout payments based on Voltrek's financial performance in fiscal 2025 as described below. We have currently accrued an estimated liability of approximately $1.4 million for such Remaining Earnout Amount.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on June 23, 2025, Orion entered into the Term Sheet with respect to Orion’s remaining earnout obligations owed to Final Frontier pursuant to its October 5, 2022 acquisition of Voltrek. Pursuant to the Term Sheet, on August 1, 2025, Orion paid Final Frontier $500,000, and on September 2, 2025 Orion paid an additional $375,000, in full and final payment of its fiscal 2024 Voltrek acquisition earnout obligations. Additionally, pursuant to the Term Sheet, on July 16, 2025, Orion issued $1.0 million in common stock of Orion, constituting 164,908 shares, to Kathleen Connors in partial payment of Orion’s fiscal 2025 and aggregate fiscal 2023 through fiscal 2025 earnout obligations. Orion agreed with Final Frontier to pay the remainder of the finally determined remaining amount of Orion’s fiscal 2025 earnout obligations Remaining Earnout Amount pursuant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Subordinated Loan Agreement (as defined below). In addition, Orion and Final Frontier agreed to submit the final determination of its Remaining Earnout Amount to binding arbitration.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 Sheet, on September 30, 2025, Orion, as borrower, the Company Subsidiaries and Voltrek, as guarantors, and Final Frontier, as lender, entered into the Subordinated Loan Agreement, pursuant to which Final Frontier agreed to defer payment of the Remaining Earnout Amount by Orion pursuant to the terms of the Subordinated Loan Agreement. Orion’s obligation to pay the Remaining Earnout Amount is further evidenced by the Senior Subordinated Note. Orion agreed to pay monthly principal payments to Final Frontier on the Senior Subordinated Note of $25,000 beginning on January 15, 2026, which will increase to $50,000 on July 15, 2026 through the maturity date of July 15, 2027. Orion also agreed to pay interest monthly to Final Frontier at the annual rate of 7% beginning on July 15, 2025, subject to adjustment following the final determination in binding arbitration of the Remaining Earnout Amount, as set forth in more detail in the Subordinated Loan Agreement. Orion has the right to pay up to 20% of the remaining principal on the Senior Subordinated Note on the maturity date in shares of its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Orion’s entry into the Subordinated Loan Agreement, Senior Subordinated Note, Security Agreement and Subordination Agreement, on September 30, 2025, Orion, the Company Subsidiaries and Bank of America entered into Amendment No. 4 to the Company’s Credit Agreement, pursuant to which Bank of America consented to the subordinated liens granted by Orion and the Company Subsidiaries in favor of Final Frontier and consented to the Remaining Earnout Amount evidenced by the Subordinated Loan Agreement in (a) a maximum amount of up $3.0 million following the final determination in binding arbitration of the Remaining Earnout Amount or (b) such higher amount as consented to in writing by Bank of America promptly following its receipt of notice of the binding arbitration decision.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final Remaining Earnout Amount determined to be owed by us could be in excess of our current accrued liability for such Remaining Earnout Amount and could materially adversely affect our future liquidity.</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Replacing Reduced Revenue from Primary Customer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fiscal 2025 and 2024, one customer accounted for 24.3% and 25.2% of our total revenue, respectively. In fiscal 2026, we expect that our customer concentration will continue at the approximate range experienced in fiscal 2025 and 2024. We continue to attempt to diversify our customer base by expanding our reach to national accounts, ESCOs, the agent driven distribution channel, lighting maintenance customers and the EV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Results of Operations - Three Months Ended September 30, 2025 versus Three Months Ended September 30,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pStyle w:val="TextBody"/>
        <w:bidi w:val="0"/>
        <w:jc w:val="left"/>
        <w:rPr/>
      </w:pPr>
      <w:r>
        <w:rPr/>
        <w:t> </w:t>
      </w:r>
    </w:p>
    <w:tbl>
      <w:tblPr>
        <w:tblW w:w="8704" w:type="dxa"/>
        <w:jc w:val="left"/>
        <w:tblInd w:w="0" w:type="dxa"/>
        <w:tblLayout w:type="fixed"/>
        <w:tblCellMar>
          <w:top w:w="28" w:type="dxa"/>
          <w:left w:w="28" w:type="dxa"/>
          <w:bottom w:w="28" w:type="dxa"/>
          <w:right w:w="28" w:type="dxa"/>
        </w:tblCellMar>
      </w:tblPr>
      <w:tblGrid>
        <w:gridCol w:w="2716"/>
        <w:gridCol w:w="146"/>
        <w:gridCol w:w="211"/>
        <w:gridCol w:w="676"/>
        <w:gridCol w:w="166"/>
        <w:gridCol w:w="146"/>
        <w:gridCol w:w="211"/>
        <w:gridCol w:w="676"/>
        <w:gridCol w:w="166"/>
        <w:gridCol w:w="146"/>
        <w:gridCol w:w="146"/>
        <w:gridCol w:w="526"/>
        <w:gridCol w:w="331"/>
        <w:gridCol w:w="146"/>
        <w:gridCol w:w="146"/>
        <w:gridCol w:w="575"/>
        <w:gridCol w:w="331"/>
        <w:gridCol w:w="146"/>
        <w:gridCol w:w="146"/>
        <w:gridCol w:w="575"/>
        <w:gridCol w:w="376"/>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Revenue, Cost of Revenue and Gross Margin. </w:t>
      </w:r>
      <w:r>
        <w:rPr>
          <w:rFonts w:ascii="Times New Roman" w:hAnsi="Times New Roman"/>
          <w:color w:val="000000"/>
          <w:sz w:val="20"/>
        </w:rPr>
        <w:t>Product revenue increased 3.6%, or $0.4 million, for the second quarter of fiscal 2026 versus the second quarter of fiscal 2025. Service revenue increased 1.6%, or $0.1 million, for the second quarter of fiscal 2026 versus the second quarter of fiscal 2025. The resulting increase in total revenue was due to increased revenue in the Maintenance segment due to higher volume. Cost of product revenue decreased by 1.2%, or $0.1 million, in the second quarter of fiscal 2026 versus the comparable period in fiscal 2025. Cost of service revenue decreased by 17.3%, or $1.0 million, in the second quarter of fiscal 2026 versus the comparable period in fiscal 2025, primarily due to the restructuring efforts made in fiscal 2025. Gross margin increased from 23.1% of revenue in the second quarter of fiscal 2025 to 31.0% of revenue in the second quarter of fiscal 2026, due primarily to increases in the EV and maintenance segments.</w:t>
      </w:r>
    </w:p>
    <w:p>
      <w:pPr>
        <w:pStyle w:val="TextBody"/>
        <w:bidi w:val="0"/>
        <w:spacing w:before="28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General and Administrative. </w:t>
      </w:r>
      <w:r>
        <w:rPr>
          <w:rFonts w:ascii="Times New Roman" w:hAnsi="Times New Roman"/>
          <w:color w:val="000000"/>
          <w:sz w:val="20"/>
        </w:rPr>
        <w:t>General and administrative expenses decreased 16.5%, or $0.8 million, in the second quarter of fiscal 2026 compared to the second quarter of fiscal 2025. This comparative decrease was primarily due to no Voltrek earnout expense being recognized in fiscal 2026, as fiscal 2025 was the final year for the Voltrek earnout, along with decreased wages and benefits as a result of the restructuring that took place in fiscal 2025. These decreases were partially offset by costs relating to effecting the reverse stock split.</w:t>
      </w:r>
    </w:p>
    <w:p>
      <w:pPr>
        <w:pStyle w:val="TextBody"/>
        <w:bidi w:val="0"/>
        <w:spacing w:before="180" w:after="283"/>
        <w:jc w:val="both"/>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decreased 16.6%, or $0.5 million, in the second quarter of fiscal 2026 compared to the second quarter of fiscal 2025. This comparative decrease was primarily due to the decreased wages and benefits as a result of the restructuring that took place in fiscal 2025, which was partially offset by increased commissions.</w:t>
      </w:r>
    </w:p>
    <w:p>
      <w:pPr>
        <w:pStyle w:val="TextBody"/>
        <w:bidi w:val="0"/>
        <w:spacing w:before="18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Research and development expenses decreased 29.6%, or $0.1 million, in the second quarter of fiscal 2026 compared to the second quarter of fiscal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29" w:name="engineered_systems_segment"/>
      <w:bookmarkEnd w:id="29"/>
      <w:r>
        <w:rPr>
          <w:rFonts w:ascii="Times New Roman" w:hAnsi="Times New Roman"/>
          <w:b/>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ESCOs and contractors.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lighting segment operating results (dollars in thousands):</w:t>
      </w:r>
    </w:p>
    <w:p>
      <w:pPr>
        <w:pStyle w:val="TextBody"/>
        <w:bidi w:val="0"/>
        <w:jc w:val="left"/>
        <w:rPr/>
      </w:pPr>
      <w:r>
        <w:rPr/>
        <w:t> </w:t>
      </w:r>
    </w:p>
    <w:tbl>
      <w:tblPr>
        <w:tblW w:w="5457" w:type="dxa"/>
        <w:jc w:val="left"/>
        <w:tblInd w:w="0" w:type="dxa"/>
        <w:tblLayout w:type="fixed"/>
        <w:tblCellMar>
          <w:top w:w="28" w:type="dxa"/>
          <w:left w:w="28" w:type="dxa"/>
          <w:bottom w:w="28" w:type="dxa"/>
          <w:right w:w="28" w:type="dxa"/>
        </w:tblCellMar>
      </w:tblPr>
      <w:tblGrid>
        <w:gridCol w:w="1546"/>
        <w:gridCol w:w="146"/>
        <w:gridCol w:w="211"/>
        <w:gridCol w:w="676"/>
        <w:gridCol w:w="331"/>
        <w:gridCol w:w="146"/>
        <w:gridCol w:w="211"/>
        <w:gridCol w:w="676"/>
        <w:gridCol w:w="331"/>
        <w:gridCol w:w="146"/>
        <w:gridCol w:w="157"/>
        <w:gridCol w:w="504"/>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Lighting segment revenue in the second quarter of fiscal 2026 decreased by 1.6%, or $0.2 million, compared to the second quarter of fiscal 2025. The decrease in operating loss in this segment was a result of a decrease in cost of sales along with lower operating expenses.</w:t>
      </w:r>
    </w:p>
    <w:p>
      <w:pPr>
        <w:pStyle w:val="TextBody"/>
        <w:bidi w:val="0"/>
        <w:spacing w:before="280" w:after="283"/>
        <w:jc w:val="both"/>
        <w:rPr>
          <w:rFonts w:ascii="Times New Roman" w:hAnsi="Times New Roman"/>
          <w:b/>
          <w:color w:val="000000"/>
          <w:sz w:val="20"/>
        </w:rPr>
      </w:pPr>
      <w:bookmarkStart w:id="30" w:name="distribution_services_segment"/>
      <w:bookmarkEnd w:id="30"/>
      <w:r>
        <w:rPr>
          <w:rFonts w:ascii="Times New Roman" w:hAnsi="Times New Roman"/>
          <w:b/>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maintenance segment provides retailers, distributors and other businesses with maintenance, repair and replacement services for the lighting and related electrical components deployed in their facilities.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maintenance segment operating results (dollars in thousands):</w:t>
      </w:r>
    </w:p>
    <w:p>
      <w:pPr>
        <w:pStyle w:val="TextBody"/>
        <w:bidi w:val="0"/>
        <w:jc w:val="left"/>
        <w:rPr/>
      </w:pPr>
      <w:r>
        <w:rPr/>
        <w:t> </w:t>
      </w:r>
    </w:p>
    <w:tbl>
      <w:tblPr>
        <w:tblW w:w="5693" w:type="dxa"/>
        <w:jc w:val="left"/>
        <w:tblInd w:w="0" w:type="dxa"/>
        <w:tblLayout w:type="fixed"/>
        <w:tblCellMar>
          <w:top w:w="28" w:type="dxa"/>
          <w:left w:w="28" w:type="dxa"/>
          <w:bottom w:w="28" w:type="dxa"/>
          <w:right w:w="28" w:type="dxa"/>
        </w:tblCellMar>
      </w:tblPr>
      <w:tblGrid>
        <w:gridCol w:w="2056"/>
        <w:gridCol w:w="146"/>
        <w:gridCol w:w="211"/>
        <w:gridCol w:w="571"/>
        <w:gridCol w:w="271"/>
        <w:gridCol w:w="146"/>
        <w:gridCol w:w="211"/>
        <w:gridCol w:w="571"/>
        <w:gridCol w:w="331"/>
        <w:gridCol w:w="146"/>
        <w:gridCol w:w="146"/>
        <w:gridCol w:w="571"/>
        <w:gridCol w:w="31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Maintenance segment revenue in the second quarter of fiscal 2026 increased by 18.3%, or $0.7 million, compared to the second quarter of fiscal 2025 primarily due to increased work orders from our major customer. Operating income in this segment increased as a result of an increase in revenues and product sales directly to customer contractors, along with a decrease in cost of sales and operating expenses as a result of restructuring efforts in fiscal 2025.</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EV Segment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Our EV segment offers leading electric vehicle charging expertise and provides EV turnkey installation solutions with ongoing support to all commercial verticals.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following table summarizes our EV segment operations results (dollars in thousands):</w:t>
      </w:r>
    </w:p>
    <w:tbl>
      <w:tblPr>
        <w:tblW w:w="5693" w:type="dxa"/>
        <w:jc w:val="left"/>
        <w:tblInd w:w="0" w:type="dxa"/>
        <w:tblLayout w:type="fixed"/>
        <w:tblCellMar>
          <w:top w:w="28" w:type="dxa"/>
          <w:left w:w="28" w:type="dxa"/>
          <w:bottom w:w="28" w:type="dxa"/>
          <w:right w:w="28" w:type="dxa"/>
        </w:tblCellMar>
      </w:tblPr>
      <w:tblGrid>
        <w:gridCol w:w="2056"/>
        <w:gridCol w:w="146"/>
        <w:gridCol w:w="211"/>
        <w:gridCol w:w="571"/>
        <w:gridCol w:w="271"/>
        <w:gridCol w:w="146"/>
        <w:gridCol w:w="211"/>
        <w:gridCol w:w="571"/>
        <w:gridCol w:w="331"/>
        <w:gridCol w:w="146"/>
        <w:gridCol w:w="146"/>
        <w:gridCol w:w="571"/>
        <w:gridCol w:w="31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EV segment revenue in the second quarter of fiscal 2026 increased by 0.8%, or $39 thousand, compared to the second quarter of fiscal 2025. Operating income increased $1.7 million in the second quarter of fiscal 2026 due to increased project margins along with lower operating expenses.</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Results of Operations - Six Months Ended September 30, 2025 versus Six Months Ended September 30,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pStyle w:val="TextBody"/>
        <w:bidi w:val="0"/>
        <w:jc w:val="left"/>
        <w:rPr/>
      </w:pPr>
      <w:r>
        <w:rPr/>
        <w:t> </w:t>
      </w:r>
    </w:p>
    <w:tbl>
      <w:tblPr>
        <w:tblW w:w="8704" w:type="dxa"/>
        <w:jc w:val="left"/>
        <w:tblInd w:w="0" w:type="dxa"/>
        <w:tblLayout w:type="fixed"/>
        <w:tblCellMar>
          <w:top w:w="28" w:type="dxa"/>
          <w:left w:w="28" w:type="dxa"/>
          <w:bottom w:w="28" w:type="dxa"/>
          <w:right w:w="28" w:type="dxa"/>
        </w:tblCellMar>
      </w:tblPr>
      <w:tblGrid>
        <w:gridCol w:w="2716"/>
        <w:gridCol w:w="146"/>
        <w:gridCol w:w="211"/>
        <w:gridCol w:w="676"/>
        <w:gridCol w:w="166"/>
        <w:gridCol w:w="146"/>
        <w:gridCol w:w="211"/>
        <w:gridCol w:w="676"/>
        <w:gridCol w:w="166"/>
        <w:gridCol w:w="146"/>
        <w:gridCol w:w="146"/>
        <w:gridCol w:w="526"/>
        <w:gridCol w:w="331"/>
        <w:gridCol w:w="146"/>
        <w:gridCol w:w="146"/>
        <w:gridCol w:w="575"/>
        <w:gridCol w:w="331"/>
        <w:gridCol w:w="146"/>
        <w:gridCol w:w="146"/>
        <w:gridCol w:w="575"/>
        <w:gridCol w:w="376"/>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7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7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Revenue, Cost of Revenue and Gross Margin. </w:t>
      </w:r>
      <w:r>
        <w:rPr>
          <w:rFonts w:ascii="Times New Roman" w:hAnsi="Times New Roman"/>
          <w:color w:val="000000"/>
          <w:sz w:val="20"/>
        </w:rPr>
        <w:t>Product revenue increased 4.7%, or $1.2 million, for the first six months of fiscal 2026 versus the first six months of fiscal 2025. Service revenue decreased 6.8%, or $1.0 million, for the first six months of fiscal 2026 versus the first six months of fiscal 2025. The resulting increase in total revenue was due to increased revenue in the Maintenance segment, which was partially offset by a decrease in revenue in the EV segment. Cost of product revenue decreased by 1.0%, or $0.2 million, in the first six months of fiscal 2026 versus the comparable period in fiscal 2025. Cost of service revenue decreased by 24.9%, or $3.3 million, in the first six months of fiscal 2026 versus the comparable period in fiscal 2025, primarily due to the restructuring efforts made in fiscal 2025. Gross margin increased from 22.3% of revenue in the first six months of fiscal 2025 to 30.6% in the first six months of fiscal 2026, due primarily to increased margins in the EV and maintenance segments.</w:t>
      </w:r>
    </w:p>
    <w:p>
      <w:pPr>
        <w:pStyle w:val="TextBody"/>
        <w:bidi w:val="0"/>
        <w:spacing w:before="28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General and Administrative. </w:t>
      </w:r>
      <w:r>
        <w:rPr>
          <w:rFonts w:ascii="Times New Roman" w:hAnsi="Times New Roman"/>
          <w:color w:val="000000"/>
          <w:sz w:val="20"/>
        </w:rPr>
        <w:t>General and administrative expenses decreased 10.9%, or $1.0 million, in the first six months of fiscal 2026 compared to the first six months of fiscal 2025. This comparative decrease was primarily due to savings of $1 million due to no Voltrek earnout expense being recognized in fiscal 2026, as fiscal 2025 was the final year for the Voltrek earnout, along with decreased wages and benefits as a result of the restructuring that took place in fiscal 2025. These decreases in fiscal 2026 were partially offset by $152 thousand in reverse stock split fees, $148 thousand for debt-related legal fees, $92 thousand in severance expenses, $118 thousand in legal fees for the prior Chief Executive Officer termination, and the $500 thousand one-time signing bonus for the incoming Chief Executive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decreased 17.2%, or $1.0 million, in the first six months of fiscal 2026 compared to the first six months of fiscal 2025. This comparative decrease was primarily due to $626 thousand in decreased wages and benefits as a result of the restructuring that took place in fiscal 2025, along with a $55 thousand decrease in commissions, $74 thousand decrease in recruiting, and reversals of bad debt due to payments coming in on previously written off receivables.</w:t>
      </w:r>
    </w:p>
    <w:p>
      <w:pPr>
        <w:pStyle w:val="TextBody"/>
        <w:bidi w:val="0"/>
        <w:spacing w:before="18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Research and development expenses decreased 25.8%, or $0.2 million, in the first six months of fiscal 2026 compared to the second quarter of fiscal 2025.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ESCOs and contractors.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lighting segment operating results (dollars in thousands):</w:t>
      </w:r>
    </w:p>
    <w:tbl>
      <w:tblPr>
        <w:tblW w:w="5468" w:type="dxa"/>
        <w:jc w:val="left"/>
        <w:tblInd w:w="0" w:type="dxa"/>
        <w:tblLayout w:type="fixed"/>
        <w:tblCellMar>
          <w:top w:w="28" w:type="dxa"/>
          <w:left w:w="28" w:type="dxa"/>
          <w:bottom w:w="28" w:type="dxa"/>
          <w:right w:w="28" w:type="dxa"/>
        </w:tblCellMar>
      </w:tblPr>
      <w:tblGrid>
        <w:gridCol w:w="1546"/>
        <w:gridCol w:w="146"/>
        <w:gridCol w:w="211"/>
        <w:gridCol w:w="676"/>
        <w:gridCol w:w="331"/>
        <w:gridCol w:w="146"/>
        <w:gridCol w:w="211"/>
        <w:gridCol w:w="676"/>
        <w:gridCol w:w="331"/>
        <w:gridCol w:w="146"/>
        <w:gridCol w:w="146"/>
        <w:gridCol w:w="526"/>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Lighting segment revenue in the first six months of fiscal 2026 decreased by 0.2%, or $45 thousand, compared to the first six months of fiscal 2025. The decrease in operating loss in this segment was a result of a decrease in cost of sales along with lower operating expenses.</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maintenance segment provides retailers, distributors and other businesses with maintenance, repair and replacement services for the lighting and related electrical components deployed in their facilities.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maintenance segment operating results (dollars in thousands):</w:t>
      </w:r>
    </w:p>
    <w:tbl>
      <w:tblPr>
        <w:tblW w:w="5753" w:type="dxa"/>
        <w:jc w:val="left"/>
        <w:tblInd w:w="0" w:type="dxa"/>
        <w:tblLayout w:type="fixed"/>
        <w:tblCellMar>
          <w:top w:w="28" w:type="dxa"/>
          <w:left w:w="28" w:type="dxa"/>
          <w:bottom w:w="28" w:type="dxa"/>
          <w:right w:w="28" w:type="dxa"/>
        </w:tblCellMar>
      </w:tblPr>
      <w:tblGrid>
        <w:gridCol w:w="2056"/>
        <w:gridCol w:w="146"/>
        <w:gridCol w:w="211"/>
        <w:gridCol w:w="571"/>
        <w:gridCol w:w="271"/>
        <w:gridCol w:w="146"/>
        <w:gridCol w:w="211"/>
        <w:gridCol w:w="631"/>
        <w:gridCol w:w="331"/>
        <w:gridCol w:w="146"/>
        <w:gridCol w:w="146"/>
        <w:gridCol w:w="571"/>
        <w:gridCol w:w="31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Maintenance segment revenue in the first six months of fiscal 2026 increased by 19.2%, or $1.4 million, compared to the first six months of fiscal 2025 primarily due to increased work orders from our major customer. Operating income in this segment increased as a result of an increase in revenues and product sales directly to customer contractors, along with a decrease in cost of sales and operating expenses as a result of restructuring efforts in fiscal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EV Segment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Our EV segment offers leading electric vehicle charging expertise and provides EV turnkey installation solutions with ongoing support to all commercial verticals.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following table summarizes our EV segment operations results (dollars in thousands):</w:t>
      </w:r>
    </w:p>
    <w:tbl>
      <w:tblPr>
        <w:tblW w:w="5753" w:type="dxa"/>
        <w:jc w:val="left"/>
        <w:tblInd w:w="0" w:type="dxa"/>
        <w:tblLayout w:type="fixed"/>
        <w:tblCellMar>
          <w:top w:w="28" w:type="dxa"/>
          <w:left w:w="28" w:type="dxa"/>
          <w:bottom w:w="28" w:type="dxa"/>
          <w:right w:w="28" w:type="dxa"/>
        </w:tblCellMar>
      </w:tblPr>
      <w:tblGrid>
        <w:gridCol w:w="2056"/>
        <w:gridCol w:w="146"/>
        <w:gridCol w:w="211"/>
        <w:gridCol w:w="571"/>
        <w:gridCol w:w="271"/>
        <w:gridCol w:w="146"/>
        <w:gridCol w:w="211"/>
        <w:gridCol w:w="571"/>
        <w:gridCol w:w="331"/>
        <w:gridCol w:w="146"/>
        <w:gridCol w:w="146"/>
        <w:gridCol w:w="571"/>
        <w:gridCol w:w="37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EV segment revenue in the first six months of fiscal 2026 decreased by 12.8%, or $1.1 million, compared to the first six months of fiscal 2025. Operating income increased $1.6 million in the first six months of fiscal 2026 due to increased project margins along with lower operating expenses.</w:t>
      </w:r>
    </w:p>
    <w:p>
      <w:pPr>
        <w:pStyle w:val="TextBody"/>
        <w:bidi w:val="0"/>
        <w:spacing w:before="280" w:after="283"/>
        <w:jc w:val="left"/>
        <w:rPr>
          <w:rFonts w:ascii="Times New Roman" w:hAnsi="Times New Roman"/>
          <w:b/>
          <w:color w:val="000000"/>
          <w:sz w:val="20"/>
        </w:rPr>
      </w:pPr>
      <w:bookmarkStart w:id="31" w:name="liquidity_and_capital_resources"/>
      <w:bookmarkEnd w:id="31"/>
      <w:r>
        <w:rPr>
          <w:rFonts w:ascii="Times New Roman" w:hAnsi="Times New Roman"/>
          <w:b/>
          <w:color w:val="000000"/>
          <w:sz w:val="20"/>
        </w:rPr>
        <w:t>Liquidity and Capital Resources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our existing cash and operating cash flow provide us with the financial flexibility needed to meet our capital requirements, including to fund our budgeted capital expenditures and working capital needs for at least one year from the date of this report, as well as our longer-term capital requirements for periods beyond at least one year from the date of this report.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had approximately $5.2 million in cash and cash equivalents as of September 30, 2025, compared to $6.0 million at March 31, 2025. Our cash position decreased as a result of a $1.3 million repayment of debt in the first six months of fiscal 2026, partially offset by positive cash flows from operations.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future liquidity needs and forecasted cash flows are dependent upon many factors, including our relative revenue, gross margins, cash management practices, cost containment, working capital management and capital expenditures, as well as the final determination of the Remaining Earnout Amount. While we believe that we will likely have adequate available cash and equivalents and credit availability under our credit agreement to satisfy our currently anticipated working capital and liquidity requirements for at least the next 12 months based on our current cash flow forecast, if we experience significant liquidity constraints, we may be required to issue equity or debt securities, reduce our sales efforts, implement additional cost savings initiatives or undertake other efforts to conserve our cash.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cash flows for the six months ended September 30, 2025 and 2024 (in thousands):</w:t>
      </w:r>
    </w:p>
    <w:p>
      <w:pPr>
        <w:pStyle w:val="TextBody"/>
        <w:bidi w:val="0"/>
        <w:jc w:val="left"/>
        <w:rPr/>
      </w:pPr>
      <w:r>
        <w:rPr/>
        <w:t> </w:t>
      </w:r>
    </w:p>
    <w:tbl>
      <w:tblPr>
        <w:tblW w:w="6867" w:type="dxa"/>
        <w:jc w:val="left"/>
        <w:tblInd w:w="0" w:type="dxa"/>
        <w:tblLayout w:type="fixed"/>
        <w:tblCellMar>
          <w:top w:w="28" w:type="dxa"/>
          <w:left w:w="28" w:type="dxa"/>
          <w:bottom w:w="28" w:type="dxa"/>
          <w:right w:w="28" w:type="dxa"/>
        </w:tblCellMar>
      </w:tblPr>
      <w:tblGrid>
        <w:gridCol w:w="4021"/>
        <w:gridCol w:w="146"/>
        <w:gridCol w:w="263"/>
        <w:gridCol w:w="787"/>
        <w:gridCol w:w="207"/>
        <w:gridCol w:w="182"/>
        <w:gridCol w:w="263"/>
        <w:gridCol w:w="787"/>
        <w:gridCol w:w="2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 xml:space="preserve">Cash Flows Related to Operating Activities. </w:t>
      </w:r>
      <w:r>
        <w:rPr>
          <w:rFonts w:ascii="Times New Roman" w:hAnsi="Times New Roman"/>
          <w:color w:val="000000"/>
          <w:sz w:val="20"/>
        </w:rPr>
        <w:t>Cash provided by operating activities for the first six months of fiscal 2026 was $1.3 million and consisted of our net loss of $1.8 million adjusted for non-cash expense items and net cash provided in changes in operating assets of $3.1 million, the largest of which accounts receivable, net, prepaid expenses and other current assets, inventories, net, depreciation, and amortization, partially offset by a decrease in accrued expenses and other.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in operating activities for the first six months of fiscal 2025 was $2.5 million and consisted of our net loss of $7.4 million adjusted for non-cash expense items and net cash provided in changes in operating assets of $4.9 million, the largest of which was a $3.9 million decrease in accounts payable, which was mostly offset by increases in accounts receivable and inventories.</w:t>
      </w:r>
    </w:p>
    <w:p>
      <w:pPr>
        <w:pStyle w:val="TextBody"/>
        <w:bidi w:val="0"/>
        <w:spacing w:before="180" w:after="283"/>
        <w:jc w:val="both"/>
        <w:rPr>
          <w:rFonts w:ascii="Times New Roman" w:hAnsi="Times New Roman"/>
          <w:sz w:val="20"/>
        </w:rPr>
      </w:pPr>
      <w:r>
        <w:rPr>
          <w:rFonts w:ascii="Times New Roman" w:hAnsi="Times New Roman"/>
          <w:i/>
          <w:color w:val="000000"/>
          <w:sz w:val="20"/>
        </w:rPr>
        <w:t>Cash Flows Related to Investing Activities</w:t>
      </w:r>
      <w:r>
        <w:rPr>
          <w:rFonts w:ascii="Times New Roman" w:hAnsi="Times New Roman"/>
          <w:color w:val="000000"/>
          <w:sz w:val="20"/>
        </w:rPr>
        <w:t>. Cash used in investing activities of $0.3 million in the first six months of fiscal 2026 consisted primarily of purchases of property and equipment, mostly related to our ERP implementation.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provided by investing activities of $155 thousand in the first six months of fiscal 2025 consisted primarily of sales of property and equipment.</w:t>
      </w:r>
    </w:p>
    <w:p>
      <w:pPr>
        <w:pStyle w:val="TextBody"/>
        <w:bidi w:val="0"/>
        <w:spacing w:before="180" w:after="283"/>
        <w:jc w:val="both"/>
        <w:rPr>
          <w:rFonts w:ascii="Times New Roman" w:hAnsi="Times New Roman"/>
          <w:sz w:val="20"/>
        </w:rPr>
      </w:pPr>
      <w:r>
        <w:rPr>
          <w:rFonts w:ascii="Times New Roman" w:hAnsi="Times New Roman"/>
          <w:i/>
          <w:color w:val="000000"/>
          <w:sz w:val="20"/>
        </w:rPr>
        <w:t>Cash Flows Related to Financing Activities.</w:t>
      </w:r>
      <w:r>
        <w:rPr>
          <w:rFonts w:ascii="Times New Roman" w:hAnsi="Times New Roman"/>
          <w:color w:val="000000"/>
          <w:sz w:val="20"/>
        </w:rPr>
        <w:t xml:space="preserve"> Cash used in financing activities of $1.8 million in the first six months of fiscal 2026 was primarily due to payments on our revolving credit facility and long-term debt, along with costs incurred related to the issuance of subordinated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provided by financing activities of $2.5 million in the first six months of fiscal 2025 was primarily due to the term loan discussed in Note 12 above, which was partially offset by payments on the revolving credit facility and long-term debt.</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Working Capital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net working capital as of September 30, 2025 was $8.1 million, consisting of $32.0 million in current assets and $24.0 million in current liabilities. Our net working capital as of March 31, 2025 was $8.7 million, consisting of $35.5 million in current assets and $26.8 million in current liabilities.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generally attempt to maintain at least a three-month supply of on-hand inventory of purchased components and raw materials to meet anticipated demand, as well as to reduce our risk of unexpected raw material or component shortages or supply interruptions. Our accounts receivable, net, inventories, net, accounts payable and revenue earned but not billed may increase to the extent our revenue and order levels increase.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Indebtedness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Revolving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credit agreement provides for a $25.0 million revolving credit facility (the “Credit Facility”) that matures on June 30, 2027. Borrowings under the Credit Facility are subject to a borrowing base requirement based on eligible receivables, inventory and cash. As of September 30, 2025, the borrowing base supported approximately $14.1 million of availability under the Credit Facility, with $5.8 million drawn against that availability. As of September 30, 2024, the borrowing base supported approximately $16.7 million of availability under the Credit Facility, with $9.0 million drawn against that availability.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credit agreement is secured by a first lien security interest in substantially all of our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Borrowings under the credit agreement are permitted in the form of SOFR or prime rate-based loans and generally bear interest at floating rates plus an applicable margin determined by reference to our availability under the Credit Agreement. Among other fees, we are required to pay an annual facility fee of $15,000 and a fee of 25 basis points on the unused portion of the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credit agreement includes a springing minimum fixed cost coverage ratio of 1.0 to 1.0 when excess availability under the Credit Facility falls below $4.0 million of the committed facility. Currently, the required springing minimum fixed cost coverage ratio is not required.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i/>
          <w:color w:val="000000"/>
          <w:sz w:val="20"/>
        </w:rPr>
      </w:pPr>
      <w:r>
        <w:rPr>
          <w:rFonts w:ascii="Times New Roman" w:hAnsi="Times New Roman"/>
          <w:i/>
          <w:color w:val="000000"/>
          <w:sz w:val="20"/>
        </w:rPr>
        <w:t>Voltrek Earnout and Subordinated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Effective on October 5, 2022, we acquired all of the outstanding membership interests of Voltrek, a leading electric vehicle charging company that provides turnkey installation solutions with ongoing support to all commercial verticals. In connection with such acquisition, we may owe additional material earnout payments based on Voltrek’s financial performance in fiscal 2025 as described below. We have currently accrued an estimated liability of approximately $1.4 million for such Remaining Earnout Amount.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Effective on June 23, 2025, the Company entered into a binding term sheet, as subsequently amended, the Term Sheet, pursuant to which the Company agreed with Final Frontier to pay the remainder of the finally determined Remaining Earnout Amount pursuant to the Subordinated Loan Agreement. In addition, the Company and Final Frontier agreed to submit the final determination of the Remaining Earnout Amount to binding arbitration.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Term Sheet, on September 30, 2025, the Company, as borrower, the Company Subsidiaries and Voltrek, as guarantors, and Final Frontier, as lender, entered into the Subordinated Loan Agreement, pursuant to which Final Frontier agreed to defer payment of the Remaining Earnout Amount by the Company pursuant to the terms of the Subordinated Loan Agreement. The Company’s obligation to pay the Remaining Earnout Amount is further evidenced by the Senior Subordinated Note. The Company agreed to pay monthly principal payments to Final Frontier on the Senior Subordinated Note of $25,000 beginning on January 15, 2026, which will increase to $50,000 on July 15, 2026 through the maturity date of July 15, 2027. The Company also agreed to pay interest monthly to Final Frontier at the annual rate of 7% beginning on July 15, 2025, subject to adjustment following the final determination in binding arbitration of the Remaining Earnout Amount, as set forth in more detail in the Subordinated Loan Agreement. The Company has the right to pay up to 20% of the remaining principal on the Senior Subordinated Note on the maturity date in shares of its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Company’s entry into the Subordinated Loan Agreement, Senior Subordinated Note, Security Agreement and Subordination Agreement, on September 30, 2025, the Company, the Company Subsidiaries and Bank of America entered into Amendment No. 4 to its Credit Agreement, pursuant to which Bank of America consented to the subordinated liens granted by the Company and the Company Subsidiaries in favor of Final Frontier and consented to the Remaining Earnout Amount evidenced by the Subordinated Loan Agreement in (a) a maximum amount of up $3.0 million following the final determination in binding arbitration of the Remaining Earnout Amount or (b) such higher amount as consented to in writing by Bank of America promptly following its receipt of notice of the binding arbitration decision.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final Remaining Earnout Amount determined to be owed by us could be in excess of our current accrued liability for such Remaining Earnout Amount and could materially adversely affect our future liquidity.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Backlog represents the amount of revenue that we expect to realize in the future as a result of firm, committed purchase orders. Backlog totaled $18.2 million and $17.3 million as of September 30, 2025 and March 31, 2025, respectively. We generally expect our backlog to be recognized as revenue within one year. Backlog does not include any amounts for contracted maintenance services.</w:t>
      </w:r>
    </w:p>
    <w:p>
      <w:pPr>
        <w:pStyle w:val="TextBody"/>
        <w:bidi w:val="0"/>
        <w:spacing w:before="280" w:after="283"/>
        <w:jc w:val="left"/>
        <w:rPr>
          <w:rFonts w:ascii="Times New Roman" w:hAnsi="Times New Roman"/>
          <w:b/>
          <w:color w:val="000000"/>
          <w:sz w:val="20"/>
        </w:rPr>
      </w:pPr>
      <w:bookmarkStart w:id="32" w:name="off_balance_sheet_arrangements"/>
      <w:bookmarkEnd w:id="32"/>
      <w:r>
        <w:rPr>
          <w:rFonts w:ascii="Times New Roman" w:hAnsi="Times New Roman"/>
          <w:b/>
          <w:color w:val="000000"/>
          <w:sz w:val="20"/>
        </w:rPr>
        <w:t>Off-Balance Sheet Arrangements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no off-balance sheet arrangements.</w:t>
      </w:r>
    </w:p>
    <w:p>
      <w:pPr>
        <w:pStyle w:val="TextBody"/>
        <w:bidi w:val="0"/>
        <w:spacing w:before="280" w:after="283"/>
        <w:jc w:val="left"/>
        <w:rPr>
          <w:rFonts w:ascii="Times New Roman" w:hAnsi="Times New Roman"/>
          <w:b/>
          <w:color w:val="000000"/>
          <w:sz w:val="20"/>
        </w:rPr>
      </w:pPr>
      <w:bookmarkStart w:id="33" w:name="critical_accounting_policies_and_estimat"/>
      <w:bookmarkEnd w:id="33"/>
      <w:r>
        <w:rPr>
          <w:rFonts w:ascii="Times New Roman" w:hAnsi="Times New Roman"/>
          <w:b/>
          <w:color w:val="000000"/>
          <w:sz w:val="20"/>
        </w:rPr>
        <w:t>Critical Accounting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estimates since March 31, 2025. For a full discussion of these estimates and policies, see "Critical Accounting Estimates" within "Management's Discussion and Analysis of Financial Condition and Results of Operations" in our 2025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34" w:name="recent_accounting_pronouncements"/>
      <w:bookmarkEnd w:id="34"/>
      <w:r>
        <w:rPr>
          <w:rFonts w:ascii="Times New Roman" w:hAnsi="Times New Roman"/>
          <w:b/>
          <w:color w:val="000000"/>
          <w:sz w:val="20"/>
        </w:rPr>
        <w:t>Recent Accounting Pronouncements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a complete discussion of recent accounting pronouncements, refer to Note 2 in the Condensed Consolidated Financial Statements included elsewhere in this report.</w:t>
      </w:r>
    </w:p>
    <w:p>
      <w:pPr>
        <w:pStyle w:val="TextBody"/>
        <w:bidi w:val="0"/>
        <w:spacing w:before="280" w:after="283"/>
        <w:jc w:val="left"/>
        <w:rPr>
          <w:rFonts w:ascii="Times New Roman" w:hAnsi="Times New Roman"/>
          <w:b/>
          <w:color w:val="000000"/>
          <w:sz w:val="20"/>
        </w:rPr>
      </w:pPr>
      <w:bookmarkStart w:id="35" w:name="item_3__quantitative_and_qualitative_dis"/>
      <w:bookmarkEnd w:id="35"/>
      <w:r>
        <w:rPr>
          <w:rFonts w:ascii="Times New Roman" w:hAnsi="Times New Roman"/>
          <w:b/>
          <w:color w:val="000000"/>
          <w:sz w:val="20"/>
        </w:rPr>
        <w:t>ITEM 3. QUANTITATIVE AND QUALITATIVE DISCLOSURES ABOUT MARKET RISK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exposure to market risk was discussed in the “Quantitative and Qualitative Disclosures About Market Risk” section contained in our Annual Report on Form 10-K for the year ended March 31, 2025. There have been no material changes to such exposures since March 31, 2025.</w:t>
      </w:r>
    </w:p>
    <w:p>
      <w:pPr>
        <w:pStyle w:val="TextBody"/>
        <w:bidi w:val="0"/>
        <w:spacing w:before="280" w:after="283"/>
        <w:jc w:val="left"/>
        <w:rPr>
          <w:rFonts w:ascii="Times New Roman" w:hAnsi="Times New Roman"/>
          <w:b/>
          <w:color w:val="000000"/>
          <w:sz w:val="20"/>
        </w:rPr>
      </w:pPr>
      <w:bookmarkStart w:id="36" w:name="item_4__controls_and_procedures"/>
      <w:bookmarkEnd w:id="36"/>
      <w:r>
        <w:rPr>
          <w:rFonts w:ascii="Times New Roman" w:hAnsi="Times New Roman"/>
          <w:b/>
          <w:color w:val="000000"/>
          <w:sz w:val="20"/>
        </w:rPr>
        <w:t>ITEM 4. CONTROLS 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disclosure controls and procedures are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2025.</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 13a-15(e) and Rule 15d-15(e) of the Exchange Act) for the quarter ended September 30, 2025,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7" w:name="part_ii_other_information"/>
      <w:bookmarkEnd w:id="37"/>
      <w:r>
        <w:rPr>
          <w:rFonts w:ascii="Times New Roman" w:hAnsi="Times New Roman"/>
          <w:b/>
          <w:color w:val="000000"/>
          <w:sz w:val="20"/>
        </w:rPr>
        <w:t>PART II – OTHER INFORMATION</w:t>
      </w:r>
    </w:p>
    <w:p>
      <w:pPr>
        <w:pStyle w:val="TextBody"/>
        <w:bidi w:val="0"/>
        <w:spacing w:before="180" w:after="283"/>
        <w:jc w:val="both"/>
        <w:rPr>
          <w:rFonts w:ascii="Times New Roman" w:hAnsi="Times New Roman"/>
          <w:b/>
          <w:color w:val="000000"/>
          <w:sz w:val="20"/>
        </w:rPr>
      </w:pPr>
      <w:bookmarkStart w:id="38" w:name="item_1__legal_proceedings"/>
      <w:bookmarkEnd w:id="38"/>
      <w:r>
        <w:rPr>
          <w:rFonts w:ascii="Times New Roman" w:hAnsi="Times New Roman"/>
          <w:b/>
          <w:color w:val="000000"/>
          <w:sz w:val="20"/>
        </w:rPr>
        <w:t>ITEM 1. LEGAL PROCEEDINGS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See Note 14 – Commitments and Contingencies, to the Condensed Consolidated Financial Statements in Item 1 of this Quarterly Report on Form 10-Q.</w:t>
      </w:r>
    </w:p>
    <w:p>
      <w:pPr>
        <w:pStyle w:val="TextBody"/>
        <w:bidi w:val="0"/>
        <w:spacing w:before="280" w:after="283"/>
        <w:jc w:val="both"/>
        <w:rPr>
          <w:rFonts w:ascii="Times New Roman" w:hAnsi="Times New Roman"/>
          <w:b/>
          <w:color w:val="000000"/>
          <w:sz w:val="20"/>
        </w:rPr>
      </w:pPr>
      <w:bookmarkStart w:id="39" w:name="item_1a__risk_factors"/>
      <w:bookmarkEnd w:id="39"/>
      <w:r>
        <w:rPr>
          <w:rFonts w:ascii="Times New Roman" w:hAnsi="Times New Roman"/>
          <w:b/>
          <w:color w:val="000000"/>
          <w:sz w:val="20"/>
        </w:rPr>
        <w:t>ITEM 1A. RISK FACTORS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2025, which we filed with the SEC on June 26, 2025 and in Part 1 - Item 2 under the heading "Management's Discussion and Analysis of Financial Condition and Results of Operations" in this Form 10-Q.</w:t>
      </w:r>
    </w:p>
    <w:p>
      <w:pPr>
        <w:pStyle w:val="TextBody"/>
        <w:bidi w:val="0"/>
        <w:spacing w:before="280" w:after="283"/>
        <w:jc w:val="both"/>
        <w:rPr>
          <w:rFonts w:ascii="Times New Roman" w:hAnsi="Times New Roman"/>
          <w:b/>
          <w:color w:val="000000"/>
          <w:sz w:val="20"/>
        </w:rPr>
      </w:pPr>
      <w:bookmarkStart w:id="40" w:name="item_2__unregistered_sale_of_equity_secu"/>
      <w:bookmarkEnd w:id="40"/>
      <w:r>
        <w:rPr>
          <w:rFonts w:ascii="Times New Roman" w:hAnsi="Times New Roman"/>
          <w:b/>
          <w:color w:val="000000"/>
          <w:sz w:val="20"/>
        </w:rPr>
        <w:t>ITEM 2. UNREGISTERED SALES OF EQUITY SECURITIES AND USE OF PROCEEDS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ITEM 5. OTHER INFORMATION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Reinstatement of Named Executive Officer Base Salaries and Director Retainers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previously disclosed, on February 11, 2024, as part of our cost savings measures, we announced that our executive officers agreed to voluntarily temporarily reduce their base salaries by 10%. Simultaneously with our executive officers’ salary reductions, the members of our board of directors voluntarily temporarily reduced their retainers by 10%. On October 31, 2025, the Human Capital Management and Compensation Committee of our board of directors determined to fully reinstate the base salaries for our named executive officers and the retainers for the members of our board of directors, effective as of October 1, 2025.</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three months ended September 30, 2025, none of our directors or officers adopted or terminated a "Rule 10b5-1 trading arrangement," or "non-Rule 10b5-1 trading arrangement," as each term is defined in Item 408(a) of Regulation S-K.</w:t>
        <w:b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1" w:name="item_6__exhibits"/>
      <w:bookmarkEnd w:id="41"/>
      <w:r>
        <w:rPr>
          <w:rFonts w:ascii="Times New Roman" w:hAnsi="Times New Roman"/>
          <w:b/>
          <w:color w:val="000000"/>
          <w:sz w:val="20"/>
        </w:rPr>
        <w:t>ITEM 6. EXHIBITS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Exhibits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4"/>
        <w:gridCol w:w="9541"/>
      </w:tblGrid>
      <w:tr>
        <w:trPr/>
        <w:tc>
          <w:tcPr>
            <w:tcW w:w="664" w:type="dxa"/>
            <w:tcBorders/>
            <w:vAlign w:val="center"/>
          </w:tcPr>
          <w:p>
            <w:pPr>
              <w:pStyle w:val="TableContents"/>
              <w:bidi w:val="0"/>
              <w:spacing w:before="0" w:after="283"/>
              <w:jc w:val="left"/>
              <w:rPr>
                <w:sz w:val="4"/>
                <w:szCs w:val="4"/>
              </w:rPr>
            </w:pPr>
            <w:r>
              <w:rPr>
                <w:sz w:val="4"/>
                <w:szCs w:val="4"/>
              </w:rPr>
            </w:r>
          </w:p>
        </w:tc>
        <w:tc>
          <w:tcPr>
            <w:tcW w:w="9541" w:type="dxa"/>
            <w:tcBorders/>
            <w:vAlign w:val="center"/>
          </w:tcPr>
          <w:p>
            <w:pPr>
              <w:pStyle w:val="TableContents"/>
              <w:bidi w:val="0"/>
              <w:spacing w:before="0" w:after="283"/>
              <w:jc w:val="left"/>
              <w:rPr>
                <w:sz w:val="4"/>
                <w:szCs w:val="4"/>
              </w:rPr>
            </w:pPr>
            <w:r>
              <w:rPr>
                <w:sz w:val="4"/>
                <w:szCs w:val="4"/>
              </w:rPr>
            </w:r>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Articles of Amendment to Amended and Restated Articles of Incorporation of Orion Energy Systems, Inc., effective August 22, 2025, filed as Exhibit 3.1 to Registrant's Current Report on Form 8-K filed on August 19, 2025, is hereby incorporated by reference.</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Term Sheet, dated June 23, 2025, by an between Orion Energy Systems, Inc., Final Frontier, LLC and Kathleen Connors, filed as Exhibit 10.1 to Registrant's Current Report on Form 8-K filed on October 3, 2025, is hereby incorporated by reference.</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Earn Out Term Sheet Amendment, dated July 31, 2025, by and between Orion Energy Systems, Inc., Final Frontier, LLC and Kathleen Connors, filed as Exhibit 10.2 to Registrant's Quarterly Report on Form 10-Q filed on August 6, 2025, is hereby incorporated by reference.</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Senior Subordinated Loan Agreement, dated September 30, 2025, by and among Orion Energy Systems, Inc. Great Lakes Energy Technologies, LLC, Clean Energy Solutions, LLC, Orion Asset Management, LLC, Orion Technologies Ventures, LLC, Voltrek, LLC and Final Frontier, LLC, filed as Exhibit 10.2 to Registrant's Current Report on Form 8-K filed on October 3, 2025, is hereby incorporated for reference.</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Senior Subordinated Note, dated September 30, 2025 by Orion Energy Systems, Inc. in favor of Final Frontier, LLC, filed as Exhibit 10.3 to Registrant's Current Report on Form 8-K filed on October 3, 2025, is hereby incorporated by reference.</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Security Agreement, dated September 30, 2025, by and among Orion Energy Systems, Inc. Great Lakes Energy Technologies, LLC, Clean Energy Solutions, LLC, Orion Asset Management, LLC, Orion Technologies Ventures, LLC, Voltrek, LLC and Final Frontier, LLC, filed as Exhibit 10.4 to Registrant's Current Report on Form 8-K filed on October 3, 2025, is hereby incorporated by reference.</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Subordination and Intercreditor Agreement, dated September 30, 2025, by and among Orion Energy Systems, Inc, Great Lakes Energy Technologies, LLC, Clean Energy Solutions, LLC, Orion Asset Management, LLC, Orion Technologies Ventures, LLC, Voltrek, LLC, Final Frontier, LLC and Bank of America, N.A, filed as Exhibit 10.5 to Registrant's Current Report on Form 8-K filed on October 3, 2025, is hereby incorporated by reference.</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Amendment No. 4 to Loan and Security Agreement, dated September 30, 2025, by and among Orion Energy Systems, Inc., Great Lakes Energy Solutions, LLC, Clean Energy Solutions, LLC, Orion Asset Management, LLC, Orion Technology Ventures, LLC, Voltrek, LLC and Bank of America, N.A, filed as Exhibit 10.6 to Registrant's Current Report on Form 8-K filed on October 3, 2025, is hereby incorporated by reference.</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Management Support Agreement, dated September 30, 2025, by and among Orion Energy Systems, Inc., Final Frontier, LLC and Kathleen Connors, filed as Exhibit 10.7 to Registrant's Current Report on Form 8-K filed on October 3, 2025, is hereby incorporated by reference.</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Board Observer Agreement, dated September 30, 2025, by and among Orion Energy Systems, Inc. and Kathleen Connors, filed as Exhibit 10.8 to Registrant's Current Report on Form 8-K filed on October 3, 2025, is hereby incorporated by reference.</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w:anchor="oesx-ex31_1.htm">
              <w:r>
                <w:rPr>
                  <w:rStyle w:val="InternetLink"/>
                  <w:rFonts w:ascii="Times New Roman" w:hAnsi="Times New Roman"/>
                  <w:color w:val="0000FF"/>
                  <w:sz w:val="20"/>
                  <w:u w:val="single"/>
                </w:rPr>
                <w:t>Certification of Chief Executive Officer of Orion Energy Systems, Inc. pursuant to Rule 13a-14(a) or Rule 15d-14(a) promulgated under the Securities Exchange Act of 1934, as amended.+</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w:anchor="oesx-ex31_2.htm">
              <w:r>
                <w:rPr>
                  <w:rStyle w:val="InternetLink"/>
                  <w:rFonts w:ascii="Times New Roman" w:hAnsi="Times New Roman"/>
                  <w:color w:val="0000FF"/>
                  <w:sz w:val="20"/>
                  <w:u w:val="single"/>
                </w:rPr>
                <w:t>Certification of Chief Financial Officer of Orion Energy Systems, Inc. pursuant to Rule 13a-14(a) or Rule 15d-14(a) promulgated under the Securities Exchange Act of 1934, as amended.+</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w:anchor="oesx-ex32_1.htm">
              <w:r>
                <w:rPr>
                  <w:rStyle w:val="InternetLink"/>
                  <w:rFonts w:ascii="Times New Roman" w:hAnsi="Times New Roman"/>
                  <w:color w:val="0000FF"/>
                  <w:sz w:val="20"/>
                  <w:u w:val="single"/>
                </w:rPr>
                <w:t>Certification of Chief Executive Officer of Orion Energy Systems, Inc. pursuant to Rule 13a-14(b) promulgated under the Securities Exchange Act of 1934, as amended, and 18 U.S.C. Section 1350, as adopted pursuant to Section 906 of the Sarbanes-Oxley Act of 2002.+</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9541" w:type="dxa"/>
            <w:tcBorders/>
            <w:tcMar>
              <w:top w:w="0" w:type="dxa"/>
              <w:left w:w="0" w:type="dxa"/>
              <w:bottom w:w="0" w:type="dxa"/>
              <w:right w:w="0" w:type="dxa"/>
            </w:tcMar>
            <w:vAlign w:val="center"/>
          </w:tcPr>
          <w:p>
            <w:pPr>
              <w:pStyle w:val="TableContents"/>
              <w:bidi w:val="0"/>
              <w:spacing w:before="0" w:after="283"/>
              <w:jc w:val="left"/>
              <w:rPr/>
            </w:pPr>
            <w:hyperlink w:anchor="oesx-ex32_2.htm">
              <w:r>
                <w:rPr>
                  <w:rStyle w:val="InternetLink"/>
                  <w:rFonts w:ascii="Times New Roman" w:hAnsi="Times New Roman"/>
                  <w:color w:val="0000FF"/>
                  <w:sz w:val="20"/>
                  <w:u w:val="single"/>
                </w:rPr>
                <w:t>Certification of Chief Financial Officer of Orion Energy Systems, Inc. pursuant to Rule 13a-14(b) promulgated under the Securities Exchange Act of 1934, as amended, and 18 U.S.C. Section 1350, as adopted pursuant to Section 906 of the Sarbanes-Oxley Act of 2002.+</w:t>
              </w:r>
            </w:hyperlink>
          </w:p>
        </w:tc>
      </w:tr>
      <w:tr>
        <w:trPr/>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9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September 30, 2025, has been formatted in Inline XBRL and is contained in Exhibit 101.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2" w:name="signature"/>
      <w:bookmarkEnd w:id="42"/>
      <w:r>
        <w:rPr>
          <w:rFonts w:ascii="Times New Roman" w:hAnsi="Times New Roman"/>
          <w:b/>
          <w:color w:val="000000"/>
          <w:sz w:val="20"/>
        </w:rPr>
        <w:t>SIGNATURE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 on November 5, 2025.</w:t>
      </w:r>
    </w:p>
    <w:p>
      <w:pPr>
        <w:pStyle w:val="TextBody"/>
        <w:bidi w:val="0"/>
        <w:jc w:val="left"/>
        <w:rPr/>
      </w:pPr>
      <w:r>
        <w:rPr/>
        <w:t> </w:t>
      </w:r>
    </w:p>
    <w:tbl>
      <w:tblPr>
        <w:tblW w:w="5068" w:type="dxa"/>
        <w:jc w:val="left"/>
        <w:tblInd w:w="0" w:type="dxa"/>
        <w:tblLayout w:type="fixed"/>
        <w:tblCellMar>
          <w:top w:w="28" w:type="dxa"/>
          <w:left w:w="28" w:type="dxa"/>
          <w:bottom w:w="28" w:type="dxa"/>
          <w:right w:w="28" w:type="dxa"/>
        </w:tblCellMar>
      </w:tblPr>
      <w:tblGrid>
        <w:gridCol w:w="361"/>
        <w:gridCol w:w="146"/>
        <w:gridCol w:w="456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506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ORION ENERGY SYSTEMS, INC.</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Per Brodin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Per Brodin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Authorized Signatory)</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bookmarkStart w:id="43" w:name="oesx-ex10_2.htm"/>
      <w:bookmarkStart w:id="44" w:name="ksoesxex10_2"/>
      <w:bookmarkEnd w:id="43"/>
      <w:bookmarkEnd w:id="44"/>
      <w:r>
        <w:rPr/>
        <w:t> </w:t>
      </w:r>
      <w:r>
        <w:br w:type="page"/>
      </w:r>
    </w:p>
    <w:p>
      <w:pPr>
        <w:pStyle w:val="TextBody"/>
        <w:bidi w:val="0"/>
        <w:spacing w:before="14" w:after="283"/>
        <w:jc w:val="left"/>
        <w:rPr>
          <w:rFonts w:ascii="Times New Roman" w:hAnsi="Times New Roman"/>
          <w:b/>
          <w:color w:val="000000"/>
          <w:sz w:val="20"/>
        </w:rPr>
      </w:pPr>
      <w:r>
        <w:rPr>
          <w:rFonts w:ascii="Times New Roman" w:hAnsi="Times New Roman"/>
          <w:b/>
          <w:color w:val="000000"/>
          <w:sz w:val="20"/>
        </w:rPr>
        <w:t>EXHIBIT 10.2</w:t>
      </w:r>
    </w:p>
    <w:p>
      <w:pPr>
        <w:pStyle w:val="TextBody"/>
        <w:bidi w:val="0"/>
        <w:spacing w:before="81" w:after="283"/>
        <w:jc w:val="center"/>
        <w:rPr>
          <w:rFonts w:ascii="Times New Roman" w:hAnsi="Times New Roman"/>
          <w:b/>
          <w:color w:val="000000"/>
          <w:sz w:val="22"/>
        </w:rPr>
      </w:pPr>
      <w:r>
        <w:rPr>
          <w:rFonts w:ascii="Times New Roman" w:hAnsi="Times New Roman"/>
          <w:b/>
          <w:color w:val="000000"/>
          <w:sz w:val="22"/>
        </w:rPr>
        <w:t>ORION ENERGY SYSTEMS, INC.</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2210 Woodland Drive</w:t>
      </w:r>
    </w:p>
    <w:p>
      <w:pPr>
        <w:pStyle w:val="TextBody"/>
        <w:bidi w:val="0"/>
        <w:spacing w:before="2" w:after="283"/>
        <w:jc w:val="center"/>
        <w:rPr>
          <w:rFonts w:ascii="Times New Roman" w:hAnsi="Times New Roman"/>
          <w:color w:val="000000"/>
          <w:sz w:val="22"/>
        </w:rPr>
      </w:pPr>
      <w:r>
        <w:rPr>
          <w:rFonts w:ascii="Times New Roman" w:hAnsi="Times New Roman"/>
          <w:color w:val="000000"/>
          <w:sz w:val="22"/>
        </w:rPr>
        <w:t>Manitowoc, Wisconsin 54220</w:t>
      </w:r>
    </w:p>
    <w:p>
      <w:pPr>
        <w:pStyle w:val="TextBody"/>
        <w:bidi w:val="0"/>
        <w:spacing w:before="10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July 31, 2025</w:t>
      </w:r>
    </w:p>
    <w:p>
      <w:pPr>
        <w:pStyle w:val="TextBody"/>
        <w:bidi w:val="0"/>
        <w:spacing w:before="122" w:after="283"/>
        <w:jc w:val="left"/>
        <w:rPr>
          <w:rFonts w:ascii="Times New Roman" w:hAnsi="Times New Roman"/>
          <w:color w:val="000000"/>
          <w:sz w:val="22"/>
          <w:u w:val="single"/>
        </w:rPr>
      </w:pPr>
      <w:r>
        <w:rPr>
          <w:rFonts w:ascii="Times New Roman" w:hAnsi="Times New Roman"/>
          <w:color w:val="000000"/>
          <w:sz w:val="22"/>
          <w:u w:val="single"/>
        </w:rPr>
        <w:t>Confidential</w:t>
      </w:r>
    </w:p>
    <w:p>
      <w:pPr>
        <w:pStyle w:val="TextBody"/>
        <w:bidi w:val="0"/>
        <w:spacing w:before="217" w:after="283"/>
        <w:jc w:val="left"/>
        <w:rPr>
          <w:rFonts w:ascii="Times New Roman" w:hAnsi="Times New Roman"/>
          <w:color w:val="000000"/>
          <w:sz w:val="22"/>
        </w:rPr>
      </w:pPr>
      <w:r>
        <w:rPr>
          <w:rFonts w:ascii="Times New Roman" w:hAnsi="Times New Roman"/>
          <w:color w:val="000000"/>
          <w:sz w:val="22"/>
        </w:rPr>
        <w:t>Ms. Kathleen M. Connors Final Frontier, LLC</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P.O. Box 2086</w:t>
      </w:r>
    </w:p>
    <w:p>
      <w:pPr>
        <w:pStyle w:val="TextBody"/>
        <w:bidi w:val="0"/>
        <w:jc w:val="left"/>
        <w:rPr>
          <w:rFonts w:ascii="Times New Roman" w:hAnsi="Times New Roman"/>
          <w:color w:val="000000"/>
          <w:sz w:val="22"/>
        </w:rPr>
      </w:pPr>
      <w:r>
        <w:rPr>
          <w:rFonts w:ascii="Times New Roman" w:hAnsi="Times New Roman"/>
          <w:color w:val="000000"/>
          <w:sz w:val="22"/>
        </w:rPr>
        <w:t>Andover, Massachusetts 01810 Email: [***]</w:t>
      </w:r>
    </w:p>
    <w:p>
      <w:pPr>
        <w:pStyle w:val="TextBody"/>
        <w:bidi w:val="0"/>
        <w:spacing w:before="232" w:after="283"/>
        <w:jc w:val="left"/>
        <w:rPr>
          <w:rFonts w:ascii="Times New Roman" w:hAnsi="Times New Roman"/>
          <w:color w:val="000000"/>
          <w:sz w:val="22"/>
        </w:rPr>
      </w:pPr>
      <w:r>
        <w:rPr>
          <w:rFonts w:ascii="Times New Roman" w:hAnsi="Times New Roman"/>
          <w:color w:val="000000"/>
          <w:sz w:val="22"/>
        </w:rPr>
        <w:t>Re: Earn Out Term Sheet Amendment Dear Kat:</w:t>
      </w:r>
    </w:p>
    <w:p>
      <w:pPr>
        <w:pStyle w:val="TextBody"/>
        <w:bidi w:val="0"/>
        <w:jc w:val="both"/>
        <w:rPr>
          <w:rFonts w:ascii="Times New Roman" w:hAnsi="Times New Roman"/>
          <w:color w:val="000000"/>
          <w:sz w:val="22"/>
        </w:rPr>
      </w:pPr>
      <w:r>
        <w:rPr>
          <w:rFonts w:ascii="Times New Roman" w:hAnsi="Times New Roman"/>
          <w:color w:val="000000"/>
          <w:sz w:val="22"/>
        </w:rPr>
        <w:t>Reference is hereby made to that certain binding Proposed Voltrek Earn-Out Payment Term Sheet,</w:t>
      </w:r>
    </w:p>
    <w:p>
      <w:pPr>
        <w:pStyle w:val="TextBody"/>
        <w:bidi w:val="0"/>
        <w:jc w:val="both"/>
        <w:rPr>
          <w:rFonts w:ascii="Times New Roman" w:hAnsi="Times New Roman"/>
          <w:color w:val="000000"/>
          <w:sz w:val="22"/>
        </w:rPr>
      </w:pPr>
      <w:r>
        <w:rPr>
          <w:rFonts w:ascii="Times New Roman" w:hAnsi="Times New Roman"/>
          <w:color w:val="000000"/>
          <w:sz w:val="22"/>
        </w:rPr>
        <w:t>dated June 23, 2025, among Orion Energy Systems, Inc., a Wisconsin corporation (“Company”), Final Frontier, LLC, a Massachusetts limited liability company (“Final Frontier”), and you (“Term Sheet”), pursuant to which the parties mutually agreed upon certain terms and conditions of the Company’s to-be- determined earn-out obligations owed to Final Frontier pursuant to the Membership Interest Purchase Agreement dated effective as of October 5, 2022.</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By signing below, we mutually agree that the first sentence of Section 1 of the Term Sheet shall be amended and restated in its entirety as follows: “Company will pay Final Frontier $875,000 (“FY24 Earn- Out Payment”) in cash as follows: $500,000 on August 1, 2025 and $375,000 on September 3, 2025 in full payment of the Company’s fiscal 2024 earn-out obligation.”</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Except as specifically amended and restated above, the Term Sheet otherwise remains in full force and effect.</w:t>
      </w:r>
    </w:p>
    <w:p>
      <w:pPr>
        <w:pStyle w:val="TextBody"/>
        <w:bidi w:val="0"/>
        <w:spacing w:before="221" w:after="283"/>
        <w:jc w:val="left"/>
        <w:rPr>
          <w:rFonts w:ascii="Times New Roman" w:hAnsi="Times New Roman"/>
          <w:color w:val="000000"/>
          <w:sz w:val="22"/>
        </w:rPr>
      </w:pPr>
      <w:r>
        <w:rPr>
          <w:rFonts w:ascii="Times New Roman" w:hAnsi="Times New Roman"/>
          <w:color w:val="000000"/>
          <w:sz w:val="22"/>
        </w:rPr>
        <w:t>Very truly yours</w:t>
      </w:r>
    </w:p>
    <w:p>
      <w:pPr>
        <w:pStyle w:val="TextBody"/>
        <w:bidi w:val="0"/>
        <w:spacing w:before="251" w:after="283"/>
        <w:jc w:val="left"/>
        <w:rPr>
          <w:rFonts w:ascii="Times New Roman" w:hAnsi="Times New Roman"/>
          <w:color w:val="000000"/>
          <w:sz w:val="22"/>
        </w:rPr>
      </w:pPr>
      <w:r>
        <w:rPr>
          <w:rFonts w:ascii="Times New Roman" w:hAnsi="Times New Roman"/>
          <w:color w:val="000000"/>
          <w:sz w:val="22"/>
        </w:rPr>
        <w:t>ORION ENERGY SYSTEMS, INC.</w:t>
      </w:r>
    </w:p>
    <w:p>
      <w:pPr>
        <w:pStyle w:val="TextBody"/>
        <w:bidi w:val="0"/>
        <w:jc w:val="left"/>
        <w:rPr/>
      </w:pPr>
      <w:r>
        <w:rPr/>
        <w:t> </w:t>
      </w:r>
    </w:p>
    <w:p>
      <w:pPr>
        <w:pStyle w:val="TextBody"/>
        <w:bidi w:val="0"/>
        <w:spacing w:before="2"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Per Brodin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Per Brodin</w:t>
      </w:r>
    </w:p>
    <w:p>
      <w:pPr>
        <w:pStyle w:val="TextBody"/>
        <w:bidi w:val="0"/>
        <w:jc w:val="left"/>
        <w:rPr>
          <w:rFonts w:ascii="Times New Roman" w:hAnsi="Times New Roman"/>
          <w:color w:val="000000"/>
          <w:sz w:val="22"/>
        </w:rPr>
      </w:pPr>
      <w:r>
        <w:rPr>
          <w:rFonts w:ascii="Times New Roman" w:hAnsi="Times New Roman"/>
          <w:color w:val="000000"/>
          <w:sz w:val="22"/>
        </w:rPr>
        <w:t>Chief Financial Officer Accepted and agreed as of the date first written above:</w:t>
      </w:r>
    </w:p>
    <w:p>
      <w:pPr>
        <w:pStyle w:val="TextBody"/>
        <w:bidi w:val="0"/>
        <w:jc w:val="left"/>
        <w:rPr>
          <w:rFonts w:ascii="Times New Roman" w:hAnsi="Times New Roman"/>
          <w:color w:val="000000"/>
          <w:sz w:val="22"/>
        </w:rPr>
      </w:pPr>
      <w:r>
        <w:rPr>
          <w:rFonts w:ascii="Times New Roman" w:hAnsi="Times New Roman"/>
          <w:color w:val="000000"/>
          <w:sz w:val="22"/>
        </w:rPr>
        <w:t>FINAL FRONTIER, LLC</w:t>
      </w:r>
    </w:p>
    <w:p>
      <w:pPr>
        <w:pStyle w:val="TextBody"/>
        <w:bidi w:val="0"/>
        <w:spacing w:before="252" w:after="283"/>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Kathleen M. Conners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Kathleen M. Conners,</w:t>
      </w:r>
    </w:p>
    <w:p>
      <w:pPr>
        <w:pStyle w:val="TextBody"/>
        <w:bidi w:val="0"/>
        <w:jc w:val="left"/>
        <w:rPr>
          <w:rFonts w:ascii="Times New Roman" w:hAnsi="Times New Roman"/>
          <w:color w:val="000000"/>
          <w:sz w:val="22"/>
        </w:rPr>
      </w:pPr>
      <w:r>
        <w:rPr>
          <w:rFonts w:ascii="Times New Roman" w:hAnsi="Times New Roman"/>
          <w:color w:val="000000"/>
          <w:sz w:val="22"/>
        </w:rPr>
        <w:t>Manager</w:t>
      </w:r>
    </w:p>
    <w:p>
      <w:pPr>
        <w:pStyle w:val="TextBody"/>
        <w:bidi w:val="0"/>
        <w:jc w:val="left"/>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/s/ Kathleen M. Conners</w:t>
      </w:r>
    </w:p>
    <w:p>
      <w:pPr>
        <w:pStyle w:val="TextBody"/>
        <w:bidi w:val="0"/>
        <w:jc w:val="left"/>
        <w:rPr>
          <w:rFonts w:ascii="Times New Roman" w:hAnsi="Times New Roman"/>
          <w:color w:val="000000"/>
          <w:sz w:val="22"/>
        </w:rPr>
      </w:pPr>
      <w:r>
        <w:rPr>
          <w:rFonts w:ascii="Times New Roman" w:hAnsi="Times New Roman"/>
          <w:color w:val="000000"/>
          <w:sz w:val="22"/>
        </w:rPr>
        <w:t>Kathleen M. Conners, individually</w:t>
      </w:r>
    </w:p>
    <w:p>
      <w:pPr>
        <w:pStyle w:val="TextBody"/>
        <w:bidi w:val="0"/>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oesx-ex31_1.htm"/>
      <w:bookmarkStart w:id="46" w:name="ksoesxex31_1"/>
      <w:bookmarkEnd w:id="45"/>
      <w:bookmarkEnd w:id="46"/>
      <w:r>
        <w:rPr>
          <w:rFonts w:ascii="Times New Roman" w:hAnsi="Times New Roman"/>
          <w:b/>
          <w:color w:val="000000"/>
          <w:sz w:val="20"/>
        </w:rPr>
        <w:t>Exhibit 31.1</w:t>
      </w:r>
      <w:r>
        <w:br w:type="page"/>
      </w:r>
    </w:p>
    <w:p>
      <w:pPr>
        <w:pStyle w:val="TextBody"/>
        <w:bidi w:val="0"/>
        <w:spacing w:before="90" w:after="283"/>
        <w:jc w:val="center"/>
        <w:rPr>
          <w:rFonts w:ascii="Times New Roman" w:hAnsi="Times New Roman"/>
          <w:b/>
          <w:i/>
          <w:color w:val="000000"/>
          <w:sz w:val="20"/>
        </w:rPr>
      </w:pPr>
      <w:r>
        <w:rPr>
          <w:rFonts w:ascii="Times New Roman" w:hAnsi="Times New Roman"/>
          <w:b/>
          <w:i/>
          <w:color w:val="000000"/>
          <w:sz w:val="20"/>
        </w:rPr>
        <w:t>Certification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 Sally A. Washlow,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Orion Energy Systems,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November 5, 2025</w:t>
      </w:r>
    </w:p>
    <w:p>
      <w:pPr>
        <w:pStyle w:val="TextBody"/>
        <w:bidi w:val="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1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Sally A. Washlow</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Sally A. Washlow</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90" w:after="283"/>
        <w:jc w:val="right"/>
        <w:rPr/>
      </w:pPr>
      <w:r>
        <w:rPr/>
        <w:t> </w:t>
      </w:r>
    </w:p>
    <w:p>
      <w:pPr>
        <w:pStyle w:val="TextBody"/>
        <w:bidi w:val="0"/>
        <w:spacing w:before="9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oesx-ex31_2.htm"/>
      <w:bookmarkStart w:id="48" w:name="ksoesxex31_2"/>
      <w:bookmarkEnd w:id="47"/>
      <w:bookmarkEnd w:id="48"/>
      <w:r>
        <w:rPr>
          <w:rFonts w:ascii="Times New Roman" w:hAnsi="Times New Roman"/>
          <w:b/>
          <w:color w:val="000000"/>
          <w:sz w:val="20"/>
        </w:rPr>
        <w:t>Exhibit 31.2</w:t>
      </w:r>
      <w:r>
        <w:br w:type="page"/>
      </w:r>
    </w:p>
    <w:p>
      <w:pPr>
        <w:pStyle w:val="TextBody"/>
        <w:bidi w:val="0"/>
        <w:spacing w:before="90" w:after="283"/>
        <w:jc w:val="center"/>
        <w:rPr>
          <w:rFonts w:ascii="Times New Roman" w:hAnsi="Times New Roman"/>
          <w:b/>
          <w:i/>
          <w:color w:val="000000"/>
          <w:sz w:val="20"/>
        </w:rPr>
      </w:pPr>
      <w:r>
        <w:rPr>
          <w:rFonts w:ascii="Times New Roman" w:hAnsi="Times New Roman"/>
          <w:b/>
          <w:i/>
          <w:color w:val="000000"/>
          <w:sz w:val="20"/>
        </w:rPr>
        <w:t>Certification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 J. Per Brodin,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Orion Energy Systems,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November 5, 2025</w:t>
      </w:r>
    </w:p>
    <w:p>
      <w:pPr>
        <w:pStyle w:val="TextBody"/>
        <w:bidi w:val="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0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Per Brodin</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J. Per Brodin</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oesx-ex32_1.htm"/>
      <w:bookmarkStart w:id="50" w:name="ksoesxex32_1"/>
      <w:bookmarkEnd w:id="49"/>
      <w:bookmarkEnd w:id="50"/>
      <w:r>
        <w:rPr>
          <w:rFonts w:ascii="Times New Roman" w:hAnsi="Times New Roman"/>
          <w:b/>
          <w:color w:val="000000"/>
          <w:sz w:val="20"/>
        </w:rPr>
        <w:t>Exhibit 32.1</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of CEO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Quarterly Report of Orion Energy Systems, Inc., a Wisconsin corporation (the “Company”), on Form 10-Q for the period ended September 30, 2025, as filed with the Securities and Exchange Commission on the date hereof (the “Report”), I, Sally A. Washlow, Chief Executive Officer of the Company, certify, pursuant to 18 U.S.C. 1350, as adopted pursuant to Section 906 of the Sarbanes-Oxley Act of 2002, that, based on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207" w:type="dxa"/>
        <w:jc w:val="left"/>
        <w:tblInd w:w="0" w:type="dxa"/>
        <w:tblLayout w:type="fixed"/>
        <w:tblCellMar>
          <w:top w:w="28" w:type="dxa"/>
          <w:left w:w="28" w:type="dxa"/>
          <w:bottom w:w="28" w:type="dxa"/>
          <w:right w:w="28" w:type="dxa"/>
        </w:tblCellMar>
      </w:tblPr>
      <w:tblGrid>
        <w:gridCol w:w="556"/>
        <w:gridCol w:w="1651"/>
      </w:tblGrid>
      <w:tr>
        <w:trPr/>
        <w:tc>
          <w:tcPr>
            <w:tcW w:w="55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2025</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7"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Sally A. Washlow</w:t>
            </w:r>
          </w:p>
        </w:tc>
      </w:tr>
      <w:tr>
        <w:trPr/>
        <w:tc>
          <w:tcPr>
            <w:tcW w:w="22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Sally A. Washlow</w:t>
            </w:r>
          </w:p>
        </w:tc>
      </w:tr>
      <w:tr>
        <w:trPr/>
        <w:tc>
          <w:tcPr>
            <w:tcW w:w="22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oesx-ex32_2.htm"/>
      <w:bookmarkStart w:id="52" w:name="ksoesxex32_2"/>
      <w:bookmarkEnd w:id="51"/>
      <w:bookmarkEnd w:id="52"/>
      <w:r>
        <w:rPr>
          <w:rFonts w:ascii="Times New Roman" w:hAnsi="Times New Roman"/>
          <w:b/>
          <w:color w:val="000000"/>
          <w:sz w:val="20"/>
        </w:rPr>
        <w:t>Exhibit 32.2</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of CFO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Quarterly Report of Orion Energy Systems, Inc., a Wisconsin corporation (the “Company”), on Form 10-Q for the period ended September 30, 2025,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207" w:type="dxa"/>
        <w:jc w:val="left"/>
        <w:tblInd w:w="0" w:type="dxa"/>
        <w:tblLayout w:type="fixed"/>
        <w:tblCellMar>
          <w:top w:w="28" w:type="dxa"/>
          <w:left w:w="28" w:type="dxa"/>
          <w:bottom w:w="28" w:type="dxa"/>
          <w:right w:w="28" w:type="dxa"/>
        </w:tblCellMar>
      </w:tblPr>
      <w:tblGrid>
        <w:gridCol w:w="556"/>
        <w:gridCol w:w="1651"/>
      </w:tblGrid>
      <w:tr>
        <w:trPr/>
        <w:tc>
          <w:tcPr>
            <w:tcW w:w="55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November 5, 2025</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7"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Per Brodin</w:t>
            </w:r>
          </w:p>
        </w:tc>
      </w:tr>
      <w:tr>
        <w:trPr/>
        <w:tc>
          <w:tcPr>
            <w:tcW w:w="220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 Per Brodin</w:t>
            </w:r>
          </w:p>
        </w:tc>
      </w:tr>
      <w:tr>
        <w:trPr/>
        <w:tc>
          <w:tcPr>
            <w:tcW w:w="22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9375/000119312525183453/d946146dex31.htm" TargetMode="External"/><Relationship Id="rId3" Type="http://schemas.openxmlformats.org/officeDocument/2006/relationships/hyperlink" Target="https://www.sec.gov/Archives/edgar/data/1409375/000119312525230223/oesx-ex10_1.htm" TargetMode="External"/><Relationship Id="rId4" Type="http://schemas.openxmlformats.org/officeDocument/2006/relationships/hyperlink" Target="https://www.sec.gov/Archives/edgar/data/1409375/000095017025104003/oesx-ex10_2.htm" TargetMode="External"/><Relationship Id="rId5" Type="http://schemas.openxmlformats.org/officeDocument/2006/relationships/hyperlink" Target="https://www.sec.gov/Archives/edgar/data/1409375/000119312525230223/oesx-ex10_2.htm" TargetMode="External"/><Relationship Id="rId6" Type="http://schemas.openxmlformats.org/officeDocument/2006/relationships/hyperlink" Target="https://www.sec.gov/Archives/edgar/data/1409375/000119312525230223/oesx-ex10_3.htm" TargetMode="External"/><Relationship Id="rId7" Type="http://schemas.openxmlformats.org/officeDocument/2006/relationships/hyperlink" Target="https://www.sec.gov/Archives/edgar/data/1409375/000119312525230223/oesx-ex10_4.htm" TargetMode="External"/><Relationship Id="rId8" Type="http://schemas.openxmlformats.org/officeDocument/2006/relationships/hyperlink" Target="https://www.sec.gov/Archives/edgar/data/1409375/000119312525230223/oesx-ex10_5.htm" TargetMode="External"/><Relationship Id="rId9" Type="http://schemas.openxmlformats.org/officeDocument/2006/relationships/hyperlink" Target="https://www.sec.gov/Archives/edgar/data/1409375/000119312525230223/oesx-ex10_6.htm" TargetMode="External"/><Relationship Id="rId10" Type="http://schemas.openxmlformats.org/officeDocument/2006/relationships/hyperlink" Target="https://www.sec.gov/Archives/edgar/data/1409375/000119312525230223/oesx-ex10_7.htm" TargetMode="External"/><Relationship Id="rId11" Type="http://schemas.openxmlformats.org/officeDocument/2006/relationships/hyperlink" Target="https://www.sec.gov/Archives/edgar/data/1409375/000119312525230223/oesx-ex10_8.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18675</Words>
  <Characters>100979</Characters>
  <CharactersWithSpaces>121075</CharactersWithSpaces>
  <Paragraphs>7241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