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4080" w:right="1900" w:hanging="4059"/>
        <w:spacing w:after="0" w:line="297" w:lineRule="auto"/>
        <w:tabs>
          <w:tab w:leader="none" w:pos="60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color w:val="auto"/>
        </w:rPr>
        <w:t>March 31, 2023</w:t>
      </w:r>
    </w:p>
    <w:p>
      <w:pPr>
        <w:ind w:left="55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31"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5"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-11430</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Orion Energy Systems,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jc w:val="center"/>
              <w:ind w:left="1441"/>
              <w:spacing w:after="0"/>
              <w:rPr>
                <w:sz w:val="20"/>
                <w:szCs w:val="20"/>
                <w:color w:val="auto"/>
              </w:rPr>
            </w:pPr>
            <w:r>
              <w:rPr>
                <w:rFonts w:ascii="Arial" w:cs="Arial" w:eastAsia="Arial" w:hAnsi="Arial"/>
                <w:sz w:val="18"/>
                <w:szCs w:val="18"/>
                <w:b w:val="1"/>
                <w:bCs w:val="1"/>
                <w:color w:val="auto"/>
                <w:w w:val="86"/>
              </w:rPr>
              <w:t>Wisconsin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jc w:val="right"/>
              <w:ind w:right="21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53"/>
        </w:trPr>
        <w:tc>
          <w:tcPr>
            <w:tcW w:w="3980" w:type="dxa"/>
            <w:vAlign w:val="bottom"/>
          </w:tcPr>
          <w:p>
            <w:pPr>
              <w:jc w:val="center"/>
              <w:ind w:left="1461"/>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tcPr>
          <w:p>
            <w:pPr>
              <w:jc w:val="center"/>
              <w:ind w:right="1864"/>
              <w:spacing w:after="0" w:line="153"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0"/>
        </w:trPr>
        <w:tc>
          <w:tcPr>
            <w:tcW w:w="3980" w:type="dxa"/>
            <w:vAlign w:val="bottom"/>
          </w:tcPr>
          <w:p>
            <w:pPr>
              <w:jc w:val="center"/>
              <w:ind w:left="1461"/>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tcPr>
          <w:p>
            <w:pPr>
              <w:jc w:val="center"/>
              <w:ind w:right="186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34"/>
        </w:trPr>
        <w:tc>
          <w:tcPr>
            <w:tcW w:w="7360" w:type="dxa"/>
            <w:vAlign w:val="bottom"/>
            <w:gridSpan w:val="7"/>
          </w:tcPr>
          <w:p>
            <w:pPr>
              <w:jc w:val="center"/>
              <w:ind w:right="1840"/>
              <w:spacing w:after="0"/>
              <w:rPr>
                <w:sz w:val="20"/>
                <w:szCs w:val="20"/>
                <w:color w:val="auto"/>
              </w:rPr>
            </w:pPr>
            <w:r>
              <w:rPr>
                <w:rFonts w:ascii="Arial" w:cs="Arial" w:eastAsia="Arial" w:hAnsi="Arial"/>
                <w:sz w:val="18"/>
                <w:szCs w:val="18"/>
                <w:b w:val="1"/>
                <w:bCs w:val="1"/>
                <w:color w:val="auto"/>
                <w:w w:val="93"/>
              </w:rPr>
              <w:t>2210 Woodland Drive, Manitowoc, WI</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jc w:val="right"/>
              <w:ind w:right="23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285"/>
        </w:trPr>
        <w:tc>
          <w:tcPr>
            <w:tcW w:w="3980" w:type="dxa"/>
            <w:vAlign w:val="bottom"/>
            <w:vMerge w:val="restart"/>
          </w:tcPr>
          <w:p>
            <w:pPr>
              <w:jc w:val="center"/>
              <w:ind w:left="14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ind w:right="18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39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3980" w:type="dxa"/>
            <w:vAlign w:val="bottom"/>
          </w:tcPr>
          <w:p>
            <w:pPr>
              <w:spacing w:after="0"/>
              <w:rPr>
                <w:sz w:val="24"/>
                <w:szCs w:val="24"/>
                <w:color w:val="auto"/>
              </w:rPr>
            </w:pPr>
          </w:p>
        </w:tc>
        <w:tc>
          <w:tcPr>
            <w:tcW w:w="2760" w:type="dxa"/>
            <w:vAlign w:val="bottom"/>
            <w:gridSpan w:val="4"/>
          </w:tcPr>
          <w:p>
            <w:pPr>
              <w:jc w:val="center"/>
              <w:ind w:left="439"/>
              <w:spacing w:after="0"/>
              <w:rPr>
                <w:sz w:val="20"/>
                <w:szCs w:val="20"/>
                <w:color w:val="auto"/>
              </w:rPr>
            </w:pPr>
            <w:r>
              <w:rPr>
                <w:rFonts w:ascii="Arial" w:cs="Arial" w:eastAsia="Arial" w:hAnsi="Arial"/>
                <w:sz w:val="18"/>
                <w:szCs w:val="18"/>
                <w:b w:val="1"/>
                <w:bCs w:val="1"/>
                <w:color w:val="auto"/>
                <w:w w:val="90"/>
              </w:rPr>
              <w:t>(920) 892-9340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33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gridSpan w:val="9"/>
          </w:tcPr>
          <w:p>
            <w:pPr>
              <w:jc w:val="center"/>
              <w:ind w:left="3281"/>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80" w:type="dxa"/>
            <w:vAlign w:val="bottom"/>
            <w:tcBorders>
              <w:bottom w:val="single" w:sz="8" w:color="auto"/>
            </w:tcBorders>
          </w:tcPr>
          <w:p>
            <w:pPr>
              <w:jc w:val="center"/>
              <w:ind w:left="681"/>
              <w:spacing w:after="0"/>
              <w:rPr>
                <w:sz w:val="20"/>
                <w:szCs w:val="20"/>
                <w:color w:val="auto"/>
              </w:rPr>
            </w:pPr>
            <w:r>
              <w:rPr>
                <w:rFonts w:ascii="Arial" w:cs="Arial" w:eastAsia="Arial" w:hAnsi="Arial"/>
                <w:sz w:val="14"/>
                <w:szCs w:val="14"/>
                <w:b w:val="1"/>
                <w:bCs w:val="1"/>
                <w:color w:val="auto"/>
                <w:w w:val="91"/>
              </w:rPr>
              <w:t>Title of Each Class</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OESX</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60" w:type="dxa"/>
            <w:vAlign w:val="bottom"/>
          </w:tcPr>
          <w:p>
            <w:pPr>
              <w:jc w:val="center"/>
              <w:ind w:right="424"/>
              <w:spacing w:after="0" w:line="137"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3980" w:type="dxa"/>
            <w:vAlign w:val="bottom"/>
          </w:tcPr>
          <w:p>
            <w:pPr>
              <w:jc w:val="center"/>
              <w:ind w:left="681"/>
              <w:spacing w:after="0"/>
              <w:rPr>
                <w:sz w:val="20"/>
                <w:szCs w:val="20"/>
                <w:color w:val="auto"/>
              </w:rPr>
            </w:pPr>
            <w:r>
              <w:rPr>
                <w:rFonts w:ascii="Arial" w:cs="Arial" w:eastAsia="Arial" w:hAnsi="Arial"/>
                <w:sz w:val="14"/>
                <w:szCs w:val="14"/>
                <w:color w:val="auto"/>
                <w:w w:val="93"/>
              </w:rPr>
              <w:t>Common stock, no par value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tcPr>
          <w:p>
            <w:pPr>
              <w:jc w:val="center"/>
              <w:ind w:right="444"/>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336"/>
        </w:trPr>
        <w:tc>
          <w:tcPr>
            <w:tcW w:w="7880" w:type="dxa"/>
            <w:vAlign w:val="bottom"/>
            <w:gridSpan w:val="9"/>
          </w:tcPr>
          <w:p>
            <w:pPr>
              <w:jc w:val="center"/>
              <w:ind w:left="3281"/>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6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8"/>
              </w:rPr>
              <w:t>None</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4500" w:type="dxa"/>
            <w:vAlign w:val="bottom"/>
            <w:gridSpan w:val="2"/>
          </w:tcPr>
          <w:p>
            <w:pPr>
              <w:spacing w:after="0"/>
              <w:rPr>
                <w:sz w:val="8"/>
                <w:szCs w:val="8"/>
                <w:color w:val="auto"/>
              </w:rPr>
            </w:pPr>
          </w:p>
        </w:tc>
        <w:tc>
          <w:tcPr>
            <w:tcW w:w="2240" w:type="dxa"/>
            <w:vAlign w:val="bottom"/>
            <w:tcBorders>
              <w:bottom w:val="single" w:sz="8" w:color="auto"/>
            </w:tcBorders>
            <w:gridSpan w:val="3"/>
          </w:tcPr>
          <w:p>
            <w:pPr>
              <w:spacing w:after="0"/>
              <w:rPr>
                <w:sz w:val="8"/>
                <w:szCs w:val="8"/>
                <w:color w:val="auto"/>
              </w:rPr>
            </w:pPr>
          </w:p>
        </w:tc>
        <w:tc>
          <w:tcPr>
            <w:tcW w:w="6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360" w:type="dxa"/>
            <w:vAlign w:val="bottom"/>
            <w:vMerge w:val="restart"/>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360" w:type="dxa"/>
            <w:vAlign w:val="bottom"/>
            <w:gridSpan w:val="7"/>
          </w:tcPr>
          <w:p>
            <w:pPr>
              <w:ind w:left="52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00" w:type="dxa"/>
            <w:vAlign w:val="bottom"/>
          </w:tcPr>
          <w:p>
            <w:pPr>
              <w:ind w:left="60"/>
              <w:spacing w:after="0"/>
              <w:rPr>
                <w:sz w:val="20"/>
                <w:szCs w:val="20"/>
                <w:color w:val="auto"/>
              </w:rPr>
            </w:pPr>
            <w:r>
              <w:rPr>
                <w:rFonts w:ascii="Arial" w:cs="Arial" w:eastAsia="Arial" w:hAnsi="Arial"/>
                <w:sz w:val="14"/>
                <w:szCs w:val="14"/>
                <w:color w:val="auto"/>
                <w:w w:val="90"/>
              </w:rPr>
              <w:t>Yes</w:t>
            </w:r>
          </w:p>
        </w:tc>
        <w:tc>
          <w:tcPr>
            <w:tcW w:w="220" w:type="dxa"/>
            <w:vAlign w:val="bottom"/>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60" w:type="dxa"/>
            <w:vAlign w:val="bottom"/>
            <w:gridSpan w:val="7"/>
          </w:tcPr>
          <w:p>
            <w:pPr>
              <w:ind w:left="52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33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0"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0160" w:type="dxa"/>
            <w:vAlign w:val="bottom"/>
            <w:gridSpan w:val="3"/>
          </w:tcPr>
          <w:p>
            <w:pPr>
              <w:spacing w:after="0"/>
              <w:rPr>
                <w:sz w:val="20"/>
                <w:szCs w:val="20"/>
                <w:color w:val="auto"/>
              </w:rPr>
            </w:pPr>
            <w:r>
              <w:rPr>
                <w:rFonts w:ascii="Arial" w:cs="Arial" w:eastAsia="Arial" w:hAnsi="Arial"/>
                <w:sz w:val="14"/>
                <w:szCs w:val="14"/>
                <w:color w:val="auto"/>
              </w:rPr>
              <w:t>the definitions of “large accelerated filer,” “accelerated filer,” “smaller reporting company,” and "emerging growth company" in Rule 12b-2 of the Exchange Act:</w:t>
            </w:r>
          </w:p>
        </w:tc>
        <w:tc>
          <w:tcPr>
            <w:tcW w:w="860" w:type="dxa"/>
            <w:vAlign w:val="bottom"/>
          </w:tcPr>
          <w:p>
            <w:pPr>
              <w:spacing w:after="0"/>
              <w:rPr>
                <w:sz w:val="15"/>
                <w:szCs w:val="15"/>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92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0" w:lineRule="exact"/>
        <w:rPr>
          <w:sz w:val="24"/>
          <w:szCs w:val="24"/>
          <w:color w:val="auto"/>
        </w:rPr>
      </w:pPr>
    </w:p>
    <w:p>
      <w:pPr>
        <w:ind w:firstLine="50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 w:lineRule="exact"/>
        <w:rPr>
          <w:sz w:val="24"/>
          <w:szCs w:val="24"/>
          <w:color w:val="auto"/>
        </w:rPr>
      </w:pPr>
    </w:p>
    <w:p>
      <w:pPr>
        <w:ind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right="80" w:firstLine="509"/>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 w:lineRule="exact"/>
        <w:rPr>
          <w:sz w:val="24"/>
          <w:szCs w:val="24"/>
          <w:color w:val="auto"/>
        </w:rPr>
      </w:pPr>
    </w:p>
    <w:p>
      <w:pPr>
        <w:ind w:right="360" w:firstLine="509"/>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firstLine="509"/>
        <w:spacing w:after="0" w:line="253" w:lineRule="auto"/>
        <w:rPr>
          <w:sz w:val="20"/>
          <w:szCs w:val="20"/>
          <w:color w:val="auto"/>
        </w:rPr>
      </w:pPr>
      <w:r>
        <w:rPr>
          <w:rFonts w:ascii="Arial" w:cs="Arial" w:eastAsia="Arial" w:hAnsi="Arial"/>
          <w:sz w:val="14"/>
          <w:szCs w:val="14"/>
          <w:color w:val="auto"/>
        </w:rPr>
        <w:t>The aggregate market value of shares of the Registrant’s common stock held by non-affiliates as of September 30, 2022, the last business day of the Registrant’s most recently completed second fiscal quarter, was approximately $41,177,495.</w:t>
      </w:r>
    </w:p>
    <w:p>
      <w:pPr>
        <w:spacing w:after="0" w:line="1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May 31, 2023, there were 32,295,408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3" w:lineRule="exact"/>
        <w:rPr>
          <w:sz w:val="24"/>
          <w:szCs w:val="24"/>
          <w:color w:val="auto"/>
        </w:rPr>
      </w:pPr>
    </w:p>
    <w:p>
      <w:pPr>
        <w:ind w:firstLine="509"/>
        <w:spacing w:after="0" w:line="253" w:lineRule="auto"/>
        <w:rPr>
          <w:sz w:val="20"/>
          <w:szCs w:val="20"/>
          <w:color w:val="auto"/>
        </w:rPr>
      </w:pPr>
      <w:r>
        <w:rPr>
          <w:rFonts w:ascii="Arial" w:cs="Arial" w:eastAsia="Arial" w:hAnsi="Arial"/>
          <w:sz w:val="14"/>
          <w:szCs w:val="14"/>
          <w:color w:val="auto"/>
        </w:rPr>
        <w:t>Portions of the Registrant's Proxy Statement for the 2023 Annual Meeting of Shareholders to be held on August 10, 2023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9"/>
              </w:rPr>
              <w:t>ORION ENERGY SYSTEMS, INC.</w:t>
            </w:r>
          </w:p>
        </w:tc>
        <w:tc>
          <w:tcPr>
            <w:tcW w:w="5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9"/>
              </w:rPr>
              <w:t>ANNUAL REPORT ON FORM 10-K</w:t>
            </w:r>
          </w:p>
        </w:tc>
        <w:tc>
          <w:tcPr>
            <w:tcW w:w="58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6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8"/>
              </w:rPr>
              <w:t>FOR THE YEAR ENDED MARCH 31, 2023</w:t>
            </w:r>
          </w:p>
        </w:tc>
        <w:tc>
          <w:tcPr>
            <w:tcW w:w="58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0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4"/>
                <w:szCs w:val="24"/>
                <w:color w:val="auto"/>
              </w:rPr>
            </w:pPr>
          </w:p>
        </w:tc>
      </w:tr>
      <w:tr>
        <w:trPr>
          <w:trHeight w:val="47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20" w:type="dxa"/>
            <w:vAlign w:val="bottom"/>
            <w:gridSpan w:val="6"/>
          </w:tcPr>
          <w:p>
            <w:pPr>
              <w:jc w:val="center"/>
              <w:ind w:right="4440"/>
              <w:spacing w:after="0"/>
              <w:rPr>
                <w:sz w:val="20"/>
                <w:szCs w:val="20"/>
                <w:color w:val="auto"/>
              </w:rPr>
            </w:pPr>
            <w:r>
              <w:rPr>
                <w:rFonts w:ascii="Arial" w:cs="Arial" w:eastAsia="Arial" w:hAnsi="Arial"/>
                <w:sz w:val="18"/>
                <w:szCs w:val="18"/>
                <w:color w:val="auto"/>
                <w:w w:val="92"/>
              </w:rPr>
              <w:t>PART I</w:t>
            </w:r>
          </w:p>
        </w:tc>
        <w:tc>
          <w:tcPr>
            <w:tcW w:w="580" w:type="dxa"/>
            <w:vAlign w:val="bottom"/>
          </w:tcPr>
          <w:p>
            <w:pPr>
              <w:spacing w:after="0"/>
              <w:rPr>
                <w:sz w:val="19"/>
                <w:szCs w:val="19"/>
                <w:color w:val="auto"/>
              </w:rPr>
            </w:pPr>
          </w:p>
        </w:tc>
      </w:tr>
      <w:tr>
        <w:trPr>
          <w:trHeight w:val="203"/>
        </w:trPr>
        <w:tc>
          <w:tcPr>
            <w:tcW w:w="80" w:type="dxa"/>
            <w:vAlign w:val="bottom"/>
          </w:tcPr>
          <w:p>
            <w:pPr>
              <w:spacing w:after="0"/>
              <w:rPr>
                <w:sz w:val="17"/>
                <w:szCs w:val="17"/>
                <w:color w:val="auto"/>
              </w:rPr>
            </w:pPr>
          </w:p>
        </w:tc>
        <w:tc>
          <w:tcPr>
            <w:tcW w:w="10580" w:type="dxa"/>
            <w:vAlign w:val="bottom"/>
            <w:gridSpan w:val="22"/>
          </w:tcPr>
          <w:p>
            <w:pPr>
              <w:spacing w:after="0" w:line="202" w:lineRule="exact"/>
              <w:rPr>
                <w:sz w:val="20"/>
                <w:szCs w:val="20"/>
                <w:color w:val="auto"/>
              </w:rPr>
            </w:pPr>
            <w:r>
              <w:rPr>
                <w:rFonts w:ascii="Arial" w:cs="Arial" w:eastAsia="Arial" w:hAnsi="Arial"/>
                <w:sz w:val="18"/>
                <w:szCs w:val="18"/>
                <w:color w:val="0000FF"/>
              </w:rPr>
              <w:t>Item 1 Business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1B Unresolved Staff Comments</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2 Properties</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3 Legal Proceedings</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4 Mine Safety Disclosures</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8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20" w:type="dxa"/>
            <w:vAlign w:val="bottom"/>
            <w:gridSpan w:val="6"/>
          </w:tcPr>
          <w:p>
            <w:pPr>
              <w:jc w:val="center"/>
              <w:ind w:right="4460"/>
              <w:spacing w:after="0"/>
              <w:rPr>
                <w:sz w:val="20"/>
                <w:szCs w:val="20"/>
                <w:color w:val="auto"/>
              </w:rPr>
            </w:pPr>
            <w:r>
              <w:rPr>
                <w:rFonts w:ascii="Arial" w:cs="Arial" w:eastAsia="Arial" w:hAnsi="Arial"/>
                <w:sz w:val="18"/>
                <w:szCs w:val="18"/>
                <w:color w:val="auto"/>
                <w:w w:val="95"/>
              </w:rPr>
              <w:t>PART II</w:t>
            </w:r>
          </w:p>
        </w:tc>
        <w:tc>
          <w:tcPr>
            <w:tcW w:w="580" w:type="dxa"/>
            <w:vAlign w:val="bottom"/>
          </w:tcPr>
          <w:p>
            <w:pPr>
              <w:spacing w:after="0"/>
              <w:rPr>
                <w:sz w:val="22"/>
                <w:szCs w:val="22"/>
                <w:color w:val="auto"/>
              </w:rPr>
            </w:pPr>
          </w:p>
        </w:tc>
      </w:tr>
      <w:tr>
        <w:trPr>
          <w:trHeight w:val="203"/>
        </w:trPr>
        <w:tc>
          <w:tcPr>
            <w:tcW w:w="80" w:type="dxa"/>
            <w:vAlign w:val="bottom"/>
          </w:tcPr>
          <w:p>
            <w:pPr>
              <w:spacing w:after="0"/>
              <w:rPr>
                <w:sz w:val="17"/>
                <w:szCs w:val="17"/>
                <w:color w:val="auto"/>
              </w:rPr>
            </w:pPr>
          </w:p>
        </w:tc>
        <w:tc>
          <w:tcPr>
            <w:tcW w:w="10580" w:type="dxa"/>
            <w:vAlign w:val="bottom"/>
            <w:gridSpan w:val="22"/>
          </w:tcPr>
          <w:p>
            <w:pPr>
              <w:spacing w:after="0" w:line="202" w:lineRule="exact"/>
              <w:rPr>
                <w:sz w:val="20"/>
                <w:szCs w:val="20"/>
                <w:color w:val="auto"/>
              </w:rPr>
            </w:pPr>
            <w:r>
              <w:rPr>
                <w:rFonts w:ascii="Arial" w:cs="Arial" w:eastAsia="Arial" w:hAnsi="Arial"/>
                <w:sz w:val="18"/>
                <w:szCs w:val="18"/>
                <w:color w:val="0000FF"/>
              </w:rPr>
              <w:t>Item 5 Market for Registrant’s Common Equity, Related Shareholder Matters and Issuer Purchases of Equity Securities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6 [Reserved]</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9A Controls and Procedures</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9B Other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20" w:type="dxa"/>
            <w:vAlign w:val="bottom"/>
            <w:gridSpan w:val="6"/>
          </w:tcPr>
          <w:p>
            <w:pPr>
              <w:jc w:val="center"/>
              <w:ind w:right="4440"/>
              <w:spacing w:after="0"/>
              <w:rPr>
                <w:sz w:val="20"/>
                <w:szCs w:val="20"/>
                <w:color w:val="auto"/>
              </w:rPr>
            </w:pPr>
            <w:r>
              <w:rPr>
                <w:rFonts w:ascii="Arial" w:cs="Arial" w:eastAsia="Arial" w:hAnsi="Arial"/>
                <w:sz w:val="18"/>
                <w:szCs w:val="18"/>
                <w:color w:val="auto"/>
                <w:w w:val="96"/>
              </w:rPr>
              <w:t>PART III</w:t>
            </w:r>
          </w:p>
        </w:tc>
        <w:tc>
          <w:tcPr>
            <w:tcW w:w="580" w:type="dxa"/>
            <w:vAlign w:val="bottom"/>
          </w:tcPr>
          <w:p>
            <w:pPr>
              <w:spacing w:after="0"/>
              <w:rPr>
                <w:sz w:val="22"/>
                <w:szCs w:val="22"/>
                <w:color w:val="auto"/>
              </w:rPr>
            </w:pPr>
          </w:p>
        </w:tc>
      </w:tr>
      <w:tr>
        <w:trPr>
          <w:trHeight w:val="203"/>
        </w:trPr>
        <w:tc>
          <w:tcPr>
            <w:tcW w:w="80" w:type="dxa"/>
            <w:vAlign w:val="bottom"/>
          </w:tcPr>
          <w:p>
            <w:pPr>
              <w:spacing w:after="0"/>
              <w:rPr>
                <w:sz w:val="17"/>
                <w:szCs w:val="17"/>
                <w:color w:val="auto"/>
              </w:rPr>
            </w:pPr>
          </w:p>
        </w:tc>
        <w:tc>
          <w:tcPr>
            <w:tcW w:w="10580" w:type="dxa"/>
            <w:vAlign w:val="bottom"/>
            <w:gridSpan w:val="22"/>
          </w:tcPr>
          <w:p>
            <w:pPr>
              <w:spacing w:after="0" w:line="202" w:lineRule="exact"/>
              <w:rPr>
                <w:sz w:val="20"/>
                <w:szCs w:val="20"/>
                <w:color w:val="auto"/>
              </w:rPr>
            </w:pPr>
            <w:r>
              <w:rPr>
                <w:rFonts w:ascii="Arial" w:cs="Arial" w:eastAsia="Arial" w:hAnsi="Arial"/>
                <w:sz w:val="18"/>
                <w:szCs w:val="18"/>
                <w:color w:val="0000FF"/>
              </w:rPr>
              <w:t>Item 10 Directors, Executive Officers and Corporate Governance</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11 Executive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Shareholder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14 Principal Accountant Fees and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8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20" w:type="dxa"/>
            <w:vAlign w:val="bottom"/>
            <w:gridSpan w:val="6"/>
          </w:tcPr>
          <w:p>
            <w:pPr>
              <w:jc w:val="center"/>
              <w:ind w:right="4440"/>
              <w:spacing w:after="0"/>
              <w:rPr>
                <w:sz w:val="20"/>
                <w:szCs w:val="20"/>
                <w:color w:val="auto"/>
              </w:rPr>
            </w:pPr>
            <w:r>
              <w:rPr>
                <w:rFonts w:ascii="Arial" w:cs="Arial" w:eastAsia="Arial" w:hAnsi="Arial"/>
                <w:sz w:val="18"/>
                <w:szCs w:val="18"/>
                <w:color w:val="auto"/>
                <w:w w:val="94"/>
              </w:rPr>
              <w:t>PART IV</w:t>
            </w:r>
          </w:p>
        </w:tc>
        <w:tc>
          <w:tcPr>
            <w:tcW w:w="580" w:type="dxa"/>
            <w:vAlign w:val="bottom"/>
          </w:tcPr>
          <w:p>
            <w:pPr>
              <w:spacing w:after="0"/>
              <w:rPr>
                <w:sz w:val="22"/>
                <w:szCs w:val="22"/>
                <w:color w:val="auto"/>
              </w:rPr>
            </w:pPr>
          </w:p>
        </w:tc>
      </w:tr>
      <w:tr>
        <w:trPr>
          <w:trHeight w:val="203"/>
        </w:trPr>
        <w:tc>
          <w:tcPr>
            <w:tcW w:w="80" w:type="dxa"/>
            <w:vAlign w:val="bottom"/>
          </w:tcPr>
          <w:p>
            <w:pPr>
              <w:spacing w:after="0"/>
              <w:rPr>
                <w:sz w:val="17"/>
                <w:szCs w:val="17"/>
                <w:color w:val="auto"/>
              </w:rPr>
            </w:pPr>
          </w:p>
        </w:tc>
        <w:tc>
          <w:tcPr>
            <w:tcW w:w="10580" w:type="dxa"/>
            <w:vAlign w:val="bottom"/>
            <w:gridSpan w:val="22"/>
          </w:tcPr>
          <w:p>
            <w:pPr>
              <w:spacing w:after="0" w:line="202" w:lineRule="exact"/>
              <w:rPr>
                <w:sz w:val="20"/>
                <w:szCs w:val="20"/>
                <w:color w:val="auto"/>
              </w:rPr>
            </w:pPr>
            <w:r>
              <w:rPr>
                <w:rFonts w:ascii="Arial" w:cs="Arial" w:eastAsia="Arial" w:hAnsi="Arial"/>
                <w:sz w:val="18"/>
                <w:szCs w:val="18"/>
                <w:color w:val="0000FF"/>
              </w:rPr>
              <w:t>Item 15 Exhibits and Financial Statement Schedules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Item 16 Form 10-K Summary</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844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58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797"/>
        </w:trPr>
        <w:tc>
          <w:tcPr>
            <w:tcW w:w="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6"/>
          <w:szCs w:val="16"/>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63"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regain and sustain our profitability and positive cash flows;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and realize the anticipated benefits of our recent acquisitions of Voltrek and Stay-Lite;</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key customers, and the consequences of the loss of one or more key customers or suppliers, including key contacts at such customers;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deterioration of market conditions, including our dependence on customers' capital budgets for sales of products and services, and adverse impacts on costs and the demand for our products;</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general economic, business and geopolitical conditions, including the impacts of natural disasters, pandemics and outbreaks of contagious diseases and other adverse public health developments, such as the COVID-19 pandemic;</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manage and maintain our refocused business strategy to successfully bring to market new and innovative product and service offerings;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hire and retain talented individuals in all disciplines of our company;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(including as a result of tariffs), shortages or interruptions of component supplies and raw materials used to manufacture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 to pursue our evolving strategy and sustain our growth initiatives;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of potential loss related to single or focused exposure within our current customer base and product offerings;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differentiate our products in a highly competitive and converging market, expand our customer base and gain market share;</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mitigate downward pressure on the average selling prices of our products as a result of competitive pressures in the light emitting diode ("LED") market;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and avoid inventory obsolescence in a rapidly evolving LED market;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reliance on third parties for the manufacture and development of products, product components, as well as the provision of certain services;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participate in new product and technology offerings or applications in a cost effective and timely manner;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safe and secure information technology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our patent portfolio and license technology from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covenants in our credit agreement;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electric vehicle (“EV”) market and deliveries of passenger and fleet vehicles may not grow as expected;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incentives from governments or utilities may not materialize or may be reduced, which could reduce demand for EVs, or the portion of regulatory credits that customers claim may increase, which would reduce our revenue from such incentives;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industry and government regulations, laws and policies;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warranty claims in excess of our reserve estimates.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commercial and industrial electric vehicle "EV" charging infrastructure solutions and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w:t>
      </w:r>
    </w:p>
    <w:p>
      <w:pPr>
        <w:spacing w:after="0" w:line="192"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principal lighting customers include large national account end-users, electrical distributors, electrical contractors and energy service companies (“ESCOS”). Currently, a significant amount of our lighting products are manufactured at our leased production facility located in Manitowoc, Wisconsin, although as the LED and related IoT market continues to evolve, we are increasingly sourcing products and components from third parties in order to diversify our product offerings.</w:t>
      </w:r>
    </w:p>
    <w:p>
      <w:pPr>
        <w:spacing w:after="0" w:line="187"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 us to support a long-term business relationship with our customers. We completed the acquisition of Stay-Lite Lighting on January 1, 2022, which is intended to further expand our maintenance services capabilities. On October 5, 2022, we acquired Voltrek, which is intended to leverage our project management and maintenance expertise into the rapidly growing EV sector.</w:t>
      </w:r>
    </w:p>
    <w:p>
      <w:pPr>
        <w:spacing w:after="0" w:line="19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84"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6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electrical contractors and ESCOs to sell to their own customer bases.</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fiscal year ends on March 31. We refer to our current fiscal year which ended on March 31, 2023 as "fiscal 2023". We refer to our most recently completed fiscal year, which ended on March 31, 2022, as “fiscal 2022”, and our prior fiscal year which ended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March 31, 2021 as "fiscal 2021". Our fiscal first quarter of each fiscal year ends on June 30, our fiscal second quarter ends on September 30, our fiscal third quarter ends on December 31, and our fiscal fourth quarter ends on March 31.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jc w:val="both"/>
        <w:ind w:firstLine="494"/>
        <w:spacing w:after="0" w:line="279"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Historically, we have had three reportable segments: Orion Services Group Division ("OSG"), Orion Distribution Services Division ("ODS"), and Orion U.S. Markets Division ("USM"). With the acquisition of Voltrek on October 5, 2022, we added a fourth reporting segment, Orion Electric Vehicle Charging Division (“EV Division”).</w:t>
      </w:r>
    </w:p>
    <w:p>
      <w:pPr>
        <w:spacing w:after="0" w:line="17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For financial results by reportable segment, please refer to Note 18 – Segment Data in our consolidated financial statements included in Item 8. of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2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Our OSG segment (a) develops and sells lighting products and provides construction and engineering services for our commercial lighting and energy management systems and (b) provides retailers, distributors and other businesses with maintenance, repair and replacement services for the lighting and related electrical components deployed in their facilities. OSG provides engineering, design, lighting products and in many cases turnkey solutions for large national accounts, governments, municipalities, schools and other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Electric Vehicle Charging Division</w:t>
      </w:r>
    </w:p>
    <w:p>
      <w:pPr>
        <w:spacing w:after="0" w:line="121" w:lineRule="exact"/>
        <w:rPr>
          <w:sz w:val="20"/>
          <w:szCs w:val="20"/>
          <w:color w:val="auto"/>
        </w:rPr>
      </w:pPr>
    </w:p>
    <w:p>
      <w:pPr>
        <w:ind w:right="600" w:firstLine="494"/>
        <w:spacing w:after="0" w:line="277" w:lineRule="auto"/>
        <w:rPr>
          <w:sz w:val="20"/>
          <w:szCs w:val="20"/>
          <w:color w:val="auto"/>
        </w:rPr>
      </w:pPr>
      <w:r>
        <w:rPr>
          <w:rFonts w:ascii="Arial" w:cs="Arial" w:eastAsia="Arial" w:hAnsi="Arial"/>
          <w:sz w:val="18"/>
          <w:szCs w:val="18"/>
          <w:color w:val="auto"/>
        </w:rPr>
        <w:t>Our EV Division offers leading electric vehicle charging expertise and provides EV turnkey installation solutions with ongoing support to all commercial verticals.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We provide enterprise-grade LED lighting and energy management project solutions. We are primarily focused on providing commercial and industrial facilities lighting retrofit solutions in North America using solid-state LED technology. We believe the market for lighting products has shifted to LED lighting systems and continues to grow. We believe that LED lighting technology allows for better optical performance, significantly reduced energy consumption. Due to their size and flexibility in application, we also believe that LED lighting systems can address opportunities for retrofit applications that cannot be satisfied by other technologies.</w:t>
      </w:r>
    </w:p>
    <w:p>
      <w:pPr>
        <w:spacing w:after="0" w:line="188"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Our lighting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maintaining their quantity of light after the reduced wattage and improving overall lighting quality when replacing traditional fixtures. Our customers with legacy lighting systems typically realize a one to four-year payback period, and most often 18 – 24 months, from electricity cost savings generated by our lighting systems without considering utility incentives or government subsidies. Energy-efficient lighting systems are cost-effective and environmentally responsible solutions allowing end users to reduce operating expenses and their carbon footprint.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both"/>
        <w:ind w:firstLine="499"/>
        <w:spacing w:after="0" w:line="277" w:lineRule="auto"/>
        <w:rPr>
          <w:sz w:val="20"/>
          <w:szCs w:val="20"/>
          <w:color w:val="auto"/>
        </w:rPr>
      </w:pPr>
      <w:r>
        <w:rPr>
          <w:rFonts w:ascii="Arial" w:cs="Arial" w:eastAsia="Arial" w:hAnsi="Arial"/>
          <w:sz w:val="18"/>
          <w:szCs w:val="18"/>
          <w:color w:val="auto"/>
        </w:rPr>
        <w:t>We serve government and private sector end-customers in the following primary markets: commercial office and retail, exterior area lighting and industrial applications.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Commercial office and retail. </w:t>
      </w:r>
      <w:r>
        <w:rPr>
          <w:rFonts w:ascii="Arial" w:cs="Arial" w:eastAsia="Arial" w:hAnsi="Arial"/>
          <w:sz w:val="18"/>
          <w:szCs w:val="18"/>
          <w:color w:val="auto"/>
        </w:rPr>
        <w:t>Our commercial office and retail market includes commercial office buildings, retail store fronts, government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hospitals and other buildings with traditional 10 to 12 foot ceiling heights.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Industrial applications. </w:t>
      </w:r>
      <w:r>
        <w:rPr>
          <w:rFonts w:ascii="Arial" w:cs="Arial" w:eastAsia="Arial" w:hAnsi="Arial"/>
          <w:sz w:val="18"/>
          <w:szCs w:val="18"/>
          <w:color w:val="auto"/>
        </w:rPr>
        <w:t>Our market for industrial facilities includes manufacturing facilities, distribution and warehouse facilities,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buildings and agricultural buildings. These facilities typically contain "high-bay" lighting fixtures for ceiling heights of 20-60 feet.</w:t>
      </w:r>
    </w:p>
    <w:p>
      <w:pPr>
        <w:spacing w:after="0" w:line="170"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Commercial and industrial facilities in the United States employ a variety of lighting technologies, including HID, traditional fluorescents, LED and incandescent lighting fixtures. We estimate that approximately 25-30% of this market still utilizes inefficient high intensity discharge ("HID") lighting technologies. Our lighting systems typically replace less efficient HID, HIF fixtures, and earlier generation of LED fixtures.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Exterior Area lighting. </w:t>
      </w:r>
      <w:r>
        <w:rPr>
          <w:rFonts w:ascii="Arial" w:cs="Arial" w:eastAsia="Arial" w:hAnsi="Arial"/>
          <w:sz w:val="17"/>
          <w:szCs w:val="17"/>
          <w:color w:val="auto"/>
        </w:rPr>
        <w:t>Our market for area lighting includes parking garages, surface lots, automobile dealerships and gas service stations.</w:t>
      </w:r>
    </w:p>
    <w:p>
      <w:pPr>
        <w:spacing w:after="0" w:line="23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i w:val="1"/>
          <w:iCs w:val="1"/>
          <w:color w:val="auto"/>
        </w:rPr>
        <w:t xml:space="preserve">EV Charging Infrastructure: </w:t>
      </w:r>
      <w:r>
        <w:rPr>
          <w:rFonts w:ascii="Arial" w:cs="Arial" w:eastAsia="Arial" w:hAnsi="Arial"/>
          <w:sz w:val="18"/>
          <w:szCs w:val="18"/>
          <w:color w:val="auto"/>
        </w:rPr>
        <w:t>Our market for designing/engineering and installing EV charging systems (we do not make equipment)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industrial customers including government. We focus largely on level 2 EV charging solutions for employee and guest charging of passenger vehicles and level 3 DC fast charge systems for fleet applications and high speed passenger vehicle charging.</w:t>
      </w:r>
    </w:p>
    <w:p>
      <w:pPr>
        <w:spacing w:after="0" w:line="184" w:lineRule="exact"/>
        <w:rPr>
          <w:sz w:val="20"/>
          <w:szCs w:val="20"/>
          <w:color w:val="auto"/>
        </w:rPr>
      </w:pPr>
    </w:p>
    <w:p>
      <w:pPr>
        <w:ind w:right="60" w:firstLine="494"/>
        <w:spacing w:after="0" w:line="277" w:lineRule="auto"/>
        <w:rPr>
          <w:sz w:val="20"/>
          <w:szCs w:val="20"/>
          <w:color w:val="auto"/>
        </w:rPr>
      </w:pPr>
      <w:r>
        <w:rPr>
          <w:rFonts w:ascii="Arial" w:cs="Arial" w:eastAsia="Arial" w:hAnsi="Arial"/>
          <w:sz w:val="18"/>
          <w:szCs w:val="18"/>
          <w:i w:val="1"/>
          <w:iCs w:val="1"/>
          <w:color w:val="auto"/>
        </w:rPr>
        <w:t xml:space="preserve">Maintenance Business: </w:t>
      </w:r>
      <w:r>
        <w:rPr>
          <w:rFonts w:ascii="Arial" w:cs="Arial" w:eastAsia="Arial" w:hAnsi="Arial"/>
          <w:sz w:val="18"/>
          <w:szCs w:val="18"/>
          <w:color w:val="auto"/>
        </w:rPr>
        <w:t>Our maintenance business services customers generally require third party lighting maintenance services. along with modest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maintenance service.</w:t>
      </w:r>
    </w:p>
    <w:p>
      <w:pPr>
        <w:spacing w:after="0" w:line="170"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utilities design and fund programs that promote or deliver energy efficiency through legislation, regulation or voluntary action. Our product sales are not solely dependent upon these incentive programs, but we do believe that these incentive programs provide an important benefit as our customers evaluate their out-of-pocket cash investments.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 xml:space="preserve">Value Proposition. </w:t>
      </w:r>
      <w:r>
        <w:rPr>
          <w:rFonts w:ascii="Arial" w:cs="Arial" w:eastAsia="Arial" w:hAnsi="Arial"/>
          <w:sz w:val="18"/>
          <w:szCs w:val="18"/>
          <w:color w:val="auto"/>
        </w:rPr>
        <w:t>We estimate our LED lighting systems generally reduce lighting-related electricity usage and costs by approximately 50% or</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compared to legacy fixtures, while retaining the quantity of light, improving overall lighting quality and helping customers reduce their carbon footprint.</w:t>
      </w:r>
    </w:p>
    <w:p>
      <w:pPr>
        <w:spacing w:after="0" w:line="184"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i w:val="1"/>
          <w:iCs w:val="1"/>
          <w:color w:val="auto"/>
        </w:rPr>
        <w:t xml:space="preserve">Multi-Facility Roll-Out Capability. </w:t>
      </w:r>
      <w:r>
        <w:rPr>
          <w:rFonts w:ascii="Arial" w:cs="Arial" w:eastAsia="Arial" w:hAnsi="Arial"/>
          <w:sz w:val="16"/>
          <w:szCs w:val="16"/>
          <w:color w:val="auto"/>
        </w:rPr>
        <w:t>We offer our customers a single source, turnkey solution for project implementation in which we manage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4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Rapid Payback Period Retrofit Lighting. </w:t>
      </w:r>
      <w:r>
        <w:rPr>
          <w:rFonts w:ascii="Arial" w:cs="Arial" w:eastAsia="Arial" w:hAnsi="Arial"/>
          <w:sz w:val="18"/>
          <w:szCs w:val="18"/>
          <w:color w:val="auto"/>
        </w:rPr>
        <w:t>In most lighting retrofit projects where we replace HID and HIF fixtures, our customers typically realize a</w:t>
      </w:r>
      <w:r>
        <w:rPr>
          <w:rFonts w:ascii="Arial" w:cs="Arial" w:eastAsia="Arial" w:hAnsi="Arial"/>
          <w:sz w:val="18"/>
          <w:szCs w:val="18"/>
          <w:i w:val="1"/>
          <w:iCs w:val="1"/>
          <w:color w:val="auto"/>
        </w:rPr>
        <w:t xml:space="preserve"> </w:t>
      </w:r>
      <w:r>
        <w:rPr>
          <w:rFonts w:ascii="Arial" w:cs="Arial" w:eastAsia="Arial" w:hAnsi="Arial"/>
          <w:sz w:val="18"/>
          <w:szCs w:val="18"/>
          <w:color w:val="auto"/>
        </w:rPr>
        <w:t>one to four year, but most often 18 – 24 months, payback period on our lighting systems. These returns are achieved without considering utility incentives or government subsidies (although subsidies and incentives are continually being made available to our customers in connection with the installation of our systems that further shorten payback periods).</w:t>
      </w:r>
    </w:p>
    <w:p>
      <w:pPr>
        <w:spacing w:after="0" w:line="187"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i w:val="1"/>
          <w:iCs w:val="1"/>
          <w:color w:val="auto"/>
        </w:rPr>
        <w:t xml:space="preserve">Easy Installation, Implementation and Maintenance. </w:t>
      </w:r>
      <w:r>
        <w:rPr>
          <w:rFonts w:ascii="Arial" w:cs="Arial" w:eastAsia="Arial" w:hAnsi="Arial"/>
          <w:sz w:val="16"/>
          <w:szCs w:val="16"/>
          <w:color w:val="auto"/>
        </w:rPr>
        <w:t>Most of our fixtures are designed with a lightweight construction and modular plug-and-play</w:t>
      </w:r>
      <w:r>
        <w:rPr>
          <w:rFonts w:ascii="Arial" w:cs="Arial" w:eastAsia="Arial" w:hAnsi="Arial"/>
          <w:sz w:val="16"/>
          <w:szCs w:val="16"/>
          <w:i w:val="1"/>
          <w:iCs w:val="1"/>
          <w:color w:val="auto"/>
        </w:rPr>
        <w:t xml:space="preserve"> </w:t>
      </w:r>
      <w:r>
        <w:rPr>
          <w:rFonts w:ascii="Arial" w:cs="Arial" w:eastAsia="Arial" w:hAnsi="Arial"/>
          <w:sz w:val="16"/>
          <w:szCs w:val="16"/>
          <w:color w:val="auto"/>
        </w:rPr>
        <w:t>architecture that allows for fast and easy installation, facilitates maintenance, and integration of other components of our energy management system. Our</w:t>
      </w:r>
    </w:p>
    <w:p>
      <w:pPr>
        <w:jc w:val="both"/>
        <w:spacing w:after="0" w:line="221" w:lineRule="auto"/>
        <w:rPr>
          <w:sz w:val="20"/>
          <w:szCs w:val="20"/>
          <w:color w:val="auto"/>
        </w:rPr>
      </w:pPr>
      <w:r>
        <w:rPr>
          <w:rFonts w:ascii="Arial" w:cs="Arial" w:eastAsia="Arial" w:hAnsi="Arial"/>
          <w:sz w:val="18"/>
          <w:szCs w:val="18"/>
          <w:color w:val="auto"/>
        </w:rPr>
        <w:t>office LED Troffer Door Retrofit (</w:t>
      </w:r>
      <w:r>
        <w:rPr>
          <w:rFonts w:ascii="Arial" w:cs="Arial" w:eastAsia="Arial" w:hAnsi="Arial"/>
          <w:sz w:val="18"/>
          <w:szCs w:val="18"/>
          <w:i w:val="1"/>
          <w:iCs w:val="1"/>
          <w:color w:val="auto"/>
        </w:rPr>
        <w:t>"</w:t>
      </w:r>
      <w:r>
        <w:rPr>
          <w:rFonts w:ascii="Arial" w:cs="Arial" w:eastAsia="Arial" w:hAnsi="Arial"/>
          <w:sz w:val="18"/>
          <w:szCs w:val="18"/>
          <w:color w:val="auto"/>
        </w:rPr>
        <w:t>LDR</w:t>
      </w:r>
      <w:r>
        <w:rPr>
          <w:rFonts w:ascii="Arial" w:cs="Arial" w:eastAsia="Arial" w:hAnsi="Arial"/>
          <w:sz w:val="24"/>
          <w:szCs w:val="24"/>
          <w:color w:val="auto"/>
          <w:vertAlign w:val="superscript"/>
        </w:rPr>
        <w:t>TM</w:t>
      </w:r>
      <w:r>
        <w:rPr>
          <w:rFonts w:ascii="Arial" w:cs="Arial" w:eastAsia="Arial" w:hAnsi="Arial"/>
          <w:sz w:val="18"/>
          <w:szCs w:val="18"/>
          <w:color w:val="auto"/>
        </w:rPr>
        <w:t>") products are designed to allow for fast and easy installation without disrupting the ceiling space or the office workspace. We believe our system’s design reduces installation time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expense compared to other lighting solutions, which further improves our customers’ return on investment. We also believe that our use of standard components reduces our customers’ ongoing maintenance costs.</w:t>
      </w:r>
    </w:p>
    <w:p>
      <w:pPr>
        <w:spacing w:after="0" w:line="170" w:lineRule="exact"/>
        <w:rPr>
          <w:sz w:val="20"/>
          <w:szCs w:val="20"/>
          <w:color w:val="auto"/>
        </w:rPr>
      </w:pPr>
    </w:p>
    <w:p>
      <w:pPr>
        <w:jc w:val="both"/>
        <w:ind w:firstLine="499"/>
        <w:spacing w:after="0" w:line="289" w:lineRule="auto"/>
        <w:rPr>
          <w:sz w:val="20"/>
          <w:szCs w:val="20"/>
          <w:color w:val="auto"/>
        </w:rPr>
      </w:pPr>
      <w:r>
        <w:rPr>
          <w:rFonts w:ascii="Arial" w:cs="Arial" w:eastAsia="Arial" w:hAnsi="Arial"/>
          <w:sz w:val="16"/>
          <w:szCs w:val="16"/>
          <w:i w:val="1"/>
          <w:iCs w:val="1"/>
          <w:color w:val="auto"/>
        </w:rPr>
        <w:t xml:space="preserve">Expanded Product Offerings. </w:t>
      </w:r>
      <w:r>
        <w:rPr>
          <w:rFonts w:ascii="Arial" w:cs="Arial" w:eastAsia="Arial" w:hAnsi="Arial"/>
          <w:sz w:val="16"/>
          <w:szCs w:val="16"/>
          <w:color w:val="auto"/>
        </w:rPr>
        <w:t>We are committed to continuing to develop LED product offerings in all of the markets we serve. Our third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ISON® class of LED interior fixture delivers a market leading up to 214 lumens per watt. This advancement means our customers can get more light with less energy, and sometimes fewer fixtures, than with any other product on the market. We have also recently launched a variety of new products, features and functionality targeting healthcare, food service, high and low temperature environments and other market segments. Our lighting products also may be configured to include IoT enabled control systems. In fiscal 2022, we introduced a product range under the brand PureMotion. These products circulate air for enhanced airflow, temperature comfort and energy savings. In addition, the PureMotion UVC products sanitize air in a safe UVC chamber that eliminates various airborne viruses, bacteria, mold and fungi. See "Products and Services" below. In addition, we offer lighting maintenance services on both a preventative and reactive basis to the commercial and industrial verticals. In October, 2022, we acquired Voltrek LLC, which offers leading EV charging expertise and provides turnkey EV installation solutions with ongoing support to all commercial verticals.</w:t>
      </w:r>
    </w:p>
    <w:p>
      <w:pPr>
        <w:spacing w:after="0" w:line="166"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we believe our energy management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reduce indirect CO2 emissions that are a negative by-product of energy generation which help enable our customers to achieve their sustainability, energy savings and carbon footprint reduction goals.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i w:val="1"/>
          <w:iCs w:val="1"/>
          <w:color w:val="auto"/>
        </w:rPr>
        <w:t xml:space="preserve">Compelling Value Proposition. </w:t>
      </w:r>
      <w:r>
        <w:rPr>
          <w:rFonts w:ascii="Arial" w:cs="Arial" w:eastAsia="Arial" w:hAnsi="Arial"/>
          <w:sz w:val="18"/>
          <w:szCs w:val="18"/>
          <w:color w:val="auto"/>
        </w:rPr>
        <w:t>By permanently reducing lighting-related electricity usage, our systems help enable our customers to achieve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energy savings and carbon footprint reduction goals without compromising quantity and quality of light in their facilities. As a result, our products offer our customers a rapid return on their investment, without relying on government subsidies or utility incentives. We also help our customers with their mobility infrastructure needs supporting the transition to passenger and fleet EVs.</w:t>
      </w:r>
    </w:p>
    <w:p>
      <w:pPr>
        <w:spacing w:after="0" w:line="187"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i w:val="1"/>
          <w:iCs w:val="1"/>
          <w:color w:val="auto"/>
        </w:rPr>
        <w:t xml:space="preserve">Comprehensive Project Management. </w:t>
      </w:r>
      <w:r>
        <w:rPr>
          <w:rFonts w:ascii="Arial" w:cs="Arial" w:eastAsia="Arial" w:hAnsi="Arial"/>
          <w:sz w:val="16"/>
          <w:szCs w:val="16"/>
          <w:color w:val="auto"/>
        </w:rPr>
        <w:t>We offer our customers a single source solution whereby we manage and are responsible for an entire retrofit</w:t>
      </w:r>
      <w:r>
        <w:rPr>
          <w:rFonts w:ascii="Arial" w:cs="Arial" w:eastAsia="Arial" w:hAnsi="Arial"/>
          <w:sz w:val="16"/>
          <w:szCs w:val="16"/>
          <w:i w:val="1"/>
          <w:iCs w:val="1"/>
          <w:color w:val="auto"/>
        </w:rPr>
        <w:t xml:space="preserve"> </w:t>
      </w:r>
      <w:r>
        <w:rPr>
          <w:rFonts w:ascii="Arial" w:cs="Arial" w:eastAsia="Arial" w:hAnsi="Arial"/>
          <w:sz w:val="16"/>
          <w:szCs w:val="16"/>
          <w:color w:val="auto"/>
        </w:rPr>
        <w:t>lighting project, from initial site surveys and energy audits through to installation and controls integration and subsequent maintenance. Our ability to offer such comprehensive turnkey project management services, coupled with best-in-class customer service, allows us to deliver energy reductions and cost savings to our customers in timely, orderly and planned multi-facility rollouts nationwide. We believe one of our competitive advantages is our ability to deliver full turnkey LED lighting project capabilities. The success of this approach has resulted in what we call a “Customer for Life” relationship with customers that encourages additional projects and maintenance services.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IoT control systems that provide even greater long-term value from their lighting system investments.</w:t>
      </w:r>
    </w:p>
    <w:p>
      <w:pPr>
        <w:spacing w:after="0" w:line="165"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i w:val="1"/>
          <w:iCs w:val="1"/>
          <w:color w:val="auto"/>
        </w:rPr>
        <w:t xml:space="preserve">Large and Growing Customer Base. </w:t>
      </w:r>
      <w:r>
        <w:rPr>
          <w:rFonts w:ascii="Arial" w:cs="Arial" w:eastAsia="Arial" w:hAnsi="Arial"/>
          <w:sz w:val="16"/>
          <w:szCs w:val="16"/>
          <w:color w:val="auto"/>
        </w:rPr>
        <w:t>We have developed a large and growing national customer base and have installed our products in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w:t>
      </w:r>
    </w:p>
    <w:p>
      <w:pPr>
        <w:spacing w:after="0" w:line="149"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7"/>
          <w:szCs w:val="17"/>
          <w:i w:val="1"/>
          <w:iCs w:val="1"/>
          <w:color w:val="auto"/>
        </w:rPr>
        <w:t xml:space="preserve">Innovative Technology. </w:t>
      </w:r>
      <w:r>
        <w:rPr>
          <w:rFonts w:ascii="Arial" w:cs="Arial" w:eastAsia="Arial" w:hAnsi="Arial"/>
          <w:sz w:val="17"/>
          <w:szCs w:val="17"/>
          <w:color w:val="auto"/>
        </w:rPr>
        <w:t>We have developed a portfolio of United States patents primarily covering various elements of our products.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innovations allow our products to produce more light output per unit of input energy compared to our competition. We also have patents pending that primarily cover various elements of our newly developed LED products and certain business methods. To complement our innovative energy management products, our integrated energy management services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“connected ceiling” or “smart ceiling”, or a framework or network that can support the installation and integration of other solutions on a digital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jc w:val="both"/>
        <w:spacing w:after="0" w:line="301" w:lineRule="auto"/>
        <w:rPr>
          <w:sz w:val="20"/>
          <w:szCs w:val="20"/>
          <w:color w:val="auto"/>
        </w:rPr>
      </w:pPr>
      <w:r>
        <w:rPr>
          <w:rFonts w:ascii="Arial" w:cs="Arial" w:eastAsia="Arial" w:hAnsi="Arial"/>
          <w:sz w:val="16"/>
          <w:szCs w:val="16"/>
          <w:color w:val="auto"/>
        </w:rPr>
        <w:t>platform. This “smart ceiling” can be integrated with other technologies to collect data and manage assets and resources more efficiently. Our “Industrial Internet of Things”, or IoT, enabled devices not only contain energy management control functions, but also have the ability to collect facility usage and traffic data as well as collect data from other facility mechanical systems, providing our customers with a path to digitization for their business operations. Our percentage of systems utilizing IoT enabled devices has grown significantly over the past few years and we expect this trend to continue.</w:t>
      </w:r>
    </w:p>
    <w:p>
      <w:pPr>
        <w:spacing w:after="0" w:line="157"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i w:val="1"/>
          <w:iCs w:val="1"/>
          <w:color w:val="auto"/>
        </w:rPr>
        <w:t xml:space="preserve">Expanded Sales and Distribution Network. </w:t>
      </w:r>
      <w:r>
        <w:rPr>
          <w:rFonts w:ascii="Arial" w:cs="Arial" w:eastAsia="Arial" w:hAnsi="Arial"/>
          <w:sz w:val="17"/>
          <w:szCs w:val="17"/>
          <w:color w:val="auto"/>
        </w:rPr>
        <w:t>In addition to selling directly to national accounts, electrical contractors and ESCOs, we sell our lighting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to electrical distributors through a North American network of independent lighting agencies. As of the end of fiscal 2023, we had 33 independent lighting agencies representing us in substantially all of North America. We intend to continue to selectively evaluate our sales network in the future, with a focus on geographic regions where we do not currently have a strong sales presence.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In fiscal 2023, we continued to successfully capitalize on our capability of being a full service, turn-key provider of LED lighting and controls systems with design, build, installation and project management services, including being awarded large additional projects for a major national account. To build on this success, we are evolving our business strategy to further leverage this unique capability, along with a strong network of ESCO partners, agents and distributors to offer more products and services to our customers. We have adopted a “Customers for Life” philosophy that broadens our view of platforms that can be offered to deliver our mission. Two new platforms that we recently added to our service offerings have been our maintenance services business, along with our EV charging station business. We intend to continue to pursue expanding our product and service offerings, organically and through potential acquisitions that could accelerate our progress.</w:t>
      </w:r>
    </w:p>
    <w:p>
      <w:pPr>
        <w:spacing w:after="0" w:line="177"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i w:val="1"/>
          <w:iCs w:val="1"/>
          <w:color w:val="auto"/>
        </w:rPr>
        <w:t xml:space="preserve">Focus on executing and marketing our turnkey LED retrofit capabilities to large national account customers. </w:t>
      </w:r>
      <w:r>
        <w:rPr>
          <w:rFonts w:ascii="Arial" w:cs="Arial" w:eastAsia="Arial" w:hAnsi="Arial"/>
          <w:sz w:val="18"/>
          <w:szCs w:val="18"/>
          <w:color w:val="auto"/>
        </w:rPr>
        <w:t>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significant single national account beginning in fiscal 2020 that continued into fiscal 2023.</w:t>
      </w:r>
    </w:p>
    <w:p>
      <w:pPr>
        <w:spacing w:after="0" w:line="188"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i w:val="1"/>
          <w:iCs w:val="1"/>
          <w:color w:val="auto"/>
        </w:rPr>
        <w:t xml:space="preserve">Continue Product Innovation. </w:t>
      </w:r>
      <w:r>
        <w:rPr>
          <w:rFonts w:ascii="Arial" w:cs="Arial" w:eastAsia="Arial" w:hAnsi="Arial"/>
          <w:sz w:val="18"/>
          <w:szCs w:val="18"/>
          <w:color w:val="auto"/>
        </w:rPr>
        <w:t>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2"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i w:val="1"/>
          <w:iCs w:val="1"/>
          <w:color w:val="auto"/>
        </w:rPr>
        <w:t xml:space="preserve">Leverage Orion’s Smart Lighting Systems to Support Internet of Things Applications. </w:t>
      </w:r>
      <w:r>
        <w:rPr>
          <w:rFonts w:ascii="Arial" w:cs="Arial" w:eastAsia="Arial" w:hAnsi="Arial"/>
          <w:sz w:val="18"/>
          <w:szCs w:val="18"/>
          <w:color w:val="auto"/>
        </w:rPr>
        <w:t>We believe we are ideally positioned to help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providing our customers with a path to digitization for their business operations.</w:t>
      </w:r>
    </w:p>
    <w:p>
      <w:pPr>
        <w:spacing w:after="0" w:line="188"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Expand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positions us well to extend our maintenance services to historical customers, as well as to new customers. Development of this recurring revenue stream is making progress and we believe there is significant market opportunity.</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 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ind w:firstLine="556"/>
        <w:spacing w:after="0" w:line="263" w:lineRule="auto"/>
        <w:rPr>
          <w:sz w:val="20"/>
          <w:szCs w:val="20"/>
          <w:color w:val="auto"/>
        </w:rPr>
      </w:pPr>
      <w:r>
        <w:rPr>
          <w:rFonts w:ascii="Arial" w:cs="Arial" w:eastAsia="Arial" w:hAnsi="Arial"/>
          <w:sz w:val="18"/>
          <w:szCs w:val="18"/>
          <w:i w:val="1"/>
          <w:iCs w:val="1"/>
          <w:color w:val="auto"/>
        </w:rPr>
        <w:t xml:space="preserve">Grow EV Charging Installation Business. </w:t>
      </w:r>
      <w:r>
        <w:rPr>
          <w:rFonts w:ascii="Arial" w:cs="Arial" w:eastAsia="Arial" w:hAnsi="Arial"/>
          <w:sz w:val="18"/>
          <w:szCs w:val="18"/>
          <w:color w:val="auto"/>
        </w:rPr>
        <w:t>In fiscal 2023, we acquired Voltrek, a turnkey EV charging installation business. We believe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growth opportunities in Voltrek’s existing east coast geographic market, as well as on a national basis. We plan to focus our growth plans on cross selling our new EV charging solutions to our historical market channels and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firstLine="494"/>
        <w:spacing w:after="0" w:line="308" w:lineRule="auto"/>
        <w:rPr>
          <w:sz w:val="20"/>
          <w:szCs w:val="20"/>
          <w:color w:val="auto"/>
        </w:rPr>
      </w:pPr>
      <w:r>
        <w:rPr>
          <w:rFonts w:ascii="Arial" w:cs="Arial" w:eastAsia="Arial" w:hAnsi="Arial"/>
          <w:sz w:val="17"/>
          <w:szCs w:val="17"/>
          <w:color w:val="auto"/>
        </w:rPr>
        <w:t>Our primary focus has been the sale of our LED lighting fixtures with integrated controls technology and related installation services. We will continue to focus on these products and services, as well as on expanding our maintenance service offerings and our EV charging station solutions.</w:t>
      </w:r>
    </w:p>
    <w:p>
      <w:pPr>
        <w:spacing w:after="0" w:line="146"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Currently, a significant amount of our lighting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Products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description of our primary products:</w:t>
      </w:r>
    </w:p>
    <w:p>
      <w:pPr>
        <w:spacing w:after="0" w:line="230"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6"/>
          <w:szCs w:val="16"/>
          <w:i w:val="1"/>
          <w:iCs w:val="1"/>
          <w:color w:val="auto"/>
        </w:rPr>
        <w:t xml:space="preserve">Interior LED High Bay Fixture: </w:t>
      </w:r>
      <w:r>
        <w:rPr>
          <w:rFonts w:ascii="Arial" w:cs="Arial" w:eastAsia="Arial" w:hAnsi="Arial"/>
          <w:sz w:val="16"/>
          <w:szCs w:val="16"/>
          <w:color w:val="auto"/>
        </w:rPr>
        <w:t>Our LED interior high bay lighting products consist of our Harris high bay, Apollo</w:t>
      </w:r>
      <w:r>
        <w:rPr>
          <w:rFonts w:ascii="Arial" w:cs="Arial" w:eastAsia="Arial" w:hAnsi="Arial"/>
          <w:sz w:val="21"/>
          <w:szCs w:val="21"/>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high bay and ISON® high bay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Our 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8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Smart Lighting Controls. </w:t>
      </w:r>
      <w:r>
        <w:rPr>
          <w:rFonts w:ascii="Arial" w:cs="Arial" w:eastAsia="Arial" w:hAnsi="Arial"/>
          <w:sz w:val="18"/>
          <w:szCs w:val="18"/>
          <w:color w:val="auto"/>
        </w:rPr>
        <w:t>We offer a broad array of smart building control systems. These control systems provide both lighting control options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occupancy, daylight, or schedule control) and data intelligence capabilities for building managers to log, monitor, and analyze use of space, energy savings, and provide physical security of the space.</w:t>
      </w:r>
    </w:p>
    <w:p>
      <w:pPr>
        <w:spacing w:after="0" w:line="18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6"/>
          <w:szCs w:val="16"/>
          <w:i w:val="1"/>
          <w:iCs w:val="1"/>
          <w:color w:val="auto"/>
        </w:rPr>
        <w:t>The LED Troffer Door Retrofit (LDR</w:t>
      </w:r>
      <w:r>
        <w:rPr>
          <w:rFonts w:ascii="Arial" w:cs="Arial" w:eastAsia="Arial" w:hAnsi="Arial"/>
          <w:sz w:val="21"/>
          <w:szCs w:val="21"/>
          <w:i w:val="1"/>
          <w:iCs w:val="1"/>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The LDR</w:t>
      </w:r>
      <w:r>
        <w:rPr>
          <w:rFonts w:ascii="Arial" w:cs="Arial" w:eastAsia="Arial" w:hAnsi="Arial"/>
          <w:sz w:val="21"/>
          <w:szCs w:val="21"/>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is designed to replace existing 4 foot by 2 foot and 2 foot by 2 foot fluorescent troffers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frequently found in office or retail grid ceilings. Our LDR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product is unique in that the LED optics and electronics are housed within the doorframe that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allows for installation of the product in approximately one to two minutes. Our LDR</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product also provides reduced maintenance expenses based upon improved LED chips.</w:t>
      </w:r>
    </w:p>
    <w:p>
      <w:pPr>
        <w:spacing w:after="0" w:line="202"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In addition, in October 2022, we acquired Voltrek LLC, which offers leading EV charging expertise and provides turnkey EV installation solutions with ongoing support to all commercial verticals. We believe there are significant growth opportunities in Voltrek’s existing east coast geographic market, as well as on a national basis. We plan to focus our growth plans on cross selling our new EV charging solutions to our historical market channels and customers.</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In fiscal 2022, we introduced a range of air movement products capable of virus elimination. We also offer our customers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other LED fixtures to address their lighting and energy management needs, including fixtures designed for agribusinesses, parking lots, roadways, retail, mezzanine, outdoor applications and private label resale.</w:t>
      </w:r>
    </w:p>
    <w:p>
      <w:pPr>
        <w:spacing w:after="0" w:line="184"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Warranty Policy</w:t>
      </w:r>
      <w:r>
        <w:rPr>
          <w:rFonts w:ascii="Arial" w:cs="Arial" w:eastAsia="Arial" w:hAnsi="Arial"/>
          <w:sz w:val="18"/>
          <w:szCs w:val="18"/>
          <w:color w:val="auto"/>
        </w:rPr>
        <w:t>. Our warranty policy generally provides for a limited five-year warranty on our LED products, although we do offer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up to 10 years for certain LED products. Ballasts, lamps, drivers, LED chips and other electrical components are excluded from our standard warranty as they are covered by separate warranties offered by the original equipment manufacturers.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We coordinate and process customer warranty inquiries and claims, including inquiries and claims relating to ballast and lamp components, through our customer service department.</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117" w:lineRule="exact"/>
        <w:rPr>
          <w:sz w:val="20"/>
          <w:szCs w:val="20"/>
          <w:color w:val="auto"/>
        </w:rPr>
      </w:pPr>
    </w:p>
    <w:p>
      <w:pPr>
        <w:ind w:left="8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site assessment, which includes a review of the current lighting and controls including IoT enabled devices requirements and energy usage at the customer’s facility;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128" w:lineRule="exact"/>
        <w:rPr>
          <w:rFonts w:ascii="Arial" w:cs="Arial" w:eastAsia="Arial" w:hAnsi="Arial"/>
          <w:sz w:val="17"/>
          <w:szCs w:val="17"/>
          <w:color w:val="auto"/>
        </w:rPr>
      </w:pPr>
    </w:p>
    <w:p>
      <w:pPr>
        <w:ind w:left="8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62"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75"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facility design commissioning of IoT enabled control devices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recycling in connection with our retrofit installations, where we remove, dispose of and recycle our customer’s legacy lighting fixtures;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lighting and electrical system maintenance services both preventative and reactive in nature.</w:t>
      </w:r>
    </w:p>
    <w:p>
      <w:pPr>
        <w:spacing w:after="0" w:line="225"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We also provide similar turnkey services to our EV customers that include site audit, engineering, grant filing, installation, commissioning and network services. Our maintenance business provides services that includes both preventative and reactive services. 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We primarily target commercial, institutional and industrial customers who have warehousing, retail, manufacturing and office facilities. In fiscal 2023, one customer accounted for 16.2% of our total revenue. In fiscal 2022, that same customer accounted for 49.1% of our total revenue, and in fiscal 2021, this same customer accounted for 56.0% of our total revenue. In fiscal 2024, we expect that our customer concentration will continue at the approximate level experienced in fiscal 2023. As we continue to diversify our customer base by expanding our reach to national accounts, ESCOs, the agent driven distribution channel, lighting maintenance customers and the EV market, we expect to continue to derive a significant percentage of our revenue from contracts with one or a few customers. These contracts are entered into in the ordinary course of business and typically provide that we will deliver products and services on a work order or purchase order basis and any purchase order may be terminated prior to shipment. Our maintenance work orders or contracts may be for discrete projects or may have multi-year terms. These contracts generally do not guarantee that the customer will buy our products or services.</w:t>
      </w:r>
    </w:p>
    <w:p>
      <w:pPr>
        <w:spacing w:after="0" w:line="196"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amount and concentration of our revenues with one or more customer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We sell our lighting products in one of three ways: (i) directly through our relationships with our national account partners or through Voltrek; (ii) indirectly through independent sales agencies and broadline North American distributors; and (iii) through ESCOs. Our ODS segment focuses on developing and expanding customer relationships with independent manufacturer’s sales agents and broadline distributors. As of the end of fiscal 2023 we had 33 independent lighting agencies representing us in substantially all of North America expanding our reach with broadline distributors.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w:t>
      </w:r>
    </w:p>
    <w:p>
      <w:pPr>
        <w:spacing w:after="0" w:line="178"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The market for energy-efficient lighting products, EV charging solutions and maintenance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 We compete against other value-added resellers and electrical contractors in the EV charging market. We compete against a variety of service providers for lighting maintenance.</w:t>
      </w:r>
    </w:p>
    <w:p>
      <w:pPr>
        <w:spacing w:after="0" w:line="157"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There are a number of lighting fixture manufacturers that sell LED products that compete with our lighting product lines. Lighting companies such as Acuity Brands, Inc., Signify Co., Cree, Inc., LSI Industries, Inc. and GE Current, a Daintree Company, are some of our main competitors within the commercial office, retail and industrial markets. We are also facing increased competition from manufacturers in low-cost countries.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2023, we had been issued over 100 United States patents and have applied for a number of additional United States patents. The</w:t>
      </w:r>
    </w:p>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patented and patent pending technologies cover various innovative elements of our products, including our HIF and LED fixtures. Our patented LDR</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20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lighting products are material to our business, and that the loss of these patents could significantly and adversely affect our business, operating results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orders. Our backlog as of March 31, 2023 and March 31, 2022 totaled $17.2 million and $10.1 million, respectively. We generally expect our backlog to be recognized as revenue within one year. Backlog does not include any amounts for contracted maintenance services.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lease an approximately 266,000 square foot primary manufacturing and distribution facility located in Manitowoc, Wisconsin, where most of our products are manufactured. We utilize both solar and wind power to support the energy requirements for our manufacturing facility, allowing us to reduce our carbon footprint.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499"/>
        <w:spacing w:after="0" w:line="342" w:lineRule="auto"/>
        <w:rPr>
          <w:sz w:val="20"/>
          <w:szCs w:val="20"/>
          <w:color w:val="auto"/>
        </w:rPr>
      </w:pPr>
      <w:r>
        <w:rPr>
          <w:rFonts w:ascii="Arial" w:cs="Arial" w:eastAsia="Arial" w:hAnsi="Arial"/>
          <w:sz w:val="16"/>
          <w:szCs w:val="16"/>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research and development lab and test facilities in our Jacksonville, Florida and Manitowoc, Wisconsin locations.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71"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 We are not including the information contained on our website as part of, or incorporating it by reference into,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As of March 31, 2023, we had approximately 265 full-time employees. We also employ temporary employees in our manufacturing facility as demand requires. Our employees are not represented by any labor union, and we have never experienced a work stoppage or strike due to employee relations.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an employee-centric organization, maintaining a safe and respectful environment that provides opportunity for our employees.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494"/>
        <w:spacing w:after="0" w:line="259" w:lineRule="auto"/>
        <w:rPr>
          <w:sz w:val="20"/>
          <w:szCs w:val="20"/>
          <w:color w:val="auto"/>
        </w:rPr>
      </w:pPr>
      <w:r>
        <w:rPr>
          <w:rFonts w:ascii="Arial" w:cs="Arial" w:eastAsia="Arial" w:hAnsi="Arial"/>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94"/>
        <w:spacing w:after="0" w:line="279"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Risk Factor Summary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immediately following this summary. Some of these risks are summarized below:</w:t>
      </w:r>
    </w:p>
    <w:p>
      <w:pPr>
        <w:spacing w:after="0" w:line="62" w:lineRule="exact"/>
        <w:rPr>
          <w:sz w:val="20"/>
          <w:szCs w:val="20"/>
          <w:color w:val="auto"/>
        </w:rPr>
      </w:pPr>
    </w:p>
    <w:p>
      <w:pPr>
        <w:jc w:val="both"/>
        <w:ind w:left="1020" w:hanging="503"/>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have major sources of recurring revenue and we depend upon a limited number of customers in any given period to generate a substantial portion of our revenue. The reduction of revenue from our most significant customer over the past three fiscal years has had, and the potential future loss of other significant customers or a major customer would likely have, a materially adverse effect on our results of operations, financial condition and cash flows.</w:t>
      </w:r>
    </w:p>
    <w:p>
      <w:pPr>
        <w:spacing w:after="0" w:line="78"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replace the substantially reduced revenue from our prior most significant customer, regain and sustain our profitability and achieve our desired revenue and profitability goals depends on our ability to effectively and timely execute on our key strategic initiatives.</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realize the anticipated benefits of our recent acquisitions of Stay-Lite Lighting and Voltrek, and the integration of Stay-Lite Lighting and Voltrek may disrupt our business and management, which could adversely affect our business, financial condition or results of operations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use components and raw materials that may be subject to price fluctuations, shortages or interruptions of supply.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 and increased difficulty in obtaining permanent employee staffing could negatively impact our business.</w:t>
      </w:r>
    </w:p>
    <w:p>
      <w:pPr>
        <w:spacing w:after="0" w:line="27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increasingly rely on third-party manufacturers for the manufacture and development of our products and product components.</w:t>
      </w:r>
    </w:p>
    <w:p>
      <w:pPr>
        <w:spacing w:after="0" w:line="344" w:lineRule="exact"/>
        <w:rPr>
          <w:rFonts w:ascii="Arial" w:cs="Arial" w:eastAsia="Arial" w:hAnsi="Arial"/>
          <w:sz w:val="17"/>
          <w:szCs w:val="17"/>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Macroeconomic pressures in the markets in which we operate or anticipate operating in the future may adversely affect our financial results.</w:t>
      </w:r>
    </w:p>
    <w:p>
      <w:pPr>
        <w:spacing w:after="0" w:line="356"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existing liquidity and capital resources may not be sufficient to allow us to effectively pursue our evolving strategies, complete potential acquisitions or otherwise fund or sustain growth initiatives.</w:t>
      </w:r>
    </w:p>
    <w:p>
      <w:pPr>
        <w:spacing w:after="0" w:line="2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global economy have negatively impacted, and could in the future negatively impact, our customers, suppliers and business.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we evolve our business strategy to increase our focus on new product and service offerings, the nature of our business may be significantly changed, or transformed.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emphasis on indirect distribution channels to sell our products and services to supplement our direct distribution channels has had limited success to 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of our LED lighting retrofit solutions depends, in part, on our ability to claim market share away from our competitors.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tariffs and other actions may adversely affect our business.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21" w:lineRule="exact"/>
        <w:rPr>
          <w:sz w:val="20"/>
          <w:szCs w:val="20"/>
          <w:color w:val="auto"/>
        </w:rPr>
      </w:pPr>
    </w:p>
    <w:p>
      <w:pPr>
        <w:jc w:val="both"/>
        <w:ind w:firstLine="494"/>
        <w:spacing w:after="0" w:line="261" w:lineRule="auto"/>
        <w:rPr>
          <w:sz w:val="20"/>
          <w:szCs w:val="20"/>
          <w:color w:val="auto"/>
        </w:rPr>
      </w:pPr>
      <w:r>
        <w:rPr>
          <w:rFonts w:ascii="Arial" w:cs="Arial" w:eastAsia="Arial" w:hAnsi="Arial"/>
          <w:sz w:val="18"/>
          <w:szCs w:val="18"/>
          <w:b w:val="1"/>
          <w:bCs w:val="1"/>
          <w:color w:val="auto"/>
        </w:rPr>
        <w:t>We do not have major sources of recurring revenue and we depend upon a limited number of customers in any given period to generate a substantial portion of our revenue. The reduction of revenue from our most significant customer over the past three fiscal years has had, and the potential future loss of other significant customers or a major customer would likely have, a materially adverse effect on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In fiscal 2023, one customer accounted for 16.2% of our total revenue. In fiscal 2022, that same customer accounted for 49.1% of our total revenue, and in fiscal 2021, this same customer accounted for 56.0% of our total revenue. In fiscal 2024, we expect that our customer concentration will continue at the approximate level experienced in fiscal 2023. The reduction of revenue from this customer has had a material advent effect on our results of operations, financial condition and cash flow. We continue to attempt to replace this reduced revenue by diversifying our customer base and expanding our reach to national accounts, ESCOs, the agent driven distribution channel, lighting maintenance customers and the EV market, there is no assurance we will be successful in replacing this reduced revenue.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ability to replace the substantially reduced revenue from our prior most significant customer, regain and sustain profitability and achieve our desired revenue and profitability goals depends on our ability to effectively and timely execute on our key strategic initiatives.</w:t>
      </w:r>
    </w:p>
    <w:p>
      <w:pPr>
        <w:spacing w:after="0" w:line="36"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Our ability to replace the substantially reduced revenues from our prior most significant customer, regain profitability and achieve our desired revenue and profitability goals depends on how effectively and timely we execute on our following key strategic initiatives:</w:t>
      </w:r>
    </w:p>
    <w:p>
      <w:pPr>
        <w:spacing w:after="0" w:line="62"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executing and marketing our turnkey LED retrofit capabilities to large national account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our product innovation;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leveraging our smart lighting systems to support IoT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our maintenance service offerings;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the success of our ESCO and distribution sales channels;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cross selling our EV charging solutions to our historical sales channels and customers.</w:t>
      </w:r>
    </w:p>
    <w:p>
      <w:pPr>
        <w:spacing w:after="0" w:line="117" w:lineRule="exact"/>
        <w:rPr>
          <w:sz w:val="20"/>
          <w:szCs w:val="20"/>
          <w:color w:val="auto"/>
        </w:rPr>
      </w:pPr>
    </w:p>
    <w:p>
      <w:pPr>
        <w:ind w:firstLine="494"/>
        <w:spacing w:after="0" w:line="342" w:lineRule="auto"/>
        <w:rPr>
          <w:sz w:val="20"/>
          <w:szCs w:val="20"/>
          <w:color w:val="auto"/>
        </w:rPr>
      </w:pPr>
      <w:r>
        <w:rPr>
          <w:rFonts w:ascii="Arial" w:cs="Arial" w:eastAsia="Arial" w:hAnsi="Arial"/>
          <w:sz w:val="16"/>
          <w:szCs w:val="16"/>
          <w:color w:val="auto"/>
        </w:rPr>
        <w:t>We also may identify and pursue additional strategic acquisition candidates that would help support these initiatives. There can be no assurance that we will be able to successfully implement these initiatives or, even if implemented, that they will result in the anticipated benefits to our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347" w:lineRule="auto"/>
        <w:rPr>
          <w:sz w:val="20"/>
          <w:szCs w:val="20"/>
          <w:color w:val="auto"/>
        </w:rPr>
      </w:pPr>
      <w:r>
        <w:rPr>
          <w:rFonts w:ascii="Arial" w:cs="Arial" w:eastAsia="Arial" w:hAnsi="Arial"/>
          <w:sz w:val="16"/>
          <w:szCs w:val="16"/>
          <w:b w:val="1"/>
          <w:bCs w:val="1"/>
          <w:color w:val="auto"/>
        </w:rPr>
        <w:t>We may not realize the anticipated benefits of our recent acquisitions of Stay-Lite Lighting and Voltrek. The integrations of Stay-Lite Lighting and Voltrek may disrupt our business and management, which could adversely affect our business, financial condition or results of operations.</w:t>
      </w:r>
    </w:p>
    <w:p>
      <w:pPr>
        <w:spacing w:after="0" w:line="12"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Effective on January 1, 2022, we acquired all of the issued and outstanding capital stock of Stay-Lite Lighting, Inc., a nationwide lighting and electrical maintenance service provider. On October 5, 2022, we acquired the equity interests of Voltrek, LLC an EV charging station solutions provider. We may acquire additional companies or enter into other business combinations or strategic initiatives in the future. We may not realize the anticipated benefits of the Stay-Lite or Voltrek acquisition or such other business combinations or acquisitions, and we may encounter substantial difficulties, costs and delays involved in integrating our operations with such businesses, including:</w:t>
      </w:r>
    </w:p>
    <w:p>
      <w:pPr>
        <w:spacing w:after="0" w:line="80"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conflicts between business cultures;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business focus perceived by third-party constituencies;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conflicts in distribution, marketing or other important relationships;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constraints of management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implement uniform standards, controls, procedures and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maximize our financial and strategic position;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planned synergies or expected financial results benefits;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realize the potential of the acquired businesses' technologies, complete product development, or properly obtain or secure appropriate protection of intellectual property rights;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key employees and/or the diversion of management's attention from other ongoing business concerns.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Business combinations and acquisitions of companies are inherently risky, and ultimately, if we do not complete the integration of Stay-Lite Lighting or Voltrek or other acquired businesses successfully and in a timely manner, we may not realize the anticipated benefits of such acquisitions to the extent anticipated, which could adversely affect our business, financial condition or results of operations.</w:t>
      </w:r>
    </w:p>
    <w:p>
      <w:pPr>
        <w:spacing w:after="0" w:line="72" w:lineRule="exact"/>
        <w:rPr>
          <w:sz w:val="20"/>
          <w:szCs w:val="20"/>
          <w:color w:val="auto"/>
        </w:rPr>
      </w:pPr>
    </w:p>
    <w:p>
      <w:pPr>
        <w:jc w:val="both"/>
        <w:ind w:firstLine="494"/>
        <w:spacing w:after="0" w:line="266" w:lineRule="auto"/>
        <w:rPr>
          <w:sz w:val="20"/>
          <w:szCs w:val="20"/>
          <w:color w:val="auto"/>
        </w:rPr>
      </w:pPr>
      <w:r>
        <w:rPr>
          <w:rFonts w:ascii="Arial" w:cs="Arial" w:eastAsia="Arial" w:hAnsi="Arial"/>
          <w:sz w:val="18"/>
          <w:szCs w:val="18"/>
          <w:b w:val="1"/>
          <w:bCs w:val="1"/>
          <w:color w:val="auto"/>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spacing w:after="0" w:line="288"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w:t>
      </w:r>
    </w:p>
    <w:p>
      <w:pPr>
        <w:spacing w:after="0" w:line="285"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and the ongoing impact of COVID-19 in China could continue to adversely affect our profitability and availability of raw materials and components, as there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balance customer demand and production capacity and increased difficulty in obtaining permanent employee staffing could negatively impact our business.</w:t>
      </w:r>
    </w:p>
    <w:p>
      <w:pPr>
        <w:spacing w:after="0" w:line="58"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79"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We have, in the past, experienced difficulty in hiring sufficient permanent employees to support our production demands. This circumstance has resulted in our increased reliance on temporary employee staffing to support our production operations. Temporary employees can be less reliable and require more ongoing training than permanent employees. These factors can adversely affect our operational efficiencies. This situation has also placed a significant burden on our continuing employees, has resulted in higher recruiting expenses as we have sought to recruit and train additional new permanent employees, and introduced increased instability in our operations to the extent responsibilities are reallocated to new or different employees. To the extent that we are unable to effectively hire a sufficient number of permanent employees, and our reliance on temporary staffing continues to increase, our operations and our ability to execute our operating plan could be adversely affected.</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8"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72" w:lineRule="exact"/>
        <w:rPr>
          <w:sz w:val="20"/>
          <w:szCs w:val="20"/>
          <w:color w:val="auto"/>
        </w:rPr>
      </w:pPr>
    </w:p>
    <w:p>
      <w:pPr>
        <w:jc w:val="both"/>
        <w:ind w:firstLine="494"/>
        <w:spacing w:after="0" w:line="289" w:lineRule="auto"/>
        <w:rPr>
          <w:sz w:val="20"/>
          <w:szCs w:val="20"/>
          <w:color w:val="auto"/>
        </w:rPr>
      </w:pPr>
      <w:r>
        <w:rPr>
          <w:rFonts w:ascii="Arial" w:cs="Arial" w:eastAsia="Arial" w:hAnsi="Arial"/>
          <w:sz w:val="16"/>
          <w:szCs w:val="16"/>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Some of our existing information technology systems are in need of enhancement, updating and replacement. If our information technology systems fail, or if we experience an interruption in their operation, then our business, results of operations and financial condition could be materially adversely affected.</w:t>
      </w:r>
    </w:p>
    <w:p>
      <w:pPr>
        <w:spacing w:after="0" w:line="72"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The efficient operation of our business is dependent on our information technology systems, some of which are in need of enhancement, updating and replacement. We rely on these systems generally to manage day-to-day operations,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have a material adverse affect on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87"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upon market acceptance of our energy management products and services.</w:t>
      </w:r>
    </w:p>
    <w:p>
      <w:pPr>
        <w:spacing w:after="0" w:line="121"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increasingly rely on third-party manufacturers for the manufacture and development of our products and product components.</w:t>
      </w:r>
    </w:p>
    <w:p>
      <w:pPr>
        <w:spacing w:after="0" w:line="121"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have increased our utilization of third-party manufacturers for the manufacture and development of our products and product components. Our results of operations, financial condition and cash flows could be materially adversely affected if our third-party manufacturers were to experience problems with product quality, credit or liquidity issues, or disruptions or delays in their manufacturing process or delivery of the finished products and components or the raw materials used to make such products and components.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Macroeconomic pressures in the markets in which we operate or anticipate operating in the future may adversely affect our financial results.</w:t>
      </w:r>
    </w:p>
    <w:p>
      <w:pPr>
        <w:spacing w:after="0" w:line="14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Geopolitical issues around the world can impact macroeconomic conditions in where we operate and where we anticipate operating in the future and could have a material adverse impact on our financial results. For example, the ultimate impact of the conflict in Ukraine on fuel prices, inflation, the global supply chain and other macroeconomic conditions is unknown and could materially adversely affect global economic growth, disrupting discretionary spending habits and generally decreasing demand for our products and services, including our planned retrofit project in Germany in fiscal 2024. While we do not purchase any of our significant raw materials directly from Russia, it is a significant global producer of fuel, nickel and copper. Disruptions in the markets for those inputs could negatively impact the macroeconomy. We cannot predict the extent or duration of sanctions in response to the conflict in Ukraine, nor can we predict the effects of legislative or other governmental actions or regulatory scrutiny of Russia and Belarus, Russia's other allies or other countries with which Russia has significant trade or financial ties, including China. The conflict in Ukraine may also continue to exacerbate geopolitical tensions globally.</w:t>
      </w:r>
    </w:p>
    <w:p>
      <w:pPr>
        <w:spacing w:after="0" w:line="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58"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7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establish and maintain effective internal controls over financial reporting, our business and financial results could be harmed.</w:t>
      </w:r>
    </w:p>
    <w:p>
      <w:pPr>
        <w:spacing w:after="0" w:line="133"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As of March 31, 2023, our Chief Executive Officer and Chief Financial Officer concluded that our internal controls for fiscal 2023 were designed and operating effectively. However, there can be no assurance that we will not experience a material weakness in our internal control over financial reporting in the future. A material weakness is defined as a deficiency, or a combination of deficiencies, in internal control over financial reporting, such that there is a reasonable possibility that a material misstatement of our annual or interim consolidated financial statements will not be prevented or detected on a timely basis.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revenue growth of our EV Division ultimately depends on consumers’ willingness to adopt electric vehicles in a market which is still in its early stages.</w:t>
      </w:r>
    </w:p>
    <w:p>
      <w:pPr>
        <w:spacing w:after="0" w:line="58"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The growth of our EV Division is highly dependent upon the adoption by consumers of EVs, and we are subject to a risk of any reduced demand for EVs. If the market for EVs does not gain broader market acceptance or develops slower than we expect,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 Factors that may influence the purchase and use of alternative fuel vehicles, specifically EVs, include:</w:t>
      </w:r>
    </w:p>
    <w:p>
      <w:pPr>
        <w:spacing w:after="0" w:line="227" w:lineRule="exact"/>
        <w:rPr>
          <w:sz w:val="20"/>
          <w:szCs w:val="20"/>
          <w:color w:val="auto"/>
        </w:rPr>
      </w:pPr>
    </w:p>
    <w:p>
      <w:pPr>
        <w:ind w:left="680" w:right="20" w:hanging="22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EV quality, safety (in particular with respect to lithium-ion battery packs), design, performance and cost, especially if adverse events or accidents occur that are linked to the quality or safety of EVs;</w:t>
      </w:r>
    </w:p>
    <w:p>
      <w:pPr>
        <w:spacing w:after="0" w:line="224"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limited range over which EVs may be driven on a single battery charge and concerns about running out of power while in use;</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regarding the stability of the electrical grid;</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consumers’ desire and ability to purchase a luxury automobile or one that is perceived as exclusive;</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consumers’ perceptions of the dependency of the United States on oil from unstable or hostile countries and the impact of international conflicts;</w:t>
      </w:r>
    </w:p>
    <w:p>
      <w:pPr>
        <w:spacing w:after="0" w:line="302" w:lineRule="exact"/>
        <w:rPr>
          <w:rFonts w:ascii="Arial" w:cs="Arial" w:eastAsia="Arial" w:hAnsi="Arial"/>
          <w:sz w:val="16"/>
          <w:szCs w:val="16"/>
          <w:color w:val="auto"/>
        </w:rPr>
      </w:pPr>
    </w:p>
    <w:p>
      <w:pPr>
        <w:ind w:left="680" w:hanging="22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79" w:lineRule="exact"/>
        <w:rPr>
          <w:rFonts w:ascii="Arial" w:cs="Arial" w:eastAsia="Arial" w:hAnsi="Arial"/>
          <w:sz w:val="18"/>
          <w:szCs w:val="18"/>
          <w:color w:val="auto"/>
        </w:rPr>
      </w:pPr>
    </w:p>
    <w:p>
      <w:pPr>
        <w:ind w:left="680" w:hanging="228"/>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access to charging stations, standardization of EV charging systems and consumers’ perceptions about convenience and cost to charge an EV; and</w:t>
      </w:r>
    </w:p>
    <w:p>
      <w:pPr>
        <w:spacing w:after="0" w:line="302" w:lineRule="exact"/>
        <w:rPr>
          <w:rFonts w:ascii="Arial" w:cs="Arial" w:eastAsia="Arial" w:hAnsi="Arial"/>
          <w:sz w:val="16"/>
          <w:szCs w:val="16"/>
          <w:color w:val="auto"/>
        </w:rPr>
      </w:pPr>
    </w:p>
    <w:p>
      <w:pPr>
        <w:ind w:left="680" w:right="20" w:hanging="22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EVs or future regulation requiring increased use of nonpolluting vehicles.</w:t>
      </w:r>
    </w:p>
    <w:p>
      <w:pPr>
        <w:spacing w:after="0" w:line="76"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The influence of any of the factors described above may negatively impact the widespread consumer adoption of EVs, which could materially and adversely affect our EV Division business, operating results, financial condition and prospects.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was, and could again in the future be, negatively impacted by the COVID-19 pandemic.</w:t>
      </w:r>
    </w:p>
    <w:p>
      <w:pPr>
        <w:spacing w:after="0" w:line="121" w:lineRule="exact"/>
        <w:rPr>
          <w:sz w:val="20"/>
          <w:szCs w:val="20"/>
          <w:color w:val="auto"/>
        </w:rPr>
      </w:pPr>
    </w:p>
    <w:p>
      <w:pPr>
        <w:jc w:val="both"/>
        <w:ind w:firstLine="494"/>
        <w:spacing w:after="0" w:line="291" w:lineRule="auto"/>
        <w:rPr>
          <w:sz w:val="20"/>
          <w:szCs w:val="20"/>
          <w:color w:val="auto"/>
        </w:rPr>
      </w:pPr>
      <w:r>
        <w:rPr>
          <w:rFonts w:ascii="Arial" w:cs="Arial" w:eastAsia="Arial" w:hAnsi="Arial"/>
          <w:sz w:val="16"/>
          <w:szCs w:val="16"/>
          <w:color w:val="auto"/>
        </w:rPr>
        <w:t>The COVID-19 pandemic disrupted business, trade, commerce, financial and credit markets in the United States and globally. Our business was adversely impacted by measures taken by customers, suppliers, government entities and others to control the spread of the virus beginning in March 2020, the last few weeks of our fiscal 2020, and continuing most significantly into the second quarter of fiscal 2021. During the third quarter of fiscal 2021, we experienced a rebound in business, with a full quarter of project installations for our largest customer, as well as installations for a new large specialty retail customer, and no significant COVlD-19 impacts. However, some customers continue to refrain from awarding new projects and potential future risks remain due to the COVID-19 pandemic. If the COVID-19 pandemic experiences a resurgence in markets recovering from the spread of COVID-19, or if another significant natural disaster or pandemic were to occur in the future, our results of operation would likely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200" w:lineRule="exact"/>
        <w:rPr>
          <w:sz w:val="20"/>
          <w:szCs w:val="20"/>
          <w:color w:val="auto"/>
        </w:rPr>
      </w:pPr>
    </w:p>
    <w:p>
      <w:pPr>
        <w:spacing w:after="0" w:line="23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Our existing liquidity and capital resources may not be sufficient to allow us to effectively pursue our evolving growth strategies, complete potential acquisitions or otherwise fund or sustain our growth initiatives.</w:t>
      </w:r>
    </w:p>
    <w:p>
      <w:pPr>
        <w:spacing w:after="0" w:line="58"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Our existing liquidity and capital resources may not be sufficient to allow us to effectively pursue our evolving growth strategies, complete potential acquisitions or otherwise fund or sustain our growth initiatives. If we require additional capital resources, we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6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loss in fiscal 2023;</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history of operating losses prior to our fiscal 2020;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financial results and condition;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collateral availability;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customer concentration;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investors’ and lenders' view of our company, industry and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perception in the equity and debt markets of our ability to execute and sustain our business plan or achieve our operating results expectations;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Our inability to obtain the equity capital or debt financing necessary to pursue our evolving growth strategy could force us to scale back our growth initiatives or abandon potential acquisitions. If we are unable to pursue our evolving growth strategy and growth initiatives, our results of operations, financial condition and cash flows could be materially adversely affected.</w:t>
      </w:r>
    </w:p>
    <w:p>
      <w:pPr>
        <w:spacing w:after="0" w:line="39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do not have major sources of recurring revenue and we depend upon a limited number of customers in any given period to generate a substantial portion of our revenue. The reduction of revenue from our prior most significant customer has had, and the loss of other significant customers or a major customer would likely have, a materially adverse effect on our results of operations, financial condition and cash flows.</w:t>
      </w:r>
    </w:p>
    <w:p>
      <w:pPr>
        <w:spacing w:after="0" w:line="38" w:lineRule="exact"/>
        <w:rPr>
          <w:sz w:val="20"/>
          <w:szCs w:val="20"/>
          <w:color w:val="auto"/>
        </w:rPr>
      </w:pPr>
    </w:p>
    <w:p>
      <w:pPr>
        <w:jc w:val="both"/>
        <w:ind w:firstLine="494"/>
        <w:spacing w:after="0" w:line="289" w:lineRule="auto"/>
        <w:rPr>
          <w:sz w:val="20"/>
          <w:szCs w:val="20"/>
          <w:color w:val="auto"/>
        </w:rPr>
      </w:pPr>
      <w:r>
        <w:rPr>
          <w:rFonts w:ascii="Arial" w:cs="Arial" w:eastAsia="Arial" w:hAnsi="Arial"/>
          <w:sz w:val="16"/>
          <w:szCs w:val="16"/>
          <w:color w:val="auto"/>
        </w:rPr>
        <w:t>We do not have any significant long-term contracts with our customers that provide us with recurring revenue from period to period. We currently generate a substantial portion of our revenue by securing large retrofit and multi-facility roll-out projects from new and existing customers. As a result, our dependence on individual key customers can vary from period to period due to the significant size of some of our retrofit and multi-facility roll-out projects. Our top 10 customers accounted for approximately 48.9%, 69.4% and 80.0% respectively, of our total revenue for fiscal 2023, 2022 and 2021. In fiscal 2021, one customer accounted for 56.0% of our total revenue compared to 49.1% in fiscal 2022 and in fiscal 2023, this customer accounted for 16.2% of our total revenue. In fiscal 2024, we expect our customer concentration will continue at the approximate level experienced in fiscal 2023. The reduction in revenue from this customer over the past three fiscal years has had a material adverse effect on our results of operations, financial condition and cash flows. While we continue to try to diversify and expand our customer base, there can be no assurance we will be successful doing so. We expect large retrofit and rollout projects to continue to remain a significant component of our total revenue.</w:t>
      </w:r>
    </w:p>
    <w:p>
      <w:pPr>
        <w:spacing w:after="0" w:line="58" w:lineRule="exact"/>
        <w:rPr>
          <w:sz w:val="20"/>
          <w:szCs w:val="20"/>
          <w:color w:val="auto"/>
        </w:rPr>
      </w:pPr>
    </w:p>
    <w:p>
      <w:pPr>
        <w:jc w:val="both"/>
        <w:ind w:firstLine="494"/>
        <w:spacing w:after="0" w:line="290" w:lineRule="auto"/>
        <w:rPr>
          <w:sz w:val="20"/>
          <w:szCs w:val="20"/>
          <w:color w:val="auto"/>
        </w:rPr>
      </w:pPr>
      <w:r>
        <w:rPr>
          <w:rFonts w:ascii="Arial" w:cs="Arial" w:eastAsia="Arial" w:hAnsi="Arial"/>
          <w:sz w:val="16"/>
          <w:szCs w:val="16"/>
          <w:color w:val="auto"/>
        </w:rPr>
        <w:t>The multi-location master retrofit agreements we have entered into with several of our key customers (including our current largest customer) generally require that the customer issue individual facility location work orders or purchase orders before we may install our products at that location. These master agreements do not guarantee that our key customers will make individual facility location purchases from us and they also generally allow any individual location purchase order or work order to be terminated prior to shipment. As a result, the relative amount and concentration of our revenues may fluctuate year over year and period over period depending on the number of purchase orders or work orders issued by our key customers, which may fluctuate due to factors such as our customers’ capital expenditure budgets and general economic conditions. The loss of, or substantial reduction in sales to, any of our significant customers, or a major customer, or the termination or delay of a significant volume of purchase orders by one or more key customers, would likely have a material adverse effect on our results of operations, financial condition and cash flows in any given future period.</w:t>
      </w:r>
    </w:p>
    <w:p>
      <w:pPr>
        <w:spacing w:after="0" w:line="37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net operating loss carry-forwards provide a future benefit only if we regain sustained profitability and may be subject to limitation based upon ownership 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firstLine="494"/>
        <w:spacing w:after="0" w:line="255" w:lineRule="auto"/>
        <w:rPr>
          <w:sz w:val="20"/>
          <w:szCs w:val="20"/>
          <w:color w:val="auto"/>
        </w:rPr>
      </w:pPr>
      <w:r>
        <w:rPr>
          <w:rFonts w:ascii="Arial" w:cs="Arial" w:eastAsia="Arial" w:hAnsi="Arial"/>
          <w:sz w:val="18"/>
          <w:szCs w:val="18"/>
          <w:color w:val="auto"/>
        </w:rPr>
        <w:t>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200" w:lineRule="exact"/>
        <w:rPr>
          <w:sz w:val="20"/>
          <w:szCs w:val="20"/>
          <w:color w:val="auto"/>
        </w:rPr>
      </w:pPr>
    </w:p>
    <w:p>
      <w:pPr>
        <w:spacing w:after="0" w:line="20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experienced a net loss in fiscal 2023 and, until fiscal 2020, we had a history of losses and negative cash flow. We may be unable to regain sustained profitability and positive cash flows in the future.</w:t>
      </w:r>
    </w:p>
    <w:p>
      <w:pPr>
        <w:spacing w:after="0" w:line="58"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We experienced a net loss in fiscal 2023, and prior to fiscal 2020, we experienced net losses and negative cash flows for the prior five fiscal years. There is no guarantee that we will be able to regain or sustain profitability and positive cash flows in the future. Our inability to successfully regain or sustain our profitability and positive cash flows could materially and adversely affect our ability to pursue our evolving strategies and growth initiatives.</w:t>
      </w: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conditions in the global economy have negatively impacted, and could in the future negatively impact, our customers, suppliers and business.</w:t>
      </w:r>
    </w:p>
    <w:p>
      <w:pPr>
        <w:spacing w:after="0" w:line="58"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 For example,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70"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The new United States administration may pursue a wide range of monetary, regulatory and trade policies, including the continued imposition of the previous United States administration’s tariffs on certain imports. Certain sourced finished products and certain of the components used in our products are impacted by tariffs imposed on China imports. Our efforts to mitigate the impact of added costs resulting from these tariffs include a variety of activities, such as sourcing from non-tariff impacted countries and raising prices. If we are unable to successfully mitigate the impacts of these tariffs and other trade policies, our results of operations, financial condition and cash flows may be materially adversely affected.</w:t>
      </w:r>
    </w:p>
    <w:p>
      <w:pPr>
        <w:spacing w:after="0" w:line="68" w:lineRule="exact"/>
        <w:rPr>
          <w:sz w:val="20"/>
          <w:szCs w:val="20"/>
          <w:color w:val="auto"/>
        </w:rPr>
      </w:pPr>
    </w:p>
    <w:p>
      <w:pPr>
        <w:jc w:val="both"/>
        <w:ind w:firstLine="494"/>
        <w:spacing w:after="0" w:line="290" w:lineRule="auto"/>
        <w:rPr>
          <w:sz w:val="20"/>
          <w:szCs w:val="20"/>
          <w:color w:val="auto"/>
        </w:rPr>
      </w:pPr>
      <w:r>
        <w:rPr>
          <w:rFonts w:ascii="Arial" w:cs="Arial" w:eastAsia="Arial" w:hAnsi="Arial"/>
          <w:sz w:val="16"/>
          <w:szCs w:val="16"/>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has led customers to delay their purchase decisions, which has elongated the duration of our sales cycles.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72"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Our credit agreement contains provisions that limit our future borrowing availability and sets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76"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As we evolve our business strategy to increase our focus on new product and service offerings, including our comprehensive energy management and maintenance services and our IoT, “smart-building,” “connected ceilings” and other related technology, software and controls products and services, the nature of our business may be significantly changed, or transformed, and our results of operations, financial condition and cash flows may be materially adversely affected.</w:t>
      </w:r>
    </w:p>
    <w:p>
      <w:pPr>
        <w:spacing w:after="0" w:line="76"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7"/>
          <w:szCs w:val="17"/>
          <w:color w:val="auto"/>
        </w:rPr>
        <w:t>Our future growth and profitability are tied in part to our ability to successfully bring to market new and innovative product and service offerings. We have begun to evolve our business strategy to focus on further expanding the nature and scope of our products and services offered to our customers. This further expansion of our products and services includes pursuing projects to develop recurring revenue streams, including beginning to offer lighting, electrical, heating and ventilation, and other energy maintenance services to large customers with numerous locations. Our expansion efforts also involve utilizing control sensor technology to collect data and assisting customers in the digitization of this data, along with other potential services. We have experienced recent success offering our comprehensive energy project management services to national account customers to retrofit their multiple locations. We also plan to pursue the expansion of our IoT “smart-building” and “connected ceiling” and other related technology, software and controls products and services we offer to our customers. We have invested, and plan to continue to invest, significant time, resources and capital into expanding our offerings in these areas with no expectation that they will provide material revenue in the near term and without any assurance they will succeed or be profitable. In fact, these efforts have reduced our profitability, and will likely continue to do so, at least in the near term. Moreover, as we continue to explore, develop and refine new offerings, we expect that market preferences will continue to evolve, our offerings may not generate sufficient interest by end-user customers and we may be unable to compete effectively with existing or new competitors, generate significant revenues or achieve or maintain acceptable levels of profitability.</w:t>
      </w:r>
    </w:p>
    <w:p>
      <w:pPr>
        <w:spacing w:after="0" w:line="7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If we are successful in introducing new product and services offerings, including expanded energy management and maintenance services and products with new technology, software and controls, the nature of our business may significantly change or be transformed away from being principally lighting products focused. Additionally, our experience providing energy maintenance services and technology, software and controls products and services is limited. If we do not successfully execute our strategy or anticipate the needs of our customers, our credibility as a provider of energy maintenance services and technology, software and controls products could be questioned and our prospects for future revenue growth and profitability may never materialize.</w:t>
      </w:r>
    </w:p>
    <w:p>
      <w:pPr>
        <w:spacing w:after="0" w:line="84"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we expand our product and services offerings to new markets, the overall complexity of our business will likely increase at an accelerated rate and we may become subject to different market dynamics. The new markets into which we are expanding, or may expand, may have different characteristics from the markets in which we have historically competed. These different characteristics may include, among other things, rapidly changing technologies, different supply chains, different competitors and methods of competition,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line="342" w:lineRule="auto"/>
        <w:rPr>
          <w:sz w:val="20"/>
          <w:szCs w:val="20"/>
          <w:color w:val="auto"/>
        </w:rPr>
      </w:pPr>
      <w:r>
        <w:rPr>
          <w:rFonts w:ascii="Arial" w:cs="Arial" w:eastAsia="Arial" w:hAnsi="Arial"/>
          <w:sz w:val="16"/>
          <w:szCs w:val="16"/>
          <w:color w:val="auto"/>
        </w:rPr>
        <w:t>new product development rates, client concentrations and performance and compatibility requirements. Our failure to make the necessary adaptations to our business model to address these different characteristics, complexities and new market dynamics could adversely affect our operating results.</w:t>
      </w:r>
    </w:p>
    <w:p>
      <w:pPr>
        <w:spacing w:after="0" w:line="16" w:lineRule="exact"/>
        <w:rPr>
          <w:sz w:val="20"/>
          <w:szCs w:val="20"/>
          <w:color w:val="auto"/>
        </w:rPr>
      </w:pPr>
    </w:p>
    <w:p>
      <w:pPr>
        <w:ind w:firstLine="494"/>
        <w:spacing w:after="0" w:line="308" w:lineRule="auto"/>
        <w:rPr>
          <w:sz w:val="20"/>
          <w:szCs w:val="20"/>
          <w:color w:val="auto"/>
        </w:rPr>
      </w:pPr>
      <w:r>
        <w:rPr>
          <w:rFonts w:ascii="Arial" w:cs="Arial" w:eastAsia="Arial" w:hAnsi="Arial"/>
          <w:sz w:val="17"/>
          <w:szCs w:val="17"/>
          <w:color w:val="auto"/>
        </w:rPr>
        <w:t>Accordingly, if we fail to successfully launch, manage and maintain our evolving business strategy, our future revenue growth and profitability would likely be limited and our results of operations, financial condition and cash flows would likely be materially adversely affected.</w:t>
      </w:r>
    </w:p>
    <w:p>
      <w:pPr>
        <w:spacing w:after="0" w:line="3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Our evolving business strategies may include exploring potential acquisitions, including potential acquisitions that could significantly change, or even transform, the nature of our business. These potential acquisitions could be unsuccessful or consume significant resources, which could materially adversely affect our results of operations, financial condition and cash flows.</w:t>
      </w:r>
    </w:p>
    <w:p>
      <w:pPr>
        <w:spacing w:after="0" w:line="162" w:lineRule="exact"/>
        <w:rPr>
          <w:sz w:val="20"/>
          <w:szCs w:val="20"/>
          <w:color w:val="auto"/>
        </w:rPr>
      </w:pPr>
    </w:p>
    <w:p>
      <w:pPr>
        <w:ind w:right="60" w:firstLine="494"/>
        <w:spacing w:after="0" w:line="289" w:lineRule="auto"/>
        <w:rPr>
          <w:sz w:val="20"/>
          <w:szCs w:val="20"/>
          <w:color w:val="auto"/>
        </w:rPr>
      </w:pPr>
      <w:r>
        <w:rPr>
          <w:rFonts w:ascii="Arial" w:cs="Arial" w:eastAsia="Arial" w:hAnsi="Arial"/>
          <w:sz w:val="16"/>
          <w:szCs w:val="16"/>
          <w:color w:val="auto"/>
        </w:rPr>
        <w:t>We may explore additional potential business acquisitions which could more quickly add expanded and different capabilities to our product and services offerings, including potential acquisitions that could significantly change, or even transform, the nature of our business. There can be no assurance that we will identify or successfully complete transactions with suitable acquisition candidates in the future. Similarly, there can be no assurance that our recently completed acquisitions will be successful. Acquisitions may involve significant cash expenditures, debt incurrence, stock issuances, operating losses and expenses that would otherwise be directed to investments in our existing business and could have a material adverse effect on our financial condition, results of operations and cash flows. To pursue acquisitions and other strategic transactions, we may need to raise additional debt and/or equity capital in the future, which may not be available on acceptable terms, in sufficient amounts or at all. In addition, we may issue new shares of our common stock as consideration in such transactions, which may have a dilutive impact on our existing shareholders and may also result in a reduction in the market price of our shares once those newly issued shares are resold in the market. In addition, acquisitions involve numerous other risks, including:</w:t>
      </w:r>
    </w:p>
    <w:p>
      <w:pPr>
        <w:spacing w:after="0" w:line="166" w:lineRule="exact"/>
        <w:rPr>
          <w:sz w:val="20"/>
          <w:szCs w:val="20"/>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the acquired business to achieve its revenue or profit forecasts;</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culture of the acquired business may not match well with our culture;</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strategies and focus may change in ways that adversely affect our results of operations;</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and product synergies, economies of scale and cost reductions from the acquisition may not occur as expected;</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expenses, delays or conditions may result from the acquisition, including required regulatory approvals or consents;</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changes may result to our management team and/or board of directors;</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acquire or assume unexpected liabilities or be subject to unexpected penalties or other enforcement actions or legal consequences;</w:t>
      </w:r>
    </w:p>
    <w:p>
      <w:pPr>
        <w:spacing w:after="0" w:line="140" w:lineRule="exact"/>
        <w:rPr>
          <w:rFonts w:ascii="Arial" w:cs="Arial" w:eastAsia="Arial" w:hAnsi="Arial"/>
          <w:sz w:val="16"/>
          <w:szCs w:val="16"/>
          <w:color w:val="auto"/>
        </w:rPr>
      </w:pPr>
    </w:p>
    <w:p>
      <w:pPr>
        <w:ind w:left="880" w:hanging="51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faulty assumptions may be made regarding the macroeconomic environment or the integration process that form a basis for the acquisition;</w:t>
      </w:r>
    </w:p>
    <w:p>
      <w:pPr>
        <w:spacing w:after="0" w:line="140" w:lineRule="exact"/>
        <w:rPr>
          <w:rFonts w:ascii="Arial" w:cs="Arial" w:eastAsia="Arial" w:hAnsi="Arial"/>
          <w:sz w:val="16"/>
          <w:szCs w:val="16"/>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delays and costs may arise in integrating the acquired business’s operations, processes and systems;</w:t>
      </w:r>
    </w:p>
    <w:p>
      <w:pPr>
        <w:spacing w:after="0" w:line="117" w:lineRule="exact"/>
        <w:rPr>
          <w:rFonts w:ascii="Arial" w:cs="Arial" w:eastAsia="Arial" w:hAnsi="Arial"/>
          <w:sz w:val="18"/>
          <w:szCs w:val="18"/>
          <w:color w:val="auto"/>
        </w:rPr>
      </w:pPr>
    </w:p>
    <w:p>
      <w:pPr>
        <w:ind w:left="880" w:hanging="51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investments may be required to implement necessary compliance processes and related systems, including information technology systems, accounting systems and internal controls over financial reporting;</w:t>
      </w:r>
    </w:p>
    <w:p>
      <w:pPr>
        <w:spacing w:after="0" w:line="62"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retain, motivate and integrate key management and other employees of the acquired business;</w:t>
      </w:r>
    </w:p>
    <w:p>
      <w:pPr>
        <w:spacing w:after="0" w:line="117" w:lineRule="exact"/>
        <w:rPr>
          <w:rFonts w:ascii="Arial" w:cs="Arial" w:eastAsia="Arial" w:hAnsi="Arial"/>
          <w:sz w:val="18"/>
          <w:szCs w:val="18"/>
          <w:color w:val="auto"/>
        </w:rPr>
      </w:pPr>
    </w:p>
    <w:p>
      <w:pPr>
        <w:ind w:left="880" w:hanging="51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costs may arise due to unforeseen changes in tax, trade, environmental, labor, safety, payroll or pension policies in any jurisdiction in which the acquired business conducts its operations;</w:t>
      </w:r>
    </w:p>
    <w:p>
      <w:pPr>
        <w:spacing w:after="0" w:line="62"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adversely impact our sales channels and our sales channel partners; and</w:t>
      </w:r>
    </w:p>
    <w:p>
      <w:pPr>
        <w:spacing w:after="0" w:line="117" w:lineRule="exact"/>
        <w:rPr>
          <w:rFonts w:ascii="Arial" w:cs="Arial" w:eastAsia="Arial" w:hAnsi="Arial"/>
          <w:sz w:val="18"/>
          <w:szCs w:val="18"/>
          <w:color w:val="auto"/>
        </w:rPr>
      </w:pPr>
    </w:p>
    <w:p>
      <w:pPr>
        <w:ind w:left="880" w:hanging="51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problems in retaining customers and integrating customer bases.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140" w:firstLine="494"/>
        <w:spacing w:after="0" w:line="263"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and reduced profitability, decreases in the amount of expected revenues and diversion of our management’s time and attention. They may also delay, decrease or eliminate the realization of some or all of the benefits we anticipate when we enter into the transaction.</w:t>
      </w:r>
    </w:p>
    <w:p>
      <w:pPr>
        <w:spacing w:after="0" w:line="184" w:lineRule="exact"/>
        <w:rPr>
          <w:sz w:val="20"/>
          <w:szCs w:val="20"/>
          <w:color w:val="auto"/>
        </w:rPr>
      </w:pPr>
    </w:p>
    <w:p>
      <w:pPr>
        <w:jc w:val="both"/>
        <w:ind w:right="120" w:firstLine="494"/>
        <w:spacing w:after="0" w:line="286" w:lineRule="auto"/>
        <w:rPr>
          <w:sz w:val="20"/>
          <w:szCs w:val="20"/>
          <w:color w:val="auto"/>
        </w:rPr>
      </w:pPr>
      <w:r>
        <w:rPr>
          <w:rFonts w:ascii="Arial" w:cs="Arial" w:eastAsia="Arial" w:hAnsi="Arial"/>
          <w:sz w:val="17"/>
          <w:szCs w:val="17"/>
          <w:color w:val="auto"/>
        </w:rPr>
        <w:t>Our management team has limited experience in, and limited time to dedicate to, pursuing, negotiating or integrating acquisitions. If we do identify suitable candidates, we may not be able to negotiate or consummate such acquisitions on favorable terms or at all. Any acquisitions we complete may not achieve their initially intended results and benefits, and may be viewed negatively by investors and other stakeholders.</w:t>
      </w:r>
    </w:p>
    <w:p>
      <w:pPr>
        <w:spacing w:after="0" w:line="165" w:lineRule="exact"/>
        <w:rPr>
          <w:sz w:val="20"/>
          <w:szCs w:val="20"/>
          <w:color w:val="auto"/>
        </w:rPr>
      </w:pPr>
    </w:p>
    <w:p>
      <w:pPr>
        <w:jc w:val="both"/>
        <w:ind w:right="280" w:firstLine="494"/>
        <w:spacing w:after="0" w:line="311" w:lineRule="auto"/>
        <w:rPr>
          <w:sz w:val="20"/>
          <w:szCs w:val="20"/>
          <w:color w:val="auto"/>
        </w:rPr>
      </w:pPr>
      <w:r>
        <w:rPr>
          <w:rFonts w:ascii="Arial" w:cs="Arial" w:eastAsia="Arial" w:hAnsi="Arial"/>
          <w:sz w:val="16"/>
          <w:szCs w:val="16"/>
          <w:color w:val="auto"/>
        </w:rPr>
        <w:t>We may undertake acquisitions financed in part through public offerings or private placements of debt or equity securities, including through the new issuance of our common stock or debt securities as consideration in an acquisition transaction. Such acquisition financing could result in dilution to our current shareholders, a decrease in our earnings and/or adversely affect our financial condition, liquidity or other leverage measures.</w:t>
      </w:r>
    </w:p>
    <w:p>
      <w:pPr>
        <w:spacing w:after="0" w:line="149" w:lineRule="exact"/>
        <w:rPr>
          <w:sz w:val="20"/>
          <w:szCs w:val="20"/>
          <w:color w:val="auto"/>
        </w:rPr>
      </w:pPr>
    </w:p>
    <w:p>
      <w:pPr>
        <w:ind w:right="400" w:firstLine="494"/>
        <w:spacing w:after="0" w:line="301" w:lineRule="auto"/>
        <w:rPr>
          <w:sz w:val="20"/>
          <w:szCs w:val="20"/>
          <w:color w:val="auto"/>
        </w:rPr>
      </w:pPr>
      <w:r>
        <w:rPr>
          <w:rFonts w:ascii="Arial" w:cs="Arial" w:eastAsia="Arial" w:hAnsi="Arial"/>
          <w:sz w:val="16"/>
          <w:szCs w:val="16"/>
          <w:color w:val="auto"/>
        </w:rPr>
        <w:t>In addition to committing additional capital resources to complete any acquisitions, substantial additional capital may be required to operate the acquired businesses following their acquisition. Moreover, these acquisitions may result in significant financial losses if the intended objectives of the transactions are not achieved. Some of the businesses we may acquire may have significant operating and financial challenges, requiring significant additional capital commitments to overcome such challenges and adversely affecting our financial condition and liquidity.</w:t>
      </w:r>
    </w:p>
    <w:p>
      <w:pPr>
        <w:spacing w:after="0" w:line="157" w:lineRule="exact"/>
        <w:rPr>
          <w:sz w:val="20"/>
          <w:szCs w:val="20"/>
          <w:color w:val="auto"/>
        </w:rPr>
      </w:pPr>
    </w:p>
    <w:p>
      <w:pPr>
        <w:ind w:right="340" w:firstLine="494"/>
        <w:spacing w:after="0" w:line="277" w:lineRule="auto"/>
        <w:rPr>
          <w:sz w:val="20"/>
          <w:szCs w:val="20"/>
          <w:color w:val="auto"/>
        </w:rPr>
      </w:pPr>
      <w:r>
        <w:rPr>
          <w:rFonts w:ascii="Arial" w:cs="Arial" w:eastAsia="Arial" w:hAnsi="Arial"/>
          <w:sz w:val="18"/>
          <w:szCs w:val="18"/>
          <w:color w:val="auto"/>
        </w:rPr>
        <w:t>Failure to implement our acquisition strategy, including successfully integrating acquired businesses, could have a material adverse effect on our results of operations, financial condition and cash flows.</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continued emphasis on indirect distribution channels to sell our products and services to supplement our direct distribution channels has had limited success to date.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38" w:lineRule="exact"/>
        <w:rPr>
          <w:sz w:val="20"/>
          <w:szCs w:val="20"/>
          <w:color w:val="auto"/>
        </w:rPr>
      </w:pPr>
    </w:p>
    <w:p>
      <w:pPr>
        <w:jc w:val="both"/>
        <w:ind w:firstLine="499"/>
        <w:spacing w:after="0" w:line="270" w:lineRule="auto"/>
        <w:rPr>
          <w:sz w:val="20"/>
          <w:szCs w:val="20"/>
          <w:color w:val="auto"/>
        </w:rPr>
      </w:pPr>
      <w:r>
        <w:rPr>
          <w:rFonts w:ascii="Arial" w:cs="Arial" w:eastAsia="Arial" w:hAnsi="Arial"/>
          <w:sz w:val="17"/>
          <w:szCs w:val="17"/>
          <w:color w:val="auto"/>
        </w:rPr>
        <w:t>We utilize manufacturer representative sales agencies that sell our products through distributors. Many of these sales agents and distributors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business depends upon our adaptation to the quickly changing market conditions in the lighting industry and on market acceptance of our lighting retrofit solutions using LED and control technologies.</w:t>
      </w:r>
    </w:p>
    <w:p>
      <w:pPr>
        <w:spacing w:after="0" w:line="5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technology or data information solutions on our lighting platform.</w:t>
      </w:r>
    </w:p>
    <w:p>
      <w:pPr>
        <w:spacing w:after="0" w:line="76"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As a result, our future success depends significantly upon the adoption rate of LED products within our primary markets, our ability to participate in this ongoing market trend and our ability to expand into complementary markets. To be an effective participant in the LED market, we must keep up with the evolution of LED and related technologies, which continue to move at a fast pace. We may be unable to successfully develop and market new products or services that keep pace with technological or industry changes, differentiate ourselves from our competition, satisfy changes in customer demands or comply with present or emerging government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auto"/>
        </w:rPr>
        <w:t>industry regulations and technology standards. The development and introduction of new products and services may result in increased warranty expenses and other new product and services introduction expenses. In addition, we will likely continue to incur substantial costs to research and develop new products and services, which will increase our expenses, without guarantee that our new products and services will be commercially viable. We may also spend time and resources to develop and release new products and services only to discover that a competitor has also introduced similar new products and services with superior performance, at a lower price or on better delivery terms. Moreover, if new sources of lighting or lighting-based solutions are developed, our current products and technologies could become less competitive or obsolete, which could result in reduced revenue, reduced earnings or increased losses, and/or inventory and other impairment charges.</w:t>
      </w:r>
    </w:p>
    <w:p>
      <w:pPr>
        <w:spacing w:after="0" w:line="69"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Finally, in connection with our historical primary focus on selling our LED products, we expect our results of operations to continue to fluctuate from quarter to quarter to the extent that customers delay purchasing decisions as they evaluate their return on investment from purchasing LED products compared to alternative lighting solutions, the pricing of LED products continues to fall and LED products continue to gain more widespread customer acceptance. Similarly, these circumstances have adversely impacted, and may continue to adversely impact, our product gross margins and our profitability from quarter to quarter.</w:t>
      </w:r>
    </w:p>
    <w:p>
      <w:pPr>
        <w:spacing w:after="0" w:line="8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If we are unable to achieve market acceptance of our lighting retrofit solutions using LED technologies and our system platform as a “connected ceiling” or “smart ceiling” or realize the expected benefits from our focus on promoting new products and services, our results of operations, financial condition and cash flows will likely be materially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performance is dependent on our ability to achieve growth in our average selling price of our products.</w:t>
      </w:r>
    </w:p>
    <w:p>
      <w:pPr>
        <w:spacing w:after="0" w:line="121"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The gross margins of our products can vary significantly, with margins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results of operations, financial condition and cash flows. Furthermore, the average selling price of our products has been, and may be further, negatively impacted by market over-supply conditions,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72"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70"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Legal, Regulatory and Compliance Risks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133"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tariffs and other actions may adversely affect our business.</w:t>
      </w:r>
    </w:p>
    <w:p>
      <w:pPr>
        <w:spacing w:after="0" w:line="229" w:lineRule="exact"/>
        <w:rPr>
          <w:sz w:val="20"/>
          <w:szCs w:val="20"/>
          <w:color w:val="auto"/>
        </w:rPr>
      </w:pPr>
    </w:p>
    <w:p>
      <w:pPr>
        <w:ind w:right="40" w:firstLine="494"/>
        <w:spacing w:after="0" w:line="255" w:lineRule="auto"/>
        <w:rPr>
          <w:sz w:val="20"/>
          <w:szCs w:val="20"/>
          <w:color w:val="auto"/>
        </w:rPr>
      </w:pPr>
      <w:r>
        <w:rPr>
          <w:rFonts w:ascii="Arial" w:cs="Arial" w:eastAsia="Arial" w:hAnsi="Arial"/>
          <w:sz w:val="18"/>
          <w:szCs w:val="18"/>
          <w:color w:val="auto"/>
        </w:rPr>
        <w:t>The United States government has, from time to time, implemented various monetary, regulatory, and trade importation restraints, penalties, and tariffs. Certain sourced finished products and certain of the components used in our products have been impacted by tariffs imposed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Any future policy changes that may be implemented by the current or future United States administration could have a negative consequence on our financial performance.</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affect on our results of operations, financial condition and cash flows.</w:t>
      </w:r>
    </w:p>
    <w:p>
      <w:pPr>
        <w:spacing w:after="0" w:line="3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government budget priorities and political gridlock, and future potential government shutdown, could negatively impact our results of operations, financial condition and cash flows.</w:t>
      </w:r>
    </w:p>
    <w:p>
      <w:pPr>
        <w:spacing w:after="0" w:line="58"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12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7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36"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57"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58"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53"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79"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7"/>
          <w:szCs w:val="17"/>
          <w:color w:val="auto"/>
        </w:rPr>
        <w:t>In addition, third parties may bring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58"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58"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58"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The trading market for our common stock will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has been, and may continue to be, volatile.</w:t>
      </w:r>
    </w:p>
    <w:p>
      <w:pPr>
        <w:spacing w:after="0" w:line="121"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trading price of our common stock has ranged from $1.45 to $2.94 per share during the period from April 1, 2022 to March 31, 2023. The market price of our common stock could be impacted due to a variety of factors, including:</w:t>
      </w:r>
    </w:p>
    <w:p>
      <w:pPr>
        <w:spacing w:after="0" w:line="76"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our competitors’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changes in the growth rate of the general LED lighting industry, our growth rates or our competitors’ growth rates;</w:t>
      </w:r>
    </w:p>
    <w:p>
      <w:pPr>
        <w:spacing w:after="0" w:line="128" w:lineRule="exact"/>
        <w:rPr>
          <w:rFonts w:ascii="Arial" w:cs="Arial" w:eastAsia="Arial" w:hAnsi="Arial"/>
          <w:sz w:val="17"/>
          <w:szCs w:val="17"/>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 including government efforts to mitigate the severe economic downturn resulting from the COVID-19 pandemic;</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novel and unforeseen market forces and trading strategies, such as the massive short squeeze rally caused by retail investors and social media activity affecting companies such as GameStop Corp.;</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governmental regulation, including taxation and tariff policies;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or currency exchange rate fluctuations;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forecast or report accurate financial results;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stock market analyst recommendations regarding our common stock, other comparable companies or our industry generally.</w:t>
      </w:r>
    </w:p>
    <w:p>
      <w:pPr>
        <w:spacing w:after="0" w:line="129"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58"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not currently paying dividends on our common stock and will likely continue not paying dividends for the foreseeable future.</w:t>
      </w:r>
    </w:p>
    <w:p>
      <w:pPr>
        <w:spacing w:after="0" w:line="133"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continued development and expansion of our business, and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restrictions on, and decision not to, pay dividends on our common stock may impact our ability to attract certain investors and raise funds, if necessary, in the capital markets.</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76"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our then-current board of directors, including to delay or impede a merger, tender offer or proxy contest involving our company or result in a lower price per share paid to our shareholders.</w:t>
      </w:r>
    </w:p>
    <w:p>
      <w:pPr>
        <w:spacing w:after="0" w:line="87"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lease our approximately 266,000 square foot manufacturing and distribution facility located in Manitowoc, Wisconsin. On January 31, 2020, we entered a new lease for the facility with a ten-year term, and an option to terminate after six years.</w:t>
      </w:r>
    </w:p>
    <w:p>
      <w:pPr>
        <w:spacing w:after="0" w:line="170"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own our approximately 70,000 square foot technology center and corporate headquarters adjacent to our leased Manitowoc manufacturing and distribution facility, of which we sub-lease a portion to third parties. We also lease approximately 10,500 square feet of office space in Jacksonville, Florida, 5,375 square feet in Lawrence, Massachusetts and 9,180 square feet of office space in Pewaukee, Wisconsin.</w:t>
      </w:r>
    </w:p>
    <w:p>
      <w:pPr>
        <w:spacing w:after="0" w:line="16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Manitowoc and Jacksonville facilities noted above are utilized by all our business segments, the Lawrence facility by our EV Division and the Pewaukee facility by our Orion Services Group Division.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of our common stock are traded on the NASDAQ Capital Market under the symbol “OESX”.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May 31, 2023, there were approximately 160 record holders of the 32,295,408 outstanding shares of our common stock. The number of record holders does not include shareholders for whom shares are held in a “nominee” or “street” name.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The following table represents shares outstanding under our 2004 Stock and Incentive Awards Incentive Plan, and our 2016 Omnibus Incentive Plan as of March 31,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40" w:type="dxa"/>
            <w:vAlign w:val="bottom"/>
            <w:gridSpan w:val="2"/>
          </w:tcPr>
          <w:p>
            <w:pPr>
              <w:jc w:val="right"/>
              <w:ind w:right="1084"/>
              <w:spacing w:after="0"/>
              <w:rPr>
                <w:sz w:val="20"/>
                <w:szCs w:val="20"/>
                <w:color w:val="auto"/>
              </w:rPr>
            </w:pPr>
            <w:r>
              <w:rPr>
                <w:rFonts w:ascii="Arial" w:cs="Arial" w:eastAsia="Arial" w:hAnsi="Arial"/>
                <w:sz w:val="14"/>
                <w:szCs w:val="14"/>
                <w:b w:val="1"/>
                <w:bCs w:val="1"/>
                <w:color w:val="auto"/>
              </w:rPr>
              <w:t>Equity Compensation Plan Information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Shares to be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2"/>
                <w:szCs w:val="12"/>
                <w:color w:val="auto"/>
              </w:rPr>
            </w:pPr>
          </w:p>
        </w:tc>
        <w:tc>
          <w:tcPr>
            <w:tcW w:w="1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Future Issuances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5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3"/>
              </w:rPr>
              <w:t>Under the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Vesting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0" w:type="dxa"/>
            <w:vAlign w:val="bottom"/>
          </w:tcPr>
          <w:p>
            <w:pPr>
              <w:spacing w:after="0"/>
              <w:rPr>
                <w:sz w:val="12"/>
                <w:szCs w:val="12"/>
                <w:color w:val="auto"/>
              </w:rPr>
            </w:pPr>
          </w:p>
        </w:tc>
        <w:tc>
          <w:tcPr>
            <w:tcW w:w="15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Omnibus Incentive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5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ind w:right="64"/>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Plans (1)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6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816,590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545,146</w:t>
            </w:r>
          </w:p>
        </w:tc>
        <w:tc>
          <w:tcPr>
            <w:tcW w:w="0" w:type="dxa"/>
            <w:vAlign w:val="bottom"/>
          </w:tcPr>
          <w:p>
            <w:pPr>
              <w:spacing w:after="0"/>
              <w:rPr>
                <w:sz w:val="1"/>
                <w:szCs w:val="1"/>
                <w:color w:val="auto"/>
              </w:rPr>
            </w:pPr>
          </w:p>
        </w:tc>
      </w:tr>
      <w:tr>
        <w:trPr>
          <w:trHeight w:val="237"/>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54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64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8"/>
                <w:szCs w:val="18"/>
                <w:color w:val="auto"/>
              </w:rPr>
              <w:t>816,590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545,146</w:t>
            </w: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-119380</wp:posOffset>
            </wp:positionV>
            <wp:extent cx="111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-102235</wp:posOffset>
            </wp:positionV>
            <wp:extent cx="111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-119380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-102235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Shares to be Issued Upon Exercise of Outstanding Options and Vesting of Restricted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purchase shares of our common stock during the fiscal year ended March 31,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We did not make any unregistered sales of our common stock during the year ended March 31, 2023 that were not previously disclosed in a Quarterly Report on Form 10-Q or a current report on Form 8-K during such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2023. See also “Forward-Looking Statements” and Item 1A “Risk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primary market segments: commercial office and retail, area lighting, industrial applications and government, although we do sell and install products into other markets. Our services consist of turnkey installation and system maintenance. Virtually all of our sales occur within North America.</w:t>
      </w:r>
    </w:p>
    <w:p>
      <w:pPr>
        <w:spacing w:after="0" w:line="166"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88"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(which we call “Customers for Life”). We completed the acquisition of Voltrek on October 5, 2022, which is intended to further expand our turnkey services capabilities as well as capitalize on the rapidly growing market for EV charging solutions. We completed the Stay-Lite Lighting acquisition on January 1, 2022, which is intended to further expand our maintenance services capabilities.</w:t>
      </w:r>
    </w:p>
    <w:p>
      <w:pPr>
        <w:spacing w:after="0" w:line="195"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65" w:lineRule="exact"/>
        <w:rPr>
          <w:sz w:val="20"/>
          <w:szCs w:val="20"/>
          <w:color w:val="auto"/>
        </w:rPr>
      </w:pPr>
    </w:p>
    <w:p>
      <w:pPr>
        <w:jc w:val="both"/>
        <w:ind w:firstLine="499"/>
        <w:spacing w:after="0" w:line="289" w:lineRule="auto"/>
        <w:rPr>
          <w:sz w:val="20"/>
          <w:szCs w:val="20"/>
          <w:color w:val="auto"/>
        </w:rPr>
      </w:pPr>
      <w:r>
        <w:rPr>
          <w:rFonts w:ascii="Arial" w:cs="Arial" w:eastAsia="Arial" w:hAnsi="Arial"/>
          <w:sz w:val="16"/>
          <w:szCs w:val="16"/>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are pursuing the expansion of our IoT, “smart-building” and “connected ceiling” and other related technology, software and controls products and services that we offer to our customers. While we currently intend to primarily pursue these expansion strategies organically, we also may explore potential additional business acquisitions, like our acquisition of Stay-Lite Lighting and Voltrek, which have more quickly added these types of expanded and different capabilities to our product and services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-184785</wp:posOffset>
            </wp:positionV>
            <wp:extent cx="29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1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499"/>
        <w:spacing w:after="0" w:line="270" w:lineRule="auto"/>
        <w:rPr>
          <w:sz w:val="20"/>
          <w:szCs w:val="20"/>
          <w:color w:val="auto"/>
        </w:rPr>
      </w:pPr>
      <w:r>
        <w:rPr>
          <w:rFonts w:ascii="Arial" w:cs="Arial" w:eastAsia="Arial" w:hAnsi="Arial"/>
          <w:sz w:val="17"/>
          <w:szCs w:val="17"/>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84"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Our fiscal year ends on March 31. We refer to our just completed fiscal year, which ended on March 31, 2023, as "fiscal 2023", and our prior fiscal years which ended on March 31, 2022 and March 31, 2021 as "fiscal 2022" and “fiscal 2021”, respectively. Our fiscal first quarter of each fiscal year ends on June 30, our fiscal second quarter ends on September 30, our fiscal third quarter ends on December 31 and our fiscal fourth quarter ends on March 31.</w:t>
      </w:r>
    </w:p>
    <w:p>
      <w:pPr>
        <w:spacing w:after="0" w:line="14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We have four reportable segments: Orion Services Group Division ("OSG"), Orion Distribution Services Division ("ODS"), Orion U.S. Markets Division (“USM”) and Orion Electric Vehicle Charging Division (“EV Division”).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selected historical consolidated financial data are not necessarily indicative of future results.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69"/>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gridSpan w:val="7"/>
          </w:tcPr>
          <w:p>
            <w:pPr>
              <w:jc w:val="right"/>
              <w:ind w:right="591"/>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57,210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91,889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87,664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113,352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56,261</w:t>
            </w:r>
          </w:p>
        </w:tc>
      </w:tr>
      <w:tr>
        <w:trPr>
          <w:trHeight w:val="24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20,173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32,494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29,176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37,489</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9,493</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77,383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124,383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116,840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150,841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65,754</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 (1) (2) (7)</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42,979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65,249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63,233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83,588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44,111</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Cost of service revenue (1) (3) (7)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16,893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25,222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23,483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30,130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7,091</w:t>
            </w:r>
          </w:p>
        </w:tc>
      </w:tr>
      <w:tr>
        <w:trPr>
          <w:trHeight w:val="237"/>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59,872</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90,471</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86,716</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113,718</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51,202</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17,511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33,912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30,124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37,123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14,552</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 (1) (4) (7)</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19,487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11,680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11,262</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11,184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10,231</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 expenses (1) (5) (7)</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11,392</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11,628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10,341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11,113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9,104</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Research and development expenses (1) (7)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1,374</w:t>
            </w: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(15,985 )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8,391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6,836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13,110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80</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Dividend and interest income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(16,363 )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8,250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6,518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12,621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Income tax expense (benefit) (6)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17,978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(19,616 )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w:t>
            </w:r>
          </w:p>
        </w:tc>
      </w:tr>
      <w:tr>
        <w:trPr>
          <w:trHeight w:val="277"/>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(34,341 )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6,091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26,134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12,462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(6,674 )</w:t>
            </w:r>
          </w:p>
        </w:tc>
      </w:tr>
      <w:tr>
        <w:trPr>
          <w:trHeight w:val="198"/>
        </w:trPr>
        <w:tc>
          <w:tcPr>
            <w:tcW w:w="49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Net (loss) income per share attributable to common</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1"/>
        </w:trPr>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0.20</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0.85</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(0.23 )</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0.83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(0.23 )</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shares outstanding:</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31,704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30,635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30,105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29,430</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31,704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31,295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31,304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30,965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-3917315</wp:posOffset>
            </wp:positionV>
            <wp:extent cx="9461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-3917315</wp:posOffset>
            </wp:positionV>
            <wp:extent cx="939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-3917315</wp:posOffset>
            </wp:positionV>
            <wp:extent cx="939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-3917315</wp:posOffset>
            </wp:positionV>
            <wp:extent cx="939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-3282315</wp:posOffset>
            </wp:positionV>
            <wp:extent cx="9461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-3282315</wp:posOffset>
            </wp:positionV>
            <wp:extent cx="939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-3282315</wp:posOffset>
            </wp:positionV>
            <wp:extent cx="9398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-3282315</wp:posOffset>
            </wp:positionV>
            <wp:extent cx="939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-1087755</wp:posOffset>
            </wp:positionV>
            <wp:extent cx="2546350" cy="31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635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660" w:hanging="652"/>
        <w:spacing w:after="0" w:line="26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69"/>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764</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54</w:t>
            </w:r>
          </w:p>
        </w:tc>
      </w:tr>
      <w:tr>
        <w:trPr>
          <w:trHeight w:val="24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1,612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813</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753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618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825</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-187960</wp:posOffset>
            </wp:positionV>
            <wp:extent cx="9461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939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939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-187960</wp:posOffset>
            </wp:positionV>
            <wp:extent cx="939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7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2020 includes expenses of $0.1 million related to restructuring.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2020 includes expenses of $0.1 million related to restructuring.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2020 includes expenses of $28 thousand related to restructuring.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2020 includes expenses of $0.2 million related to restructuring.</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2021 includes tax benefit of $20.9 million related to the release of the valuation allowance on deferred tax assets. Fiscal 2023 includes tax expense of $17.8 million related to the recording of the valuation allowance on deferred tax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left="660" w:hanging="652"/>
        <w:spacing w:after="0" w:line="26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2"/>
                <w:szCs w:val="12"/>
                <w:color w:val="auto"/>
              </w:rPr>
            </w:pPr>
          </w:p>
        </w:tc>
        <w:tc>
          <w:tcPr>
            <w:tcW w:w="1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Fiscal Year Ended March 31,</w:t>
            </w:r>
          </w:p>
        </w:tc>
        <w:tc>
          <w:tcPr>
            <w:tcW w:w="140" w:type="dxa"/>
            <w:vAlign w:val="bottom"/>
          </w:tcPr>
          <w:p>
            <w:pPr>
              <w:spacing w:after="0"/>
              <w:rPr>
                <w:sz w:val="12"/>
                <w:szCs w:val="12"/>
                <w:color w:val="auto"/>
              </w:rPr>
            </w:pPr>
          </w:p>
        </w:tc>
      </w:tr>
      <w:tr>
        <w:trPr>
          <w:trHeight w:val="185"/>
        </w:trPr>
        <w:tc>
          <w:tcPr>
            <w:tcW w:w="9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9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37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r>
      <w:tr>
        <w:trPr>
          <w:trHeight w:val="243"/>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FF0FC"/>
          </w:tcPr>
          <w:p>
            <w:pPr>
              <w:spacing w:after="0"/>
              <w:rPr>
                <w:sz w:val="21"/>
                <w:szCs w:val="21"/>
                <w:color w:val="auto"/>
              </w:rPr>
            </w:pPr>
          </w:p>
        </w:tc>
      </w:tr>
      <w:tr>
        <w:trPr>
          <w:trHeight w:val="237"/>
        </w:trPr>
        <w:tc>
          <w:tcPr>
            <w:tcW w:w="92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r>
      <w:tr>
        <w:trPr>
          <w:trHeight w:val="249"/>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spacing w:after="0"/>
              <w:rPr>
                <w:sz w:val="21"/>
                <w:szCs w:val="21"/>
                <w:color w:val="auto"/>
              </w:rPr>
            </w:pPr>
          </w:p>
        </w:tc>
      </w:tr>
      <w:tr>
        <w:trPr>
          <w:trHeight w:val="237"/>
        </w:trPr>
        <w:tc>
          <w:tcPr>
            <w:tcW w:w="92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0"/>
                <w:szCs w:val="20"/>
                <w:color w:val="auto"/>
              </w:rPr>
            </w:pPr>
          </w:p>
        </w:tc>
      </w:tr>
      <w:tr>
        <w:trPr>
          <w:trHeight w:val="243"/>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9280" w:type="dxa"/>
            <w:vAlign w:val="bottom"/>
          </w:tcPr>
          <w:p>
            <w:pPr>
              <w:ind w:left="20"/>
              <w:spacing w:after="0"/>
              <w:rPr>
                <w:sz w:val="20"/>
                <w:szCs w:val="20"/>
                <w:color w:val="auto"/>
              </w:rPr>
            </w:pPr>
            <w:r>
              <w:rPr>
                <w:rFonts w:ascii="Arial" w:cs="Arial" w:eastAsia="Arial" w:hAnsi="Arial"/>
                <w:sz w:val="18"/>
                <w:szCs w:val="18"/>
                <w:color w:val="auto"/>
              </w:rPr>
              <w:t>Total payroll tax credit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40" w:type="dxa"/>
            <w:vAlign w:val="bottom"/>
          </w:tcPr>
          <w:p>
            <w:pPr>
              <w:spacing w:after="0"/>
              <w:rPr>
                <w:sz w:val="20"/>
                <w:szCs w:val="20"/>
                <w:color w:val="auto"/>
              </w:rPr>
            </w:pP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Outlook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fiscal 2024, we plan on focusing on the following initiatives:</w:t>
      </w:r>
    </w:p>
    <w:p>
      <w:pPr>
        <w:spacing w:after="0" w:line="22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7"/>
          <w:szCs w:val="17"/>
          <w:i w:val="1"/>
          <w:iCs w:val="1"/>
          <w:color w:val="auto"/>
        </w:rPr>
        <w:t>Executing and marketing our turnkey LED retrofit capabilities to large national account customers</w:t>
      </w:r>
      <w:r>
        <w:rPr>
          <w:rFonts w:ascii="Arial" w:cs="Arial" w:eastAsia="Arial" w:hAnsi="Arial"/>
          <w:sz w:val="17"/>
          <w:szCs w:val="17"/>
          <w:color w:val="auto"/>
        </w:rPr>
        <w:t>. We believe one of our competitive advantages is</w:t>
      </w:r>
      <w:r>
        <w:rPr>
          <w:rFonts w:ascii="Arial" w:cs="Arial" w:eastAsia="Arial" w:hAnsi="Arial"/>
          <w:sz w:val="17"/>
          <w:szCs w:val="17"/>
          <w:i w:val="1"/>
          <w:iCs w:val="1"/>
          <w:color w:val="auto"/>
        </w:rPr>
        <w:t xml:space="preserve"> </w:t>
      </w:r>
      <w:r>
        <w:rPr>
          <w:rFonts w:ascii="Arial" w:cs="Arial" w:eastAsia="Arial" w:hAnsi="Arial"/>
          <w:sz w:val="17"/>
          <w:szCs w:val="17"/>
          <w:color w:val="auto"/>
        </w:rPr>
        <w:t>our ability to deliver full turnkey LED lighting project capabilities. These turnkey services were the principal reason we achieved significant recent revenue growth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We believe one of our competitive advantages is that we are organized to serve every step of a custom retrofit project in a comprehensive, non-disruptive and timely fashion, from custom fixture design and initial site surveys to final installations. We are also able to help customers deploy state-of-the-art control systems that provide even greater long-term value from their lighting system investments.</w:t>
      </w:r>
    </w:p>
    <w:p>
      <w:pPr>
        <w:spacing w:after="0" w:line="178"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compelling value proposition, capabilities and focus on customer service, we are optimistic about our business prospects and working to build sales momentum with existing and new customers.</w:t>
      </w:r>
    </w:p>
    <w:p>
      <w:pPr>
        <w:spacing w:after="0" w:line="188"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i w:val="1"/>
          <w:iCs w:val="1"/>
          <w:color w:val="auto"/>
        </w:rPr>
        <w:t xml:space="preserve">Continued Product Innovation. </w:t>
      </w:r>
      <w:r>
        <w:rPr>
          <w:rFonts w:ascii="Arial" w:cs="Arial" w:eastAsia="Arial" w:hAnsi="Arial"/>
          <w:sz w:val="16"/>
          <w:szCs w:val="16"/>
          <w:color w:val="auto"/>
        </w:rPr>
        <w:t>We continue to innovate, developing lighting fixtures and features that address specific customer requirements,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Orion is launching a new line of exterior products in FY’24 Q2 designed to increase sales and market share in the application market. Our goal is to provide state-of-the-art lighting products with modular plug-and-play designs to enable lighting system customization from basic controls to advanced IoT capabilities.</w:t>
      </w:r>
    </w:p>
    <w:p>
      <w:pPr>
        <w:spacing w:after="0" w:line="164" w:lineRule="exact"/>
        <w:rPr>
          <w:sz w:val="20"/>
          <w:szCs w:val="20"/>
          <w:color w:val="auto"/>
        </w:rPr>
      </w:pPr>
    </w:p>
    <w:p>
      <w:pPr>
        <w:jc w:val="both"/>
        <w:ind w:firstLine="494"/>
        <w:spacing w:after="0" w:line="291" w:lineRule="auto"/>
        <w:rPr>
          <w:sz w:val="20"/>
          <w:szCs w:val="20"/>
          <w:color w:val="auto"/>
        </w:rPr>
      </w:pPr>
      <w:r>
        <w:rPr>
          <w:rFonts w:ascii="Arial" w:cs="Arial" w:eastAsia="Arial" w:hAnsi="Arial"/>
          <w:sz w:val="16"/>
          <w:szCs w:val="16"/>
          <w:i w:val="1"/>
          <w:iCs w:val="1"/>
          <w:color w:val="auto"/>
        </w:rPr>
        <w:t xml:space="preserve">Leverage of our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66"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i w:val="1"/>
          <w:iCs w:val="1"/>
          <w:color w:val="auto"/>
        </w:rPr>
        <w:t xml:space="preserve">Increase our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positions us well to extend a maintenance offering to historical customers, as well as to new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Development of this recurring revenue stream is making progress and we believe there is significant market opportunity. In fiscal 2021, we began providing energy maintenance services, and, on January 1, 2022, we completed the acquisition of Stay-Lite Lighting. The acquisition of Stay-Lite Lighting is intended to further increase our energy maintenance services capabilities.</w:t>
      </w:r>
    </w:p>
    <w:p>
      <w:pPr>
        <w:spacing w:after="0" w:line="184"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support for our ESCO and agent driven distribution channels. These efforts include an array of product and sales training efforts as well as the development of new products to cater to the unique needs of these sales channels.</w:t>
      </w:r>
    </w:p>
    <w:p>
      <w:pPr>
        <w:spacing w:after="0" w:line="184"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i w:val="1"/>
          <w:iCs w:val="1"/>
          <w:color w:val="auto"/>
        </w:rPr>
        <w:t xml:space="preserve">Grow EV Charging Installation Business. </w:t>
      </w:r>
      <w:r>
        <w:rPr>
          <w:rFonts w:ascii="Arial" w:cs="Arial" w:eastAsia="Arial" w:hAnsi="Arial"/>
          <w:sz w:val="18"/>
          <w:szCs w:val="18"/>
          <w:color w:val="auto"/>
        </w:rPr>
        <w:t>We acquired Voltrek, a turnkey EV charging installation business, in fiscal 2023. We believe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growth opportunities in Voltrek’s existing east coast geographic market, as well as on a national basis. We plan to focus our growth plans on maximizing the initial positive momentum realized in fiscal 2023 from our Voltrek acquisition and on cross selling our EV charging solutions into our historical market channels and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Voltrek</w:t>
      </w:r>
    </w:p>
    <w:p>
      <w:pPr>
        <w:spacing w:after="0" w:line="121" w:lineRule="exact"/>
        <w:rPr>
          <w:sz w:val="20"/>
          <w:szCs w:val="20"/>
          <w:color w:val="auto"/>
        </w:rPr>
      </w:pPr>
    </w:p>
    <w:p>
      <w:pPr>
        <w:jc w:val="both"/>
        <w:ind w:firstLine="494"/>
        <w:spacing w:after="0" w:line="296" w:lineRule="auto"/>
        <w:rPr>
          <w:sz w:val="20"/>
          <w:szCs w:val="20"/>
          <w:color w:val="auto"/>
        </w:rPr>
      </w:pPr>
      <w:r>
        <w:rPr>
          <w:rFonts w:ascii="Arial" w:cs="Arial" w:eastAsia="Arial" w:hAnsi="Arial"/>
          <w:sz w:val="16"/>
          <w:szCs w:val="16"/>
          <w:color w:val="auto"/>
        </w:rPr>
        <w:t>Effective on October 5, 2022, we acquired all of the outstanding membership interests of Voltrek LLC, a leading electric vehicle charging company that provides turnkey installation solutions with ongoing support to all commercial verticals. The initial purchase price consisted of $5.0 million cash and $1.0 million of stock. We will also pay an additional $3.0 million based on Voltrek's performance in fiscal 2023 and could pay up to an additional $3.5 million and $7.15 million in compensatory consideration if Voltrek exceeds certain earnings targets in fiscal 2024 and 2025, respectively. The acquisition was funded from existing cash and credit resources and has been operating as Voltrek, a division of Orion Energy Systems.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Stay-Lite Lighting</w:t>
      </w:r>
    </w:p>
    <w:p>
      <w:pPr>
        <w:spacing w:after="0" w:line="121"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Effective on January 1, 2022, we acquired all of the issued and outstanding capital stock of Stay-Lite Lighting, a nationwide lighting and electrical maintenance service provider, for a cash purchase price of $4.0 million. The acquisition was funded from existing cash resources. Stay-Lite Lighting has been operating as Stay-Lite, an Orion Energy Systems business. The acquisition accelerates the growth of our maintenance services offerings through our Orion Services Group, which provides lighting and electrical services to customers. Our fiscal 2023 results included a full year of operations of Stay-Lite Lighting.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Replacing Reduced Revenue from Primary Customer</w:t>
      </w:r>
    </w:p>
    <w:p>
      <w:pPr>
        <w:spacing w:after="0" w:line="200" w:lineRule="exact"/>
        <w:rPr>
          <w:sz w:val="20"/>
          <w:szCs w:val="20"/>
          <w:color w:val="auto"/>
        </w:rPr>
      </w:pPr>
    </w:p>
    <w:p>
      <w:pPr>
        <w:spacing w:after="0" w:line="245"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In fiscal 2023, one customer accounted for 16.2% of our total revenue. In fiscal 2022, that same customer accounted for 49.1% of our total revenue, and in fiscal 2021, this same customer accounted for 56.0% of our total revenue. In fiscal 2024, we expect that our customer concentration will continue at the approximate level experienced in fiscal 2023. We continue to attempt to diversify our customer base by expanding our reach to national accounts, ESCOs, the agent driven distribution channel, lighting maintenance customers and the EV market, in order to replace this reduced level of revenue from our prior most significant customer.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 Fiscal 2023 versus Fiscal 2022</w:t>
      </w:r>
    </w:p>
    <w:p>
      <w:pPr>
        <w:spacing w:after="0" w:line="121" w:lineRule="exact"/>
        <w:rPr>
          <w:sz w:val="20"/>
          <w:szCs w:val="20"/>
          <w:color w:val="auto"/>
        </w:rPr>
      </w:pPr>
    </w:p>
    <w:p>
      <w:pPr>
        <w:jc w:val="both"/>
        <w:ind w:right="80" w:firstLine="494"/>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left="553"/>
              <w:spacing w:after="0"/>
              <w:rPr>
                <w:sz w:val="20"/>
                <w:szCs w:val="20"/>
                <w:color w:val="auto"/>
              </w:rPr>
            </w:pPr>
            <w:r>
              <w:rPr>
                <w:rFonts w:ascii="Arial" w:cs="Arial" w:eastAsia="Arial" w:hAnsi="Arial"/>
                <w:sz w:val="14"/>
                <w:szCs w:val="14"/>
                <w:b w:val="1"/>
                <w:bCs w:val="1"/>
                <w:color w:val="auto"/>
                <w:w w:val="94"/>
              </w:rPr>
              <w:t>Fiscal Year Ended March 31,</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213"/>
              <w:spacing w:after="0" w:line="133"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26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57,210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91,889</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(37.7 )%</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73.9 %</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20,173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32,494</w:t>
            </w:r>
          </w:p>
        </w:tc>
        <w:tc>
          <w:tcPr>
            <w:tcW w:w="1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(37.9 )%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26.1 %</w:t>
            </w:r>
          </w:p>
        </w:tc>
        <w:tc>
          <w:tcPr>
            <w:tcW w:w="1260" w:type="dxa"/>
            <w:vAlign w:val="bottom"/>
          </w:tcPr>
          <w:p>
            <w:pPr>
              <w:jc w:val="right"/>
              <w:spacing w:after="0"/>
              <w:rPr>
                <w:sz w:val="20"/>
                <w:szCs w:val="20"/>
                <w:color w:val="auto"/>
              </w:rPr>
            </w:pPr>
            <w:r>
              <w:rPr>
                <w:rFonts w:ascii="Arial" w:cs="Arial" w:eastAsia="Arial" w:hAnsi="Arial"/>
                <w:sz w:val="18"/>
                <w:szCs w:val="18"/>
                <w:color w:val="auto"/>
              </w:rPr>
              <w:t>26.1 %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77,383</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124,383</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(37.8 )%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42,979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65,249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(34.1 )%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55.5 %</w:t>
            </w:r>
          </w:p>
        </w:tc>
        <w:tc>
          <w:tcPr>
            <w:tcW w:w="1260" w:type="dxa"/>
            <w:vAlign w:val="bottom"/>
          </w:tcPr>
          <w:p>
            <w:pPr>
              <w:jc w:val="right"/>
              <w:spacing w:after="0"/>
              <w:rPr>
                <w:sz w:val="20"/>
                <w:szCs w:val="20"/>
                <w:color w:val="auto"/>
              </w:rPr>
            </w:pPr>
            <w:r>
              <w:rPr>
                <w:rFonts w:ascii="Arial" w:cs="Arial" w:eastAsia="Arial" w:hAnsi="Arial"/>
                <w:sz w:val="18"/>
                <w:szCs w:val="18"/>
                <w:color w:val="auto"/>
              </w:rPr>
              <w:t>52.5 %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16,893</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25,222</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59,872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90,471</w:t>
            </w:r>
          </w:p>
        </w:tc>
        <w:tc>
          <w:tcPr>
            <w:tcW w:w="1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(33.8 )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77.4 %</w:t>
            </w:r>
          </w:p>
        </w:tc>
        <w:tc>
          <w:tcPr>
            <w:tcW w:w="1260" w:type="dxa"/>
            <w:vAlign w:val="bottom"/>
          </w:tcPr>
          <w:p>
            <w:pPr>
              <w:jc w:val="right"/>
              <w:spacing w:after="0"/>
              <w:rPr>
                <w:sz w:val="20"/>
                <w:szCs w:val="20"/>
                <w:color w:val="auto"/>
              </w:rPr>
            </w:pPr>
            <w:r>
              <w:rPr>
                <w:rFonts w:ascii="Arial" w:cs="Arial" w:eastAsia="Arial" w:hAnsi="Arial"/>
                <w:sz w:val="18"/>
                <w:szCs w:val="18"/>
                <w:color w:val="auto"/>
              </w:rPr>
              <w:t>72.7 %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17,511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33,912</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22.6 %</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19,487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11,680</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66.8 %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25.2 %</w:t>
            </w:r>
          </w:p>
        </w:tc>
        <w:tc>
          <w:tcPr>
            <w:tcW w:w="1260" w:type="dxa"/>
            <w:vAlign w:val="bottom"/>
          </w:tcPr>
          <w:p>
            <w:pPr>
              <w:jc w:val="right"/>
              <w:spacing w:after="0"/>
              <w:rPr>
                <w:sz w:val="20"/>
                <w:szCs w:val="20"/>
                <w:color w:val="auto"/>
              </w:rPr>
            </w:pPr>
            <w:r>
              <w:rPr>
                <w:rFonts w:ascii="Arial" w:cs="Arial" w:eastAsia="Arial" w:hAnsi="Arial"/>
                <w:sz w:val="18"/>
                <w:szCs w:val="18"/>
                <w:color w:val="auto"/>
              </w:rPr>
              <w:t>9.4 %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512</w:t>
            </w:r>
          </w:p>
        </w:tc>
        <w:tc>
          <w:tcPr>
            <w:tcW w:w="1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49.4 %</w:t>
            </w: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11,392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11,628</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14.7 %</w:t>
            </w:r>
          </w:p>
        </w:tc>
        <w:tc>
          <w:tcPr>
            <w:tcW w:w="126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1,852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(15,985 )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(20.7 )</w:t>
            </w:r>
            <w:r>
              <w:rPr>
                <w:rFonts w:ascii="Arial" w:cs="Arial" w:eastAsia="Arial" w:hAnsi="Arial"/>
                <w:sz w:val="18"/>
                <w:szCs w:val="18"/>
                <w:color w:val="auto"/>
                <w:highlight w:val="white"/>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NM</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(80 )</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(323.8 )%</w:t>
            </w: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6"/>
        </w:trPr>
        <w:tc>
          <w:tcPr>
            <w:tcW w:w="504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(73 )</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(17.7 )%</w:t>
            </w:r>
          </w:p>
        </w:tc>
        <w:tc>
          <w:tcPr>
            <w:tcW w:w="18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(Loss) income before income tax</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tcBorders>
            <w:vMerge w:val="restart"/>
          </w:tcPr>
          <w:p>
            <w:pPr>
              <w:ind w:left="620"/>
              <w:spacing w:after="0"/>
              <w:rPr>
                <w:sz w:val="20"/>
                <w:szCs w:val="20"/>
                <w:color w:val="auto"/>
              </w:rPr>
            </w:pPr>
            <w:r>
              <w:rPr>
                <w:rFonts w:ascii="Arial" w:cs="Arial" w:eastAsia="Arial" w:hAnsi="Arial"/>
                <w:sz w:val="18"/>
                <w:szCs w:val="18"/>
                <w:color w:val="auto"/>
              </w:rPr>
              <w:t>NM</w:t>
            </w: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(16,363 )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(21.1 )%</w:t>
            </w:r>
          </w:p>
        </w:tc>
        <w:tc>
          <w:tcPr>
            <w:tcW w:w="1260" w:type="dxa"/>
            <w:vAlign w:val="bottom"/>
          </w:tcPr>
          <w:p>
            <w:pPr>
              <w:jc w:val="right"/>
              <w:spacing w:after="0"/>
              <w:rPr>
                <w:sz w:val="20"/>
                <w:szCs w:val="20"/>
                <w:color w:val="auto"/>
              </w:rPr>
            </w:pPr>
            <w:r>
              <w:rPr>
                <w:rFonts w:ascii="Arial" w:cs="Arial" w:eastAsia="Arial" w:hAnsi="Arial"/>
                <w:sz w:val="18"/>
                <w:szCs w:val="18"/>
                <w:color w:val="auto"/>
              </w:rPr>
              <w:t>6.6 %</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17,978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(34,341 )</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6,091</w:t>
            </w:r>
          </w:p>
        </w:tc>
        <w:tc>
          <w:tcPr>
            <w:tcW w:w="12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(44.4 )</w:t>
            </w:r>
            <w:r>
              <w:rPr>
                <w:rFonts w:ascii="Arial" w:cs="Arial" w:eastAsia="Arial" w:hAnsi="Arial"/>
                <w:sz w:val="18"/>
                <w:szCs w:val="18"/>
                <w:color w:val="auto"/>
                <w:highlight w:val="white"/>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 NM =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-2219960</wp:posOffset>
            </wp:positionV>
            <wp:extent cx="946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-2219960</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-2219960</wp:posOffset>
            </wp:positionV>
            <wp:extent cx="857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-1276985</wp:posOffset>
            </wp:positionV>
            <wp:extent cx="9461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-1276985</wp:posOffset>
            </wp:positionV>
            <wp:extent cx="8572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-1276985</wp:posOffset>
            </wp:positionV>
            <wp:extent cx="857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-325120</wp:posOffset>
            </wp:positionV>
            <wp:extent cx="9461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-325120</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-325120</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both"/>
        <w:ind w:right="80" w:firstLine="499"/>
        <w:spacing w:after="0" w:line="271"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decreased by 37.7%, or $34.7 million, for fiscal 2023 versus fiscal 2022.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decreased by 37.9%, or $12.3 million, for fiscal 2023 versus fiscal 2022. The decrease in product revenue was primarily due to the completion of a significant project for our largest customer and delays in the commencement of certain projects partially offset by revenue associated with the Stay-Lite and Voltrek acquisitions. The decrease in service revenue was primarily due to the completion of the significant project for our largest customer partially offset by revenue association with the acquisition of Stay-Lite and Voltrek. Cost of product revenue decreased by 34.1%, or $22.3 million, in fiscal 2023 versus the comparable period in fiscal 2022. Cost of service revenue decreased by 33.0%, or $8.3 million, in fiscal 2023 versus fiscal 2022. The decreases were primarily because of decreases in revenue described above. Gross margin decreased to 22.6% of revenue in fiscal 2023 from 27.3% in fiscal 2022, due primarily to lower absorption of fixed costs on reduced revenue volume.</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right="80" w:firstLine="499"/>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66.8%, or $7.8 million, in fiscal 2023 compared to fiscal 2022. This</w:t>
      </w:r>
      <w:r>
        <w:rPr>
          <w:rFonts w:ascii="Arial" w:cs="Arial" w:eastAsia="Arial" w:hAnsi="Arial"/>
          <w:sz w:val="17"/>
          <w:szCs w:val="17"/>
          <w:i w:val="1"/>
          <w:iCs w:val="1"/>
          <w:color w:val="auto"/>
        </w:rPr>
        <w:t xml:space="preserve"> </w:t>
      </w:r>
      <w:r>
        <w:rPr>
          <w:rFonts w:ascii="Arial" w:cs="Arial" w:eastAsia="Arial" w:hAnsi="Arial"/>
          <w:sz w:val="17"/>
          <w:szCs w:val="17"/>
          <w:color w:val="auto"/>
        </w:rPr>
        <w:t>comparative increase was primarily due to the acquisition of Stay-Lite Lighting and Voltrek, which included $4.0 million for compensatory Voltrek earn-out payments. In addition, there were lower employment costs in fiscal 2022 as a result of COVID-19 related actions and the payroll tax credit.</w:t>
      </w:r>
    </w:p>
    <w:p>
      <w:pPr>
        <w:spacing w:after="0" w:line="57" w:lineRule="exact"/>
        <w:rPr>
          <w:sz w:val="20"/>
          <w:szCs w:val="20"/>
          <w:color w:val="auto"/>
        </w:rPr>
      </w:pPr>
    </w:p>
    <w:p>
      <w:pPr>
        <w:jc w:val="both"/>
        <w:ind w:right="80" w:firstLine="499"/>
        <w:spacing w:after="0" w:line="277" w:lineRule="auto"/>
        <w:rPr>
          <w:sz w:val="20"/>
          <w:szCs w:val="20"/>
          <w:color w:val="auto"/>
        </w:rPr>
      </w:pPr>
      <w:r>
        <w:rPr>
          <w:rFonts w:ascii="Arial" w:cs="Arial" w:eastAsia="Arial" w:hAnsi="Arial"/>
          <w:sz w:val="18"/>
          <w:szCs w:val="18"/>
          <w:i w:val="1"/>
          <w:iCs w:val="1"/>
          <w:color w:val="auto"/>
        </w:rPr>
        <w:t>Acquisition Related Costs</w:t>
      </w:r>
      <w:r>
        <w:rPr>
          <w:rFonts w:ascii="Arial" w:cs="Arial" w:eastAsia="Arial" w:hAnsi="Arial"/>
          <w:sz w:val="18"/>
          <w:szCs w:val="18"/>
          <w:color w:val="auto"/>
        </w:rPr>
        <w:t>. In fiscal 2023, we incurred acquisition costs of $0.8 million, primarily relating to the Voltrek acquisition. In fiscal 2022,</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incurred acquisition expenses of $0.5 million relating to the acquisition of Stay-Lite Lighting.</w:t>
      </w:r>
    </w:p>
    <w:p>
      <w:pPr>
        <w:spacing w:after="0" w:line="170" w:lineRule="exact"/>
        <w:rPr>
          <w:sz w:val="20"/>
          <w:szCs w:val="20"/>
          <w:color w:val="auto"/>
        </w:rPr>
      </w:pPr>
    </w:p>
    <w:p>
      <w:pPr>
        <w:jc w:val="both"/>
        <w:ind w:right="80" w:firstLine="499"/>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2.0%, or $0.2 million, in fiscal 2023 compared to fiscal 2022.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decrease in commission expense on lower sales partially offset by expenses associated with the Stay-Lite Lighting and Voltrek businesses.</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53" w:right="259" w:bottom="1440" w:gutter="0" w:footer="0" w:header="0"/>
        </w:sectPr>
      </w:pPr>
    </w:p>
    <w:bookmarkStart w:id="39" w:name="page40"/>
    <w:bookmarkEnd w:id="39"/>
    <w:p>
      <w:pPr>
        <w:ind w:left="500"/>
        <w:spacing w:after="0"/>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8.9%, or $0.2 million, in fiscal 2023 compared to fiscal 2022 .</w:t>
      </w:r>
    </w:p>
    <w:p>
      <w:pPr>
        <w:spacing w:after="0" w:line="237" w:lineRule="exact"/>
        <w:rPr>
          <w:sz w:val="20"/>
          <w:szCs w:val="20"/>
          <w:color w:val="auto"/>
        </w:rPr>
      </w:pPr>
    </w:p>
    <w:p>
      <w:pPr>
        <w:jc w:val="both"/>
        <w:ind w:right="80" w:firstLine="49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2023 increased by $0.2 million to $0.3 million primarily because of higher borrowings on Orion’s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and increased third party financing costs related to the sale of receivables.</w:t>
      </w:r>
    </w:p>
    <w:p>
      <w:pPr>
        <w:spacing w:after="0" w:line="170" w:lineRule="exact"/>
        <w:rPr>
          <w:sz w:val="20"/>
          <w:szCs w:val="20"/>
          <w:color w:val="auto"/>
        </w:rPr>
      </w:pPr>
    </w:p>
    <w:p>
      <w:pPr>
        <w:jc w:val="both"/>
        <w:ind w:right="80" w:firstLine="499"/>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fiscal 2023, we recognized tax expense of $18.0 million. In fiscal 2022, we recognized tax expense of $2.2 million. The fiscal 2023</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driven by a $17.8 million non-cash charge to increase the valuation allowance on a significant portion of our deferred tax assets. This resulted in substantially and disproportionately decreasing our reported net income and our earnings per share compared to our operating results. Historical and future comparisons to these amounts are not, and will not be, indicative of actual profitability trends for our business. Our fiscal 2022 income tax provision reflects a more normalized effective income tax rate. We do not expect to remit significant cash taxes for the next several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Fiscal 2022 versus Fiscal 2021</w:t>
      </w:r>
    </w:p>
    <w:p>
      <w:pPr>
        <w:spacing w:after="0" w:line="121" w:lineRule="exact"/>
        <w:rPr>
          <w:sz w:val="20"/>
          <w:szCs w:val="20"/>
          <w:color w:val="auto"/>
        </w:rPr>
      </w:pPr>
    </w:p>
    <w:p>
      <w:pPr>
        <w:jc w:val="both"/>
        <w:ind w:right="80" w:firstLine="499"/>
        <w:spacing w:after="0" w:line="342"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left="552"/>
              <w:spacing w:after="0"/>
              <w:rPr>
                <w:sz w:val="20"/>
                <w:szCs w:val="20"/>
                <w:color w:val="auto"/>
              </w:rPr>
            </w:pPr>
            <w:r>
              <w:rPr>
                <w:rFonts w:ascii="Arial" w:cs="Arial" w:eastAsia="Arial" w:hAnsi="Arial"/>
                <w:sz w:val="14"/>
                <w:szCs w:val="14"/>
                <w:b w:val="1"/>
                <w:bCs w:val="1"/>
                <w:color w:val="auto"/>
                <w:w w:val="94"/>
              </w:rPr>
              <w:t>Fiscal Year Ended March 31,</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212"/>
              <w:spacing w:after="0" w:line="133"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260" w:type="dxa"/>
            <w:vAlign w:val="bottom"/>
          </w:tcPr>
          <w:p>
            <w:pPr>
              <w:jc w:val="center"/>
              <w:ind w:right="32"/>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Revenue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91,889</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87,664</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73.9 %</w:t>
            </w:r>
          </w:p>
        </w:tc>
        <w:tc>
          <w:tcPr>
            <w:tcW w:w="14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32,494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29,176</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11.4 %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26.1 %</w:t>
            </w:r>
          </w:p>
        </w:tc>
        <w:tc>
          <w:tcPr>
            <w:tcW w:w="1260" w:type="dxa"/>
            <w:vAlign w:val="bottom"/>
          </w:tcPr>
          <w:p>
            <w:pPr>
              <w:jc w:val="right"/>
              <w:spacing w:after="0"/>
              <w:rPr>
                <w:sz w:val="20"/>
                <w:szCs w:val="20"/>
                <w:color w:val="auto"/>
              </w:rPr>
            </w:pPr>
            <w:r>
              <w:rPr>
                <w:rFonts w:ascii="Arial" w:cs="Arial" w:eastAsia="Arial" w:hAnsi="Arial"/>
                <w:sz w:val="18"/>
                <w:szCs w:val="18"/>
                <w:color w:val="auto"/>
              </w:rPr>
              <w:t>25.0 %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124,383</w:t>
            </w: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116,840</w:t>
            </w:r>
          </w:p>
        </w:tc>
        <w:tc>
          <w:tcPr>
            <w:tcW w:w="1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65,249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63,233</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52.5 %</w:t>
            </w:r>
          </w:p>
        </w:tc>
        <w:tc>
          <w:tcPr>
            <w:tcW w:w="1260" w:type="dxa"/>
            <w:vAlign w:val="bottom"/>
          </w:tcPr>
          <w:p>
            <w:pPr>
              <w:jc w:val="right"/>
              <w:spacing w:after="0"/>
              <w:rPr>
                <w:sz w:val="20"/>
                <w:szCs w:val="20"/>
                <w:color w:val="auto"/>
              </w:rPr>
            </w:pPr>
            <w:r>
              <w:rPr>
                <w:rFonts w:ascii="Arial" w:cs="Arial" w:eastAsia="Arial" w:hAnsi="Arial"/>
                <w:sz w:val="18"/>
                <w:szCs w:val="18"/>
                <w:color w:val="auto"/>
              </w:rPr>
              <w:t>54.1 %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25,222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23,483</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90,471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86,716</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72.7 %</w:t>
            </w:r>
          </w:p>
        </w:tc>
        <w:tc>
          <w:tcPr>
            <w:tcW w:w="1260" w:type="dxa"/>
            <w:vAlign w:val="bottom"/>
          </w:tcPr>
          <w:p>
            <w:pPr>
              <w:jc w:val="right"/>
              <w:spacing w:after="0"/>
              <w:rPr>
                <w:sz w:val="20"/>
                <w:szCs w:val="20"/>
                <w:color w:val="auto"/>
              </w:rPr>
            </w:pPr>
            <w:r>
              <w:rPr>
                <w:rFonts w:ascii="Arial" w:cs="Arial" w:eastAsia="Arial" w:hAnsi="Arial"/>
                <w:sz w:val="18"/>
                <w:szCs w:val="18"/>
                <w:color w:val="auto"/>
              </w:rPr>
              <w:t>74.2 %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33,912</w:t>
            </w: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30,124</w:t>
            </w:r>
          </w:p>
        </w:tc>
        <w:tc>
          <w:tcPr>
            <w:tcW w:w="1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12.6 %</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27.3 %</w:t>
            </w:r>
          </w:p>
        </w:tc>
        <w:tc>
          <w:tcPr>
            <w:tcW w:w="14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11,262</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3.7 %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9.4 %</w:t>
            </w:r>
          </w:p>
        </w:tc>
        <w:tc>
          <w:tcPr>
            <w:tcW w:w="126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NM</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10,341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12.4 %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9.3 %</w:t>
            </w:r>
          </w:p>
        </w:tc>
        <w:tc>
          <w:tcPr>
            <w:tcW w:w="1260" w:type="dxa"/>
            <w:vAlign w:val="bottom"/>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8,391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22.7 %</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6.7 %</w:t>
            </w:r>
          </w:p>
        </w:tc>
        <w:tc>
          <w:tcPr>
            <w:tcW w:w="126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56</w:t>
            </w: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(98.2 )%</w:t>
            </w: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0.0 %</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(127 )</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37.0 %</w:t>
            </w: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2"/>
        </w:trPr>
        <w:tc>
          <w:tcPr>
            <w:tcW w:w="504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(157 )</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60.5 %</w:t>
            </w:r>
          </w:p>
        </w:tc>
        <w:tc>
          <w:tcPr>
            <w:tcW w:w="1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6"/>
        </w:trPr>
        <w:tc>
          <w:tcPr>
            <w:tcW w:w="504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4"/>
                <w:szCs w:val="24"/>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NM</w:t>
            </w:r>
          </w:p>
        </w:tc>
        <w:tc>
          <w:tcPr>
            <w:tcW w:w="320" w:type="dxa"/>
            <w:vAlign w:val="bottom"/>
            <w:gridSpan w:val="2"/>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5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before income tax</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8,250</w:t>
            </w:r>
          </w:p>
        </w:tc>
        <w:tc>
          <w:tcPr>
            <w:tcW w:w="1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6,518</w:t>
            </w:r>
          </w:p>
        </w:tc>
        <w:tc>
          <w:tcPr>
            <w:tcW w:w="1320" w:type="dxa"/>
            <w:vAlign w:val="bottom"/>
            <w:tcBorders>
              <w:top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26.6 %</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6.6 %</w:t>
            </w:r>
          </w:p>
        </w:tc>
        <w:tc>
          <w:tcPr>
            <w:tcW w:w="14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(19,616 )</w:t>
            </w:r>
          </w:p>
        </w:tc>
        <w:tc>
          <w:tcPr>
            <w:tcW w:w="12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6,091</w:t>
            </w: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26,134</w:t>
            </w:r>
          </w:p>
        </w:tc>
        <w:tc>
          <w:tcPr>
            <w:tcW w:w="12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(76.7 )%</w:t>
            </w:r>
          </w:p>
        </w:tc>
        <w:tc>
          <w:tcPr>
            <w:tcW w:w="18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22.4 %</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 NM = Not Meaningful</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-2383155</wp:posOffset>
            </wp:positionV>
            <wp:extent cx="946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-2383155</wp:posOffset>
            </wp:positionV>
            <wp:extent cx="8572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-2383155</wp:posOffset>
            </wp:positionV>
            <wp:extent cx="857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-2383155</wp:posOffset>
            </wp:positionV>
            <wp:extent cx="857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-1440180</wp:posOffset>
            </wp:positionV>
            <wp:extent cx="9461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16256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-1440180</wp:posOffset>
            </wp:positionV>
            <wp:extent cx="8572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-1440180</wp:posOffset>
            </wp:positionV>
            <wp:extent cx="8572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-1440180</wp:posOffset>
            </wp:positionV>
            <wp:extent cx="8572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-651510</wp:posOffset>
            </wp:positionV>
            <wp:extent cx="946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-651510</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-651510</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-171450</wp:posOffset>
            </wp:positionV>
            <wp:extent cx="94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-154305</wp:posOffset>
            </wp:positionV>
            <wp:extent cx="94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-171450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-154305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-171450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-154305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-171450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-154305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4" w:lineRule="exact"/>
        <w:rPr>
          <w:sz w:val="20"/>
          <w:szCs w:val="20"/>
          <w:color w:val="auto"/>
        </w:rPr>
      </w:pPr>
    </w:p>
    <w:p>
      <w:pPr>
        <w:jc w:val="both"/>
        <w:ind w:right="80" w:firstLine="494"/>
        <w:spacing w:after="0" w:line="257" w:lineRule="auto"/>
        <w:rPr>
          <w:sz w:val="20"/>
          <w:szCs w:val="20"/>
          <w:color w:val="auto"/>
        </w:rPr>
      </w:pPr>
      <w:r>
        <w:rPr>
          <w:rFonts w:ascii="Arial" w:cs="Arial" w:eastAsia="Arial" w:hAnsi="Arial"/>
          <w:sz w:val="18"/>
          <w:szCs w:val="18"/>
          <w:i w:val="1"/>
          <w:iCs w:val="1"/>
          <w:color w:val="auto"/>
        </w:rPr>
        <w:t xml:space="preserve">Revenue, Cost of Revenue and Gross Margin. </w:t>
      </w:r>
      <w:r>
        <w:rPr>
          <w:rFonts w:ascii="Arial" w:cs="Arial" w:eastAsia="Arial" w:hAnsi="Arial"/>
          <w:sz w:val="18"/>
          <w:szCs w:val="18"/>
          <w:color w:val="auto"/>
        </w:rPr>
        <w:t>Product revenue increased by 4.8%, or $4.2 million, for fiscal 2022 versus fiscal 2021.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increased by 11.4%, or $3.3 million, for fiscal 2022 versus fiscal 2021. The increase in product revenue was primarily due to multiple projects put on hold in the prior year as a result of COVID-19. The increase in service revenue was primarily due to the acquisition of Stay-Lite Lighting. Cost of product revenue increased by 3.2%, or $2.0 million, in fiscal 2022 versus the comparable period in fiscal 2021. Cost of service revenue increased by 7.4%, or $1.7 million, in fiscal 2022 versus fiscal 2021. The</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57" w:right="25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increase in product costs was primarily due to the increase in product revenue. Gross margin increased to 27.3% of revenue in fiscal 2022 from 25.8% in fiscal 2021, due primarily to cost management and a change in customer sales mix.</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3.7%, or $0.4 million, in fiscal 2022 compared to fiscal 2021.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increase was primarily due to the acquisition of Stay-Lite Lighting and lower employment costs in fiscal 2021 as a result of COVID-19 related actions, partially offset by the payroll tax credit.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Acquisition Related Costs</w:t>
      </w:r>
      <w:r>
        <w:rPr>
          <w:rFonts w:ascii="Arial" w:cs="Arial" w:eastAsia="Arial" w:hAnsi="Arial"/>
          <w:sz w:val="17"/>
          <w:szCs w:val="17"/>
          <w:color w:val="auto"/>
        </w:rPr>
        <w:t>. In fiscal 2022, we incurred acquisition expenses of $0.5 million relating to the acquisition of Stay-Lite Lighting.</w:t>
      </w:r>
    </w:p>
    <w:p>
      <w:pPr>
        <w:spacing w:after="0" w:line="237"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12.4%, or $1.3 million, in fiscal 2022 compared to fiscal 2021.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commission expense on higher sales and an increase in travel, both a result of COVID-19 restrictions in fiscal 2021, as well as a result of the acquisition of Stay-Lite Lighting.</w:t>
      </w:r>
    </w:p>
    <w:p>
      <w:pPr>
        <w:spacing w:after="0" w:line="184"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were essentially flat in fiscal 2022 compared to fiscal 2021 and also remained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sales between years.</w:t>
      </w:r>
    </w:p>
    <w:p>
      <w:pPr>
        <w:spacing w:after="0" w:line="170"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2022 decreased by 37.0%, or $47 thousand, from fiscal 2021. The decrease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fewer sales of receivables.</w:t>
      </w:r>
    </w:p>
    <w:p>
      <w:pPr>
        <w:spacing w:after="0" w:line="170"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i w:val="1"/>
          <w:iCs w:val="1"/>
          <w:color w:val="auto"/>
        </w:rPr>
        <w:t>Loss on Debt Extinguishment</w:t>
      </w:r>
      <w:r>
        <w:rPr>
          <w:rFonts w:ascii="Arial" w:cs="Arial" w:eastAsia="Arial" w:hAnsi="Arial"/>
          <w:sz w:val="18"/>
          <w:szCs w:val="18"/>
          <w:color w:val="auto"/>
        </w:rPr>
        <w:t>. Loss on debt extinguishment in fiscal 2021 related to the write-off of fees incurred with respect to our prior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which was recognized upon execution of our new credit facility during the third quarter of fiscal 2021.</w:t>
      </w:r>
    </w:p>
    <w:p>
      <w:pPr>
        <w:spacing w:after="0" w:line="170" w:lineRule="exact"/>
        <w:rPr>
          <w:sz w:val="20"/>
          <w:szCs w:val="20"/>
          <w:color w:val="auto"/>
        </w:rPr>
      </w:pPr>
    </w:p>
    <w:p>
      <w:pPr>
        <w:jc w:val="both"/>
        <w:ind w:right="20" w:firstLine="494"/>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fiscal 2022, we recognized a tax expense of $2.2 million. In fiscal 2021, we recognized a tax benefit of $19.6 million. The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was driven by the release of the valuation allowance on a significant portion of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 Our fiscal 2022 income tax provision reflects a more normalized effective income tax rate. We do not expect to remit significant cash taxes for the next several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21" w:lineRule="exact"/>
        <w:rPr>
          <w:sz w:val="20"/>
          <w:szCs w:val="20"/>
          <w:color w:val="auto"/>
        </w:rPr>
      </w:pPr>
    </w:p>
    <w:p>
      <w:pPr>
        <w:jc w:val="both"/>
        <w:ind w:right="20" w:firstLine="499"/>
        <w:spacing w:after="0" w:line="259" w:lineRule="auto"/>
        <w:rPr>
          <w:sz w:val="20"/>
          <w:szCs w:val="20"/>
          <w:color w:val="auto"/>
        </w:rPr>
      </w:pPr>
      <w:r>
        <w:rPr>
          <w:rFonts w:ascii="Arial" w:cs="Arial" w:eastAsia="Arial" w:hAnsi="Arial"/>
          <w:sz w:val="18"/>
          <w:szCs w:val="18"/>
          <w:color w:val="auto"/>
        </w:rPr>
        <w:t>Our OSG segment (a) develops and sells lighting products and provides construction and engineering services for our commercial lighting and energy management systems and (b) provides retailers, distributors and other businesses with maintenance, repair and replacement services for the lighting and related electrical components deployed in their facilities. OSG provides engineering, design and lighting products and in many cases turnkey solutions for large national accounts, governments, municipalities, schools and other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Fiscal Year Ended March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3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3"/>
              </w:rPr>
              <w:t>38,002</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82,568</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84,243</w:t>
            </w:r>
          </w:p>
        </w:tc>
        <w:tc>
          <w:tcPr>
            <w:tcW w:w="20" w:type="dxa"/>
            <w:vAlign w:val="bottom"/>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(6,982 )</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6,462</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7,472</w:t>
            </w:r>
          </w:p>
        </w:tc>
        <w:tc>
          <w:tcPr>
            <w:tcW w:w="20" w:type="dxa"/>
            <w:vAlign w:val="bottom"/>
          </w:tcPr>
          <w:p>
            <w:pPr>
              <w:spacing w:after="0"/>
              <w:rPr>
                <w:sz w:val="20"/>
                <w:szCs w:val="20"/>
                <w:color w:val="auto"/>
              </w:rPr>
            </w:pPr>
          </w:p>
        </w:tc>
      </w:tr>
      <w:tr>
        <w:trPr>
          <w:trHeight w:val="25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20" w:type="dxa"/>
            <w:vAlign w:val="bottom"/>
            <w:shd w:val="clear" w:color="auto" w:fill="CFF0FC"/>
          </w:tcPr>
          <w:p>
            <w:pPr>
              <w:spacing w:after="0"/>
              <w:rPr>
                <w:sz w:val="22"/>
                <w:szCs w:val="22"/>
                <w:color w:val="auto"/>
              </w:rPr>
            </w:pP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(18.4 )%</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7.8 %</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20" w:type="dxa"/>
            <w:vAlign w:val="bottom"/>
          </w:tcPr>
          <w:p>
            <w:pPr>
              <w:spacing w:after="0"/>
              <w:rPr>
                <w:sz w:val="22"/>
                <w:szCs w:val="22"/>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2023 Compared to Fiscal 2022</w:t>
      </w:r>
    </w:p>
    <w:p>
      <w:pPr>
        <w:spacing w:after="0" w:line="117"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OSG segment revenue decreased in fiscal 2023 by 54.0%, or $44.6 million, and operating income decreased $13.4 million to an operating loss, compared to fiscal 2022, due to an overall reduction in project volume performed for our largest customer, partially offset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by revenue from the acquisition of Stay-Lite Lighting. This decrease led to a corresponding operating loss in this segment, as a result of decreased absorption of fixed costs.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17"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OSG segment revenue decreased in fiscal 2022 by 2.0%, or $1.7 million, and operating income decreased by 13.5%, or $1.0 million, compared to fiscal 2021, due to an overall reduction in project volume performed for our largest customer, partially offset by revenue from the acquisition of Stay-Lite Lighting.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21"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15,395</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22,209</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21,122</w:t>
            </w:r>
          </w:p>
        </w:tc>
        <w:tc>
          <w:tcPr>
            <w:tcW w:w="20" w:type="dxa"/>
            <w:vAlign w:val="bottom"/>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(186 )</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3,114</w:t>
            </w:r>
          </w:p>
        </w:tc>
        <w:tc>
          <w:tcPr>
            <w:tcW w:w="1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2,430</w:t>
            </w:r>
          </w:p>
        </w:tc>
        <w:tc>
          <w:tcPr>
            <w:tcW w:w="20" w:type="dxa"/>
            <w:vAlign w:val="bottom"/>
          </w:tcPr>
          <w:p>
            <w:pPr>
              <w:spacing w:after="0"/>
              <w:rPr>
                <w:sz w:val="20"/>
                <w:szCs w:val="20"/>
                <w:color w:val="auto"/>
              </w:rPr>
            </w:pPr>
          </w:p>
        </w:tc>
      </w:tr>
      <w:tr>
        <w:trPr>
          <w:trHeight w:val="25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(1.2 )%</w:t>
            </w:r>
          </w:p>
        </w:tc>
        <w:tc>
          <w:tcPr>
            <w:tcW w:w="3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14.0 %</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2023 Compared to Fiscal 2022</w:t>
      </w:r>
    </w:p>
    <w:p>
      <w:pPr>
        <w:spacing w:after="0" w:line="117"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ODS segment revenue decreased $6.8 million, or 30.7%, and operating income decreased $3.3 million, or 106.0%, in fiscal 2023 compared to fiscal 2022 primarily due to reduced sales to a large global on-line retailer. Operating income in this segment decreased as a result of increased allocation of corporate costs.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225" w:lineRule="exact"/>
        <w:rPr>
          <w:sz w:val="20"/>
          <w:szCs w:val="20"/>
          <w:color w:val="auto"/>
        </w:rPr>
      </w:pPr>
    </w:p>
    <w:p>
      <w:pPr>
        <w:jc w:val="both"/>
        <w:ind w:right="20" w:firstLine="499"/>
        <w:spacing w:after="0" w:line="308" w:lineRule="auto"/>
        <w:rPr>
          <w:sz w:val="20"/>
          <w:szCs w:val="20"/>
          <w:color w:val="auto"/>
        </w:rPr>
      </w:pPr>
      <w:r>
        <w:rPr>
          <w:rFonts w:ascii="Arial" w:cs="Arial" w:eastAsia="Arial" w:hAnsi="Arial"/>
          <w:sz w:val="17"/>
          <w:szCs w:val="17"/>
          <w:color w:val="auto"/>
        </w:rPr>
        <w:t>ODS segment revenue in fiscal 2022 increased 5.1%, or $1.1 million, compared to fiscal 2021, primarily due to sales to a more diversified customer base. This sales increase led to a corresponding increase in operating income in this segment based on operating leverage.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21" w:lineRule="exact"/>
        <w:rPr>
          <w:sz w:val="20"/>
          <w:szCs w:val="20"/>
          <w:color w:val="auto"/>
        </w:rPr>
      </w:pPr>
    </w:p>
    <w:p>
      <w:pPr>
        <w:jc w:val="both"/>
        <w:ind w:right="20" w:firstLine="499"/>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Fiscal Year Ended March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22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17,710</w:t>
            </w:r>
          </w:p>
        </w:tc>
        <w:tc>
          <w:tcPr>
            <w:tcW w:w="5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19,606</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11,475</w:t>
            </w:r>
          </w:p>
        </w:tc>
        <w:tc>
          <w:tcPr>
            <w:tcW w:w="20" w:type="dxa"/>
            <w:vAlign w:val="bottom"/>
          </w:tcPr>
          <w:p>
            <w:pPr>
              <w:spacing w:after="0"/>
              <w:rPr>
                <w:sz w:val="21"/>
                <w:szCs w:val="2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1,605</w:t>
            </w:r>
          </w:p>
        </w:tc>
        <w:tc>
          <w:tcPr>
            <w:tcW w:w="5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3,963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20"/>
                <w:szCs w:val="20"/>
                <w:color w:val="auto"/>
              </w:rPr>
            </w:pPr>
          </w:p>
        </w:tc>
      </w:tr>
      <w:tr>
        <w:trPr>
          <w:trHeight w:val="25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356"/>
              <w:spacing w:after="0"/>
              <w:rPr>
                <w:sz w:val="20"/>
                <w:szCs w:val="20"/>
                <w:color w:val="auto"/>
              </w:rPr>
            </w:pPr>
            <w:r>
              <w:rPr>
                <w:rFonts w:ascii="Arial" w:cs="Arial" w:eastAsia="Arial" w:hAnsi="Arial"/>
                <w:sz w:val="18"/>
                <w:szCs w:val="18"/>
                <w:color w:val="auto"/>
              </w:rPr>
              <w:t>9.1 %</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20.2 %</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14.7 %</w:t>
            </w:r>
          </w:p>
        </w:tc>
        <w:tc>
          <w:tcPr>
            <w:tcW w:w="20" w:type="dxa"/>
            <w:vAlign w:val="bottom"/>
          </w:tcPr>
          <w:p>
            <w:pPr>
              <w:spacing w:after="0"/>
              <w:rPr>
                <w:sz w:val="22"/>
                <w:szCs w:val="22"/>
                <w:color w:val="auto"/>
              </w:rPr>
            </w:pPr>
          </w:p>
        </w:tc>
      </w:tr>
    </w:tbl>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Fiscal 2023 Compared to Fiscal 2022</w:t>
      </w:r>
    </w:p>
    <w:p>
      <w:pPr>
        <w:spacing w:after="0" w:line="225"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18"/>
          <w:szCs w:val="18"/>
          <w:color w:val="auto"/>
        </w:rPr>
        <w:t>USM segment revenue decreased $1.9 million, or 9.7%, and operating income decreased by $2.4 million, or 59.5%, in fiscal 2023 compared to fiscal 2022, primarily due to a less diversified customer base. Operating income in this segment decreased as a result of lower revenue and increased allocation of corporate costs.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42" w:name="page43"/>
    <w:bookmarkEnd w:id="42"/>
    <w:p>
      <w:pPr>
        <w:ind w:left="280"/>
        <w:spacing w:after="0"/>
        <w:rPr>
          <w:sz w:val="20"/>
          <w:szCs w:val="20"/>
          <w:color w:val="auto"/>
        </w:rPr>
      </w:pPr>
      <w:r>
        <w:rPr>
          <w:rFonts w:ascii="Arial" w:cs="Arial" w:eastAsia="Arial" w:hAnsi="Arial"/>
          <w:sz w:val="18"/>
          <w:szCs w:val="18"/>
          <w:b w:val="1"/>
          <w:bCs w:val="1"/>
          <w:i w:val="1"/>
          <w:iCs w:val="1"/>
          <w:color w:val="auto"/>
        </w:rPr>
        <w:t>Fiscal 2022 Compared to Fiscal 2021</w:t>
      </w:r>
    </w:p>
    <w:p>
      <w:pPr>
        <w:spacing w:after="0" w:line="117" w:lineRule="exact"/>
        <w:rPr>
          <w:sz w:val="20"/>
          <w:szCs w:val="20"/>
          <w:color w:val="auto"/>
        </w:rPr>
      </w:pPr>
    </w:p>
    <w:p>
      <w:pPr>
        <w:jc w:val="both"/>
        <w:ind w:firstLine="494"/>
        <w:spacing w:after="0" w:line="308" w:lineRule="auto"/>
        <w:rPr>
          <w:sz w:val="20"/>
          <w:szCs w:val="20"/>
          <w:color w:val="auto"/>
        </w:rPr>
      </w:pPr>
      <w:r>
        <w:rPr>
          <w:rFonts w:ascii="Arial" w:cs="Arial" w:eastAsia="Arial" w:hAnsi="Arial"/>
          <w:sz w:val="17"/>
          <w:szCs w:val="17"/>
          <w:color w:val="auto"/>
        </w:rPr>
        <w:t>USM segment revenue increased $8.1 million, or 70.9%, and operating income increased by $2.3 million, or 135.5%, in fiscal 2022 compared to fiscal 2021, primarily due to the impact of COVID-19 on fiscal 2021 and an increased focus on sales opportunities in this segment.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EV Charging Division</w:t>
      </w:r>
    </w:p>
    <w:p>
      <w:pPr>
        <w:spacing w:after="0" w:line="229"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We acquired Voltrek effective October 5, 2022, upon which it became an additional reporting segment. The results shown below are since the acquisition date and include the accrual of compensatory earn-out payments. Absent allocations and earn-out payment expenses, the EV Division had a positive effect on our consolidated earnings in fiscal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EV Division operations results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Fiscal Year Ended March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340" w:type="dxa"/>
            <w:vAlign w:val="bottom"/>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6,275</w:t>
            </w:r>
          </w:p>
        </w:tc>
        <w:tc>
          <w:tcPr>
            <w:tcW w:w="5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(4,133 )</w:t>
            </w:r>
          </w:p>
        </w:tc>
        <w:tc>
          <w:tcPr>
            <w:tcW w:w="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36"/>
              <w:spacing w:after="0"/>
              <w:rPr>
                <w:sz w:val="20"/>
                <w:szCs w:val="20"/>
                <w:color w:val="auto"/>
              </w:rPr>
            </w:pPr>
            <w:r>
              <w:rPr>
                <w:rFonts w:ascii="Arial" w:cs="Arial" w:eastAsia="Arial" w:hAnsi="Arial"/>
                <w:sz w:val="18"/>
                <w:szCs w:val="18"/>
                <w:color w:val="auto"/>
              </w:rPr>
              <w:t>(65.9 )%</w:t>
            </w:r>
          </w:p>
        </w:tc>
        <w:tc>
          <w:tcPr>
            <w:tcW w:w="1340" w:type="dxa"/>
            <w:vAlign w:val="bottom"/>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EV Division revenue generated by Voltrek in fiscal 2023 was $6.3 million. Operating loss in this segment was primarily a result of $4.0 million earn-out expense included in general and administrative costs.</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We had $16.0 million in cash and cash equivalents as of March 31, 2023, compared to $14.5 million at March 31, 2022. Our cash position increased primarily as a result of a $10.0 million draw made on our Credit Facility, together with positive changes in working capital changes, partially offset by the results of our operations and the funding of our acquisition of Voltrek.</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2023, our borrowing base supported $17.3 million of availability under our Credit Facility, with $10.0 million drawn against that availability. As of March 31, 2022, no amounts were borrowed under the Credit Facility.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In March 2023, we filed a universal shelf registration statement with the Securities and Exchange Commission. Under our shelf registration statement, we currently have the flexibility to publicly offer and sell from time to time up to $100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87"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In March 2021, we entered into an At Market Issuance Sales Agreement to undertake an “at the market” (ATM) public equity capital raising program pursuant to which we may offer and sell shares of our common stock, having an aggregate offering price of up to $50 million from time to time through or to the Agent, acting as sales agent or principal. No share sales have yet been effected pursuant to the ATM program through March 31, 2023.</w:t>
      </w:r>
    </w:p>
    <w:p>
      <w:pPr>
        <w:spacing w:after="0" w:line="14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also are exploring various alternative sources of liquidity to help ensure that we will have the best allocation of investing capital to satisfy our working capital needs.</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will likely have adequate available cash and equivalents and credit availability under our Credit Agreement to satisfy our currently anticipated working capital and liquidity requirements during the next 12 months and beyond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our fiscal 2023, fiscal 2022 and fiscal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4"/>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169"/>
        </w:trPr>
        <w:tc>
          <w:tcPr>
            <w:tcW w:w="6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(2,291 )</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1,729</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(6,195 )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(946 )</w:t>
            </w: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8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10,012</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(10,141 )</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(4,927 )</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(9,358 )</w:t>
            </w:r>
          </w:p>
        </w:tc>
      </w:tr>
      <w:tr>
        <w:trPr>
          <w:trHeight w:val="20"/>
        </w:trPr>
        <w:tc>
          <w:tcPr>
            <w:tcW w:w="6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12001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12001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209"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(used in) operating activities primarily consists of net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Cash used in operating activities for fiscal 2023 was $2.3 million and consisted of our net loss of $34.3 million adjusted for non-cash expense items and net cash used in changes in operating assets of $32.1 million, the largest of which was a $17.8 million decrease in deferred income tax assets as a result of the valuation allowance.</w:t>
      </w:r>
    </w:p>
    <w:p>
      <w:pPr>
        <w:spacing w:after="0" w:line="184"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Cash used in operating activities for fiscal 2022 was $0.1 million and consisted of a net income of $6.1 million adjusted for non-cash expense items of $5.0 million and offset by net cash used by changes in operating assets and liabilities of $11.2 million. Cash used by changes in operating assets and liabilities consisted primarily of decreases in accounts payable of $8.1 million and accrued liabilities of $6.9 million, partially offset by cash provided by a decrease in accounts receivable of $4.4 million, all caused by changes in business volume late in fiscal 2022 compared to late fiscal 2021.</w:t>
      </w:r>
    </w:p>
    <w:p>
      <w:pPr>
        <w:spacing w:after="0" w:line="157" w:lineRule="exact"/>
        <w:rPr>
          <w:sz w:val="20"/>
          <w:szCs w:val="20"/>
          <w:color w:val="auto"/>
        </w:rPr>
      </w:pPr>
    </w:p>
    <w:p>
      <w:pPr>
        <w:jc w:val="both"/>
        <w:ind w:firstLine="494"/>
        <w:spacing w:after="0" w:line="254" w:lineRule="auto"/>
        <w:rPr>
          <w:sz w:val="20"/>
          <w:szCs w:val="20"/>
          <w:color w:val="auto"/>
        </w:rPr>
      </w:pPr>
      <w:r>
        <w:rPr>
          <w:rFonts w:ascii="Arial" w:cs="Arial" w:eastAsia="Arial" w:hAnsi="Arial"/>
          <w:sz w:val="18"/>
          <w:szCs w:val="18"/>
          <w:color w:val="auto"/>
        </w:rPr>
        <w:t>Cash provided by operating activities for fiscal 2021 was $1.7 million and consisted of a net income adjusted for non-cash expense items of $9.1 million and net cash used by changes in operating assets and liabilities of $7.4 million. Cash used by changes in operating assets and liabilities consisted primarily of an increase in inventory of $5.3 million due to the release of new product lines and pre-ordering due to supply chain delays as a result of COVID-19, a decrease in accounts payable of $2.6 million due to the timing of payments, an increase in accounts receivable of $2.4 million due to the timing of billing and customer collections, and an increase in Revenue earned but not billed of $2.4 million due to timing on revenue recognition compared to invoicing. Cash provided by changes in operating assets and liabilities included an increase in accrued expenses of $5.8 million due to the timing of project completions and the receipt of invoices.</w:t>
      </w:r>
    </w:p>
    <w:p>
      <w:pPr>
        <w:spacing w:after="0" w:line="19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in fiscal 2023 was $6.2 million and consisted primarily of the $5.6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acquisition of Voltrek and $0.6 million purchases of property and equipment.</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Cash used in investing activities in fiscal 2022 was $4.9 million and consisted primarily of the $4.0 million acquisition of Stay-Lite Lighting, and an investment of a non-controlling equity stake in ndustrial, Inc. of $0.5 million and purchases of property and equipment.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used in investing activities in fiscal 2021 was $0.9 million and consisted primarily of purchases of property and equipment.</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in fiscal 2023 was $10.0 million which consisted of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color w:val="auto"/>
        </w:rPr>
        <w:t>Cash provided by financing activities in fiscal 2022 was $0.1 million.</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Cash used in financing activities in fiscal 2021 was $10.1 million. This cash used consisted primarily of a net payment of $10.0 million under our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net working capital as of March 31, 2023 was $25.9 million, consisting of $50.4 million of current assets and $24.5 million of current liabilities. Our net working capital as of March 31, 2022 was $32.9 million, consisting of $51.2 million in current assets and $18.4 million in current liabilities. The change was primarily due to decreases in inventory and collection of the employee retention tax credit plus increases in accounts payable, accrued expenses and accounts receivable.</w:t>
      </w:r>
    </w:p>
    <w:p>
      <w:pPr>
        <w:spacing w:after="0" w:line="79"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Our net working capital as of March 31, 2021 was $26.2 million, consisting of $56.5 million in current assets and $30.4 million in current liabilities. The increase in our working capital from the fiscal 2021 year-end was primarily due to an overall reduction in project volume performed for our largest customer and partially offset by the acquisition of Stay-Lite Lighting.</w:t>
      </w:r>
    </w:p>
    <w:p>
      <w:pPr>
        <w:spacing w:after="0" w:line="76"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2023, the borrowing base supported approximately $17.3 million of availability under the Credit Facility with $10.0 million drawn against that availability. As of March 31, 2022, no amounts were borrowed under the Credit Facility.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Borrowings under the Credit Agreement are permitted in the form of LIBOR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84"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24"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78"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We did not incur any early termination fees in connection with the termination of the Prior Credit Agreement, but did recognize a loss on debt extinguishment of $0.1 million on the write-off of unamortized debt issue costs related to the Prior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$0.7 million in fiscal 2023, $0.5 million in fiscal 2022 and $0.9 million in fiscal 2021. Our capital spending plans predominantly consist of investments 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estimates is set forth below.</w:t>
      </w:r>
    </w:p>
    <w:p>
      <w:pPr>
        <w:spacing w:after="0" w:line="195"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in accordance with the guidance in “Revenue from Contracts with Customers” (Topic 606) (“ASC</w:t>
      </w:r>
      <w:r>
        <w:rPr>
          <w:rFonts w:ascii="Arial" w:cs="Arial" w:eastAsia="Arial" w:hAnsi="Arial"/>
          <w:sz w:val="17"/>
          <w:szCs w:val="17"/>
          <w:i w:val="1"/>
          <w:iCs w:val="1"/>
          <w:color w:val="auto"/>
        </w:rPr>
        <w:t xml:space="preserve"> </w:t>
      </w:r>
      <w:r>
        <w:rPr>
          <w:rFonts w:ascii="Arial" w:cs="Arial" w:eastAsia="Arial" w:hAnsi="Arial"/>
          <w:sz w:val="17"/>
          <w:szCs w:val="17"/>
          <w:color w:val="auto"/>
        </w:rPr>
        <w:t>606”) when control of the goods or services being provided (which we refer to as a performance obligation) is transferred to a customer at an amount that reflects the consideration we expect to receive in exchange for those goods or services.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76"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The expected cost-plus margin per GAAP approach is used to determine the stand-alone selling price for the installation performance obligation and is based on average historical installation margin.</w:t>
      </w:r>
    </w:p>
    <w:p>
      <w:pPr>
        <w:spacing w:after="0" w:line="16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lighting fixtures and components we manufacture, or source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Revenue from a customer contract which includes both the sale of Orion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firstLine="499"/>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 .</w:t>
      </w:r>
    </w:p>
    <w:p>
      <w:pPr>
        <w:spacing w:after="0" w:line="184"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65"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We review our inventory for obsolescence. If the net realizable value, which is based upon the estimated selling price, less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of completion, disposal, and transportation, falls below cost, then the inventory value is reduced to its net realizable value. Our inventory obsolescence reserves at March 31, 2023 were $1.8 million, or 8.9% of gross inventory, and $2.1 million, or 9.5% of gross inventory, at March 31, 2022.</w:t>
      </w:r>
    </w:p>
    <w:p>
      <w:pPr>
        <w:spacing w:after="0" w:line="149" w:lineRule="exact"/>
        <w:rPr>
          <w:sz w:val="20"/>
          <w:szCs w:val="20"/>
          <w:color w:val="auto"/>
        </w:rPr>
      </w:pPr>
    </w:p>
    <w:p>
      <w:pPr>
        <w:jc w:val="both"/>
        <w:ind w:firstLine="499"/>
        <w:spacing w:after="0" w:line="270"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We evaluate long-lived assets such as property, equipment and definite lived intangible assets, such as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such as the impact of the COVID-19 pandemic.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 estimated future cash flows on an undiscounted basis are less than the carrying amounts of the asset or assets. If so, an impairment loss is measured and recognized.</w:t>
      </w:r>
    </w:p>
    <w:p>
      <w:pPr>
        <w:spacing w:after="0" w:line="18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As of December 31, 2022, due to a change in our forecast, a triggering event occurred requiring us to evaluate the long-lived assets in its enterprise asset group for impairment. The enterprise asset group includes the corporate assets that support the revenue producing activities of other asset groups. We performed the recoverability test for the asset group by comparing its carrying value to the group’s expected future undiscounted cash flows. We concluded that the undiscounted cash flows of the long-lived asset group exceeded its carrying value. As such the asset group was deemed recoverable and no impairment was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Indefinite Lived Intangible Assets and Goodwill. </w:t>
      </w:r>
      <w:r>
        <w:rPr>
          <w:rFonts w:ascii="Arial" w:cs="Arial" w:eastAsia="Arial" w:hAnsi="Arial"/>
          <w:sz w:val="18"/>
          <w:szCs w:val="18"/>
          <w:color w:val="auto"/>
        </w:rPr>
        <w:t>We test indefinite lived intangible assets and goodwill for impairment at least annually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our fiscal fourth quarter, or when indications of potential impairment exist. We monitor for the existence of potential impairment indicators throughout the fiscal year. Our annual impairment test may begin with a qualitative test to determine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311" w:lineRule="auto"/>
        <w:rPr>
          <w:sz w:val="20"/>
          <w:szCs w:val="20"/>
          <w:color w:val="auto"/>
        </w:rPr>
      </w:pPr>
      <w:r>
        <w:rPr>
          <w:rFonts w:ascii="Arial" w:cs="Arial" w:eastAsia="Arial" w:hAnsi="Arial"/>
          <w:sz w:val="16"/>
          <w:szCs w:val="16"/>
          <w:color w:val="auto"/>
        </w:rPr>
        <w:t>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4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performed a qualitative assessment in conjunction with our annual impairment test of our indefinite lived intangible assets and goodwill as of January 1, 2023. These qualitative assessments considered our operating results for the first nine months of fiscal 2023 in comparison to prior years as well as its anticipated fourth quarter results and fiscal 2023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currently issue restricted stock awards to our employees, executive officers and directors. Prior to fiscal 2015,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also issued stock options to these individuals. We apply the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these restricted stock and stock option awards which requires us to expense the estimated fair value of the awards based on the fair value of the award on the date of grant. Compensation costs for equity incentives are recognized in earnings, on a straight-line basis over the requisite service period.</w:t>
      </w:r>
    </w:p>
    <w:p>
      <w:pPr>
        <w:spacing w:after="0" w:line="171"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4"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Prior to fiscal 2021, we recorded a full valuation allowance against our net federal and net state deferred tax assets due to our cumulative three-year taxable losses. During fiscal 2021, we reduced our valuation allowance on the basis of our reassessment of the amount of our deferred tax assets that are more likely than not to be realized. During fiscal 2023, we reestablished a full valuation allowance on our net deferred tax assets due to end of the period of sustained profitability. In making these determinations, we considered all available positive and negative evidence, including projected future taxable income, tax planning strategies, recent financial performance and ownership changes.</w:t>
      </w:r>
    </w:p>
    <w:p>
      <w:pPr>
        <w:spacing w:after="0" w:line="177"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7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As of March 31, 2023, we had net operating loss carryforwards of approximately $71.4 million for federal tax purposes, $66.1 million for state tax purposes, and $0.8 million for foreign tax purposes. As of the fiscal 2018, this amount is inclusive of the entire loss carryforward on the filed returns.</w:t>
      </w:r>
    </w:p>
    <w:p>
      <w:pPr>
        <w:spacing w:after="0" w:line="12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also had federal tax credit carryforwards of $1.3 million and state tax credit carryforwards of $0.3 million, which are reserved for as part of our valuation allowance. Of these tax attributes, $19.7 million of the federal and state net operating loss carryforwards are not subject to time restrictions on use but may only be used to offset 80% of future adjusted taxable income. The $120.2 million net operating loss and tax credit carryforwards will begin to expire in varying amounts between 2023 and 2033.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ind w:firstLine="499"/>
        <w:spacing w:after="0" w:line="277" w:lineRule="auto"/>
        <w:rPr>
          <w:sz w:val="20"/>
          <w:szCs w:val="20"/>
          <w:color w:val="auto"/>
        </w:rPr>
      </w:pPr>
      <w:r>
        <w:rPr>
          <w:rFonts w:ascii="Arial" w:cs="Arial" w:eastAsia="Arial" w:hAnsi="Arial"/>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70" w:lineRule="exact"/>
        <w:rPr>
          <w:sz w:val="20"/>
          <w:szCs w:val="20"/>
          <w:color w:val="auto"/>
        </w:rPr>
      </w:pPr>
    </w:p>
    <w:p>
      <w:pPr>
        <w:jc w:val="both"/>
        <w:ind w:firstLine="499"/>
        <w:spacing w:after="0" w:line="269" w:lineRule="auto"/>
        <w:rPr>
          <w:sz w:val="20"/>
          <w:szCs w:val="20"/>
          <w:color w:val="auto"/>
        </w:rPr>
      </w:pPr>
      <w:r>
        <w:rPr>
          <w:rFonts w:ascii="Arial" w:cs="Arial" w:eastAsia="Arial" w:hAnsi="Arial"/>
          <w:sz w:val="17"/>
          <w:szCs w:val="17"/>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2023,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70"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i w:val="1"/>
          <w:iCs w:val="1"/>
          <w:color w:val="auto"/>
        </w:rPr>
        <w:t xml:space="preserve">Inflation. </w:t>
      </w:r>
      <w:r>
        <w:rPr>
          <w:rFonts w:ascii="Arial" w:cs="Arial" w:eastAsia="Arial" w:hAnsi="Arial"/>
          <w:sz w:val="16"/>
          <w:szCs w:val="16"/>
          <w:color w:val="auto"/>
        </w:rPr>
        <w:t>We have experienced increases in various input costs including labor, components and transportation in the past year. In response,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4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do not believe that we are subject to any material risks arising from changes in interest rates, foreign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we had $10 million of outstanding debt with floating interest rates.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certain commodity price risks associated with our purchases of raw materials, most significantly our</w:t>
      </w:r>
      <w:r>
        <w:rPr>
          <w:rFonts w:ascii="Arial" w:cs="Arial" w:eastAsia="Arial" w:hAnsi="Arial"/>
          <w:sz w:val="18"/>
          <w:szCs w:val="18"/>
          <w:i w:val="1"/>
          <w:iCs w:val="1"/>
          <w:color w:val="auto"/>
        </w:rPr>
        <w:t xml:space="preserve"> </w:t>
      </w:r>
      <w:r>
        <w:rPr>
          <w:rFonts w:ascii="Arial" w:cs="Arial" w:eastAsia="Arial" w:hAnsi="Arial"/>
          <w:sz w:val="18"/>
          <w:szCs w:val="18"/>
          <w:color w:val="auto"/>
        </w:rPr>
        <w:t>aluminum purchases. During fiscal 2023, we have experienced commodity price increases; however, as of the date of this report, we are not able to predict the future impact of on this risk. A hypothetical additional 20% increase in aluminum prices would have had a negative impact of $0.7 million on our net income in fiscal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380" w:type="dxa"/>
            <w:vAlign w:val="bottom"/>
            <w:gridSpan w:val="7"/>
          </w:tcPr>
          <w:p>
            <w:pPr>
              <w:jc w:val="right"/>
              <w:ind w:right="41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140" w:type="dxa"/>
            <w:vAlign w:val="bottom"/>
          </w:tcPr>
          <w:p>
            <w:pPr>
              <w:spacing w:after="0"/>
              <w:rPr>
                <w:sz w:val="20"/>
                <w:szCs w:val="20"/>
                <w:color w:val="auto"/>
              </w:rPr>
            </w:pPr>
          </w:p>
        </w:tc>
      </w:tr>
      <w:tr>
        <w:trPr>
          <w:trHeight w:val="324"/>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380" w:type="dxa"/>
            <w:vAlign w:val="bottom"/>
            <w:gridSpan w:val="7"/>
          </w:tcPr>
          <w:p>
            <w:pPr>
              <w:jc w:val="right"/>
              <w:ind w:right="46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r>
      <w:tr>
        <w:trPr>
          <w:trHeight w:val="423"/>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Page</w:t>
            </w:r>
          </w:p>
        </w:tc>
      </w:tr>
      <w:tr>
        <w:trPr>
          <w:trHeight w:val="186"/>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w:t>
            </w:r>
          </w:p>
        </w:tc>
      </w:tr>
      <w:tr>
        <w:trPr>
          <w:trHeight w:val="26"/>
        </w:trPr>
        <w:tc>
          <w:tcPr>
            <w:tcW w:w="8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 w:type="dxa"/>
            <w:vAlign w:val="bottom"/>
          </w:tcPr>
          <w:p>
            <w:pPr>
              <w:spacing w:after="0"/>
              <w:rPr>
                <w:sz w:val="19"/>
                <w:szCs w:val="19"/>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(BDO USA, LLP; Milwaukee, WI; PCAOB ID#243)</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Consolidated Balance Sheets</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Consolidated Statements of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709"/>
        </w:trPr>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gridSpan w:val="4"/>
          </w:tcPr>
          <w:p>
            <w:pPr>
              <w:spacing w:after="0"/>
              <w:rPr>
                <w:sz w:val="24"/>
                <w:szCs w:val="24"/>
                <w:color w:val="auto"/>
              </w:rPr>
            </w:pPr>
          </w:p>
        </w:tc>
        <w:tc>
          <w:tcPr>
            <w:tcW w:w="6880" w:type="dxa"/>
            <w:vAlign w:val="bottom"/>
            <w:gridSpan w:val="3"/>
          </w:tcPr>
          <w:p>
            <w:pPr>
              <w:jc w:val="right"/>
              <w:ind w:right="4380"/>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3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Orion Energy Systems, Inc. (the “Company”) as of March 31, 2023 and 2022, the related consolidated statements of operations, shareholders’ equity, and cash flows for each of the three years in the period ended March 31, 2023, and the related notes (collectively referred to as the “consolidated financial statements”). In our opinion, the consolidated financial statements present fairly, in all material respects, the financial position of the Company at March 31, 2023 and 2022, and the results of its operations and its cash flows for each of the three years in the period ended March 31, 2023, in conformity with accounting principles generally accepted in the United States of America.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relates.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Realizability of Deferred Tax Assets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13 to the Company’s consolidated financial statements, during the year ended March 31, 2023, the Company recorded approximately $17.8 million in valuation allowance on a significant portion of its deferred tax assets. In evaluating the realizability of deferred tax assets, the available positive and negative evidence, including projected future taxable income and ongoing prudent and feasible tax planning strategies in assessing the need for the valuation allowance are considered.</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identified the Company’s evaluation of the realizability of deferred tax assets as a critical audit matter. Significant management judgments are required in evaluating and weighing the collective positive and negative evidence that are used to assess the realizability of deferred tax assets, which include various assumptions surrounding projected future taxable (loss) income. Auditing these elements involved complex and subjective auditor judgment due to the nature and extent of audit effort required to address these matters, including the need to involve personnel with specialized skill and knowledge.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333" w:lineRule="exact"/>
        <w:rPr>
          <w:sz w:val="20"/>
          <w:szCs w:val="20"/>
          <w:color w:val="auto"/>
        </w:rPr>
      </w:pPr>
    </w:p>
    <w:p>
      <w:pPr>
        <w:ind w:left="1020" w:hanging="503"/>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Assessing the Company’s ability to generate future taxable income and utilize the deferred tax assets by evaluating the forecast of future revenue, gross profit, and operating expenses that support pre-tax book (loss) income using the Company’s historical performance.</w:t>
      </w:r>
    </w:p>
    <w:p>
      <w:pPr>
        <w:spacing w:after="0" w:line="231"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 in taxes to assist in the evaluation of the Company’s assessment of positive and negative evidence, and whether the estimated future sources of taxable income were sufficient to utilize the deferred tax assets in the relevant time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15,992</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14,466</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13,728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11,899</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Revenue earned but not billed</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2,421</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 net</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18,205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19,832</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2,631</w:t>
            </w:r>
          </w:p>
        </w:tc>
      </w:tr>
      <w:tr>
        <w:trPr>
          <w:trHeight w:val="243"/>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50,361</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51,249</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10,470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11,466</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1,484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350</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6,004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2,404</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17,805</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3,543</w:t>
            </w:r>
          </w:p>
        </w:tc>
      </w:tr>
      <w:tr>
        <w:trPr>
          <w:trHeight w:val="276"/>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2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71,579</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86,817</w:t>
            </w:r>
          </w:p>
        </w:tc>
      </w:tr>
      <w:tr>
        <w:trPr>
          <w:trHeight w:val="226"/>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24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13,405</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9,855</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10,552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8,427</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current</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76</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r>
      <w:tr>
        <w:trPr>
          <w:trHeight w:val="243"/>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24,454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18,374</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564</w:t>
            </w: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3,384</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2,760</w:t>
            </w: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38,330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21,717</w:t>
            </w: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Preferred stock, $0.01 par value: Shares authorized: 30,000,000 shares</w:t>
            </w:r>
          </w:p>
        </w:tc>
        <w:tc>
          <w:tcPr>
            <w:tcW w:w="2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8"/>
              </w:rPr>
              <w:t>at March 31, 2023 and 2022; no shares issued and outstanding at</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44"/>
        </w:trPr>
        <w:tc>
          <w:tcPr>
            <w:tcW w:w="5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March 31, 2023 and 2022</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5320" w:type="dxa"/>
            <w:vAlign w:val="bottom"/>
          </w:tcPr>
          <w:p>
            <w:pPr>
              <w:ind w:left="20"/>
              <w:spacing w:after="0"/>
              <w:rPr>
                <w:sz w:val="20"/>
                <w:szCs w:val="20"/>
                <w:color w:val="auto"/>
              </w:rPr>
            </w:pPr>
            <w:r>
              <w:rPr>
                <w:rFonts w:ascii="Arial" w:cs="Arial" w:eastAsia="Arial" w:hAnsi="Arial"/>
                <w:sz w:val="18"/>
                <w:szCs w:val="18"/>
                <w:color w:val="auto"/>
              </w:rPr>
              <w:t>Common stock, no par value: Shares authorized: 200,000,000 at</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March 31, 2023 and 2022; shares issued: 41,767,092 and</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40,570,909 at March 31, 2023 and 2022; shares outstanding:</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5320" w:type="dxa"/>
            <w:vAlign w:val="bottom"/>
          </w:tcPr>
          <w:p>
            <w:pPr>
              <w:ind w:left="160"/>
              <w:spacing w:after="0"/>
              <w:rPr>
                <w:sz w:val="20"/>
                <w:szCs w:val="20"/>
                <w:color w:val="auto"/>
              </w:rPr>
            </w:pPr>
            <w:r>
              <w:rPr>
                <w:rFonts w:ascii="Arial" w:cs="Arial" w:eastAsia="Arial" w:hAnsi="Arial"/>
                <w:sz w:val="18"/>
                <w:szCs w:val="18"/>
                <w:color w:val="auto"/>
              </w:rPr>
              <w:t>32,295,408 and 31,097,872 at March 31, 2023 and 2022</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9"/>
              </w:rPr>
              <w:t>160,907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158,419</w:t>
            </w:r>
          </w:p>
        </w:tc>
      </w:tr>
      <w:tr>
        <w:trPr>
          <w:trHeight w:val="215"/>
        </w:trPr>
        <w:tc>
          <w:tcPr>
            <w:tcW w:w="5320" w:type="dxa"/>
            <w:vAlign w:val="bottom"/>
          </w:tcPr>
          <w:p>
            <w:pPr>
              <w:ind w:left="20"/>
              <w:spacing w:after="0"/>
              <w:rPr>
                <w:sz w:val="20"/>
                <w:szCs w:val="20"/>
                <w:color w:val="auto"/>
              </w:rPr>
            </w:pPr>
            <w:r>
              <w:rPr>
                <w:rFonts w:ascii="Arial" w:cs="Arial" w:eastAsia="Arial" w:hAnsi="Arial"/>
                <w:sz w:val="18"/>
                <w:szCs w:val="18"/>
                <w:color w:val="auto"/>
              </w:rPr>
              <w:t>Treasury stock: 9,471,684 and 9,473,037 common shares at</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5320" w:type="dxa"/>
            <w:vAlign w:val="bottom"/>
          </w:tcPr>
          <w:p>
            <w:pPr>
              <w:ind w:left="160"/>
              <w:spacing w:after="0"/>
              <w:rPr>
                <w:sz w:val="20"/>
                <w:szCs w:val="20"/>
                <w:color w:val="auto"/>
              </w:rPr>
            </w:pPr>
            <w:r>
              <w:rPr>
                <w:rFonts w:ascii="Arial" w:cs="Arial" w:eastAsia="Arial" w:hAnsi="Arial"/>
                <w:sz w:val="18"/>
                <w:szCs w:val="18"/>
                <w:color w:val="auto"/>
              </w:rPr>
              <w:t>March 31, 2023 and 2022</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1"/>
              </w:rPr>
              <w:t>(36,237 )</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(36,239 )</w:t>
            </w: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Retained deficit</w:t>
            </w:r>
          </w:p>
        </w:tc>
        <w:tc>
          <w:tcPr>
            <w:tcW w:w="2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(91,421 )</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(57,080 )</w:t>
            </w: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33,249</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65,100</w:t>
            </w:r>
          </w:p>
        </w:tc>
      </w:tr>
      <w:tr>
        <w:trPr>
          <w:trHeight w:val="276"/>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71,579</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86,817</w:t>
            </w:r>
          </w:p>
        </w:tc>
      </w:tr>
      <w:tr>
        <w:trPr>
          <w:trHeight w:val="635"/>
        </w:trPr>
        <w:tc>
          <w:tcPr>
            <w:tcW w:w="5320" w:type="dxa"/>
            <w:vAlign w:val="bottom"/>
          </w:tcPr>
          <w:p>
            <w:pPr>
              <w:spacing w:after="0"/>
              <w:rPr>
                <w:sz w:val="24"/>
                <w:szCs w:val="24"/>
                <w:color w:val="auto"/>
              </w:rPr>
            </w:pPr>
          </w:p>
        </w:tc>
        <w:tc>
          <w:tcPr>
            <w:tcW w:w="2280" w:type="dxa"/>
            <w:vAlign w:val="bottom"/>
          </w:tcPr>
          <w:p>
            <w:pPr>
              <w:jc w:val="right"/>
              <w:ind w:right="1790"/>
              <w:spacing w:after="0"/>
              <w:rPr>
                <w:sz w:val="20"/>
                <w:szCs w:val="20"/>
                <w:color w:val="auto"/>
              </w:rPr>
            </w:pPr>
            <w:r>
              <w:rPr>
                <w:rFonts w:ascii="Arial" w:cs="Arial" w:eastAsia="Arial" w:hAnsi="Arial"/>
                <w:sz w:val="18"/>
                <w:szCs w:val="18"/>
                <w:color w:val="auto"/>
              </w:rPr>
              <w:t>54</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-4499610</wp:posOffset>
            </wp:positionV>
            <wp:extent cx="13716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-2922270</wp:posOffset>
            </wp:positionV>
            <wp:extent cx="13716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-847725</wp:posOffset>
            </wp:positionV>
            <wp:extent cx="13716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-522605</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37"/>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57,210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91,889</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87,664</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20,173</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32,494</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29,176</w:t>
            </w:r>
          </w:p>
        </w:tc>
      </w:tr>
      <w:tr>
        <w:trPr>
          <w:trHeight w:val="243"/>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77,383</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124,383</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116,840</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42,979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65,249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63,233</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1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16,893</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25,222</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23,483</w:t>
            </w: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59,872</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90,471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86,716</w:t>
            </w:r>
          </w:p>
        </w:tc>
      </w:tr>
      <w:tr>
        <w:trPr>
          <w:trHeight w:val="243"/>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17,511</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33,912</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30,124</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19,487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11,680</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11,262</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11,392</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11,628</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10,341</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1,852</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1,685</w:t>
            </w:r>
          </w:p>
        </w:tc>
      </w:tr>
      <w:tr>
        <w:trPr>
          <w:trHeight w:val="236"/>
        </w:trPr>
        <w:tc>
          <w:tcPr>
            <w:tcW w:w="5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33,496</w:t>
            </w: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25,521</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23,288</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(15,985 )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8,391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6,836</w:t>
            </w: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56</w:t>
            </w: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(339 )</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(127 )</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debt extinguishment</w:t>
            </w: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expense</w:t>
            </w:r>
          </w:p>
        </w:tc>
        <w:tc>
          <w:tcPr>
            <w:tcW w:w="1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(378 )</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(141 )</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(318 )</w:t>
            </w: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(16,363 )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8,250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6,518</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17,978</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2,159</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(19,616 )</w:t>
            </w:r>
          </w:p>
        </w:tc>
      </w:tr>
      <w:tr>
        <w:trPr>
          <w:trHeight w:val="237"/>
        </w:trPr>
        <w:tc>
          <w:tcPr>
            <w:tcW w:w="530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(34,341 )</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6,091</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26,134</w:t>
            </w:r>
          </w:p>
        </w:tc>
      </w:tr>
      <w:tr>
        <w:trPr>
          <w:trHeight w:val="20"/>
        </w:trPr>
        <w:tc>
          <w:tcPr>
            <w:tcW w:w="5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Basic net (loss) income per share attributable to common shareholders</w:t>
            </w:r>
          </w:p>
        </w:tc>
        <w:tc>
          <w:tcPr>
            <w:tcW w:w="1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0.85</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31,703,712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31,018,356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30,634,553</w:t>
            </w:r>
          </w:p>
        </w:tc>
      </w:tr>
      <w:tr>
        <w:trPr>
          <w:trHeight w:val="24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(loss) income per share</w:t>
            </w: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0.83</w:t>
            </w:r>
          </w:p>
        </w:tc>
      </w:tr>
      <w:tr>
        <w:trPr>
          <w:trHeight w:val="215"/>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common shares and share equivalents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31,703,712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31,294,573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31,303,727</w:t>
            </w:r>
          </w:p>
        </w:tc>
      </w:tr>
      <w:tr>
        <w:trPr>
          <w:trHeight w:val="661"/>
        </w:trPr>
        <w:tc>
          <w:tcPr>
            <w:tcW w:w="5300" w:type="dxa"/>
            <w:vAlign w:val="bottom"/>
          </w:tcPr>
          <w:p>
            <w:pPr>
              <w:spacing w:after="0"/>
              <w:rPr>
                <w:sz w:val="24"/>
                <w:szCs w:val="24"/>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-4268470</wp:posOffset>
            </wp:positionV>
            <wp:extent cx="12001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-4268470</wp:posOffset>
            </wp:positionV>
            <wp:extent cx="12001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-3007995</wp:posOffset>
            </wp:positionV>
            <wp:extent cx="120015"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-3007995</wp:posOffset>
            </wp:positionV>
            <wp:extent cx="12001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-1757045</wp:posOffset>
            </wp:positionV>
            <wp:extent cx="12001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-1757045</wp:posOffset>
            </wp:positionV>
            <wp:extent cx="12001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-1439545</wp:posOffset>
            </wp:positionV>
            <wp:extent cx="12001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-1439545</wp:posOffset>
            </wp:positionV>
            <wp:extent cx="12001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Shareholders’ Equity</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212"/>
              <w:spacing w:after="0" w:line="13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232"/>
              <w:spacing w:after="0" w:line="133"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right="272"/>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2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2020</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30,265,997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156,503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(36,163 )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(89,305 )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31,035</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99,000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1,146</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450,481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(11,324 )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26,134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26,134</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2021</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30,805,300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157,485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(63,171 )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58,074</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31,845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260,014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6,091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2022</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31,097,872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158,419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(57,080 )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65,100</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Issuance of common stock for acquisition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620,067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stock and shares for services</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12,848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26,646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2,274</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536,622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(34,341 )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(34,341 )</w:t>
            </w:r>
          </w:p>
        </w:tc>
        <w:tc>
          <w:tcPr>
            <w:tcW w:w="0" w:type="dxa"/>
            <w:vAlign w:val="bottom"/>
          </w:tcPr>
          <w:p>
            <w:pPr>
              <w:spacing w:after="0"/>
              <w:rPr>
                <w:sz w:val="1"/>
                <w:szCs w:val="1"/>
                <w:color w:val="auto"/>
              </w:rPr>
            </w:pPr>
          </w:p>
        </w:tc>
      </w:tr>
      <w:tr>
        <w:trPr>
          <w:trHeight w:val="279"/>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32,295,408</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160,907</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(36,237 )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(91,421 )</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33,249</w:t>
            </w:r>
          </w:p>
        </w:tc>
        <w:tc>
          <w:tcPr>
            <w:tcW w:w="0" w:type="dxa"/>
            <w:vAlign w:val="bottom"/>
          </w:tcPr>
          <w:p>
            <w:pPr>
              <w:spacing w:after="0"/>
              <w:rPr>
                <w:sz w:val="1"/>
                <w:szCs w:val="1"/>
                <w:color w:val="auto"/>
              </w:rPr>
            </w:pPr>
          </w:p>
        </w:tc>
      </w:tr>
      <w:tr>
        <w:trPr>
          <w:trHeight w:val="633"/>
        </w:trPr>
        <w:tc>
          <w:tcPr>
            <w:tcW w:w="4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-521970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-504825</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-521970</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-504825</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-521970</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-504825</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-521970</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-504825</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(34,341 )</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6,091</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26,134</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income to net cash used in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460" w:type="dxa"/>
            <w:vAlign w:val="bottom"/>
          </w:tcPr>
          <w:p>
            <w:pPr>
              <w:ind w:left="3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1,190</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290</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1,612</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753</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Amortization of debt issue costs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157</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1,980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(19,860 )</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(gain) on sale of property and equipment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Provision for inventory reserves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275</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bad debts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106</w:t>
            </w:r>
          </w:p>
        </w:tc>
      </w:tr>
      <w:tr>
        <w:trPr>
          <w:trHeight w:val="249"/>
        </w:trPr>
        <w:tc>
          <w:tcPr>
            <w:tcW w:w="64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4,407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(2,384 )</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 earned but not billed</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1,426</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(2,370 )</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(5,322 )</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(396 )</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(8,125 )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(2,637 )</w:t>
            </w:r>
          </w:p>
        </w:tc>
      </w:tr>
      <w:tr>
        <w:trPr>
          <w:trHeight w:val="249"/>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5,797</w:t>
            </w: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Deferred revenue, current and long-term</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(2,291 )</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1,729</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to fund acquisitions, net of cash received</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(5,600 )</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Cash paid for investment</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(586 )</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(902 )</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6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r>
      <w:tr>
        <w:trPr>
          <w:trHeight w:val="238"/>
        </w:trPr>
        <w:tc>
          <w:tcPr>
            <w:tcW w:w="646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(946 )</w:t>
            </w:r>
          </w:p>
        </w:tc>
      </w:tr>
      <w:tr>
        <w:trPr>
          <w:trHeight w:val="24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Payment of long-term debt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49"/>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8,000</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Payment of revolving credit facility</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(18,013 )</w:t>
            </w:r>
          </w:p>
        </w:tc>
      </w:tr>
      <w:tr>
        <w:trPr>
          <w:trHeight w:val="221"/>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to settle employee tax withholdings on stock-based</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4"/>
        </w:trPr>
        <w:tc>
          <w:tcPr>
            <w:tcW w:w="6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Debt issue costs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43"/>
        </w:trPr>
        <w:tc>
          <w:tcPr>
            <w:tcW w:w="6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Proceeds from employee equity exercises</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236</w:t>
            </w:r>
          </w:p>
        </w:tc>
      </w:tr>
      <w:tr>
        <w:trPr>
          <w:trHeight w:val="239"/>
        </w:trPr>
        <w:tc>
          <w:tcPr>
            <w:tcW w:w="646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(10,141 )</w:t>
            </w:r>
          </w:p>
        </w:tc>
      </w:tr>
      <w:tr>
        <w:trPr>
          <w:trHeight w:val="24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1,526</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(9,358 )</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14,466</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19,393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28,751</w:t>
            </w:r>
          </w:p>
        </w:tc>
      </w:tr>
      <w:tr>
        <w:trPr>
          <w:trHeight w:val="27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15,992</w:t>
            </w:r>
          </w:p>
        </w:tc>
        <w:tc>
          <w:tcPr>
            <w:tcW w:w="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14,466</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19,393</w:t>
            </w:r>
          </w:p>
        </w:tc>
      </w:tr>
      <w:tr>
        <w:trPr>
          <w:trHeight w:val="226"/>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7"/>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(346 )</w:t>
            </w:r>
          </w:p>
        </w:tc>
        <w:tc>
          <w:tcPr>
            <w:tcW w:w="5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(118 )</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(87 )</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(203 )</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355</w:t>
            </w:r>
          </w:p>
        </w:tc>
      </w:tr>
      <w:tr>
        <w:trPr>
          <w:trHeight w:val="249"/>
        </w:trPr>
        <w:tc>
          <w:tcPr>
            <w:tcW w:w="6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Issuance of common stock in connection with acquisition</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5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648"/>
        </w:trPr>
        <w:tc>
          <w:tcPr>
            <w:tcW w:w="6460" w:type="dxa"/>
            <w:vAlign w:val="bottom"/>
          </w:tcPr>
          <w:p>
            <w:pPr>
              <w:ind w:left="554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6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-3462655</wp:posOffset>
            </wp:positionV>
            <wp:extent cx="120015"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-3462655</wp:posOffset>
            </wp:positionV>
            <wp:extent cx="120015"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-2082165</wp:posOffset>
            </wp:positionV>
            <wp:extent cx="12001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-2082165</wp:posOffset>
            </wp:positionV>
            <wp:extent cx="12001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-1447800</wp:posOffset>
            </wp:positionV>
            <wp:extent cx="116586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6586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spacing w:after="0" w:line="18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 Lawrence, Massachusetts and Pewaukee, Wisconsin.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Orion’s financial instruments consist of cash and cash equivalents, accounts receivable, accounts payable, accrued expenses and other, revolving credit facility and long-term debt. In addition, other long-term assets includes an equity investment of $0.5 million that is carried at cost less impairment, of which there has been no impairment as of March 31, 2023.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499"/>
        <w:spacing w:after="0" w:line="263" w:lineRule="auto"/>
        <w:rPr>
          <w:sz w:val="20"/>
          <w:szCs w:val="20"/>
          <w:color w:val="auto"/>
        </w:rPr>
      </w:pPr>
      <w:r>
        <w:rPr>
          <w:rFonts w:ascii="Arial" w:cs="Arial" w:eastAsia="Arial" w:hAnsi="Arial"/>
          <w:sz w:val="18"/>
          <w:szCs w:val="18"/>
          <w:color w:val="auto"/>
        </w:rPr>
        <w:t>The carrying amounts of Orion’s financial instruments approximate their respective fair values due to the relatively short-term nature of these instruments. Long-term debt and revolving credit facility are classified as Level 2 in the fair value hierarchy because of the interest rates currently available to Orion for similar obligations.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4 – Accounts Receivable for further discussion of the allowance for doubtful accounts.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Orion’s compensation committee approved an Executive Annual Cash Incentive Program. Based upon the results for the fiscal years ended March 31, 2023, 2022, and 2021, Orion accrued approximately $0, $0.1 million, and $0.7 million expense related to this plan,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96"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The expected cost-plus margin approach is used to determine the estimated stand-alone selling price for the installation performance obligation and is based on average historical installation margin.</w:t>
      </w:r>
    </w:p>
    <w:p>
      <w:pPr>
        <w:spacing w:after="0" w:line="16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Orion manufactured or sourced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ind w:firstLine="499"/>
        <w:spacing w:after="0" w:line="286" w:lineRule="auto"/>
        <w:rPr>
          <w:sz w:val="20"/>
          <w:szCs w:val="20"/>
          <w:color w:val="auto"/>
        </w:rPr>
      </w:pPr>
      <w:r>
        <w:rPr>
          <w:rFonts w:ascii="Arial" w:cs="Arial" w:eastAsia="Arial" w:hAnsi="Arial"/>
          <w:sz w:val="16"/>
          <w:szCs w:val="16"/>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1" w:lineRule="exact"/>
        <w:rPr>
          <w:sz w:val="20"/>
          <w:szCs w:val="20"/>
          <w:color w:val="auto"/>
        </w:rPr>
      </w:pPr>
    </w:p>
    <w:p>
      <w:pPr>
        <w:jc w:val="both"/>
        <w:ind w:firstLine="8"/>
        <w:spacing w:after="0" w:line="253" w:lineRule="auto"/>
        <w:tabs>
          <w:tab w:leader="none" w:pos="2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98"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84"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49"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ind w:firstLine="499"/>
        <w:spacing w:after="0" w:line="263" w:lineRule="auto"/>
        <w:rPr>
          <w:sz w:val="20"/>
          <w:szCs w:val="20"/>
          <w:color w:val="auto"/>
        </w:rPr>
      </w:pPr>
      <w:r>
        <w:rPr>
          <w:rFonts w:ascii="Arial" w:cs="Arial" w:eastAsia="Arial" w:hAnsi="Arial"/>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EV segment and compliment Orion’s existing turnkey installation model.</w:t>
      </w:r>
    </w:p>
    <w:p>
      <w:pPr>
        <w:spacing w:after="0" w:line="184"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The sale of charging stations and related software subscriptions and renewals is presented in Product revenue. Orion is the principal in the sales of charging stations as it has control of the physical products prior to transfer to the customer. Accordingly, revenue is recognized on a gross basis. For certain sales, primarily software subscriptions and renewals,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88"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6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See Note 10 – Accrued Expenses and Other for a discussion of Orion’s accounting for the warranty it provides to customers for its products and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expenses research and development costs as incurred. Amounts are included in the Statement of Operations on the line item Research and development.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2023, Orion recognized a valuation allowance for all of its net deferred tax assets.</w:t>
      </w:r>
    </w:p>
    <w:p>
      <w:pPr>
        <w:spacing w:after="0" w:line="188"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Orion’s share-based payments to employees are measured at fair value and are recognized against earnings, on a straight-line basis over the requisite service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jc w:val="both"/>
        <w:ind w:firstLine="499"/>
        <w:spacing w:after="0" w:line="301" w:lineRule="auto"/>
        <w:rPr>
          <w:sz w:val="20"/>
          <w:szCs w:val="20"/>
          <w:color w:val="auto"/>
        </w:rPr>
      </w:pPr>
      <w:r>
        <w:rPr>
          <w:rFonts w:ascii="Arial" w:cs="Arial" w:eastAsia="Arial" w:hAnsi="Arial"/>
          <w:sz w:val="16"/>
          <w:szCs w:val="16"/>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17 – Stock Options and Restricted Shares, Orion currently awards non-vested restricted stock (and in some cases, in conjunction with associated cash award accounted for as a liability) to employees, executive officers and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Acquisition related costs includes legal fees, consulting and success fees, and other integration related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fiscal 2023, 2022 and 2021, no supplier accounted for more than 10% of total cost of revenue.</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In fiscal 2023, one customer accounted for 16.2% of revenue. In fiscal 2022, one customer accounted for 49.1% of total revenue. In fiscal 2021, one customer accounted for 56.0% of total revenue. The revenue from this customer is recorded in Orion's OSG segment.</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2023, one customer accounted for 10.8% of accounts receivable. As of March 31, 2022, two customers accounted for 11.8 % and 10.4 % of accounts receivable,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337"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does not anticipate the impact of adoption of this standard will be material on its consolidated statements of operations, cash flows, and the related footnote disclosures.</w:t>
      </w:r>
    </w:p>
    <w:p>
      <w:pPr>
        <w:spacing w:after="0" w:line="285"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In October 2021, the FASB issued ASU No. 2021-08, Business Combinations (Topic 805): Accounting for Contract Assets and Contract Liabilities from Contracts with Customers (“ASU 2021-08”), which requires an entity to use the guidance in ASC 606, Revenue from Contracts with Customers, rather than using fair value, when recognizing and measuring contract assets and contract liabilities related to customer contracts assumed in a business combination. The provisions of ASU 2021-08 are effective for Orion for fiscal years (and interim reporting periods within those years) beginning after December 15, 2022. Orion is currently evaluating the impact of adoption of this standard on its consolidated balance sheet.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Summary of Significant Accounting Policies for a discussion of Orion’s accounting policies related to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17"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Costs associated with product sales are accumulated in inventory as the fixtures are manufactured and are transferred to Cost of product revenue at the time revenue is recorded. See Note 6 – Inventories. Costs associated with installation sales are expensed as incurred.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fiscal year 2023, Product revenue included $2.8 million derived from sales-type leases for light fixtures, $0.1 million derived from the sale of tax credits generated from Orion’s legacy operation for distributing solar energy, and $0.1 million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the federal government, and (b) commercial or industrial companies.</w:t>
      </w:r>
    </w:p>
    <w:p>
      <w:pPr>
        <w:spacing w:after="0" w:line="23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84"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Footnote 17 - Segment Data, for additional discussion concerning Orion’s reportable segments.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detail of Orion’s total revenues for the year ended March 31, 2023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b w:val="1"/>
                <w:bCs w:val="1"/>
                <w:color w:val="auto"/>
              </w:rPr>
              <w:t>Year Ended March 31, 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b w:val="1"/>
                <w:bCs w:val="1"/>
                <w:color w:val="auto"/>
              </w:rPr>
              <w:t>Year Ended March 31, 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ind w:right="288"/>
              <w:spacing w:after="0"/>
              <w:rPr>
                <w:sz w:val="20"/>
                <w:szCs w:val="20"/>
                <w:color w:val="auto"/>
              </w:rPr>
            </w:pPr>
            <w:r>
              <w:rPr>
                <w:rFonts w:ascii="Arial" w:cs="Arial" w:eastAsia="Arial" w:hAnsi="Arial"/>
                <w:sz w:val="14"/>
                <w:szCs w:val="14"/>
                <w:b w:val="1"/>
                <w:bCs w:val="1"/>
                <w:color w:val="auto"/>
              </w:rPr>
              <w:t>Year Ended March 31, 2021</w:t>
            </w:r>
          </w:p>
        </w:tc>
        <w:tc>
          <w:tcPr>
            <w:tcW w:w="140" w:type="dxa"/>
            <w:vAlign w:val="bottom"/>
          </w:tcPr>
          <w:p>
            <w:pPr>
              <w:spacing w:after="0"/>
              <w:rPr>
                <w:sz w:val="16"/>
                <w:szCs w:val="16"/>
                <w:color w:val="auto"/>
              </w:rPr>
            </w:pPr>
          </w:p>
        </w:tc>
      </w:tr>
      <w:tr>
        <w:trPr>
          <w:trHeight w:val="169"/>
        </w:trPr>
        <w:tc>
          <w:tcPr>
            <w:tcW w:w="33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from contracts with customers:</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Lighting product and installation</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46,500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7,088</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53,588</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89,827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27,242</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117,069</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84,659</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29,081</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113,740</w:t>
            </w:r>
          </w:p>
        </w:tc>
        <w:tc>
          <w:tcPr>
            <w:tcW w:w="140" w:type="dxa"/>
            <w:vAlign w:val="bottom"/>
          </w:tcPr>
          <w:p>
            <w:pPr>
              <w:spacing w:after="0"/>
              <w:rPr>
                <w:sz w:val="15"/>
                <w:szCs w:val="15"/>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Maintenance Services</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FF0FC"/>
          </w:tcPr>
          <w:p>
            <w:pPr>
              <w:spacing w:after="0"/>
              <w:rPr>
                <w:sz w:val="15"/>
                <w:szCs w:val="15"/>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Electric Vehicles</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4,479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r>
      <w:tr>
        <w:trPr>
          <w:trHeight w:val="175"/>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Solar energy related revenues</w:t>
            </w:r>
          </w:p>
        </w:tc>
        <w:tc>
          <w:tcPr>
            <w:tcW w:w="1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4"/>
                <w:szCs w:val="14"/>
                <w:color w:val="auto"/>
              </w:rPr>
              <w:t>Total revenues from contracts with customers</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54,245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74,418</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32,494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122,936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84,716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29,176</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113,892</w:t>
            </w:r>
          </w:p>
        </w:tc>
        <w:tc>
          <w:tcPr>
            <w:tcW w:w="140" w:type="dxa"/>
            <w:vAlign w:val="bottom"/>
          </w:tcPr>
          <w:p>
            <w:pPr>
              <w:spacing w:after="0"/>
              <w:rPr>
                <w:sz w:val="14"/>
                <w:szCs w:val="14"/>
                <w:color w:val="auto"/>
              </w:rPr>
            </w:pPr>
          </w:p>
        </w:tc>
      </w:tr>
      <w:tr>
        <w:trPr>
          <w:trHeight w:val="169"/>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 accounted for under other guidance</w:t>
            </w: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2,965</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2,965</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1,447</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1,447</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2,948</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2,948</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57,210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20,173</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77,383</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91,889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32,494</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124,383</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87,664</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29,176</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116,840</w:t>
            </w:r>
          </w:p>
        </w:tc>
        <w:tc>
          <w:tcPr>
            <w:tcW w:w="140" w:type="dxa"/>
            <w:vAlign w:val="bottom"/>
          </w:tcPr>
          <w:p>
            <w:pPr>
              <w:spacing w:after="0"/>
              <w:rPr>
                <w:sz w:val="14"/>
                <w:szCs w:val="14"/>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-385445</wp:posOffset>
            </wp:positionV>
            <wp:extent cx="7683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-385445</wp:posOffset>
            </wp:positionV>
            <wp:extent cx="7747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-385445</wp:posOffset>
            </wp:positionV>
            <wp:extent cx="8572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-385445</wp:posOffset>
            </wp:positionV>
            <wp:extent cx="7683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-385445</wp:posOffset>
            </wp:positionV>
            <wp:extent cx="7683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-385445</wp:posOffset>
            </wp:positionV>
            <wp:extent cx="8572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8572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-385445</wp:posOffset>
            </wp:positionV>
            <wp:extent cx="7747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-145415</wp:posOffset>
            </wp:positionV>
            <wp:extent cx="7683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-145415</wp:posOffset>
            </wp:positionV>
            <wp:extent cx="7747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-145415</wp:posOffset>
            </wp:positionV>
            <wp:extent cx="8572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-145415</wp:posOffset>
            </wp:positionV>
            <wp:extent cx="76835"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-145415</wp:posOffset>
            </wp:positionV>
            <wp:extent cx="7683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-145415</wp:posOffset>
            </wp:positionV>
            <wp:extent cx="8572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-145415</wp:posOffset>
            </wp:positionV>
            <wp:extent cx="8572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-145415</wp:posOffset>
            </wp:positionV>
            <wp:extent cx="7747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Considerations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Material only orders are short-term in nature generally having terms of significantly less than one year. We record revenue from these contracts when the customer obtains control of those goods, which is generally consistent with the payment due date. There is not a significant impact on the nature, amount, timing, and uncertainty of revenue or cash flows based on when control transfers.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499"/>
        <w:spacing w:after="0" w:line="286" w:lineRule="auto"/>
        <w:rPr>
          <w:sz w:val="20"/>
          <w:szCs w:val="20"/>
          <w:color w:val="auto"/>
        </w:rPr>
      </w:pPr>
      <w:r>
        <w:rPr>
          <w:rFonts w:ascii="Arial" w:cs="Arial" w:eastAsia="Arial" w:hAnsi="Arial"/>
          <w:sz w:val="17"/>
          <w:szCs w:val="17"/>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65"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70" w:lineRule="exact"/>
        <w:rPr>
          <w:sz w:val="20"/>
          <w:szCs w:val="20"/>
          <w:color w:val="auto"/>
        </w:rPr>
      </w:pPr>
    </w:p>
    <w:p>
      <w:pPr>
        <w:jc w:val="both"/>
        <w:ind w:firstLine="499"/>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7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March 31, 2023 are included in Accounts receivable, net in Orion’s Consolidated Balance Sheets. The remaining amounts due that are associated with these transactions are included in Long-term accounts receivable in Orion’s Consolidated Balance Sheets. As of March 31, 2023, there were no such transactions included in Long-term accounts receivable.</w:t>
      </w:r>
    </w:p>
    <w:p>
      <w:pPr>
        <w:spacing w:after="0" w:line="187" w:lineRule="exact"/>
        <w:rPr>
          <w:sz w:val="20"/>
          <w:szCs w:val="20"/>
          <w:color w:val="auto"/>
        </w:rPr>
      </w:pPr>
    </w:p>
    <w:p>
      <w:pPr>
        <w:jc w:val="both"/>
        <w:ind w:firstLine="499"/>
        <w:spacing w:after="0" w:line="296"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61"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6"/>
          <w:szCs w:val="16"/>
          <w:color w:val="auto"/>
        </w:rPr>
        <w:t>The total amount received from the sales of these receivables during the twelve months ended March 31, 2023, 2022, and 2021 was $6.3 million, $2.8 million and $5.1 million, respectively. Orion’s losses on these sales aggregated to $0.1 million, $13 thousand and $0.1 million for the twelve months ended March 31, 2023, 2022, and 2021, respectively, and are included in Interest expense in the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70"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Revenue earned but not billed as of March 31, 2023 includes $0 and March 31, 2022 includes $0.5 million, respectively, which was not derived from contracts with customers and therefore not classified as a contract asset as defined by the standards. The change in contract assets is due to lower fiscal 2023 revenue and timing of project completions and invoicing. This was partially offset by the acquisition of Voltrek. As of March 31, 2023, Voltrek had $0.5 million of contract assets.</w:t>
      </w:r>
    </w:p>
    <w:p>
      <w:pPr>
        <w:spacing w:after="0" w:line="16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Deferred revenue, current as of March 31, 2023, includes $0.5 million of contract liabilities which represent consideration received from a new customer contract on which installation has not yet begun and Orion has not fulfilled the promises included.</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balance of Orion’s receivables arising from contracts with customers, contract assets and contract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March 31, 2022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2022</w:t>
            </w: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13,728</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11,899</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1,320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1,966</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480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w:t>
      </w:r>
    </w:p>
    <w:p>
      <w:pPr>
        <w:spacing w:after="0" w:line="12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4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3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36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13,814</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11,907</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6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7"/>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36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13,728</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11,899</w:t>
            </w:r>
          </w:p>
        </w:tc>
      </w:tr>
      <w:tr>
        <w:trPr>
          <w:trHeight w:val="635"/>
        </w:trPr>
        <w:tc>
          <w:tcPr>
            <w:tcW w:w="3960" w:type="dxa"/>
            <w:vAlign w:val="bottom"/>
          </w:tcPr>
          <w:p>
            <w:pPr>
              <w:spacing w:after="0"/>
              <w:rPr>
                <w:sz w:val="24"/>
                <w:szCs w:val="24"/>
                <w:color w:val="auto"/>
              </w:rPr>
            </w:pPr>
          </w:p>
        </w:tc>
        <w:tc>
          <w:tcPr>
            <w:tcW w:w="3640" w:type="dxa"/>
            <w:vAlign w:val="bottom"/>
          </w:tcPr>
          <w:p>
            <w:pPr>
              <w:jc w:val="right"/>
              <w:ind w:right="1799"/>
              <w:spacing w:after="0"/>
              <w:rPr>
                <w:sz w:val="20"/>
                <w:szCs w:val="20"/>
                <w:color w:val="auto"/>
              </w:rPr>
            </w:pPr>
            <w:r>
              <w:rPr>
                <w:rFonts w:ascii="Arial" w:cs="Arial" w:eastAsia="Arial" w:hAnsi="Arial"/>
                <w:sz w:val="18"/>
                <w:szCs w:val="18"/>
                <w:color w:val="auto"/>
              </w:rPr>
              <w:t>65</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-521970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5 — INVENTORIES</w:t>
      </w:r>
    </w:p>
    <w:p>
      <w:pPr>
        <w:spacing w:after="0" w:line="121"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2023 and 2022, Orion's inventory balances were as follows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35"/>
              <w:spacing w:after="0"/>
              <w:rPr>
                <w:sz w:val="20"/>
                <w:szCs w:val="20"/>
                <w:color w:val="auto"/>
              </w:rPr>
            </w:pPr>
            <w:r>
              <w:rPr>
                <w:rFonts w:ascii="Arial" w:cs="Arial" w:eastAsia="Arial" w:hAnsi="Arial"/>
                <w:sz w:val="14"/>
                <w:szCs w:val="14"/>
                <w:b w:val="1"/>
                <w:bCs w:val="1"/>
                <w:color w:val="auto"/>
                <w:w w:val="88"/>
              </w:rPr>
              <w:t>Excess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March 31, 2023</w:t>
            </w: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9,988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(1,094 )</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(560 )</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7"/>
        </w:trPr>
        <w:tc>
          <w:tcPr>
            <w:tcW w:w="6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19,994</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(1,789 )</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As of March 31, 2022</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10,781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(1,140 )</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1,529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9,593</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(664 )</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36"/>
        </w:trPr>
        <w:tc>
          <w:tcPr>
            <w:tcW w:w="6460" w:type="dxa"/>
            <w:vAlign w:val="bottom"/>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21,903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(2,071 )</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-831215</wp:posOffset>
            </wp:positionV>
            <wp:extent cx="116586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65860" cy="1797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12001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12001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20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and March 31, 2022, prepaid expenses and other current assets include the following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March 31, 2022</w:t>
            </w:r>
          </w:p>
        </w:tc>
      </w:tr>
      <w:tr>
        <w:trPr>
          <w:trHeight w:val="237"/>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credit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1,587</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Other prepaid expenses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1,044</w:t>
            </w:r>
          </w:p>
        </w:tc>
      </w:tr>
      <w:tr>
        <w:trPr>
          <w:trHeight w:val="277"/>
        </w:trPr>
        <w:tc>
          <w:tcPr>
            <w:tcW w:w="7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firstLine="494"/>
        <w:spacing w:after="0" w:line="301" w:lineRule="auto"/>
        <w:rPr>
          <w:sz w:val="20"/>
          <w:szCs w:val="20"/>
          <w:color w:val="auto"/>
        </w:rPr>
      </w:pPr>
      <w:r>
        <w:rPr>
          <w:rFonts w:ascii="Arial" w:cs="Arial" w:eastAsia="Arial" w:hAnsi="Arial"/>
          <w:sz w:val="16"/>
          <w:szCs w:val="16"/>
          <w:color w:val="auto"/>
        </w:rPr>
        <w:t>During fiscal 2022, Orion recorded a $1.6 million current asset for the anticipated employee retention payroll tax credit (“payroll tax credit”), as expanded and extended by the American Rescue Plan Act of 2021. The credit was recorded as an offset to payroll expense, in accordance with IAS 20, in the following income statement categories: $0.7 million in cost of product revenue, $0.1 million in cost of service revenue, $0.3 million in general and administrative, $0.4 million in sales and marketing, and $0.1 million in research and development expenses. The refund was collected in fiscal 2023.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121"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4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 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433</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9,491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9,491</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7,782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7,650</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490</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leased to customers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4,997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4,997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Plant equipment</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11,234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11,130</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796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7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35,234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34,990</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(24,764 )</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(23,524 )</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10,470</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11,466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Depreciation is recognized over the estimated useful lives of the respective assets, using the straight-line method. Orion recorded depreciation expense of $1.4 million, $1.3 million and $1.2 million for the years ended March 31, 2023, 2022 and 2021,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Depreciable lives by asset category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improvements</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10-15 years</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840" w:type="dxa"/>
            <w:vAlign w:val="bottom"/>
          </w:tcPr>
          <w:p>
            <w:pPr>
              <w:ind w:left="500"/>
              <w:spacing w:after="0"/>
              <w:rPr>
                <w:sz w:val="20"/>
                <w:szCs w:val="20"/>
                <w:color w:val="auto"/>
              </w:rPr>
            </w:pPr>
            <w:r>
              <w:rPr>
                <w:rFonts w:ascii="Arial" w:cs="Arial" w:eastAsia="Arial" w:hAnsi="Arial"/>
                <w:sz w:val="18"/>
                <w:szCs w:val="18"/>
                <w:color w:val="auto"/>
              </w:rPr>
              <w:t>10-39 years</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2-10 years</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40" w:type="dxa"/>
            <w:vAlign w:val="bottom"/>
          </w:tcPr>
          <w:p>
            <w:pPr>
              <w:ind w:left="500"/>
              <w:spacing w:after="0"/>
              <w:rPr>
                <w:sz w:val="20"/>
                <w:szCs w:val="20"/>
                <w:color w:val="auto"/>
              </w:rPr>
            </w:pPr>
            <w:r>
              <w:rPr>
                <w:rFonts w:ascii="Arial" w:cs="Arial" w:eastAsia="Arial" w:hAnsi="Arial"/>
                <w:sz w:val="18"/>
                <w:szCs w:val="18"/>
                <w:color w:val="auto"/>
              </w:rPr>
              <w:t>Shorter of asset life or life of lease</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leased to customers under Power Purchase Agreements</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 years</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Plant equipment</w:t>
            </w:r>
          </w:p>
        </w:tc>
        <w:tc>
          <w:tcPr>
            <w:tcW w:w="3840" w:type="dxa"/>
            <w:vAlign w:val="bottom"/>
          </w:tcPr>
          <w:p>
            <w:pPr>
              <w:ind w:left="500"/>
              <w:spacing w:after="0"/>
              <w:rPr>
                <w:sz w:val="20"/>
                <w:szCs w:val="20"/>
                <w:color w:val="auto"/>
              </w:rPr>
            </w:pPr>
            <w:r>
              <w:rPr>
                <w:rFonts w:ascii="Arial" w:cs="Arial" w:eastAsia="Arial" w:hAnsi="Arial"/>
                <w:sz w:val="18"/>
                <w:szCs w:val="18"/>
                <w:color w:val="auto"/>
              </w:rPr>
              <w:t>3-10 years</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5-7 years</w:t>
            </w:r>
          </w:p>
        </w:tc>
      </w:tr>
      <w:tr>
        <w:trPr>
          <w:trHeight w:val="459"/>
        </w:trPr>
        <w:tc>
          <w:tcPr>
            <w:tcW w:w="7400" w:type="dxa"/>
            <w:vAlign w:val="bottom"/>
          </w:tcPr>
          <w:p>
            <w:pPr>
              <w:ind w:left="500"/>
              <w:spacing w:after="0"/>
              <w:rPr>
                <w:sz w:val="20"/>
                <w:szCs w:val="20"/>
                <w:color w:val="auto"/>
              </w:rPr>
            </w:pPr>
            <w:r>
              <w:rPr>
                <w:rFonts w:ascii="Arial" w:cs="Arial" w:eastAsia="Arial" w:hAnsi="Arial"/>
                <w:sz w:val="18"/>
                <w:szCs w:val="18"/>
                <w:color w:val="auto"/>
                <w:w w:val="98"/>
              </w:rPr>
              <w:t>No interest was capitalized for construction in progress during fiscal 2023 or fiscal 2022.</w:t>
            </w:r>
          </w:p>
        </w:tc>
        <w:tc>
          <w:tcPr>
            <w:tcW w:w="3840" w:type="dxa"/>
            <w:vAlign w:val="bottom"/>
          </w:tcPr>
          <w:p>
            <w:pPr>
              <w:spacing w:after="0"/>
              <w:rPr>
                <w:sz w:val="24"/>
                <w:szCs w:val="24"/>
                <w:color w:val="auto"/>
              </w:rPr>
            </w:pPr>
          </w:p>
        </w:tc>
      </w:tr>
    </w:tbl>
    <w:p>
      <w:pPr>
        <w:spacing w:after="0" w:line="310"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As of December 31, 2022, due to a change in Orion's forecast, a triggering event occurred requiring Orion to evaluate the long-lived assets in its enterprise asset group for impairment. The enterprise asset group includes the corporate assets that support the revenue producing activities of other asset groups. Orion performed the recoverability test for the asset group by comparing its carrying value to the group’s expected future undiscounted cash flows. Orion concluded that the undiscounted cash flows of the long-lived asset group exceeded its carrying value. As such the asset group was deemed recoverable and no impairment was recorded.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5"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From time to time, Orion leases assets from third parties. Orion also leases certain assets to third parties. Effective April 1, 2019, leases are accounted for, and reported upon, following the requirements of ASC 842, Leases.</w:t>
      </w:r>
    </w:p>
    <w:p>
      <w:pPr>
        <w:spacing w:after="0" w:line="116"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ROU asset and lease liability.</w:t>
      </w:r>
    </w:p>
    <w:p>
      <w:pPr>
        <w:spacing w:after="0" w:line="134"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2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16"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8"/>
          <w:szCs w:val="18"/>
          <w:color w:val="auto"/>
        </w:rPr>
        <w:t>On January 31, 2020, Orion entered into the current lease for its primary manufacturing and distribution facility in Manitowoc, WI. The lease has a 10-year term, with the option to terminate after six years. The lease also has an option to renew for two additional successive periods of five years each. The renewal option is not in the calculation of the right of use asset or liability as the company has considered the termination option in the calculation. Orion is responsible for the costs of insurance and utilities for the facility. These costs are considered variable lease costs. The agreement is classified as an operating lease.</w:t>
      </w:r>
    </w:p>
    <w:p>
      <w:pPr>
        <w:spacing w:after="0" w:line="13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In February 2014, Orion entered into a multi-year lease agreement for use of office space in a multi-use office building in Jacksonville, Florida. The lease has since been extended, most recently during the first quarter of fiscal 2021, and presently terminates on June 30, 2023. Subsequent to year-end, this lease was extended for another three-year term. The agreement is classified as an operating lease.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lease office space in Lawrence, Massachusetts. The lease presently terminates in October, 2026. The agreement is classified as an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157"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We also lease office space in Pewaukee, Wisconsin. The lease has an option to renew one additional period of five years. The lease presently terminates in December, 2026. The renewal option is not in the calculation of the right of use asset or liability as the company has considered the termination option in the calculation. The agreement is classified as an operating lease.</w:t>
      </w:r>
    </w:p>
    <w:p>
      <w:pPr>
        <w:spacing w:after="0" w:line="13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7" w:name="page68"/>
    <w:bookmarkEnd w:id="67"/>
    <w:p>
      <w:pPr>
        <w:jc w:val="both"/>
        <w:ind w:firstLine="464"/>
        <w:spacing w:after="0" w:line="277" w:lineRule="auto"/>
        <w:rPr>
          <w:sz w:val="20"/>
          <w:szCs w:val="20"/>
          <w:color w:val="auto"/>
        </w:rPr>
      </w:pPr>
      <w:r>
        <w:rPr>
          <w:rFonts w:ascii="Arial" w:cs="Arial" w:eastAsia="Arial" w:hAnsi="Arial"/>
          <w:sz w:val="18"/>
          <w:szCs w:val="18"/>
          <w:color w:val="auto"/>
        </w:rPr>
        <w:t>The weighted average discount rate for Orion’s lease obligations as of March 31, 2023 is 5.4%. The weighted average remaining lease term as of March 31, 2023 is 3.0 years.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classification</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March 31, 2022</w:t>
            </w:r>
          </w:p>
        </w:tc>
      </w:tr>
      <w:tr>
        <w:trPr>
          <w:trHeight w:val="237"/>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30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2,174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2,440</w:t>
            </w:r>
          </w:p>
        </w:tc>
      </w:tr>
      <w:tr>
        <w:trPr>
          <w:trHeight w:val="249"/>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9"/>
        </w:trPr>
        <w:tc>
          <w:tcPr>
            <w:tcW w:w="3460" w:type="dxa"/>
            <w:vAlign w:val="bottom"/>
            <w:shd w:val="clear" w:color="auto" w:fill="CFF0FC"/>
          </w:tcPr>
          <w:p>
            <w:pPr>
              <w:jc w:val="center"/>
              <w:ind w:right="1130"/>
              <w:spacing w:after="0"/>
              <w:rPr>
                <w:sz w:val="20"/>
                <w:szCs w:val="20"/>
                <w:color w:val="auto"/>
              </w:rPr>
            </w:pPr>
            <w:r>
              <w:rPr>
                <w:rFonts w:ascii="Arial" w:cs="Arial" w:eastAsia="Arial" w:hAnsi="Arial"/>
                <w:sz w:val="18"/>
                <w:szCs w:val="18"/>
                <w:color w:val="auto"/>
                <w:w w:val="91"/>
              </w:rPr>
              <w:t>Operating lease liabilities</w:t>
            </w:r>
          </w:p>
        </w:tc>
        <w:tc>
          <w:tcPr>
            <w:tcW w:w="3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768</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9"/>
        </w:trPr>
        <w:tc>
          <w:tcPr>
            <w:tcW w:w="3460" w:type="dxa"/>
            <w:vAlign w:val="bottom"/>
            <w:tcBorders>
              <w:bottom w:val="single" w:sz="8" w:color="CFF0FC"/>
            </w:tcBorders>
            <w:shd w:val="clear" w:color="auto" w:fill="CFF0FC"/>
          </w:tcPr>
          <w:p>
            <w:pPr>
              <w:jc w:val="center"/>
              <w:ind w:right="1130"/>
              <w:spacing w:after="0"/>
              <w:rPr>
                <w:sz w:val="20"/>
                <w:szCs w:val="20"/>
                <w:color w:val="auto"/>
              </w:rPr>
            </w:pPr>
            <w:r>
              <w:rPr>
                <w:rFonts w:ascii="Arial" w:cs="Arial" w:eastAsia="Arial" w:hAnsi="Arial"/>
                <w:sz w:val="18"/>
                <w:szCs w:val="18"/>
                <w:color w:val="auto"/>
                <w:w w:val="91"/>
              </w:rPr>
              <w:t>Operating lease liabilities</w:t>
            </w:r>
          </w:p>
        </w:tc>
        <w:tc>
          <w:tcPr>
            <w:tcW w:w="33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1,826</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2,271</w:t>
            </w:r>
          </w:p>
        </w:tc>
      </w:tr>
      <w:tr>
        <w:trPr>
          <w:trHeight w:val="230"/>
        </w:trPr>
        <w:tc>
          <w:tcPr>
            <w:tcW w:w="3460" w:type="dxa"/>
            <w:vAlign w:val="bottom"/>
          </w:tcPr>
          <w:p>
            <w:pPr>
              <w:jc w:val="center"/>
              <w:ind w:right="1130"/>
              <w:spacing w:after="0"/>
              <w:rPr>
                <w:sz w:val="20"/>
                <w:szCs w:val="20"/>
                <w:color w:val="auto"/>
              </w:rPr>
            </w:pPr>
            <w:r>
              <w:rPr>
                <w:rFonts w:ascii="Arial" w:cs="Arial" w:eastAsia="Arial" w:hAnsi="Arial"/>
                <w:sz w:val="18"/>
                <w:szCs w:val="18"/>
                <w:color w:val="auto"/>
                <w:w w:val="91"/>
              </w:rPr>
              <w:t>Total lease liabilities</w:t>
            </w:r>
          </w:p>
        </w:tc>
        <w:tc>
          <w:tcPr>
            <w:tcW w:w="330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2,649</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4"/>
              <w:spacing w:after="0"/>
              <w:rPr>
                <w:sz w:val="20"/>
                <w:szCs w:val="20"/>
                <w:color w:val="auto"/>
              </w:rPr>
            </w:pPr>
            <w:r>
              <w:rPr>
                <w:rFonts w:ascii="Arial" w:cs="Arial" w:eastAsia="Arial" w:hAnsi="Arial"/>
                <w:sz w:val="18"/>
                <w:szCs w:val="18"/>
                <w:color w:val="auto"/>
              </w:rPr>
              <w:t>3,039</w:t>
            </w:r>
          </w:p>
        </w:tc>
      </w:tr>
      <w:tr>
        <w:trPr>
          <w:trHeight w:val="20"/>
        </w:trPr>
        <w:tc>
          <w:tcPr>
            <w:tcW w:w="3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-187960</wp:posOffset>
            </wp:positionV>
            <wp:extent cx="14605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050" cy="188595"/>
                    </a:xfrm>
                    <a:prstGeom prst="rect">
                      <a:avLst/>
                    </a:prstGeom>
                    <a:noFill/>
                  </pic:spPr>
                </pic:pic>
              </a:graphicData>
            </a:graphic>
          </wp:anchor>
        </w:drawing>
      </w:r>
    </w:p>
    <w:p>
      <w:pPr>
        <w:spacing w:after="0" w:line="182"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Orion had operating lease costs of $1.6 million for the year ended March 31, 2023. This includes short-term leases and variable lease costs, which are immaterial.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50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63"/>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Maturity of Lease Liabilities</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w w:val="92"/>
              </w:rPr>
              <w:t>Operating Leases</w:t>
            </w:r>
          </w:p>
        </w:tc>
        <w:tc>
          <w:tcPr>
            <w:tcW w:w="620" w:type="dxa"/>
            <w:vAlign w:val="bottom"/>
          </w:tcPr>
          <w:p>
            <w:pPr>
              <w:spacing w:after="0"/>
              <w:rPr>
                <w:sz w:val="22"/>
                <w:szCs w:val="22"/>
                <w:color w:val="auto"/>
              </w:rPr>
            </w:pPr>
          </w:p>
        </w:tc>
      </w:tr>
      <w:tr>
        <w:trPr>
          <w:trHeight w:val="25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w:t>
            </w:r>
          </w:p>
        </w:tc>
        <w:tc>
          <w:tcPr>
            <w:tcW w:w="1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946</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4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949</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14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845</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14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142</w:t>
            </w:r>
          </w:p>
        </w:tc>
      </w:tr>
      <w:tr>
        <w:trPr>
          <w:trHeight w:val="24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14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91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2,882</w:t>
            </w:r>
          </w:p>
        </w:tc>
      </w:tr>
      <w:tr>
        <w:trPr>
          <w:trHeight w:val="237"/>
        </w:trPr>
        <w:tc>
          <w:tcPr>
            <w:tcW w:w="9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Interest</w:t>
            </w:r>
          </w:p>
        </w:tc>
        <w:tc>
          <w:tcPr>
            <w:tcW w:w="14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(233 )</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2,649</w:t>
            </w:r>
          </w:p>
        </w:tc>
      </w:tr>
      <w:tr>
        <w:trPr>
          <w:trHeight w:val="20"/>
        </w:trPr>
        <w:tc>
          <w:tcPr>
            <w:tcW w:w="9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34"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33"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year ended March 31, 2023, 2022 and 2020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March 31, 2023</w:t>
            </w:r>
          </w:p>
        </w:tc>
        <w:tc>
          <w:tcPr>
            <w:tcW w:w="6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March 31, 2022</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Pr>
          <w:p>
            <w:pPr>
              <w:jc w:val="right"/>
              <w:ind w:right="536"/>
              <w:spacing w:after="0"/>
              <w:rPr>
                <w:sz w:val="20"/>
                <w:szCs w:val="20"/>
                <w:color w:val="auto"/>
              </w:rPr>
            </w:pPr>
            <w:r>
              <w:rPr>
                <w:rFonts w:ascii="Arial" w:cs="Arial" w:eastAsia="Arial" w:hAnsi="Arial"/>
                <w:sz w:val="14"/>
                <w:szCs w:val="14"/>
                <w:b w:val="1"/>
                <w:bCs w:val="1"/>
                <w:color w:val="auto"/>
              </w:rPr>
              <w:t>March 31, 2021</w:t>
            </w:r>
          </w:p>
        </w:tc>
      </w:tr>
      <w:tr>
        <w:trPr>
          <w:trHeight w:val="27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2960" w:type="dxa"/>
            <w:vAlign w:val="bottom"/>
            <w:shd w:val="clear" w:color="auto" w:fill="CFF0FC"/>
          </w:tcPr>
          <w:p>
            <w:pPr>
              <w:jc w:val="right"/>
              <w:ind w:right="12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3"/>
              </w:rPr>
              <w:t>2,818</w:t>
            </w:r>
          </w:p>
        </w:tc>
        <w:tc>
          <w:tcPr>
            <w:tcW w:w="1620" w:type="dxa"/>
            <w:vAlign w:val="bottom"/>
            <w:shd w:val="clear" w:color="auto" w:fill="CFF0FC"/>
          </w:tcPr>
          <w:p>
            <w:pPr>
              <w:jc w:val="right"/>
              <w:ind w:right="12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3"/>
              </w:rPr>
              <w:t>1,169</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2,758</w:t>
            </w: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96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2,771</w:t>
            </w:r>
          </w:p>
        </w:tc>
        <w:tc>
          <w:tcPr>
            <w:tcW w:w="1620" w:type="dxa"/>
            <w:vAlign w:val="bottom"/>
          </w:tcPr>
          <w:p>
            <w:pPr>
              <w:spacing w:after="0"/>
              <w:rPr>
                <w:sz w:val="22"/>
                <w:szCs w:val="22"/>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1,073</w:t>
            </w:r>
          </w:p>
        </w:tc>
        <w:tc>
          <w:tcPr>
            <w:tcW w:w="440" w:type="dxa"/>
            <w:vAlign w:val="bottom"/>
          </w:tcPr>
          <w:p>
            <w:pPr>
              <w:spacing w:after="0"/>
              <w:rPr>
                <w:sz w:val="22"/>
                <w:szCs w:val="22"/>
                <w:color w:val="auto"/>
              </w:rPr>
            </w:pP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2,512</w:t>
            </w:r>
          </w:p>
        </w:tc>
      </w:tr>
      <w:tr>
        <w:trPr>
          <w:trHeight w:val="661"/>
        </w:trPr>
        <w:tc>
          <w:tcPr>
            <w:tcW w:w="3240" w:type="dxa"/>
            <w:vAlign w:val="bottom"/>
          </w:tcPr>
          <w:p>
            <w:pPr>
              <w:spacing w:after="0"/>
              <w:rPr>
                <w:sz w:val="24"/>
                <w:szCs w:val="24"/>
                <w:color w:val="auto"/>
              </w:rPr>
            </w:pPr>
          </w:p>
        </w:tc>
        <w:tc>
          <w:tcPr>
            <w:tcW w:w="2960" w:type="dxa"/>
            <w:vAlign w:val="bottom"/>
          </w:tcPr>
          <w:p>
            <w:pPr>
              <w:jc w:val="right"/>
              <w:ind w:right="396"/>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8" w:name="page69"/>
    <w:bookmarkEnd w:id="68"/>
    <w:p>
      <w:pPr>
        <w:jc w:val="both"/>
        <w:ind w:firstLine="469"/>
        <w:spacing w:after="0" w:line="263" w:lineRule="auto"/>
        <w:rPr>
          <w:sz w:val="20"/>
          <w:szCs w:val="20"/>
          <w:color w:val="auto"/>
        </w:rPr>
      </w:pPr>
      <w:r>
        <w:rPr>
          <w:rFonts w:ascii="Arial" w:cs="Arial" w:eastAsia="Arial" w:hAnsi="Arial"/>
          <w:sz w:val="18"/>
          <w:szCs w:val="18"/>
          <w:color w:val="auto"/>
        </w:rPr>
        <w:t>The Consolidated Balance Sheet as of March 31, 2023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469"/>
        <w:spacing w:after="0" w:line="311" w:lineRule="auto"/>
        <w:rPr>
          <w:sz w:val="20"/>
          <w:szCs w:val="20"/>
          <w:color w:val="auto"/>
        </w:rPr>
      </w:pPr>
      <w:r>
        <w:rPr>
          <w:rFonts w:ascii="Arial" w:cs="Arial" w:eastAsia="Arial" w:hAnsi="Arial"/>
          <w:sz w:val="16"/>
          <w:szCs w:val="16"/>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2023, 2022 and 2021. Orion accounts for these transactions as operating leases.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has $0.9 million of goodwill related to its purchase of Voltrek in the third quarter of fiscal 2023, which has an indefinite life, and is assigned to the EV Charging operating segment.</w:t>
      </w:r>
    </w:p>
    <w:p>
      <w:pPr>
        <w:spacing w:after="0" w:line="6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has $0.6 million of goodwill related to its purchase of Stay-Lite Lighting during fiscal year 2022, which has an indefinite life, and is assigned to the Orion Services Group operating segment. Goodwill related to the Stay-Lite Lighting acquisition increased by $0.2 million to $0.6 million as compared to March 31, 2022. This increase was due to updates to purchase accounting within the measurement period.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18 – Acquisition for further discussion of the Stay-Lite Lighting and Voltrek acquisitions.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2320" w:type="dxa"/>
            <w:vAlign w:val="bottom"/>
            <w:shd w:val="clear" w:color="auto" w:fill="CFF0FC"/>
          </w:tcPr>
          <w:p>
            <w:pPr>
              <w:ind w:left="940"/>
              <w:spacing w:after="0"/>
              <w:rPr>
                <w:sz w:val="20"/>
                <w:szCs w:val="20"/>
                <w:color w:val="auto"/>
              </w:rPr>
            </w:pPr>
            <w:r>
              <w:rPr>
                <w:rFonts w:ascii="Arial" w:cs="Arial" w:eastAsia="Arial" w:hAnsi="Arial"/>
                <w:sz w:val="18"/>
                <w:szCs w:val="18"/>
                <w:color w:val="auto"/>
              </w:rPr>
              <w:t>10-17 years</w:t>
            </w:r>
          </w:p>
        </w:tc>
        <w:tc>
          <w:tcPr>
            <w:tcW w:w="62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Straight-line</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color w:val="auto"/>
              </w:rPr>
              <w:t>Licenses</w:t>
            </w:r>
          </w:p>
        </w:tc>
        <w:tc>
          <w:tcPr>
            <w:tcW w:w="2320" w:type="dxa"/>
            <w:vAlign w:val="bottom"/>
          </w:tcPr>
          <w:p>
            <w:pPr>
              <w:ind w:left="940"/>
              <w:spacing w:after="0"/>
              <w:rPr>
                <w:sz w:val="20"/>
                <w:szCs w:val="20"/>
                <w:color w:val="auto"/>
              </w:rPr>
            </w:pPr>
            <w:r>
              <w:rPr>
                <w:rFonts w:ascii="Arial" w:cs="Arial" w:eastAsia="Arial" w:hAnsi="Arial"/>
                <w:sz w:val="18"/>
                <w:szCs w:val="18"/>
                <w:color w:val="auto"/>
              </w:rPr>
              <w:t>7-13 years</w:t>
            </w:r>
          </w:p>
        </w:tc>
        <w:tc>
          <w:tcPr>
            <w:tcW w:w="6280" w:type="dxa"/>
            <w:vAlign w:val="bottom"/>
          </w:tcPr>
          <w:p>
            <w:pPr>
              <w:ind w:left="520"/>
              <w:spacing w:after="0"/>
              <w:rPr>
                <w:sz w:val="20"/>
                <w:szCs w:val="20"/>
                <w:color w:val="auto"/>
              </w:rPr>
            </w:pPr>
            <w:r>
              <w:rPr>
                <w:rFonts w:ascii="Arial" w:cs="Arial" w:eastAsia="Arial" w:hAnsi="Arial"/>
                <w:sz w:val="18"/>
                <w:szCs w:val="18"/>
                <w:color w:val="auto"/>
              </w:rPr>
              <w:t>Straight-line</w:t>
            </w:r>
          </w:p>
        </w:tc>
      </w:tr>
      <w:tr>
        <w:trPr>
          <w:trHeight w:val="221"/>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320" w:type="dxa"/>
            <w:vAlign w:val="bottom"/>
            <w:shd w:val="clear" w:color="auto" w:fill="CFF0FC"/>
          </w:tcPr>
          <w:p>
            <w:pPr>
              <w:ind w:left="940"/>
              <w:spacing w:after="0"/>
              <w:rPr>
                <w:sz w:val="20"/>
                <w:szCs w:val="20"/>
                <w:color w:val="auto"/>
              </w:rPr>
            </w:pPr>
            <w:r>
              <w:rPr>
                <w:rFonts w:ascii="Arial" w:cs="Arial" w:eastAsia="Arial" w:hAnsi="Arial"/>
                <w:sz w:val="18"/>
                <w:szCs w:val="18"/>
                <w:color w:val="auto"/>
              </w:rPr>
              <w:t>5-8 years</w:t>
            </w:r>
          </w:p>
        </w:tc>
        <w:tc>
          <w:tcPr>
            <w:tcW w:w="62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44"/>
        </w:trPr>
        <w:tc>
          <w:tcPr>
            <w:tcW w:w="264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62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consumed</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Vendor relationships</w:t>
            </w:r>
          </w:p>
        </w:tc>
        <w:tc>
          <w:tcPr>
            <w:tcW w:w="2320" w:type="dxa"/>
            <w:vAlign w:val="bottom"/>
          </w:tcPr>
          <w:p>
            <w:pPr>
              <w:ind w:left="940"/>
              <w:spacing w:after="0"/>
              <w:rPr>
                <w:sz w:val="20"/>
                <w:szCs w:val="20"/>
                <w:color w:val="auto"/>
              </w:rPr>
            </w:pPr>
            <w:r>
              <w:rPr>
                <w:rFonts w:ascii="Arial" w:cs="Arial" w:eastAsia="Arial" w:hAnsi="Arial"/>
                <w:sz w:val="18"/>
                <w:szCs w:val="18"/>
                <w:color w:val="auto"/>
              </w:rPr>
              <w:t>5-8 years</w:t>
            </w:r>
          </w:p>
        </w:tc>
        <w:tc>
          <w:tcPr>
            <w:tcW w:w="6280" w:type="dxa"/>
            <w:vAlign w:val="bottom"/>
          </w:tcPr>
          <w:p>
            <w:pPr>
              <w:ind w:left="52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37"/>
        </w:trPr>
        <w:tc>
          <w:tcPr>
            <w:tcW w:w="2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280" w:type="dxa"/>
            <w:vAlign w:val="bottom"/>
          </w:tcPr>
          <w:p>
            <w:pPr>
              <w:ind w:left="520"/>
              <w:spacing w:after="0"/>
              <w:rPr>
                <w:sz w:val="20"/>
                <w:szCs w:val="20"/>
                <w:color w:val="auto"/>
              </w:rPr>
            </w:pPr>
            <w:r>
              <w:rPr>
                <w:rFonts w:ascii="Arial" w:cs="Arial" w:eastAsia="Arial" w:hAnsi="Arial"/>
                <w:sz w:val="18"/>
                <w:szCs w:val="18"/>
                <w:color w:val="auto"/>
              </w:rPr>
              <w:t>consumed</w:t>
            </w:r>
          </w:p>
        </w:tc>
      </w:tr>
      <w:tr>
        <w:trPr>
          <w:trHeight w:val="222"/>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320" w:type="dxa"/>
            <w:vAlign w:val="bottom"/>
            <w:shd w:val="clear" w:color="auto" w:fill="CFF0FC"/>
          </w:tcPr>
          <w:p>
            <w:pPr>
              <w:ind w:left="940"/>
              <w:spacing w:after="0"/>
              <w:rPr>
                <w:sz w:val="20"/>
                <w:szCs w:val="20"/>
                <w:color w:val="auto"/>
              </w:rPr>
            </w:pPr>
            <w:r>
              <w:rPr>
                <w:rFonts w:ascii="Arial" w:cs="Arial" w:eastAsia="Arial" w:hAnsi="Arial"/>
                <w:sz w:val="18"/>
                <w:szCs w:val="18"/>
                <w:color w:val="auto"/>
              </w:rPr>
              <w:t>8 years</w:t>
            </w:r>
          </w:p>
        </w:tc>
        <w:tc>
          <w:tcPr>
            <w:tcW w:w="62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44"/>
        </w:trPr>
        <w:tc>
          <w:tcPr>
            <w:tcW w:w="264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62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consumed</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320" w:type="dxa"/>
            <w:vAlign w:val="bottom"/>
          </w:tcPr>
          <w:p>
            <w:pPr>
              <w:ind w:left="940"/>
              <w:spacing w:after="0"/>
              <w:rPr>
                <w:sz w:val="20"/>
                <w:szCs w:val="20"/>
                <w:color w:val="auto"/>
              </w:rPr>
            </w:pPr>
            <w:r>
              <w:rPr>
                <w:rFonts w:ascii="Arial" w:cs="Arial" w:eastAsia="Arial" w:hAnsi="Arial"/>
                <w:sz w:val="18"/>
                <w:szCs w:val="18"/>
                <w:color w:val="auto"/>
              </w:rPr>
              <w:t>5-10 years</w:t>
            </w:r>
          </w:p>
        </w:tc>
        <w:tc>
          <w:tcPr>
            <w:tcW w:w="6280" w:type="dxa"/>
            <w:vAlign w:val="bottom"/>
          </w:tcPr>
          <w:p>
            <w:pPr>
              <w:ind w:left="520"/>
              <w:spacing w:after="0"/>
              <w:rPr>
                <w:sz w:val="20"/>
                <w:szCs w:val="20"/>
                <w:color w:val="auto"/>
              </w:rPr>
            </w:pPr>
            <w:r>
              <w:rPr>
                <w:rFonts w:ascii="Arial" w:cs="Arial" w:eastAsia="Arial" w:hAnsi="Arial"/>
                <w:sz w:val="18"/>
                <w:szCs w:val="18"/>
                <w:color w:val="auto"/>
              </w:rPr>
              <w:t>Straight-line</w:t>
            </w:r>
          </w:p>
        </w:tc>
      </w:tr>
    </w:tbl>
    <w:p>
      <w:pPr>
        <w:spacing w:after="0" w:line="241"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71"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Indefinite lived intangible assets and goodwill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70"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performed a qualitative assessment in conjunction with its annual impairment test of its indefinite lived intangible assets as of January 1, 2023. This qualitative assessment considered Orion’s operating results for the first nine months of fiscal 2023 in comparison to prior years as well as its anticipated fourth quarter results and fiscal 2024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performed a qualitative assessment in conjunction with its annual impairment test of its goodwill as of January 1, 2023. This qualitative assessment considered Orion segment's operating results for the first nine months of fiscal 2023 in comparison to prior years as well as its anticipated fourth quarter results and fiscal 2024 plan. As a result of the conditions that existed as of the assessment date, an asset impairment was not deemed to be more likely than not and a quantitative analysis was not required.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4"/>
              </w:rPr>
              <w:t>March 31, 2023</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gridSpan w:val="2"/>
          </w:tcPr>
          <w:p>
            <w:pPr>
              <w:jc w:val="right"/>
              <w:ind w:right="94"/>
              <w:spacing w:after="0" w:line="133" w:lineRule="exact"/>
              <w:rPr>
                <w:sz w:val="20"/>
                <w:szCs w:val="20"/>
                <w:color w:val="auto"/>
              </w:rPr>
            </w:pPr>
            <w:r>
              <w:rPr>
                <w:rFonts w:ascii="Arial" w:cs="Arial" w:eastAsia="Arial" w:hAnsi="Arial"/>
                <w:sz w:val="14"/>
                <w:szCs w:val="14"/>
                <w:b w:val="1"/>
                <w:bCs w:val="1"/>
                <w:color w:val="auto"/>
                <w:w w:val="95"/>
              </w:rPr>
              <w:t>Accumulate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33"/>
              <w:spacing w:after="0" w:line="133" w:lineRule="exact"/>
              <w:rPr>
                <w:sz w:val="20"/>
                <w:szCs w:val="20"/>
                <w:color w:val="auto"/>
              </w:rPr>
            </w:pPr>
            <w:r>
              <w:rPr>
                <w:rFonts w:ascii="Arial" w:cs="Arial" w:eastAsia="Arial" w:hAnsi="Arial"/>
                <w:sz w:val="14"/>
                <w:szCs w:val="14"/>
                <w:b w:val="1"/>
                <w:bCs w:val="1"/>
                <w:color w:val="auto"/>
                <w:w w:val="93"/>
              </w:rPr>
              <w:t>Accumulate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92"/>
              </w:rPr>
              <w:t>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Useful</w:t>
            </w:r>
          </w:p>
        </w:tc>
        <w:tc>
          <w:tcPr>
            <w:tcW w:w="120" w:type="dxa"/>
            <w:vAlign w:val="bottom"/>
          </w:tcPr>
          <w:p>
            <w:pPr>
              <w:spacing w:after="0"/>
              <w:rPr>
                <w:sz w:val="12"/>
                <w:szCs w:val="12"/>
                <w:color w:val="auto"/>
              </w:rPr>
            </w:pPr>
          </w:p>
        </w:tc>
        <w:tc>
          <w:tcPr>
            <w:tcW w:w="8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6"/>
                <w:szCs w:val="16"/>
                <w:color w:val="auto"/>
              </w:rPr>
            </w:pPr>
          </w:p>
        </w:tc>
        <w:tc>
          <w:tcPr>
            <w:tcW w:w="84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center"/>
              <w:ind w:right="273"/>
              <w:spacing w:after="0"/>
              <w:rPr>
                <w:sz w:val="20"/>
                <w:szCs w:val="20"/>
                <w:color w:val="auto"/>
              </w:rPr>
            </w:pPr>
            <w:r>
              <w:rPr>
                <w:rFonts w:ascii="Arial" w:cs="Arial" w:eastAsia="Arial" w:hAnsi="Arial"/>
                <w:sz w:val="14"/>
                <w:szCs w:val="14"/>
                <w:b w:val="1"/>
                <w:bCs w:val="1"/>
                <w:color w:val="auto"/>
                <w:w w:val="92"/>
              </w:rPr>
              <w:t>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2,521</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(1,930 )</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591</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2,652</w:t>
            </w:r>
          </w:p>
        </w:tc>
        <w:tc>
          <w:tcPr>
            <w:tcW w:w="3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Licenses</w:t>
            </w: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 name and trademarks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391</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1,595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4,178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Vendor relationships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2,417</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Amortized Intangible Assets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12,052</w:t>
            </w: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(7,058 )</w:t>
            </w: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7,906</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(6,514 )</w:t>
            </w: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Trade name and 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1,010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1,012</w:t>
            </w: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1,012</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13,062</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(7,058 )</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6,004</w:t>
            </w:r>
          </w:p>
        </w:tc>
        <w:tc>
          <w:tcPr>
            <w:tcW w:w="1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8,918</w:t>
            </w:r>
          </w:p>
        </w:tc>
        <w:tc>
          <w:tcPr>
            <w:tcW w:w="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(6,514 )</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419"/>
        </w:trPr>
        <w:tc>
          <w:tcPr>
            <w:tcW w:w="8140" w:type="dxa"/>
            <w:vAlign w:val="bottom"/>
            <w:gridSpan w:val="12"/>
          </w:tcPr>
          <w:p>
            <w:pPr>
              <w:ind w:left="500"/>
              <w:spacing w:after="0"/>
              <w:rPr>
                <w:sz w:val="20"/>
                <w:szCs w:val="20"/>
                <w:color w:val="auto"/>
              </w:rPr>
            </w:pPr>
            <w:r>
              <w:rPr>
                <w:rFonts w:ascii="Arial" w:cs="Arial" w:eastAsia="Arial" w:hAnsi="Arial"/>
                <w:sz w:val="18"/>
                <w:szCs w:val="18"/>
                <w:color w:val="auto"/>
                <w:w w:val="90"/>
              </w:rPr>
              <w:t>The estimated amortization expense for each of the next five years is shown below (dollars in thousands):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9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2028</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7"/>
        </w:trPr>
        <w:tc>
          <w:tcPr>
            <w:tcW w:w="40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9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635"/>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-1988185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-1971040</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-1988185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-1971040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-1988185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-1971040</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-1988185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-1971040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-1988185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-1971040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color w:val="auto"/>
        </w:rPr>
        <w:t>Amortization expense is set forth in the following table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included in cost of sales:</w:t>
            </w: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Patents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0"/>
                <w:szCs w:val="20"/>
                <w:color w:val="auto"/>
              </w:rPr>
            </w:pPr>
          </w:p>
        </w:tc>
      </w:tr>
      <w:tr>
        <w:trPr>
          <w:trHeight w:val="237"/>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Amortization included in operating expenses: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Vendor relationships</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Tradename</w:t>
            </w:r>
          </w:p>
        </w:tc>
        <w:tc>
          <w:tcPr>
            <w:tcW w:w="9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37"/>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653</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-1130935</wp:posOffset>
            </wp:positionV>
            <wp:extent cx="8572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-1130935</wp:posOffset>
            </wp:positionV>
            <wp:extent cx="8572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8572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2023, 2022, and 2021, write-offs were immaterial.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EXPENSES AND OTHER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and March 31, 2022, Accrued expenses and other included the following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 2022</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acquisition earn-out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3,000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234</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2,598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1,987</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1,668</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Credits due to customers</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1,209</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project costs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2,215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728</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Legal and professional fees</w:t>
            </w:r>
          </w:p>
        </w:tc>
        <w:tc>
          <w:tcPr>
            <w:tcW w:w="2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106</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returns reserve</w:t>
            </w: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123</w:t>
            </w: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10,552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8,427</w:t>
            </w:r>
          </w:p>
        </w:tc>
      </w:tr>
      <w:tr>
        <w:trPr>
          <w:trHeight w:val="20"/>
        </w:trPr>
        <w:tc>
          <w:tcPr>
            <w:tcW w:w="7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13716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earn-out is related to recent acquisitions. Refer to discussion of acquisitions at Note 18 – Acquisitions.</w:t>
      </w:r>
    </w:p>
    <w:p>
      <w:pPr>
        <w:spacing w:after="0" w:line="225"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year</w:t>
            </w:r>
          </w:p>
        </w:tc>
        <w:tc>
          <w:tcPr>
            <w:tcW w:w="30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Accruals</w:t>
            </w:r>
          </w:p>
        </w:tc>
        <w:tc>
          <w:tcPr>
            <w:tcW w:w="3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Warranty claims (net of vendor reimbursements)</w:t>
            </w:r>
          </w:p>
        </w:tc>
        <w:tc>
          <w:tcPr>
            <w:tcW w:w="30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(596 )</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16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646</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80" w:type="dxa"/>
            <w:vAlign w:val="bottom"/>
            <w:vMerge w:val="restart"/>
          </w:tcPr>
          <w:p>
            <w:pPr>
              <w:jc w:val="right"/>
              <w:ind w:right="1790"/>
              <w:spacing w:after="0"/>
              <w:rPr>
                <w:sz w:val="20"/>
                <w:szCs w:val="20"/>
                <w:color w:val="auto"/>
              </w:rPr>
            </w:pPr>
            <w:r>
              <w:rPr>
                <w:rFonts w:ascii="Arial" w:cs="Arial" w:eastAsia="Arial" w:hAnsi="Arial"/>
                <w:sz w:val="18"/>
                <w:szCs w:val="18"/>
                <w:color w:val="auto"/>
              </w:rPr>
              <w:t>72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-685165</wp:posOffset>
            </wp:positionV>
            <wp:extent cx="13716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11 — NET (LOSS) INCOME PER COMMON SHARE</w:t>
      </w:r>
    </w:p>
    <w:p>
      <w:pPr>
        <w:spacing w:after="0" w:line="121"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Basic net (loss) income per common share is computed by dividing net (loss) income attributable to common shareholders by the weighted-average number of common shares outstanding for the period and does not consider common stock equivalents.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Diluted net (loss) income per common share reflects the dilution that would occur if stock options were exercised and restricted shares vested. In the computation of diluted net (loss) income per common share, Orion uses the treasury stock method for outstanding options and restricted shares. Net (loss) income per common share is calculated based upon the following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Net (loss) income (dollars in thousands)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(34,341 )</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6,091</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26,134</w:t>
            </w: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31,703,712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31,018,356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30,634,553</w:t>
            </w: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Weighted-average effect of assumed conversion of stock options and restricted stock</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276,217</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669,174</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Weighted-average common shares and share equivalents outstanding</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31,703,712</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31,294,573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31,303,727</w:t>
            </w: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common share: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(1.08 )</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0.85</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-650875</wp:posOffset>
            </wp:positionV>
            <wp:extent cx="12001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-650875</wp:posOffset>
            </wp:positionV>
            <wp:extent cx="12001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209"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income per common share because their inclusion would have been anti-dilutive. The number of shares is as of the end of each period:</w:t>
      </w:r>
    </w:p>
    <w:p>
      <w:pPr>
        <w:spacing w:after="0" w:line="229"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00" w:type="dxa"/>
            <w:vAlign w:val="bottom"/>
          </w:tcPr>
          <w:p>
            <w:pPr>
              <w:spacing w:after="0"/>
              <w:rPr>
                <w:sz w:val="14"/>
                <w:szCs w:val="14"/>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top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2021</w:t>
            </w:r>
          </w:p>
        </w:tc>
      </w:tr>
      <w:tr>
        <w:trPr>
          <w:trHeight w:val="237"/>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0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Restricted shares</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17,803</w:t>
            </w:r>
          </w:p>
        </w:tc>
        <w:tc>
          <w:tcPr>
            <w:tcW w:w="140" w:type="dxa"/>
            <w:vAlign w:val="bottom"/>
          </w:tcPr>
          <w:p>
            <w:pPr>
              <w:spacing w:after="0"/>
              <w:rPr>
                <w:sz w:val="20"/>
                <w:szCs w:val="20"/>
                <w:color w:val="auto"/>
              </w:rPr>
            </w:pP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17,803</w:t>
            </w:r>
          </w:p>
        </w:tc>
        <w:tc>
          <w:tcPr>
            <w:tcW w:w="1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as of March 31, 2023 and 2022 consisted of the following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8"/>
              </w:rPr>
              <w:t>10,000</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Equipment debt obligations</w:t>
            </w: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10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8"/>
              </w:rPr>
              <w:t>10,020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8"/>
              </w:rPr>
              <w:t>10,003</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-505460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On December 29, 2020, Orion entered into a new Loan and Security Agreement with Bank of America, N.A., as lender (the “Credit Agreement”). The Credit Agreement replaced Orion’s prior $20.15 million secured revolving credit and security agreement dated as of October 26, 2018, as amended, by and among Orion and Western Alliance Bank, National Association, as lender (the “Prior Credit Agreement”). The replacement of the Prior Credit Agreement with the Credit Agreement provides Orion with increased financing capacity and liquidity to fund its operations and implement its strategic plans.</w:t>
      </w:r>
    </w:p>
    <w:p>
      <w:pPr>
        <w:spacing w:after="0" w:line="80" w:lineRule="exact"/>
        <w:rPr>
          <w:sz w:val="20"/>
          <w:szCs w:val="20"/>
          <w:color w:val="auto"/>
        </w:rPr>
      </w:pPr>
    </w:p>
    <w:p>
      <w:pPr>
        <w:jc w:val="both"/>
        <w:ind w:firstLine="494"/>
        <w:spacing w:after="0" w:line="311" w:lineRule="auto"/>
        <w:rPr>
          <w:sz w:val="20"/>
          <w:szCs w:val="20"/>
          <w:color w:val="auto"/>
        </w:rPr>
      </w:pPr>
      <w:r>
        <w:rPr>
          <w:rFonts w:ascii="Arial" w:cs="Arial" w:eastAsia="Arial" w:hAnsi="Arial"/>
          <w:sz w:val="16"/>
          <w:szCs w:val="16"/>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2023, the borrowing base of the Credit Facility supports $17.3 million of availability, with $7.3 million remaining availability net of $10.0 million borrowed.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Orion’s assets.</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Borrowings under the Credit Agreement are permitted in the form of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76" w:lineRule="exact"/>
        <w:rPr>
          <w:sz w:val="20"/>
          <w:szCs w:val="20"/>
          <w:color w:val="auto"/>
        </w:rPr>
      </w:pPr>
    </w:p>
    <w:p>
      <w:pPr>
        <w:jc w:val="both"/>
        <w:ind w:firstLine="494"/>
        <w:spacing w:after="0" w:line="342" w:lineRule="auto"/>
        <w:rPr>
          <w:sz w:val="20"/>
          <w:szCs w:val="20"/>
          <w:color w:val="auto"/>
        </w:rPr>
      </w:pPr>
      <w:r>
        <w:rPr>
          <w:rFonts w:ascii="Arial" w:cs="Arial" w:eastAsia="Arial" w:hAnsi="Arial"/>
          <w:sz w:val="16"/>
          <w:szCs w:val="16"/>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 w:lineRule="exact"/>
        <w:rPr>
          <w:sz w:val="20"/>
          <w:szCs w:val="20"/>
          <w:color w:val="auto"/>
        </w:rPr>
      </w:pPr>
    </w:p>
    <w:p>
      <w:pPr>
        <w:jc w:val="both"/>
        <w:ind w:firstLine="494"/>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70"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Orion did not incur any early termination fees in connection with the termination of the Prior Credit Agreement, but did recognize a loss on debt extinguishment of $0.1 million on the write-off of unamortized debt issue costs related to the Prior Credit Agreement. The Prior Credit Agreement was scheduled to mature on October 26, 2021.</w:t>
      </w:r>
    </w:p>
    <w:p>
      <w:pPr>
        <w:spacing w:after="0" w:line="76"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and to document the conversion from LIBOR to SOFR based loans.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Orion is in compliance with all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w:t>
      </w:r>
    </w:p>
    <w:p>
      <w:pPr>
        <w:spacing w:after="0" w:line="117"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 in January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aggregate maturities of long-term debt were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w:t>
            </w:r>
          </w:p>
        </w:tc>
        <w:tc>
          <w:tcPr>
            <w:tcW w:w="67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5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59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6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960" w:type="dxa"/>
            <w:vAlign w:val="bottom"/>
            <w:vMerge w:val="restart"/>
          </w:tcPr>
          <w:p>
            <w:pPr>
              <w:jc w:val="right"/>
              <w:ind w:right="3350"/>
              <w:spacing w:after="0"/>
              <w:rPr>
                <w:sz w:val="20"/>
                <w:szCs w:val="20"/>
                <w:color w:val="auto"/>
              </w:rPr>
            </w:pPr>
            <w:r>
              <w:rPr>
                <w:rFonts w:ascii="Arial" w:cs="Arial" w:eastAsia="Arial" w:hAnsi="Arial"/>
                <w:sz w:val="18"/>
                <w:szCs w:val="18"/>
                <w:color w:val="auto"/>
              </w:rPr>
              <w:t>74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20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13 —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provision (benefit) for income taxes consists of the following for the fiscal years ended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ind w:left="1120"/>
              <w:spacing w:after="0"/>
              <w:rPr>
                <w:sz w:val="20"/>
                <w:szCs w:val="20"/>
                <w:color w:val="auto"/>
              </w:rPr>
            </w:pPr>
            <w:r>
              <w:rPr>
                <w:rFonts w:ascii="Arial" w:cs="Arial" w:eastAsia="Arial" w:hAnsi="Arial"/>
                <w:sz w:val="14"/>
                <w:szCs w:val="14"/>
                <w:b w:val="1"/>
                <w:bCs w:val="1"/>
                <w:color w:val="auto"/>
                <w:w w:val="97"/>
              </w:rPr>
              <w:t>Fiscal Year Ended March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7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97</w:t>
            </w:r>
          </w:p>
        </w:tc>
        <w:tc>
          <w:tcPr>
            <w:tcW w:w="16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17,881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17,978</w:t>
            </w: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Borders>
              <w:bottom w:val="single" w:sz="8" w:color="auto"/>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(19,616 )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Current</w:t>
            </w:r>
          </w:p>
        </w:tc>
        <w:tc>
          <w:tcPr>
            <w:tcW w:w="24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Federal, Deferred</w:t>
            </w:r>
          </w:p>
        </w:tc>
        <w:tc>
          <w:tcPr>
            <w:tcW w:w="2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14,557</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Federal</w:t>
            </w:r>
          </w:p>
        </w:tc>
        <w:tc>
          <w:tcPr>
            <w:tcW w:w="24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14,557</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State, Current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State, Deferred</w:t>
            </w:r>
          </w:p>
        </w:tc>
        <w:tc>
          <w:tcPr>
            <w:tcW w:w="2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3,324</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Total State</w:t>
            </w:r>
          </w:p>
        </w:tc>
        <w:tc>
          <w:tcPr>
            <w:tcW w:w="2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3,421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17,978</w:t>
            </w: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Borders>
              <w:bottom w:val="single" w:sz="8" w:color="auto"/>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(19,616 )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20" w:type="dxa"/>
            <w:vAlign w:val="bottom"/>
            <w:gridSpan w:val="6"/>
          </w:tcPr>
          <w:p>
            <w:pPr>
              <w:ind w:left="500"/>
              <w:spacing w:after="0"/>
              <w:rPr>
                <w:sz w:val="20"/>
                <w:szCs w:val="20"/>
                <w:color w:val="auto"/>
              </w:rPr>
            </w:pPr>
            <w:r>
              <w:rPr>
                <w:rFonts w:ascii="Arial" w:cs="Arial" w:eastAsia="Arial" w:hAnsi="Arial"/>
                <w:sz w:val="18"/>
                <w:szCs w:val="18"/>
                <w:color w:val="auto"/>
                <w:w w:val="97"/>
              </w:rPr>
              <w:t>A reconciliation of the statutory federal income tax rate and effective income tax rate is as follows: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Statutory federal tax rate</w:t>
            </w:r>
          </w:p>
        </w:tc>
        <w:tc>
          <w:tcPr>
            <w:tcW w:w="2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State taxes, net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4.0 %</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tax credits, net</w:t>
            </w:r>
          </w:p>
        </w:tc>
        <w:tc>
          <w:tcPr>
            <w:tcW w:w="2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22"/>
                <w:szCs w:val="22"/>
                <w:color w:val="auto"/>
              </w:rPr>
            </w:pPr>
          </w:p>
        </w:tc>
        <w:tc>
          <w:tcPr>
            <w:tcW w:w="1360" w:type="dxa"/>
            <w:vAlign w:val="bottom"/>
            <w:gridSpan w:val="4"/>
            <w:shd w:val="clear" w:color="auto" w:fill="CFF0FC"/>
          </w:tcPr>
          <w:p>
            <w:pPr>
              <w:ind w:left="7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Change in valuation reserve</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(131.3 )%</w:t>
            </w:r>
          </w:p>
        </w:tc>
        <w:tc>
          <w:tcPr>
            <w:tcW w:w="2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(321.4 )%</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Change in tax contingency reserve</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5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compensation cancellations</w:t>
            </w:r>
          </w:p>
        </w:tc>
        <w:tc>
          <w:tcPr>
            <w:tcW w:w="2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State return to provision</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0.4 %</w:t>
            </w:r>
          </w:p>
        </w:tc>
        <w:tc>
          <w:tcPr>
            <w:tcW w:w="28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Effective income tax rate</w:t>
            </w: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(109.9 )</w:t>
            </w:r>
            <w:r>
              <w:rPr>
                <w:rFonts w:ascii="Arial" w:cs="Arial" w:eastAsia="Arial" w:hAnsi="Arial"/>
                <w:sz w:val="18"/>
                <w:szCs w:val="18"/>
                <w:color w:val="auto"/>
                <w:highlight w:val="white"/>
              </w:rPr>
              <w:t>%</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(301.0 )%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20" w:type="dxa"/>
            <w:vAlign w:val="bottom"/>
            <w:vMerge w:val="restart"/>
          </w:tcPr>
          <w:p>
            <w:pPr>
              <w:jc w:val="right"/>
              <w:ind w:right="6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-4217035</wp:posOffset>
            </wp:positionV>
            <wp:extent cx="116586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65860" cy="3003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-3445510</wp:posOffset>
            </wp:positionV>
            <wp:extent cx="120015"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-3445510</wp:posOffset>
            </wp:positionV>
            <wp:extent cx="12001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-3128010</wp:posOffset>
            </wp:positionV>
            <wp:extent cx="12001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-3128010</wp:posOffset>
            </wp:positionV>
            <wp:extent cx="12001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-2802890</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-2785110</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-2802890</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-2785110</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3429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445" w:right="259" w:bottom="1440" w:gutter="0" w:footer="0" w:header="0"/>
        </w:sectPr>
      </w:pPr>
    </w:p>
    <w:bookmarkStart w:id="74" w:name="page75"/>
    <w:bookmarkEnd w:id="74"/>
    <w:p>
      <w:pPr>
        <w:ind w:left="500"/>
        <w:spacing w:after="0"/>
        <w:rPr>
          <w:sz w:val="20"/>
          <w:szCs w:val="20"/>
          <w:color w:val="auto"/>
        </w:rPr>
      </w:pPr>
      <w:r>
        <w:rPr>
          <w:rFonts w:ascii="Arial" w:cs="Arial" w:eastAsia="Arial" w:hAnsi="Arial"/>
          <w:sz w:val="16"/>
          <w:szCs w:val="16"/>
          <w:color w:val="auto"/>
        </w:rPr>
        <w:t>The net deferred tax assets reported in the accompanying consolidated financial statements include the following components (dollars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Inventory, accruals and reserves</w:t>
            </w: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809</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deduction carry-forward</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Federal and state operating loss carry-forwards</w:t>
            </w: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18,849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16,485</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credit carry-forwards</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1,847</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Equity compensation</w:t>
            </w: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231</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29</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Lease liability</w:t>
            </w:r>
          </w:p>
        </w:tc>
        <w:tc>
          <w:tcPr>
            <w:tcW w:w="9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670</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247</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23,801</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20,318</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(22,731 )</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(1,249 )</w:t>
            </w:r>
          </w:p>
        </w:tc>
      </w:tr>
      <w:tr>
        <w:trPr>
          <w:trHeight w:val="23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tax assets, net of valuation allowance</w:t>
            </w:r>
          </w:p>
        </w:tc>
        <w:tc>
          <w:tcPr>
            <w:tcW w:w="9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1,070</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19,069</w:t>
            </w:r>
          </w:p>
        </w:tc>
      </w:tr>
      <w:tr>
        <w:trPr>
          <w:trHeight w:val="243"/>
        </w:trPr>
        <w:tc>
          <w:tcPr>
            <w:tcW w:w="7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Lease ROU asset</w:t>
            </w:r>
          </w:p>
        </w:tc>
        <w:tc>
          <w:tcPr>
            <w:tcW w:w="9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(549 )</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(518 )</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Fixed assets</w:t>
            </w:r>
          </w:p>
        </w:tc>
        <w:tc>
          <w:tcPr>
            <w:tcW w:w="9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(598 )</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(529 )</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9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(217 )</w:t>
            </w:r>
          </w:p>
        </w:tc>
      </w:tr>
      <w:tr>
        <w:trPr>
          <w:trHeight w:val="23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deferred tax liabilities</w:t>
            </w:r>
          </w:p>
        </w:tc>
        <w:tc>
          <w:tcPr>
            <w:tcW w:w="9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(1,147 )</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(1,264 )</w:t>
            </w:r>
          </w:p>
        </w:tc>
      </w:tr>
      <w:tr>
        <w:trPr>
          <w:trHeight w:val="243"/>
        </w:trPr>
        <w:tc>
          <w:tcPr>
            <w:tcW w:w="7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2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17,805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-1293495</wp:posOffset>
            </wp:positionV>
            <wp:extent cx="13716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13716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jc w:val="both"/>
        <w:ind w:firstLine="494"/>
        <w:spacing w:after="0" w:line="255" w:lineRule="auto"/>
        <w:rPr>
          <w:sz w:val="20"/>
          <w:szCs w:val="20"/>
          <w:color w:val="auto"/>
        </w:rPr>
      </w:pPr>
      <w:r>
        <w:rPr>
          <w:rFonts w:ascii="Arial" w:cs="Arial" w:eastAsia="Arial" w:hAnsi="Arial"/>
          <w:sz w:val="18"/>
          <w:szCs w:val="18"/>
          <w:color w:val="auto"/>
        </w:rPr>
        <w:t>For fiscal year ended March 31, 2023, Orion’s deferred tax assets were primarily the result of U.S. NOL and tax credit carryforwards. Orion recorded a valuation allowance of $22.7 million and $1.2 million against its net deferred tax asset balance as of March 31, 2023 and March 31, 2022, respectively, due to the uncertainty of its realization value in the future. Orion realized a 36-month cumulative loss as of March 31, 2023 and the accounting forecast, as revised in the previous quarter, projects losses in the near term. As such, Orion management has concluded that it is more likely than not that the domestic deferred tax assets will not be realized and an increase to the valuation allowance has been recorded in the third quarter, which increased tax expense by $17.8 million.</w:t>
      </w:r>
    </w:p>
    <w:p>
      <w:pPr>
        <w:spacing w:after="0" w:line="192"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187"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As of March 31, 2023, Orion has federal NOL carryforwards of approximately $71.4 million, state NOL carryforwards of approximately $66.1 million, and foreign NOL carryforwards of approximately $0.8 million. Orion also had federal tax credit carryforwards of approximately $1.3 million and state tax credits of $0.3 million. All of Orion's tax credit carryforwards and $118.6 million of its NOL carryforwards will begin to expire in varying amounts between 2023 and 2033. The remaining $19.7 million of its federal and state NOL carryforwards are not subject to time restrictions but may only be used to offset 80% of adjusted taxable income. Orion believes it is more likely than not that the benefit from its state credit carryforwards, foreign NOL carryforwards, federal credit carryforwards, and state loss carryforwards will not be realized. In recognition of this risk, Orion has provided a net valuation allowance of $22.7 million on the deferred tax assets related to these carryforwards.</w:t>
      </w:r>
    </w:p>
    <w:p>
      <w:pPr>
        <w:spacing w:after="0" w:line="177" w:lineRule="exact"/>
        <w:rPr>
          <w:sz w:val="20"/>
          <w:szCs w:val="20"/>
          <w:color w:val="auto"/>
        </w:rPr>
      </w:pPr>
    </w:p>
    <w:p>
      <w:pPr>
        <w:jc w:val="both"/>
        <w:ind w:firstLine="494"/>
        <w:spacing w:after="0" w:line="257" w:lineRule="auto"/>
        <w:rPr>
          <w:sz w:val="20"/>
          <w:szCs w:val="20"/>
          <w:color w:val="auto"/>
        </w:rPr>
      </w:pPr>
      <w:r>
        <w:rPr>
          <w:rFonts w:ascii="Arial" w:cs="Arial" w:eastAsia="Arial" w:hAnsi="Arial"/>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2023, fiscal 2022, or fiscal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jc w:val="both"/>
        <w:ind w:firstLine="494"/>
        <w:spacing w:after="0" w:line="257" w:lineRule="auto"/>
        <w:rPr>
          <w:sz w:val="20"/>
          <w:szCs w:val="20"/>
          <w:color w:val="auto"/>
        </w:rPr>
      </w:pPr>
      <w:r>
        <w:rPr>
          <w:rFonts w:ascii="Arial" w:cs="Arial" w:eastAsia="Arial" w:hAnsi="Arial"/>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8"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Orion files income tax returns in the United States federal jurisdiction and in several state jurisdictions. The Company's federal tax returns for tax years beginning April 1, 2019 or later are open. For states in which Orion files state income tax returns, the statute of limitations is generally open for tax years beginning April 1, 2019 or later.</w:t>
      </w:r>
    </w:p>
    <w:p>
      <w:pPr>
        <w:spacing w:after="0" w:line="184"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2023, the balance of gross unrecognized tax benefits was approximately $0.2 million, all of which would affect Orion’s effective tax rate if recognized.</w:t>
      </w:r>
    </w:p>
    <w:p>
      <w:pPr>
        <w:spacing w:after="0" w:line="170"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Accrued interest and penalties for such unrecognized tax benefits as of March 31, 2023 and 2022 were $0.1 million. Orion had the following unrecognized tax benefit activity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 as of beginning of fiscal year</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259</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123</w:t>
            </w: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Additions/(reductions) for tax positions of prior years</w:t>
            </w:r>
          </w:p>
        </w:tc>
        <w:tc>
          <w:tcPr>
            <w:tcW w:w="9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(97 )</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Unrecognized tax benefits as of end of fiscal year</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6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285</w:t>
            </w:r>
          </w:p>
        </w:tc>
      </w:tr>
      <w:tr>
        <w:trPr>
          <w:trHeight w:val="20"/>
        </w:trPr>
        <w:tc>
          <w:tcPr>
            <w:tcW w:w="6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12001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12001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enters into non-cancellable purchase commitments for certain inventory items in order to secure better pricing and ensure materials on hand. As of March 31, 2023, Orion had entered into $9.0 million of purchase commitments related primarily to inventory purchases. Orion expects the purchase commitments to be fulfilled within the next 12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2023, Orion made matching contributions of $0.2 million. In both fiscal 2022 and 2021, Orion made matching contributions of approximately $0.1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 In addition to ordinary-course litigation, Orion was a party to the proceedings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17"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During fiscal year 2018, Orion was notified of a pending sales and use tax audit by the Wisconsin Department of Revenue for the period covering April 1, 2013 through March 31, 2017. This sales and use tax audit was settled during the quarter ended June 30, 2022 with no tax adjustment.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On January 3, 2019, Orion entered into Amendment No. 1 to the Rights Agreement, which amended the Rights Agreement dated as of January 7, 2009 and extended its terms by three years to January 7, 2022. In December 2021, Orion’s Board of Directors announced that it had decided to allow the Rights Agreement to terminate and expire by its terms on January 7,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494"/>
        <w:spacing w:after="0" w:line="301" w:lineRule="auto"/>
        <w:rPr>
          <w:sz w:val="20"/>
          <w:szCs w:val="20"/>
          <w:color w:val="auto"/>
        </w:rPr>
      </w:pPr>
      <w:r>
        <w:rPr>
          <w:rFonts w:ascii="Arial" w:cs="Arial" w:eastAsia="Arial" w:hAnsi="Arial"/>
          <w:sz w:val="16"/>
          <w:szCs w:val="16"/>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494"/>
        <w:spacing w:after="0" w:line="279" w:lineRule="auto"/>
        <w:rPr>
          <w:sz w:val="20"/>
          <w:szCs w:val="20"/>
          <w:color w:val="auto"/>
        </w:rPr>
      </w:pPr>
      <w:r>
        <w:rPr>
          <w:rFonts w:ascii="Arial" w:cs="Arial" w:eastAsia="Arial" w:hAnsi="Arial"/>
          <w:sz w:val="17"/>
          <w:szCs w:val="17"/>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3" w:lineRule="exact"/>
        <w:rPr>
          <w:sz w:val="20"/>
          <w:szCs w:val="20"/>
          <w:color w:val="auto"/>
        </w:rPr>
      </w:pPr>
    </w:p>
    <w:p>
      <w:pPr>
        <w:jc w:val="both"/>
        <w:ind w:firstLine="494"/>
        <w:spacing w:after="0" w:line="286" w:lineRule="auto"/>
        <w:rPr>
          <w:sz w:val="20"/>
          <w:szCs w:val="20"/>
          <w:color w:val="auto"/>
        </w:rPr>
      </w:pPr>
      <w:r>
        <w:rPr>
          <w:rFonts w:ascii="Arial" w:cs="Arial" w:eastAsia="Arial" w:hAnsi="Arial"/>
          <w:sz w:val="17"/>
          <w:szCs w:val="17"/>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No share sales have been effected pursuant to the ATM program through March 31,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21"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 As of March 31, 2023, the number of shares available for grant under the Amended 2016 Plan was 545,146.</w:t>
      </w:r>
    </w:p>
    <w:p>
      <w:pPr>
        <w:spacing w:after="0" w:line="192"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84" w:lineRule="exact"/>
        <w:rPr>
          <w:sz w:val="20"/>
          <w:szCs w:val="20"/>
          <w:color w:val="auto"/>
        </w:rPr>
      </w:pPr>
    </w:p>
    <w:p>
      <w:pPr>
        <w:ind w:right="80" w:firstLine="494"/>
        <w:spacing w:after="0" w:line="279" w:lineRule="auto"/>
        <w:rPr>
          <w:sz w:val="20"/>
          <w:szCs w:val="20"/>
          <w:color w:val="auto"/>
        </w:rPr>
      </w:pPr>
      <w:r>
        <w:rPr>
          <w:rFonts w:ascii="Arial" w:cs="Arial" w:eastAsia="Arial" w:hAnsi="Arial"/>
          <w:sz w:val="17"/>
          <w:szCs w:val="17"/>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jc w:val="both"/>
        <w:ind w:firstLine="494"/>
        <w:spacing w:after="0" w:line="263"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Amended 2016 Plan and the 2004 Plan also permit accelerated vesting in the event of certain changes of control of Orion as well as under other special circumstances.</w:t>
      </w:r>
    </w:p>
    <w:p>
      <w:pPr>
        <w:spacing w:after="0" w:line="18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Orion historically granted stock options and restricted stock under the 2004 Plan. Orion has not issued stock options since fiscal 2014 and instead has issued restricted stock.</w:t>
      </w:r>
    </w:p>
    <w:p>
      <w:pPr>
        <w:spacing w:after="0" w:line="170" w:lineRule="exact"/>
        <w:rPr>
          <w:sz w:val="20"/>
          <w:szCs w:val="20"/>
          <w:color w:val="auto"/>
        </w:rPr>
      </w:pPr>
    </w:p>
    <w:p>
      <w:pPr>
        <w:jc w:val="both"/>
        <w:ind w:firstLine="494"/>
        <w:spacing w:after="0" w:line="263"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Orion recognizes forfeitures as they occur.</w:t>
      </w:r>
    </w:p>
    <w:p>
      <w:pPr>
        <w:spacing w:after="0" w:line="184" w:lineRule="exact"/>
        <w:rPr>
          <w:sz w:val="20"/>
          <w:szCs w:val="20"/>
          <w:color w:val="auto"/>
        </w:rPr>
      </w:pPr>
    </w:p>
    <w:p>
      <w:pPr>
        <w:jc w:val="both"/>
        <w:ind w:firstLine="499"/>
        <w:spacing w:after="0" w:line="279" w:lineRule="auto"/>
        <w:rPr>
          <w:sz w:val="20"/>
          <w:szCs w:val="20"/>
          <w:color w:val="auto"/>
        </w:rPr>
      </w:pPr>
      <w:r>
        <w:rPr>
          <w:rFonts w:ascii="Arial" w:cs="Arial" w:eastAsia="Arial" w:hAnsi="Arial"/>
          <w:sz w:val="17"/>
          <w:szCs w:val="17"/>
          <w:color w:val="auto"/>
        </w:rPr>
        <w:t>In fiscal 2023, Orion added performance conditions to a portion of the annual long-term incentive grants for fiscal 2023 for Orion's executive compensation program. The performance-vesting restricted stock will vest to the extent Orion achieves revenue growth targets over fiscal 2023-2025. Orion recognizes performance-vesting restricted stock expense ratably over the requisite service period based on the likelihood of meeting the performance conditions. As of March 31, 2023, Orion has not recognized any stock-based compensation for performance-vesting restricted stock.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expense for restricted shares and options were recorded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716</w:t>
            </w: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r>
      <w:tr>
        <w:trPr>
          <w:trHeight w:val="276"/>
        </w:trPr>
        <w:tc>
          <w:tcPr>
            <w:tcW w:w="6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1,612</w:t>
            </w: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813</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with respect to outstanding stock options: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49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51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47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March 31, 2022</w:t>
            </w:r>
          </w:p>
        </w:tc>
        <w:tc>
          <w:tcPr>
            <w:tcW w:w="11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142,428</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(26,646 )</w:t>
            </w:r>
          </w:p>
        </w:tc>
        <w:tc>
          <w:tcPr>
            <w:tcW w:w="2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(42,646 )</w:t>
            </w:r>
          </w:p>
        </w:tc>
        <w:tc>
          <w:tcPr>
            <w:tcW w:w="22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2023</w:t>
            </w:r>
          </w:p>
        </w:tc>
        <w:tc>
          <w:tcPr>
            <w:tcW w:w="1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73,136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color w:val="auto"/>
              </w:rPr>
              <w:t>Exercisable at March 31, 2023</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66"/>
              <w:spacing w:after="0"/>
              <w:rPr>
                <w:sz w:val="20"/>
                <w:szCs w:val="20"/>
                <w:color w:val="auto"/>
              </w:rPr>
            </w:pPr>
            <w:r>
              <w:rPr>
                <w:rFonts w:ascii="Arial" w:cs="Arial" w:eastAsia="Arial" w:hAnsi="Arial"/>
                <w:sz w:val="18"/>
                <w:szCs w:val="18"/>
                <w:color w:val="auto"/>
              </w:rPr>
              <w:t>73,136</w:t>
            </w:r>
          </w:p>
        </w:tc>
        <w:tc>
          <w:tcPr>
            <w:tcW w:w="22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445"/>
        </w:trPr>
        <w:tc>
          <w:tcPr>
            <w:tcW w:w="9520" w:type="dxa"/>
            <w:vAlign w:val="bottom"/>
            <w:gridSpan w:val="6"/>
          </w:tcPr>
          <w:p>
            <w:pPr>
              <w:ind w:left="50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March 31, 2023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5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Outstanding and</w:t>
            </w:r>
          </w:p>
        </w:tc>
        <w:tc>
          <w:tcPr>
            <w:tcW w:w="1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Vested Shares</w:t>
            </w: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Life (Years)</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$2.41</w:t>
            </w:r>
          </w:p>
        </w:tc>
        <w:tc>
          <w:tcPr>
            <w:tcW w:w="15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73,136</w:t>
            </w:r>
          </w:p>
        </w:tc>
        <w:tc>
          <w:tcPr>
            <w:tcW w:w="15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6"/>
        </w:trPr>
        <w:tc>
          <w:tcPr>
            <w:tcW w:w="640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73,136</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0.16</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-1567815</wp:posOffset>
            </wp:positionV>
            <wp:extent cx="13716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8572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intrinsic value of outstanding stock options is $0 at March 31, 2023 based on the closing share price of $2.03.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left="500"/>
        <w:spacing w:after="0"/>
        <w:rPr>
          <w:sz w:val="20"/>
          <w:szCs w:val="20"/>
          <w:color w:val="auto"/>
        </w:rPr>
      </w:pPr>
      <w:r>
        <w:rPr>
          <w:rFonts w:ascii="Arial" w:cs="Arial" w:eastAsia="Arial" w:hAnsi="Arial"/>
          <w:sz w:val="17"/>
          <w:szCs w:val="17"/>
          <w:color w:val="auto"/>
        </w:rPr>
        <w:t>The following table summarizes information with respect to performance-vesting restricted stock and time vesting-restricted stock activity: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7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754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2022</w:t>
            </w: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450,458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856,738</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vested</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(536,622 )</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1760" w:type="dxa"/>
            <w:vAlign w:val="bottom"/>
          </w:tcPr>
          <w:p>
            <w:pPr>
              <w:jc w:val="right"/>
              <w:spacing w:after="0"/>
              <w:rPr>
                <w:sz w:val="20"/>
                <w:szCs w:val="20"/>
                <w:color w:val="auto"/>
              </w:rPr>
            </w:pPr>
            <w:r>
              <w:rPr>
                <w:rFonts w:ascii="Arial" w:cs="Arial" w:eastAsia="Arial" w:hAnsi="Arial"/>
                <w:sz w:val="18"/>
                <w:szCs w:val="18"/>
                <w:color w:val="auto"/>
              </w:rPr>
              <w:t>(27,120 )</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outstanding at March 31, 2023</w:t>
            </w:r>
          </w:p>
        </w:tc>
        <w:tc>
          <w:tcPr>
            <w:tcW w:w="176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743,454</w:t>
            </w:r>
          </w:p>
        </w:tc>
        <w:tc>
          <w:tcPr>
            <w:tcW w:w="2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78"/>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$1.82 - 2.18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2023, Orion recognized $1.6 million of stock-based compensation expense related to restricted shares.</w:t>
      </w:r>
    </w:p>
    <w:p>
      <w:pPr>
        <w:spacing w:after="0" w:line="225"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As of March 31, 2023, 2022 and 2021, the weighted average grant-date fair value of restricted shares granted was $2.16, $5.55 and $4.27, respectively.</w:t>
      </w:r>
    </w:p>
    <w:p>
      <w:pPr>
        <w:spacing w:after="0" w:line="170"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Unrecognized compensation cost related to non-vested common stock-based compensation as of March 31, 2023 is expected to be recognized as follows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w:t>
            </w:r>
          </w:p>
        </w:tc>
        <w:tc>
          <w:tcPr>
            <w:tcW w:w="7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704</w:t>
            </w:r>
          </w:p>
        </w:tc>
      </w:tr>
      <w:tr>
        <w:trPr>
          <w:trHeight w:val="237"/>
        </w:trPr>
        <w:tc>
          <w:tcPr>
            <w:tcW w:w="91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7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467</w:t>
            </w:r>
          </w:p>
        </w:tc>
      </w:tr>
      <w:tr>
        <w:trPr>
          <w:trHeight w:val="249"/>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7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503</w:t>
            </w:r>
          </w:p>
        </w:tc>
      </w:tr>
      <w:tr>
        <w:trPr>
          <w:trHeight w:val="237"/>
        </w:trPr>
        <w:tc>
          <w:tcPr>
            <w:tcW w:w="9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1,674</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Remaining weighted average expected term</w:t>
            </w:r>
          </w:p>
        </w:tc>
        <w:tc>
          <w:tcPr>
            <w:tcW w:w="7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 years</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DATA</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Orion has the following business segments: Orion Services Group Division (“OSG”), Orion Distribution Services Division (“ODS”), Orion U.S. Markets Division (“USM”) and Orion Electric Vehicle Charging Systems Division ("EV Division"). The accounting policies are the same for each business segment as they are on a consolidated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Services Group Division</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OSG segment (a) develops and sells lighting products and provides construction and engineering services for Orion's commercial lighting and energy management systems and (b) provides retailers, distributors and other businesses with maintenance, repair and replacement services for the lighting and related electrical components deployed in their facilities. OSG provides engineering, design, lighting products and in many cases turnkey solutions for large national accounts, governments, municipalities, schools and other customers.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contractors.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Orion Electric Vehicle Charging Division</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Our EV Division segment offers leading electric vehicle charging expertise and provides turnkey installation solutions with ongoing support to all commercial verticals.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7"/>
          </w:tcPr>
          <w:p>
            <w:pPr>
              <w:jc w:val="center"/>
              <w:ind w:left="656"/>
              <w:spacing w:after="0"/>
              <w:rPr>
                <w:sz w:val="20"/>
                <w:szCs w:val="20"/>
                <w:color w:val="auto"/>
              </w:rPr>
            </w:pPr>
            <w:r>
              <w:rPr>
                <w:rFonts w:ascii="Arial" w:cs="Arial" w:eastAsia="Arial" w:hAnsi="Arial"/>
                <w:sz w:val="14"/>
                <w:szCs w:val="14"/>
                <w:b w:val="1"/>
                <w:bCs w:val="1"/>
                <w:color w:val="auto"/>
                <w:w w:val="93"/>
              </w:rPr>
              <w:t>Operating Income (Loss)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435"/>
              <w:spacing w:after="0"/>
              <w:rPr>
                <w:sz w:val="20"/>
                <w:szCs w:val="20"/>
                <w:color w:val="auto"/>
              </w:rPr>
            </w:pPr>
            <w:r>
              <w:rPr>
                <w:rFonts w:ascii="Arial" w:cs="Arial" w:eastAsia="Arial" w:hAnsi="Arial"/>
                <w:sz w:val="14"/>
                <w:szCs w:val="14"/>
                <w:b w:val="1"/>
                <w:bCs w:val="1"/>
                <w:color w:val="auto"/>
                <w:w w:val="93"/>
              </w:rPr>
              <w:t>For the year ended March 31,</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3"/>
              </w:rPr>
              <w:t>For the year ended March 31,</w:t>
            </w:r>
          </w:p>
        </w:tc>
        <w:tc>
          <w:tcPr>
            <w:tcW w:w="900" w:type="dxa"/>
            <w:vAlign w:val="bottom"/>
            <w:tcBorders>
              <w:bottom w:val="single" w:sz="8" w:color="auto"/>
            </w:tcBorders>
          </w:tcPr>
          <w:p>
            <w:pPr>
              <w:spacing w:after="0"/>
              <w:rPr>
                <w:sz w:val="16"/>
                <w:szCs w:val="16"/>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3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Orion Services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38,002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82,568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84,243</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(6,982 )</w:t>
            </w:r>
          </w:p>
        </w:tc>
        <w:tc>
          <w:tcPr>
            <w:tcW w:w="52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55"/>
              <w:spacing w:after="0"/>
              <w:rPr>
                <w:sz w:val="20"/>
                <w:szCs w:val="20"/>
                <w:color w:val="auto"/>
              </w:rPr>
            </w:pPr>
            <w:r>
              <w:rPr>
                <w:rFonts w:ascii="Arial" w:cs="Arial" w:eastAsia="Arial" w:hAnsi="Arial"/>
                <w:sz w:val="18"/>
                <w:szCs w:val="18"/>
                <w:color w:val="auto"/>
              </w:rPr>
              <w:t>6,462</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7,472</w:t>
            </w: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Distribution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15,395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22,209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21,122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55"/>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2,430</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24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17,710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19,606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11,475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3"/>
          </w:tcPr>
          <w:p>
            <w:pPr>
              <w:jc w:val="right"/>
              <w:ind w:right="55"/>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1,683</w:t>
            </w: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Electric Vehicle Charging Systems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6,275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(5,148 )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(4,749 )</w:t>
            </w:r>
          </w:p>
        </w:tc>
      </w:tr>
      <w:tr>
        <w:trPr>
          <w:trHeight w:val="237"/>
        </w:trPr>
        <w:tc>
          <w:tcPr>
            <w:tcW w:w="36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77,383</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124,383</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116,840</w:t>
            </w:r>
          </w:p>
        </w:tc>
        <w:tc>
          <w:tcPr>
            <w:tcW w:w="16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(15,985 )</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8"/>
                <w:szCs w:val="18"/>
                <w:color w:val="auto"/>
              </w:rPr>
              <w:t>8,391</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6,836</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6"/>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left="435"/>
              <w:spacing w:after="0"/>
              <w:rPr>
                <w:sz w:val="20"/>
                <w:szCs w:val="20"/>
                <w:color w:val="auto"/>
              </w:rPr>
            </w:pPr>
            <w:r>
              <w:rPr>
                <w:rFonts w:ascii="Arial" w:cs="Arial" w:eastAsia="Arial" w:hAnsi="Arial"/>
                <w:sz w:val="14"/>
                <w:szCs w:val="14"/>
                <w:b w:val="1"/>
                <w:bCs w:val="1"/>
                <w:color w:val="auto"/>
                <w:w w:val="93"/>
              </w:rPr>
              <w:t>Depreciation and Amortization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Capital Expenditures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435"/>
              <w:spacing w:after="0"/>
              <w:rPr>
                <w:sz w:val="20"/>
                <w:szCs w:val="20"/>
                <w:color w:val="auto"/>
              </w:rPr>
            </w:pPr>
            <w:r>
              <w:rPr>
                <w:rFonts w:ascii="Arial" w:cs="Arial" w:eastAsia="Arial" w:hAnsi="Arial"/>
                <w:sz w:val="14"/>
                <w:szCs w:val="14"/>
                <w:b w:val="1"/>
                <w:bCs w:val="1"/>
                <w:color w:val="auto"/>
                <w:w w:val="93"/>
              </w:rPr>
              <w:t>For the year ended March 31,</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3"/>
              </w:rPr>
              <w:t>For the year ended March 31,</w:t>
            </w:r>
          </w:p>
        </w:tc>
        <w:tc>
          <w:tcPr>
            <w:tcW w:w="900" w:type="dxa"/>
            <w:vAlign w:val="bottom"/>
            <w:tcBorders>
              <w:bottom w:val="single" w:sz="8" w:color="auto"/>
            </w:tcBorders>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3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7"/>
        </w:trPr>
        <w:tc>
          <w:tcPr>
            <w:tcW w:w="3620" w:type="dxa"/>
            <w:vAlign w:val="bottom"/>
          </w:tcPr>
          <w:p>
            <w:pPr>
              <w:ind w:left="60"/>
              <w:spacing w:after="0"/>
              <w:rPr>
                <w:sz w:val="20"/>
                <w:szCs w:val="20"/>
                <w:color w:val="auto"/>
              </w:rPr>
            </w:pPr>
            <w:r>
              <w:rPr>
                <w:rFonts w:ascii="Arial" w:cs="Arial" w:eastAsia="Arial" w:hAnsi="Arial"/>
                <w:sz w:val="18"/>
                <w:szCs w:val="18"/>
                <w:color w:val="auto"/>
              </w:rPr>
              <w:t>Orion Services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987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997</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913</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227</w:t>
            </w:r>
          </w:p>
        </w:tc>
        <w:tc>
          <w:tcPr>
            <w:tcW w:w="52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55"/>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516</w:t>
            </w:r>
          </w:p>
        </w:tc>
      </w:tr>
      <w:tr>
        <w:trPr>
          <w:trHeight w:val="249"/>
        </w:trPr>
        <w:tc>
          <w:tcPr>
            <w:tcW w:w="36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Orion Distribution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55"/>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158</w:t>
            </w:r>
          </w:p>
        </w:tc>
      </w:tr>
      <w:tr>
        <w:trPr>
          <w:trHeight w:val="237"/>
        </w:trPr>
        <w:tc>
          <w:tcPr>
            <w:tcW w:w="3620" w:type="dxa"/>
            <w:vAlign w:val="bottom"/>
          </w:tcPr>
          <w:p>
            <w:pPr>
              <w:ind w:left="60"/>
              <w:spacing w:after="0"/>
              <w:rPr>
                <w:sz w:val="20"/>
                <w:szCs w:val="20"/>
                <w:color w:val="auto"/>
              </w:rPr>
            </w:pPr>
            <w:r>
              <w:rPr>
                <w:rFonts w:ascii="Arial" w:cs="Arial" w:eastAsia="Arial" w:hAnsi="Arial"/>
                <w:sz w:val="18"/>
                <w:szCs w:val="18"/>
                <w:color w:val="auto"/>
              </w:rPr>
              <w:t>Orion U.S. Markets</w:t>
            </w:r>
          </w:p>
        </w:tc>
        <w:tc>
          <w:tcPr>
            <w:tcW w:w="24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3"/>
          </w:tcPr>
          <w:p>
            <w:pPr>
              <w:jc w:val="right"/>
              <w:ind w:right="55"/>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107</w:t>
            </w:r>
          </w:p>
        </w:tc>
      </w:tr>
      <w:tr>
        <w:trPr>
          <w:trHeight w:val="249"/>
        </w:trPr>
        <w:tc>
          <w:tcPr>
            <w:tcW w:w="36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Orion Electric Vehicle Charging Systems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6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121</w:t>
            </w:r>
          </w:p>
        </w:tc>
      </w:tr>
      <w:tr>
        <w:trPr>
          <w:trHeight w:val="230"/>
        </w:trPr>
        <w:tc>
          <w:tcPr>
            <w:tcW w:w="36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1,616</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902</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32"/>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9"/>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March 31, 2022</w:t>
            </w:r>
          </w:p>
        </w:tc>
      </w:tr>
      <w:tr>
        <w:trPr>
          <w:trHeight w:val="23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7"/>
        </w:trPr>
        <w:tc>
          <w:tcPr>
            <w:tcW w:w="3620" w:type="dxa"/>
            <w:vAlign w:val="bottom"/>
          </w:tcPr>
          <w:p>
            <w:pPr>
              <w:ind w:left="60"/>
              <w:spacing w:after="0"/>
              <w:rPr>
                <w:sz w:val="20"/>
                <w:szCs w:val="20"/>
                <w:color w:val="auto"/>
              </w:rPr>
            </w:pPr>
            <w:r>
              <w:rPr>
                <w:rFonts w:ascii="Arial" w:cs="Arial" w:eastAsia="Arial" w:hAnsi="Arial"/>
                <w:sz w:val="18"/>
                <w:szCs w:val="18"/>
                <w:color w:val="auto"/>
              </w:rPr>
              <w:t>Orion Services Group</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19,167</w:t>
            </w:r>
          </w:p>
        </w:tc>
        <w:tc>
          <w:tcPr>
            <w:tcW w:w="780" w:type="dxa"/>
            <w:vAlign w:val="bottom"/>
            <w:gridSpan w:val="3"/>
          </w:tcPr>
          <w:p>
            <w:pPr>
              <w:jc w:val="right"/>
              <w:ind w:right="2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26,642</w:t>
            </w:r>
          </w:p>
        </w:tc>
      </w:tr>
      <w:tr>
        <w:trPr>
          <w:trHeight w:val="249"/>
        </w:trPr>
        <w:tc>
          <w:tcPr>
            <w:tcW w:w="36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Orion Distribution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6,723</w:t>
            </w:r>
          </w:p>
        </w:tc>
      </w:tr>
      <w:tr>
        <w:trPr>
          <w:trHeight w:val="237"/>
        </w:trPr>
        <w:tc>
          <w:tcPr>
            <w:tcW w:w="3620" w:type="dxa"/>
            <w:vAlign w:val="bottom"/>
          </w:tcPr>
          <w:p>
            <w:pPr>
              <w:ind w:left="60"/>
              <w:spacing w:after="0"/>
              <w:rPr>
                <w:sz w:val="20"/>
                <w:szCs w:val="20"/>
                <w:color w:val="auto"/>
              </w:rPr>
            </w:pPr>
            <w:r>
              <w:rPr>
                <w:rFonts w:ascii="Arial" w:cs="Arial" w:eastAsia="Arial" w:hAnsi="Arial"/>
                <w:sz w:val="18"/>
                <w:szCs w:val="18"/>
                <w:color w:val="auto"/>
              </w:rPr>
              <w:t>Orion U.S. Markets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10,191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8,017</w:t>
            </w:r>
          </w:p>
        </w:tc>
      </w:tr>
      <w:tr>
        <w:trPr>
          <w:trHeight w:val="249"/>
        </w:trPr>
        <w:tc>
          <w:tcPr>
            <w:tcW w:w="36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Orion Electric Vehicle Charging Systems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11,502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6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24,698</w:t>
            </w:r>
          </w:p>
        </w:tc>
        <w:tc>
          <w:tcPr>
            <w:tcW w:w="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45,435</w:t>
            </w:r>
          </w:p>
        </w:tc>
      </w:tr>
      <w:tr>
        <w:trPr>
          <w:trHeight w:val="270"/>
        </w:trPr>
        <w:tc>
          <w:tcPr>
            <w:tcW w:w="36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gridSpan w:val="2"/>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71,579</w:t>
            </w:r>
          </w:p>
        </w:tc>
        <w:tc>
          <w:tcPr>
            <w:tcW w:w="14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86,817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jc w:val="both"/>
        <w:ind w:firstLine="499"/>
        <w:spacing w:after="0" w:line="258" w:lineRule="auto"/>
        <w:rPr>
          <w:sz w:val="20"/>
          <w:szCs w:val="20"/>
          <w:color w:val="auto"/>
        </w:rPr>
      </w:pPr>
      <w:r>
        <w:rPr>
          <w:rFonts w:ascii="Arial" w:cs="Arial" w:eastAsia="Arial" w:hAnsi="Arial"/>
          <w:sz w:val="18"/>
          <w:szCs w:val="18"/>
          <w:color w:val="auto"/>
        </w:rPr>
        <w:t>Orion’s revenue outside the United States was $0.2 million in fiscal 2023 and $0.0 million in fiscal 2022 and fiscal 2021, respectively. Orion has no long-lived assets outside the United States.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Fiscal 2022 Operating Income above includes a payroll tax credit, in accordance with IAS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ACQUISITION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Voltrek</w:t>
      </w:r>
    </w:p>
    <w:p>
      <w:pPr>
        <w:spacing w:after="0" w:line="117" w:lineRule="exact"/>
        <w:rPr>
          <w:sz w:val="20"/>
          <w:szCs w:val="20"/>
          <w:color w:val="auto"/>
        </w:rPr>
      </w:pPr>
    </w:p>
    <w:p>
      <w:pPr>
        <w:jc w:val="both"/>
        <w:ind w:firstLine="499"/>
        <w:spacing w:after="0" w:line="254" w:lineRule="auto"/>
        <w:rPr>
          <w:sz w:val="20"/>
          <w:szCs w:val="20"/>
          <w:color w:val="auto"/>
        </w:rPr>
      </w:pPr>
      <w:r>
        <w:rPr>
          <w:rFonts w:ascii="Arial" w:cs="Arial" w:eastAsia="Arial" w:hAnsi="Arial"/>
          <w:sz w:val="18"/>
          <w:szCs w:val="18"/>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of $0.9 million (the “Voltrek Acquisition”). In addition,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will be expensed over the course of the earn-out periods to the extent they are earned. As of March 31, 2023, Orion recorded $3.0 million to accrued expenses for the fiscal 2023 earn-out opportunity and an additional $1.0 million to other long-term liabilities for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cumulative potential earn-out opportunity which would be paid in fiscal 2026. The Voltrek Acquisition was funded with cash and Orion shares. Voltrek operates as Voltrek, an Orion Energy Systems business. The Voltrek Acquisition leverages Orion’s project management and maintenance expertise into a rapidly growing sector.</w:t>
      </w:r>
    </w:p>
    <w:p>
      <w:pPr>
        <w:spacing w:after="0" w:line="76"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Orion has accounted for the Voltrek Acquisition as a business combination. Orion has preliminarily allocated the purchase price of approximately $6.9 million to the assets acquired and liabilities assumed at estimated fair values, and the excess of the purchase price over the aggregate fair values is recorded as goodwill. The purchase price and closing adjustments were paid in cash and 620,067 shares of common stock with a total fair market value of $1.0 million, which is recorded in the opening balance sheet at fair value of $0.8 million, the discount on which is due to lock-up requirements on the shares. Orion is in the process of finalizing third party valuations of intangible assets.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purchase price allocation for Voltrek, including any adjustments during the measurement period: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312"/>
              <w:spacing w:after="0"/>
              <w:rPr>
                <w:sz w:val="20"/>
                <w:szCs w:val="20"/>
                <w:color w:val="auto"/>
              </w:rPr>
            </w:pPr>
            <w:r>
              <w:rPr>
                <w:rFonts w:ascii="Arial" w:cs="Arial" w:eastAsia="Arial" w:hAnsi="Arial"/>
                <w:sz w:val="14"/>
                <w:szCs w:val="14"/>
                <w:b w:val="1"/>
                <w:bCs w:val="1"/>
                <w:color w:val="auto"/>
                <w:w w:val="96"/>
              </w:rPr>
              <w:t>Preliminary</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2"/>
            <w:vMerge w:val="restart"/>
          </w:tcPr>
          <w:p>
            <w:pPr>
              <w:jc w:val="right"/>
              <w:ind w:right="111"/>
              <w:spacing w:after="0"/>
              <w:rPr>
                <w:sz w:val="20"/>
                <w:szCs w:val="20"/>
                <w:color w:val="auto"/>
              </w:rPr>
            </w:pPr>
            <w:r>
              <w:rPr>
                <w:rFonts w:ascii="Arial" w:cs="Arial" w:eastAsia="Arial" w:hAnsi="Arial"/>
                <w:sz w:val="14"/>
                <w:szCs w:val="14"/>
                <w:b w:val="1"/>
                <w:bCs w:val="1"/>
                <w:color w:val="auto"/>
              </w:rPr>
              <w:t>Adjusted Opening</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Opening Balance</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3"/>
              </w:rPr>
              <w:t>Sheet</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Adjustments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1"/>
              </w:rPr>
              <w:t>Balance Sheet</w:t>
            </w:r>
          </w:p>
        </w:tc>
        <w:tc>
          <w:tcPr>
            <w:tcW w:w="0" w:type="dxa"/>
            <w:vAlign w:val="bottom"/>
          </w:tcPr>
          <w:p>
            <w:pPr>
              <w:spacing w:after="0"/>
              <w:rPr>
                <w:sz w:val="1"/>
                <w:szCs w:val="1"/>
                <w:color w:val="auto"/>
              </w:rPr>
            </w:pPr>
          </w:p>
        </w:tc>
      </w:tr>
      <w:tr>
        <w:trPr>
          <w:trHeight w:val="237"/>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(75 )</w:t>
            </w:r>
          </w:p>
        </w:tc>
        <w:tc>
          <w:tcPr>
            <w:tcW w:w="2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(40 )</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4,200</w:t>
            </w:r>
          </w:p>
        </w:tc>
        <w:tc>
          <w:tcPr>
            <w:tcW w:w="28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(1,199 )</w:t>
            </w:r>
          </w:p>
        </w:tc>
        <w:tc>
          <w:tcPr>
            <w:tcW w:w="28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(1,133 )</w:t>
            </w: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(286 )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(180 )</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76"/>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6,749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76"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tradename intangible asset was valued using a relief from royalty method. The significant assumptions used include the estimated revenue and royalty rate, among other factors.</w:t>
      </w:r>
    </w:p>
    <w:p>
      <w:pPr>
        <w:spacing w:after="0" w:line="62"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62"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spacing w:after="0" w:line="76"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intangible assets acquired at the date of Voltrek Acquisition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517"/>
              <w:spacing w:after="0"/>
              <w:rPr>
                <w:sz w:val="20"/>
                <w:szCs w:val="20"/>
                <w:color w:val="auto"/>
              </w:rPr>
            </w:pPr>
            <w:r>
              <w:rPr>
                <w:rFonts w:ascii="Arial" w:cs="Arial" w:eastAsia="Arial" w:hAnsi="Arial"/>
                <w:sz w:val="14"/>
                <w:szCs w:val="14"/>
                <w:b w:val="1"/>
                <w:bCs w:val="1"/>
                <w:color w:val="auto"/>
              </w:rPr>
              <w:t>Estimated</w:t>
            </w:r>
          </w:p>
        </w:tc>
        <w:tc>
          <w:tcPr>
            <w:tcW w:w="1800" w:type="dxa"/>
            <w:vAlign w:val="bottom"/>
          </w:tcPr>
          <w:p>
            <w:pPr>
              <w:jc w:val="right"/>
              <w:ind w:right="237"/>
              <w:spacing w:after="0"/>
              <w:rPr>
                <w:sz w:val="20"/>
                <w:szCs w:val="20"/>
                <w:color w:val="auto"/>
              </w:rPr>
            </w:pPr>
            <w:r>
              <w:rPr>
                <w:rFonts w:ascii="Arial" w:cs="Arial" w:eastAsia="Arial" w:hAnsi="Arial"/>
                <w:sz w:val="14"/>
                <w:szCs w:val="14"/>
                <w:b w:val="1"/>
                <w:bCs w:val="1"/>
                <w:color w:val="auto"/>
              </w:rPr>
              <w:t>Estimated Useful Life</w:t>
            </w:r>
          </w:p>
        </w:tc>
      </w:tr>
      <w:tr>
        <w:trPr>
          <w:trHeight w:val="185"/>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(Years)</w:t>
            </w:r>
          </w:p>
        </w:tc>
      </w:tr>
      <w:tr>
        <w:trPr>
          <w:trHeight w:val="23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300</w:t>
            </w:r>
          </w:p>
        </w:tc>
        <w:tc>
          <w:tcPr>
            <w:tcW w:w="18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5</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2,600</w:t>
            </w:r>
          </w:p>
        </w:tc>
        <w:tc>
          <w:tcPr>
            <w:tcW w:w="1800" w:type="dxa"/>
            <w:vAlign w:val="bottom"/>
          </w:tcPr>
          <w:p>
            <w:pPr>
              <w:jc w:val="right"/>
              <w:ind w:right="77"/>
              <w:spacing w:after="0"/>
              <w:rPr>
                <w:sz w:val="20"/>
                <w:szCs w:val="20"/>
                <w:color w:val="auto"/>
              </w:rPr>
            </w:pPr>
            <w:r>
              <w:rPr>
                <w:rFonts w:ascii="Arial" w:cs="Arial" w:eastAsia="Arial" w:hAnsi="Arial"/>
                <w:sz w:val="18"/>
                <w:szCs w:val="18"/>
                <w:color w:val="auto"/>
              </w:rPr>
              <w:t>7</w:t>
            </w: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1,400</w:t>
            </w:r>
          </w:p>
        </w:tc>
        <w:tc>
          <w:tcPr>
            <w:tcW w:w="18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Voltrek's post-acquisition results of operations since October 5, 2022 are included in Orion’s Consolidated Statements of Operations. The operating results of Voltrek are included in the EV Division segment. See note 17 - Segments, for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Acquisition of Stay-Lite Lighting</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Effective on January 1, 2022, Orion acquired all of the issued and outstanding capital stock of Stay-Lite Lighting, a nationwide lighting and electrical maintenance service provider, for $4.3 million (the “Stay-Lite Acquisition”). Stay-Lite Lighting operates as Stay-Lite Lighting, an Orion Energy Systems business. The Stay-Lite Acquisition accelerates the growth of Orion's maintenance services offerings through its Orion Services Group, which provides lighting and electrical services to customers.</w:t>
      </w:r>
    </w:p>
    <w:p>
      <w:pPr>
        <w:spacing w:after="0" w:line="79"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Orion has accounted for this transaction as a business combination. Orion has allocated the purchase price of approximately $4.3 million, which included an estimate of the earn-out liability of $0.2 million and $0.1 million for the working capital adjustment received in the first quarter fiscal 2023, to the assets acquired and liabilities assumed at estimated fair values, and the excess of the purchase price over the aggregate fair values is recorded as goodwill. The remaining was $4.0 million funded with cash. Orion could pay up to $0.7 million in earn-out related purchase price, which is based on performance during the 2022 and 2023 calendar years. During fiscal 2023, the earn-out liability of $0.2 million was reversed, through acquisition related costs, based on Stay-Lite Lighting's actual performance during fiscal 2023 and Orion's assessment of expected performance in fiscal 2024.</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purchase price allocation for Voltrek, including any adjustments during the measurement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Preliminary Opening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Adjusted Opening</w:t>
            </w:r>
          </w:p>
        </w:tc>
      </w:tr>
      <w:tr>
        <w:trPr>
          <w:trHeight w:val="185"/>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Balance Sheet</w:t>
            </w:r>
          </w:p>
        </w:tc>
        <w:tc>
          <w:tcPr>
            <w:tcW w:w="34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Adjustments</w:t>
            </w:r>
          </w:p>
        </w:tc>
        <w:tc>
          <w:tcPr>
            <w:tcW w:w="30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Balance Sheet</w:t>
            </w:r>
          </w:p>
        </w:tc>
      </w:tr>
      <w:tr>
        <w:trPr>
          <w:trHeight w:val="23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20"/>
                <w:szCs w:val="20"/>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2,690</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(233 )</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(965 )</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(965 )</w:t>
            </w: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(492 )</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(412 )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(411 )</w:t>
            </w:r>
          </w:p>
        </w:tc>
      </w:tr>
      <w:tr>
        <w:trPr>
          <w:trHeight w:val="276"/>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right="260" w:firstLine="494"/>
        <w:spacing w:after="0" w:line="311" w:lineRule="auto"/>
        <w:rPr>
          <w:sz w:val="20"/>
          <w:szCs w:val="20"/>
          <w:color w:val="auto"/>
        </w:rPr>
      </w:pPr>
      <w:r>
        <w:rPr>
          <w:rFonts w:ascii="Arial" w:cs="Arial" w:eastAsia="Arial" w:hAnsi="Arial"/>
          <w:sz w:val="16"/>
          <w:szCs w:val="16"/>
          <w:color w:val="auto"/>
        </w:rPr>
        <w:t>Goodwill recorded from the Stay-Lite Acquisition is attributable to the expected synergies from the business combination. The goodwill resulting from the Stay-Lite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intangible assets acquired at the date of Stay-Lite Acquisition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80" w:type="dxa"/>
            <w:vAlign w:val="bottom"/>
          </w:tcPr>
          <w:p>
            <w:pPr>
              <w:ind w:left="460"/>
              <w:spacing w:after="0"/>
              <w:rPr>
                <w:sz w:val="20"/>
                <w:szCs w:val="20"/>
                <w:color w:val="auto"/>
              </w:rPr>
            </w:pPr>
            <w:r>
              <w:rPr>
                <w:rFonts w:ascii="Arial" w:cs="Arial" w:eastAsia="Arial" w:hAnsi="Arial"/>
                <w:sz w:val="14"/>
                <w:szCs w:val="14"/>
                <w:b w:val="1"/>
                <w:bCs w:val="1"/>
                <w:color w:val="auto"/>
              </w:rPr>
              <w:t>Estimated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102"/>
              <w:spacing w:after="0"/>
              <w:rPr>
                <w:sz w:val="20"/>
                <w:szCs w:val="20"/>
                <w:color w:val="auto"/>
              </w:rPr>
            </w:pPr>
            <w:r>
              <w:rPr>
                <w:rFonts w:ascii="Arial" w:cs="Arial" w:eastAsia="Arial" w:hAnsi="Arial"/>
                <w:sz w:val="14"/>
                <w:szCs w:val="14"/>
                <w:b w:val="1"/>
                <w:bCs w:val="1"/>
                <w:color w:val="auto"/>
              </w:rPr>
              <w:t>Estimated Useful Life</w:t>
            </w:r>
          </w:p>
        </w:tc>
        <w:tc>
          <w:tcPr>
            <w:tcW w:w="140" w:type="dxa"/>
            <w:vAlign w:val="bottom"/>
          </w:tcPr>
          <w:p>
            <w:pPr>
              <w:spacing w:after="0"/>
              <w:rPr>
                <w:sz w:val="14"/>
                <w:szCs w:val="14"/>
                <w:color w:val="auto"/>
              </w:rPr>
            </w:pPr>
          </w:p>
        </w:tc>
      </w:tr>
      <w:tr>
        <w:trPr>
          <w:trHeight w:val="185"/>
        </w:trPr>
        <w:tc>
          <w:tcPr>
            <w:tcW w:w="7760" w:type="dxa"/>
            <w:vAlign w:val="bottom"/>
          </w:tcPr>
          <w:p>
            <w:pPr>
              <w:spacing w:after="0"/>
              <w:rPr>
                <w:sz w:val="16"/>
                <w:szCs w:val="16"/>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0"/>
                <w:szCs w:val="20"/>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Stay-Lite Lighting’s post-acquisition results of operations since January 1, 2022 are included in Orion’s Consolidated Statements of Operations. Fiscal 2022 net sales of Stay-Lite Lighting for the period were $2.7 million and operating loss was $0.7 million. The operating results of Stay-Lite Lighting are included in the Orion Services Group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pro forma information was determined based on the historical results of Orion and unaudited financial results from Stay-Lite Lighting and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spacing w:after="0" w:line="308" w:lineRule="auto"/>
        <w:rPr>
          <w:sz w:val="20"/>
          <w:szCs w:val="20"/>
          <w:color w:val="auto"/>
        </w:rPr>
      </w:pPr>
      <w:r>
        <w:rPr>
          <w:rFonts w:ascii="Arial" w:cs="Arial" w:eastAsia="Arial" w:hAnsi="Arial"/>
          <w:sz w:val="17"/>
          <w:szCs w:val="17"/>
          <w:color w:val="auto"/>
        </w:rPr>
        <w:t>indicative of what would have occurred had the business combinations been completed at the beginning of the period or the results that may occur in the future. Furthermore, the unaudited pro forma financial information does not reflect the impact of any synergies resulting from the acquisitions.</w:t>
      </w:r>
    </w:p>
    <w:p>
      <w:pPr>
        <w:spacing w:after="0" w:line="3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If Voltrek was acquired on April 1, 2022, the pro forma Orion revenue for the twelve-month period ended on March 31, 2023 would have been $79.8 million and proforma net loss would have been $(33.5) million. Orion pro-forma fiscal 2022 revenue would have been $128.0 million and net income would have been $5.9 million.</w:t>
      </w:r>
    </w:p>
    <w:p>
      <w:pPr>
        <w:spacing w:after="0" w:line="76" w:lineRule="exact"/>
        <w:rPr>
          <w:sz w:val="20"/>
          <w:szCs w:val="20"/>
          <w:color w:val="auto"/>
        </w:rPr>
      </w:pPr>
    </w:p>
    <w:p>
      <w:pPr>
        <w:jc w:val="both"/>
        <w:ind w:firstLine="499"/>
        <w:spacing w:after="0" w:line="308" w:lineRule="auto"/>
        <w:rPr>
          <w:sz w:val="20"/>
          <w:szCs w:val="20"/>
          <w:color w:val="auto"/>
        </w:rPr>
      </w:pPr>
      <w:r>
        <w:rPr>
          <w:rFonts w:ascii="Arial" w:cs="Arial" w:eastAsia="Arial" w:hAnsi="Arial"/>
          <w:sz w:val="17"/>
          <w:szCs w:val="17"/>
          <w:color w:val="auto"/>
        </w:rPr>
        <w:t>If Stay-Lite was acquired on April 1, 2020, the pro forma Orion full year fiscal 2022 revenue would have been $131.3 million and net income would have been $6.0 million. Orion pro-forma fiscal 2021 revenue would have been $125.4 million and net income would have been $25.5 million.</w:t>
      </w:r>
    </w:p>
    <w:p>
      <w:pPr>
        <w:spacing w:after="0" w:line="38"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Transaction costs related to the Stay-Lite Acquisition and the Voltrek Acquisition are recorded in acquisition related costs in the Consolidated Statements of Operations. Transaction costs totaled $0.8 million in the twelve months ending March 31, 2023 and $0.5 million twelve months ended March 31,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Summary quarterly results for the years ended March 31, 2023 and March 31, 2022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Jun 30, 2022</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7"/>
              </w:rPr>
              <w:t>Sep 30, 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0"/>
              </w:rPr>
              <w:t>Dec 31, 2022</w:t>
            </w:r>
          </w:p>
        </w:tc>
        <w:tc>
          <w:tcPr>
            <w:tcW w:w="140" w:type="dxa"/>
            <w:vAlign w:val="bottom"/>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69"/>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w w:val="81"/>
              </w:rPr>
              <w:t>(in</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thousands, except</w:t>
            </w:r>
          </w:p>
        </w:tc>
        <w:tc>
          <w:tcPr>
            <w:tcW w:w="13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17,906</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17,560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20,288</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21,629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77,383</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3,554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4,435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4,781</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4,741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17,511</w:t>
            </w:r>
          </w:p>
        </w:tc>
      </w:tr>
      <w:tr>
        <w:trPr>
          <w:trHeight w:val="249"/>
        </w:trPr>
        <w:tc>
          <w:tcPr>
            <w:tcW w:w="47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Net loss </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(2,835 )</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(24,059 )</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(34,341 )</w:t>
            </w:r>
          </w:p>
        </w:tc>
      </w:tr>
      <w:tr>
        <w:trPr>
          <w:trHeight w:val="243"/>
        </w:trPr>
        <w:tc>
          <w:tcPr>
            <w:tcW w:w="47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Basic net loss per share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(0.07 )</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(0.75 )</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basic per share calculation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31,138</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31,031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32,048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31,704</w:t>
            </w:r>
          </w:p>
        </w:tc>
      </w:tr>
      <w:tr>
        <w:trPr>
          <w:trHeight w:val="243"/>
        </w:trPr>
        <w:tc>
          <w:tcPr>
            <w:tcW w:w="47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Diluted net loss per share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(0.07 )</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(0.75 )</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diluted per share calculation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31,138</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31,031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32,048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31,704</w:t>
            </w:r>
          </w:p>
        </w:tc>
      </w:tr>
      <w:tr>
        <w:trPr>
          <w:trHeight w:val="445"/>
        </w:trPr>
        <w:tc>
          <w:tcPr>
            <w:tcW w:w="4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9"/>
        </w:trPr>
        <w:tc>
          <w:tcPr>
            <w:tcW w:w="4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Jun 30, 2021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7"/>
              </w:rPr>
              <w:t>Sep 30, 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0"/>
              </w:rPr>
              <w:t>Dec 31, 2021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Mar 31, 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69"/>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w w:val="81"/>
              </w:rPr>
              <w:t>(in</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thousands, except</w:t>
            </w:r>
          </w:p>
        </w:tc>
        <w:tc>
          <w:tcPr>
            <w:tcW w:w="13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35,101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36,510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30,714</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22,058</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124,383</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10,788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7,641</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5,253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33,912</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2,510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3,659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1,102</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6,091</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0.20</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basic per share calculation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30,860</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31,031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31,085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31,097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31,018</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0.19</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diluted per share calculation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31,290</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31,288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31,235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31,097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31,295</w:t>
            </w:r>
          </w:p>
        </w:tc>
      </w:tr>
    </w:tbl>
    <w:p>
      <w:pPr>
        <w:spacing w:after="0" w:line="229" w:lineRule="exact"/>
        <w:rPr>
          <w:sz w:val="20"/>
          <w:szCs w:val="20"/>
          <w:color w:val="auto"/>
        </w:rPr>
      </w:pPr>
    </w:p>
    <w:p>
      <w:pPr>
        <w:ind w:left="760" w:hanging="752"/>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$17.8 million of tax expense related to the booking of the valuation allowance on deferred tax assets during the three months ended December 31, 2022.</w:t>
      </w:r>
    </w:p>
    <w:p>
      <w:pPr>
        <w:spacing w:after="0" w:line="170"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76"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2023, pursuant to Exchange Act Rule 13a-15(b) and 15d-15. Based on that evaluation, our Chief Executive Officer and our Chief Financial Officer have concluded that our disclosure controls and procedures were effective at a level of reasonable assurance as of March 31, 2023.</w:t>
      </w:r>
    </w:p>
    <w:p>
      <w:pPr>
        <w:spacing w:after="0" w:line="187"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880" w:hanging="373"/>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8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2023, our internal control over financial reporting was effective.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2023,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The information required by this item with respect to directors, executive officers and corporate governance is incorporated by reference to our Proxy Statement for our 2023 Annual Meeting of Shareholders to be filed with the SEC within 120 days after the end of the fiscal year ended March 31,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Shareholders to be filed with the SEC within 120 days after the end of the fiscal year ended March 31, 2023.</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58"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 xml:space="preserve">See Item 5, </w:t>
      </w:r>
      <w:r>
        <w:rPr>
          <w:rFonts w:ascii="Arial" w:cs="Arial" w:eastAsia="Arial" w:hAnsi="Arial"/>
          <w:sz w:val="18"/>
          <w:szCs w:val="18"/>
          <w:i w:val="1"/>
          <w:iCs w:val="1"/>
          <w:color w:val="auto"/>
        </w:rPr>
        <w:t>Market for Registrant’s Common Equity, Related Shareholder Matters and Issuer Purchaser of Securities</w:t>
      </w:r>
      <w:r>
        <w:rPr>
          <w:rFonts w:ascii="Arial" w:cs="Arial" w:eastAsia="Arial" w:hAnsi="Arial"/>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2023 Annual Meeting of Shareholders to be filed with the SEC within 120 days after the end of the fiscal year ended March 31,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Shareholders to be filed with the SEC within 120 days after the end of the fiscal year ended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Shareholders to be filed with the SEC within 120 days after the end of the fiscal year ended March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20" w:type="dxa"/>
            <w:vAlign w:val="bottom"/>
            <w:gridSpan w:val="29"/>
          </w:tcPr>
          <w:p>
            <w:pPr>
              <w:jc w:val="center"/>
              <w:ind w:right="45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4"/>
        </w:trPr>
        <w:tc>
          <w:tcPr>
            <w:tcW w:w="120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10040" w:type="dxa"/>
            <w:vAlign w:val="bottom"/>
            <w:gridSpan w:val="34"/>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7"/>
              </w:rPr>
              <w:t>3.1</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5"/>
              </w:rPr>
            </w:pPr>
            <w:hyperlink r:id="rId280">
              <w:r>
                <w:rPr>
                  <w:rFonts w:ascii="Arial" w:cs="Arial" w:eastAsia="Arial" w:hAnsi="Arial"/>
                  <w:sz w:val="18"/>
                  <w:szCs w:val="18"/>
                  <w:color w:val="0000FF"/>
                  <w:w w:val="95"/>
                </w:rPr>
                <w:t>Amended and Restated Articles of Incorporation of Orion Energy Systems, Inc., filed as Exhibit 3.3 to the Registrant’s Form S-1 filed</w:t>
              </w:r>
            </w:hyperlink>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8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280">
              <w:r>
                <w:rPr>
                  <w:rFonts w:ascii="Arial" w:cs="Arial" w:eastAsia="Arial" w:hAnsi="Arial"/>
                  <w:sz w:val="18"/>
                  <w:szCs w:val="18"/>
                  <w:color w:val="0000FF"/>
                  <w:w w:val="89"/>
                </w:rPr>
                <w:t>August 20, 2007, is hereby incorporated by reference.</w:t>
              </w:r>
            </w:hyperlink>
          </w:p>
        </w:tc>
        <w:tc>
          <w:tcPr>
            <w:tcW w:w="20" w:type="dxa"/>
            <w:vAlign w:val="bottom"/>
            <w:tcBorders>
              <w:bottom w:val="single" w:sz="8" w:color="0000EE"/>
            </w:tcBorders>
          </w:tcPr>
          <w:p>
            <w:pPr>
              <w:spacing w:after="0"/>
              <w:rPr>
                <w:sz w:val="17"/>
                <w:szCs w:val="17"/>
                <w:color w:val="auto"/>
              </w:rPr>
            </w:pPr>
          </w:p>
        </w:tc>
        <w:tc>
          <w:tcPr>
            <w:tcW w:w="61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7"/>
              </w:rPr>
              <w:t>3.2</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3"/>
              </w:rPr>
            </w:pPr>
            <w:hyperlink r:id="rId281">
              <w:r>
                <w:rPr>
                  <w:rFonts w:ascii="Arial" w:cs="Arial" w:eastAsia="Arial" w:hAnsi="Arial"/>
                  <w:sz w:val="18"/>
                  <w:szCs w:val="18"/>
                  <w:color w:val="0000FF"/>
                  <w:w w:val="93"/>
                </w:rPr>
                <w:t>Second Amended and Restated Bylaws of Orion Energy Systems, Inc., filed as Exhibit 3.1 to the Registrant’s Form 8-K filed November</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3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81">
              <w:r>
                <w:rPr>
                  <w:rFonts w:ascii="Arial" w:cs="Arial" w:eastAsia="Arial" w:hAnsi="Arial"/>
                  <w:sz w:val="18"/>
                  <w:szCs w:val="18"/>
                  <w:color w:val="0000FF"/>
                  <w:w w:val="89"/>
                </w:rPr>
                <w:t>14, 2022, is hereby incorporated by reference.</w:t>
              </w:r>
            </w:hyperlink>
          </w:p>
        </w:tc>
        <w:tc>
          <w:tcPr>
            <w:tcW w:w="67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7"/>
              </w:rPr>
              <w:t>4.1</w:t>
            </w:r>
          </w:p>
        </w:tc>
        <w:tc>
          <w:tcPr>
            <w:tcW w:w="10040" w:type="dxa"/>
            <w:vAlign w:val="bottom"/>
            <w:gridSpan w:val="34"/>
          </w:tcPr>
          <w:p>
            <w:pPr>
              <w:spacing w:after="0"/>
              <w:rPr>
                <w:sz w:val="20"/>
                <w:szCs w:val="20"/>
                <w:color w:val="auto"/>
              </w:rPr>
            </w:pPr>
            <w:r>
              <w:rPr>
                <w:rFonts w:ascii="Arial" w:cs="Arial" w:eastAsia="Arial" w:hAnsi="Arial"/>
                <w:sz w:val="18"/>
                <w:szCs w:val="18"/>
                <w:color w:val="0000FF"/>
              </w:rPr>
              <w:t>Description of Orion Energy Systems, Inc. Capital Stock.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10.1</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Loan and Security Agreement dated as of December 29, 2020 among Orion Energy Systems, Inc., Bank of America, N.A., as lender, and</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282">
              <w:r>
                <w:rPr>
                  <w:rFonts w:ascii="Arial" w:cs="Arial" w:eastAsia="Arial" w:hAnsi="Arial"/>
                  <w:sz w:val="18"/>
                  <w:szCs w:val="18"/>
                  <w:color w:val="0000FF"/>
                  <w:w w:val="92"/>
                </w:rPr>
                <w:t>the subsidiary borrowers party thereto, filed as Exhibit 10.1 to Registrant’s Form 8-K filed on January 5, 2021, is hereby incorporated by</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82">
              <w:r>
                <w:rPr>
                  <w:rFonts w:ascii="Arial" w:cs="Arial" w:eastAsia="Arial" w:hAnsi="Arial"/>
                  <w:sz w:val="18"/>
                  <w:szCs w:val="18"/>
                  <w:color w:val="0000FF"/>
                  <w:w w:val="86"/>
                </w:rPr>
                <w:t>reference.</w:t>
              </w:r>
            </w:hyperlink>
          </w:p>
        </w:tc>
        <w:tc>
          <w:tcPr>
            <w:tcW w:w="20" w:type="dxa"/>
            <w:vAlign w:val="bottom"/>
            <w:tcBorders>
              <w:bottom w:val="single" w:sz="8" w:color="0000EE"/>
            </w:tcBorders>
          </w:tcPr>
          <w:p>
            <w:pPr>
              <w:spacing w:after="0"/>
              <w:rPr>
                <w:sz w:val="17"/>
                <w:szCs w:val="17"/>
                <w:color w:val="auto"/>
              </w:rPr>
            </w:pPr>
          </w:p>
        </w:tc>
        <w:tc>
          <w:tcPr>
            <w:tcW w:w="930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10.2</w:t>
            </w:r>
          </w:p>
        </w:tc>
        <w:tc>
          <w:tcPr>
            <w:tcW w:w="9880" w:type="dxa"/>
            <w:vAlign w:val="bottom"/>
            <w:tcBorders>
              <w:bottom w:val="single" w:sz="8" w:color="0000FF"/>
            </w:tcBorders>
            <w:gridSpan w:val="30"/>
          </w:tcPr>
          <w:p>
            <w:pPr>
              <w:spacing w:after="0"/>
              <w:rPr>
                <w:rFonts w:ascii="Arial" w:cs="Arial" w:eastAsia="Arial" w:hAnsi="Arial"/>
                <w:sz w:val="18"/>
                <w:szCs w:val="18"/>
                <w:color w:val="0000FF"/>
                <w:w w:val="90"/>
              </w:rPr>
            </w:pPr>
            <w:hyperlink r:id="rId283">
              <w:r>
                <w:rPr>
                  <w:rFonts w:ascii="Arial" w:cs="Arial" w:eastAsia="Arial" w:hAnsi="Arial"/>
                  <w:sz w:val="18"/>
                  <w:szCs w:val="18"/>
                  <w:color w:val="0000FF"/>
                  <w:w w:val="90"/>
                </w:rPr>
                <w:t>Agreement No. 1 to Loan and Security Agreement, dated effective as of November 4, 2022, among Orion Energy Systems, Inc., Bank of</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80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283">
              <w:r>
                <w:rPr>
                  <w:rFonts w:ascii="Arial" w:cs="Arial" w:eastAsia="Arial" w:hAnsi="Arial"/>
                  <w:sz w:val="18"/>
                  <w:szCs w:val="18"/>
                  <w:color w:val="0000FF"/>
                  <w:w w:val="91"/>
                </w:rPr>
                <w:t>America, N.A., as lender, and the subsidiary borrowers party thereto, filed as Exhibit 10.4 to the Registrant’s Quarterly Report on Form</w:t>
              </w:r>
            </w:hyperlink>
          </w:p>
        </w:tc>
        <w:tc>
          <w:tcPr>
            <w:tcW w:w="2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83">
              <w:r>
                <w:rPr>
                  <w:rFonts w:ascii="Arial" w:cs="Arial" w:eastAsia="Arial" w:hAnsi="Arial"/>
                  <w:sz w:val="18"/>
                  <w:szCs w:val="18"/>
                  <w:color w:val="0000FF"/>
                  <w:w w:val="90"/>
                </w:rPr>
                <w:t>10-Q filed November 8, 2022, is hereby incorporated by reference.</w:t>
              </w:r>
            </w:hyperlink>
          </w:p>
        </w:tc>
        <w:tc>
          <w:tcPr>
            <w:tcW w:w="522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10.3</w:t>
            </w:r>
          </w:p>
        </w:tc>
        <w:tc>
          <w:tcPr>
            <w:tcW w:w="9700" w:type="dxa"/>
            <w:vAlign w:val="bottom"/>
            <w:tcBorders>
              <w:bottom w:val="single" w:sz="8" w:color="0000FF"/>
            </w:tcBorders>
            <w:gridSpan w:val="27"/>
          </w:tcPr>
          <w:p>
            <w:pPr>
              <w:spacing w:after="0"/>
              <w:rPr>
                <w:rFonts w:ascii="Arial" w:cs="Arial" w:eastAsia="Arial" w:hAnsi="Arial"/>
                <w:sz w:val="18"/>
                <w:szCs w:val="18"/>
                <w:color w:val="0000FF"/>
                <w:w w:val="91"/>
              </w:rPr>
            </w:pPr>
            <w:hyperlink r:id="rId284">
              <w:r>
                <w:rPr>
                  <w:rFonts w:ascii="Arial" w:cs="Arial" w:eastAsia="Arial" w:hAnsi="Arial"/>
                  <w:sz w:val="18"/>
                  <w:szCs w:val="18"/>
                  <w:color w:val="0000FF"/>
                  <w:w w:val="91"/>
                </w:rPr>
                <w:t>Orion Energy Systems, Inc. 2004 Stock and Incentive Awards Plan, filed as Exhibit 10.9 to the Registrant’s Form S-1 filed August 20,</w:t>
              </w:r>
            </w:hyperlink>
          </w:p>
        </w:tc>
        <w:tc>
          <w:tcPr>
            <w:tcW w:w="3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1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84">
              <w:r>
                <w:rPr>
                  <w:rFonts w:ascii="Arial" w:cs="Arial" w:eastAsia="Arial" w:hAnsi="Arial"/>
                  <w:sz w:val="18"/>
                  <w:szCs w:val="18"/>
                  <w:color w:val="0000FF"/>
                  <w:w w:val="90"/>
                </w:rPr>
                <w:t>2007, is hereby incorporated by reference.*</w:t>
              </w:r>
            </w:hyperlink>
          </w:p>
        </w:tc>
        <w:tc>
          <w:tcPr>
            <w:tcW w:w="690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10.4</w:t>
            </w:r>
          </w:p>
        </w:tc>
        <w:tc>
          <w:tcPr>
            <w:tcW w:w="9340" w:type="dxa"/>
            <w:vAlign w:val="bottom"/>
            <w:tcBorders>
              <w:bottom w:val="single" w:sz="8" w:color="0000FF"/>
            </w:tcBorders>
            <w:gridSpan w:val="22"/>
          </w:tcPr>
          <w:p>
            <w:pPr>
              <w:spacing w:after="0"/>
              <w:rPr>
                <w:rFonts w:ascii="Arial" w:cs="Arial" w:eastAsia="Arial" w:hAnsi="Arial"/>
                <w:sz w:val="18"/>
                <w:szCs w:val="18"/>
                <w:color w:val="0000FF"/>
                <w:w w:val="90"/>
              </w:rPr>
            </w:pPr>
            <w:hyperlink r:id="rId285">
              <w:r>
                <w:rPr>
                  <w:rFonts w:ascii="Arial" w:cs="Arial" w:eastAsia="Arial" w:hAnsi="Arial"/>
                  <w:sz w:val="18"/>
                  <w:szCs w:val="18"/>
                  <w:color w:val="0000FF"/>
                  <w:w w:val="90"/>
                </w:rPr>
                <w:t>Amendment to Orion Energy Systems, Inc. 2004 Stock and Incentive Awards Plan, filed September 9, 2011 as Appendix A to the</w:t>
              </w:r>
            </w:hyperlink>
          </w:p>
        </w:tc>
        <w:tc>
          <w:tcPr>
            <w:tcW w:w="7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85">
              <w:r>
                <w:rPr>
                  <w:rFonts w:ascii="Arial" w:cs="Arial" w:eastAsia="Arial" w:hAnsi="Arial"/>
                  <w:sz w:val="18"/>
                  <w:szCs w:val="18"/>
                  <w:color w:val="0000FF"/>
                </w:rPr>
                <w:t>Registrant’s definitive proxy statement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7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10.5</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8"/>
              </w:rPr>
            </w:pPr>
            <w:hyperlink r:id="rId286">
              <w:r>
                <w:rPr>
                  <w:rFonts w:ascii="Arial" w:cs="Arial" w:eastAsia="Arial" w:hAnsi="Arial"/>
                  <w:sz w:val="18"/>
                  <w:szCs w:val="18"/>
                  <w:color w:val="0000FF"/>
                  <w:w w:val="98"/>
                </w:rPr>
                <w:t>Form of Stock Option Agreement under the Orion Energy Systems, Inc. 2004 Equity Incentive Plan, filed as Exhibit 10.10 to the</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86">
              <w:r>
                <w:rPr>
                  <w:rFonts w:ascii="Arial" w:cs="Arial" w:eastAsia="Arial" w:hAnsi="Arial"/>
                  <w:sz w:val="18"/>
                  <w:szCs w:val="18"/>
                  <w:color w:val="0000FF"/>
                </w:rPr>
                <w:t>Registrant’s Form S-1 filed August 20, 2007,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10.6</w:t>
            </w:r>
          </w:p>
        </w:tc>
        <w:tc>
          <w:tcPr>
            <w:tcW w:w="9900" w:type="dxa"/>
            <w:vAlign w:val="bottom"/>
            <w:tcBorders>
              <w:bottom w:val="single" w:sz="8" w:color="0000FF"/>
            </w:tcBorders>
            <w:gridSpan w:val="31"/>
          </w:tcPr>
          <w:p>
            <w:pPr>
              <w:spacing w:after="0"/>
              <w:rPr>
                <w:rFonts w:ascii="Arial" w:cs="Arial" w:eastAsia="Arial" w:hAnsi="Arial"/>
                <w:sz w:val="18"/>
                <w:szCs w:val="18"/>
                <w:color w:val="0000FF"/>
                <w:w w:val="91"/>
              </w:rPr>
            </w:pPr>
            <w:hyperlink r:id="rId287">
              <w:r>
                <w:rPr>
                  <w:rFonts w:ascii="Arial" w:cs="Arial" w:eastAsia="Arial" w:hAnsi="Arial"/>
                  <w:sz w:val="18"/>
                  <w:szCs w:val="18"/>
                  <w:color w:val="0000FF"/>
                  <w:w w:val="91"/>
                </w:rPr>
                <w:t>Form of Stock Option Agreement as of May 14, 2013 under the Orion Energy Systems, Inc. 2004 Stock and Incentive Awards Plan, filed</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7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as Exhibit 10.7 to the Registrant’s Form 10-K filed on June 13, 2014, is hereby incorporated by reference.*</w:t>
              </w:r>
            </w:hyperlink>
          </w:p>
        </w:tc>
        <w:tc>
          <w:tcPr>
            <w:tcW w:w="20" w:type="dxa"/>
            <w:vAlign w:val="bottom"/>
            <w:tcBorders>
              <w:bottom w:val="single" w:sz="8" w:color="0000EE"/>
            </w:tcBorders>
          </w:tcPr>
          <w:p>
            <w:pPr>
              <w:spacing w:after="0"/>
              <w:rPr>
                <w:sz w:val="17"/>
                <w:szCs w:val="17"/>
                <w:color w:val="auto"/>
              </w:rPr>
            </w:pPr>
          </w:p>
        </w:tc>
        <w:tc>
          <w:tcPr>
            <w:tcW w:w="23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10.7</w:t>
            </w:r>
          </w:p>
        </w:tc>
        <w:tc>
          <w:tcPr>
            <w:tcW w:w="9960" w:type="dxa"/>
            <w:vAlign w:val="bottom"/>
            <w:tcBorders>
              <w:bottom w:val="single" w:sz="8" w:color="0000FF"/>
            </w:tcBorders>
            <w:gridSpan w:val="32"/>
          </w:tcPr>
          <w:p>
            <w:pPr>
              <w:spacing w:after="0"/>
              <w:rPr>
                <w:rFonts w:ascii="Arial" w:cs="Arial" w:eastAsia="Arial" w:hAnsi="Arial"/>
                <w:sz w:val="18"/>
                <w:szCs w:val="18"/>
                <w:color w:val="0000FF"/>
                <w:w w:val="90"/>
              </w:rPr>
            </w:pPr>
            <w:hyperlink r:id="rId288">
              <w:r>
                <w:rPr>
                  <w:rFonts w:ascii="Arial" w:cs="Arial" w:eastAsia="Arial" w:hAnsi="Arial"/>
                  <w:sz w:val="18"/>
                  <w:szCs w:val="18"/>
                  <w:color w:val="0000FF"/>
                  <w:w w:val="90"/>
                </w:rPr>
                <w:t>Orion Energy Systems, Inc. 2016 Omnibus Incentive Plan, as amended and restated, filed as Annex A to the Registrant’s Definitive Proxy</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642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288">
              <w:r>
                <w:rPr>
                  <w:rFonts w:ascii="Arial" w:cs="Arial" w:eastAsia="Arial" w:hAnsi="Arial"/>
                  <w:sz w:val="18"/>
                  <w:szCs w:val="18"/>
                  <w:color w:val="0000FF"/>
                  <w:w w:val="89"/>
                </w:rPr>
                <w:t>Statement on Schedule 14A filed on June 21, 2019, is hereby incorporated by reference.*</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10.8</w:t>
            </w:r>
          </w:p>
        </w:tc>
        <w:tc>
          <w:tcPr>
            <w:tcW w:w="9480" w:type="dxa"/>
            <w:vAlign w:val="bottom"/>
            <w:tcBorders>
              <w:bottom w:val="single" w:sz="8" w:color="0000FF"/>
            </w:tcBorders>
            <w:gridSpan w:val="23"/>
          </w:tcPr>
          <w:p>
            <w:pPr>
              <w:spacing w:after="0"/>
              <w:rPr>
                <w:rFonts w:ascii="Arial" w:cs="Arial" w:eastAsia="Arial" w:hAnsi="Arial"/>
                <w:sz w:val="18"/>
                <w:szCs w:val="18"/>
                <w:color w:val="0000FF"/>
                <w:w w:val="90"/>
              </w:rPr>
            </w:pPr>
            <w:hyperlink r:id="rId289">
              <w:r>
                <w:rPr>
                  <w:rFonts w:ascii="Arial" w:cs="Arial" w:eastAsia="Arial" w:hAnsi="Arial"/>
                  <w:sz w:val="18"/>
                  <w:szCs w:val="18"/>
                  <w:color w:val="0000FF"/>
                  <w:w w:val="90"/>
                </w:rPr>
                <w:t>Form of Non-Employee Director Tandem Restricted Stock and Cash Award Agreement under the Orion Energy Systems, Inc. 2016</w:t>
              </w:r>
            </w:hyperlink>
          </w:p>
        </w:tc>
        <w:tc>
          <w:tcPr>
            <w:tcW w:w="5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w w:val="94"/>
              </w:rPr>
            </w:pPr>
            <w:hyperlink r:id="rId289">
              <w:r>
                <w:rPr>
                  <w:rFonts w:ascii="Arial" w:cs="Arial" w:eastAsia="Arial" w:hAnsi="Arial"/>
                  <w:sz w:val="18"/>
                  <w:szCs w:val="18"/>
                  <w:color w:val="0000FF"/>
                  <w:w w:val="94"/>
                </w:rPr>
                <w:t>Omnibus Incentive Plan, filed as Exhibit 4.5 to the Registrant’s Form S-8 filed August 10, 2016,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60" w:type="dxa"/>
            <w:vAlign w:val="bottom"/>
            <w:gridSpan w:val="11"/>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5"/>
              </w:rPr>
              <w:t>10.9</w:t>
            </w:r>
          </w:p>
        </w:tc>
        <w:tc>
          <w:tcPr>
            <w:tcW w:w="9980" w:type="dxa"/>
            <w:vAlign w:val="bottom"/>
            <w:tcBorders>
              <w:bottom w:val="single" w:sz="8" w:color="0000FF"/>
            </w:tcBorders>
            <w:gridSpan w:val="33"/>
          </w:tcPr>
          <w:p>
            <w:pPr>
              <w:spacing w:after="0"/>
              <w:rPr>
                <w:rFonts w:ascii="Arial" w:cs="Arial" w:eastAsia="Arial" w:hAnsi="Arial"/>
                <w:sz w:val="18"/>
                <w:szCs w:val="18"/>
                <w:color w:val="0000FF"/>
                <w:w w:val="91"/>
              </w:rPr>
            </w:pPr>
            <w:hyperlink r:id="rId290">
              <w:r>
                <w:rPr>
                  <w:rFonts w:ascii="Arial" w:cs="Arial" w:eastAsia="Arial" w:hAnsi="Arial"/>
                  <w:sz w:val="18"/>
                  <w:szCs w:val="18"/>
                  <w:color w:val="0000FF"/>
                  <w:w w:val="91"/>
                </w:rPr>
                <w:t>Form of Non-Employee Director Restricted Stock Award Agreement under the Orion Energy Systems, Inc. 2016 Omnibus Incentive Plan,</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8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filed as Exhibit 4.6 to the Registrant’s Form S-8 filed August 10, 2016, is hereby incorporated by reference.*</w:t>
              </w:r>
            </w:hyperlink>
          </w:p>
        </w:tc>
        <w:tc>
          <w:tcPr>
            <w:tcW w:w="22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10.10</w:t>
            </w:r>
          </w:p>
        </w:tc>
        <w:tc>
          <w:tcPr>
            <w:tcW w:w="9880" w:type="dxa"/>
            <w:vAlign w:val="bottom"/>
            <w:tcBorders>
              <w:bottom w:val="single" w:sz="8" w:color="0000FF"/>
            </w:tcBorders>
            <w:gridSpan w:val="30"/>
          </w:tcPr>
          <w:p>
            <w:pPr>
              <w:spacing w:after="0"/>
              <w:rPr>
                <w:rFonts w:ascii="Arial" w:cs="Arial" w:eastAsia="Arial" w:hAnsi="Arial"/>
                <w:sz w:val="18"/>
                <w:szCs w:val="18"/>
                <w:color w:val="0000FF"/>
                <w:w w:val="90"/>
              </w:rPr>
            </w:pPr>
            <w:hyperlink r:id="rId291">
              <w:r>
                <w:rPr>
                  <w:rFonts w:ascii="Arial" w:cs="Arial" w:eastAsia="Arial" w:hAnsi="Arial"/>
                  <w:sz w:val="18"/>
                  <w:szCs w:val="18"/>
                  <w:color w:val="0000FF"/>
                  <w:w w:val="90"/>
                </w:rPr>
                <w:t>Form of Executive Tandem Restricted Stock and Cash Award Agreement under the Orion Energy Systems, Inc. 2016 Omnibus Incentive</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91">
              <w:r>
                <w:rPr>
                  <w:rFonts w:ascii="Arial" w:cs="Arial" w:eastAsia="Arial" w:hAnsi="Arial"/>
                  <w:sz w:val="18"/>
                  <w:szCs w:val="18"/>
                  <w:color w:val="0000FF"/>
                </w:rPr>
                <w:t>Plan, filed as Exhibit 4.7 to the Registrant’s Form S-8 filed August 10, 2016,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60" w:type="dxa"/>
            <w:vAlign w:val="bottom"/>
            <w:gridSpan w:val="11"/>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84"/>
              </w:rPr>
              <w:t>10.11</w:t>
            </w:r>
          </w:p>
        </w:tc>
        <w:tc>
          <w:tcPr>
            <w:tcW w:w="9520" w:type="dxa"/>
            <w:vAlign w:val="bottom"/>
            <w:tcBorders>
              <w:bottom w:val="single" w:sz="8" w:color="0000FF"/>
            </w:tcBorders>
            <w:gridSpan w:val="24"/>
          </w:tcPr>
          <w:p>
            <w:pPr>
              <w:spacing w:after="0"/>
              <w:rPr>
                <w:rFonts w:ascii="Arial" w:cs="Arial" w:eastAsia="Arial" w:hAnsi="Arial"/>
                <w:sz w:val="18"/>
                <w:szCs w:val="18"/>
                <w:color w:val="0000FF"/>
                <w:w w:val="91"/>
              </w:rPr>
            </w:pPr>
            <w:hyperlink r:id="rId292">
              <w:r>
                <w:rPr>
                  <w:rFonts w:ascii="Arial" w:cs="Arial" w:eastAsia="Arial" w:hAnsi="Arial"/>
                  <w:sz w:val="18"/>
                  <w:szCs w:val="18"/>
                  <w:color w:val="0000FF"/>
                  <w:w w:val="91"/>
                </w:rPr>
                <w:t>Form of Executive Restricted Stock Award Agreement under the Orion Energy Systems, Inc. 2016 Omnibus Incentive Plan, filed as</w:t>
              </w:r>
            </w:hyperlink>
          </w:p>
        </w:tc>
        <w:tc>
          <w:tcPr>
            <w:tcW w:w="5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92">
              <w:r>
                <w:rPr>
                  <w:rFonts w:ascii="Arial" w:cs="Arial" w:eastAsia="Arial" w:hAnsi="Arial"/>
                  <w:sz w:val="18"/>
                  <w:szCs w:val="18"/>
                  <w:color w:val="0000FF"/>
                </w:rPr>
                <w:t>Exhibit 4.8 to the Registrant’s Form S-8 filed August 10, 2016, is hereby incorporated by 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60" w:type="dxa"/>
            <w:vAlign w:val="bottom"/>
            <w:gridSpan w:val="11"/>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10.12</w:t>
            </w:r>
          </w:p>
        </w:tc>
        <w:tc>
          <w:tcPr>
            <w:tcW w:w="10040" w:type="dxa"/>
            <w:vAlign w:val="bottom"/>
            <w:gridSpan w:val="34"/>
          </w:tcPr>
          <w:p>
            <w:pPr>
              <w:spacing w:after="0"/>
              <w:rPr>
                <w:sz w:val="20"/>
                <w:szCs w:val="20"/>
                <w:color w:val="auto"/>
              </w:rPr>
            </w:pPr>
            <w:r>
              <w:rPr>
                <w:rFonts w:ascii="Arial" w:cs="Arial" w:eastAsia="Arial" w:hAnsi="Arial"/>
                <w:sz w:val="18"/>
                <w:szCs w:val="18"/>
                <w:color w:val="0000FF"/>
              </w:rPr>
              <w:t>Orion Energy Systems, Inc. Non-Employee Director Compensation Plan, effective as of February 16, 2023.*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660" w:type="dxa"/>
            <w:vAlign w:val="bottom"/>
            <w:gridSpan w:val="12"/>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10.13</w:t>
            </w:r>
          </w:p>
        </w:tc>
        <w:tc>
          <w:tcPr>
            <w:tcW w:w="9540" w:type="dxa"/>
            <w:vAlign w:val="bottom"/>
            <w:tcBorders>
              <w:bottom w:val="single" w:sz="8" w:color="0000FF"/>
            </w:tcBorders>
            <w:gridSpan w:val="25"/>
          </w:tcPr>
          <w:p>
            <w:pPr>
              <w:spacing w:after="0"/>
              <w:rPr>
                <w:rFonts w:ascii="Arial" w:cs="Arial" w:eastAsia="Arial" w:hAnsi="Arial"/>
                <w:sz w:val="18"/>
                <w:szCs w:val="18"/>
                <w:color w:val="0000FF"/>
                <w:w w:val="90"/>
              </w:rPr>
            </w:pPr>
            <w:hyperlink r:id="rId293">
              <w:r>
                <w:rPr>
                  <w:rFonts w:ascii="Arial" w:cs="Arial" w:eastAsia="Arial" w:hAnsi="Arial"/>
                  <w:sz w:val="18"/>
                  <w:szCs w:val="18"/>
                  <w:color w:val="0000FF"/>
                  <w:w w:val="90"/>
                </w:rPr>
                <w:t>Executive Employment and Severance Agreement, effective as of October 19, 2020, between Orion Energy Systems, Inc. and J. Per</w:t>
              </w:r>
            </w:hyperlink>
          </w:p>
        </w:tc>
        <w:tc>
          <w:tcPr>
            <w:tcW w:w="5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8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93">
              <w:r>
                <w:rPr>
                  <w:rFonts w:ascii="Arial" w:cs="Arial" w:eastAsia="Arial" w:hAnsi="Arial"/>
                  <w:sz w:val="18"/>
                  <w:szCs w:val="18"/>
                  <w:color w:val="0000FF"/>
                  <w:w w:val="91"/>
                </w:rPr>
                <w:t>Brodin, filed as Exhibit 10.1 to the Registrant's Form 8-K filed on October 15, 2020, is hereby incorporated by reference.*</w:t>
              </w:r>
            </w:hyperlink>
          </w:p>
        </w:tc>
        <w:tc>
          <w:tcPr>
            <w:tcW w:w="12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10.14</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5"/>
              </w:rPr>
            </w:pPr>
            <w:hyperlink r:id="rId294">
              <w:r>
                <w:rPr>
                  <w:rFonts w:ascii="Arial" w:cs="Arial" w:eastAsia="Arial" w:hAnsi="Arial"/>
                  <w:sz w:val="18"/>
                  <w:szCs w:val="18"/>
                  <w:color w:val="0000FF"/>
                  <w:w w:val="95"/>
                </w:rPr>
                <w:t>Amended and Restated Executive Employment and Severance Agreement, dated as of June 1, 2020, by and between Orion Energy</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tcBorders>
              <w:bottom w:val="single" w:sz="8" w:color="0000FF"/>
            </w:tcBorders>
            <w:gridSpan w:val="34"/>
          </w:tcPr>
          <w:p>
            <w:pPr>
              <w:spacing w:after="0" w:line="196" w:lineRule="exact"/>
              <w:rPr>
                <w:rFonts w:ascii="Arial" w:cs="Arial" w:eastAsia="Arial" w:hAnsi="Arial"/>
                <w:sz w:val="18"/>
                <w:szCs w:val="18"/>
                <w:color w:val="0000FF"/>
                <w:w w:val="93"/>
              </w:rPr>
            </w:pPr>
            <w:hyperlink r:id="rId294">
              <w:r>
                <w:rPr>
                  <w:rFonts w:ascii="Arial" w:cs="Arial" w:eastAsia="Arial" w:hAnsi="Arial"/>
                  <w:sz w:val="18"/>
                  <w:szCs w:val="18"/>
                  <w:color w:val="0000FF"/>
                  <w:w w:val="93"/>
                </w:rPr>
                <w:t>Systems, Inc. and Scott A. Green, filed as Exhibit 10.17 to the Registrant's Form 10-K filed on June 1, 2021, is hereby incorporated by</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94">
              <w:r>
                <w:rPr>
                  <w:rFonts w:ascii="Arial" w:cs="Arial" w:eastAsia="Arial" w:hAnsi="Arial"/>
                  <w:sz w:val="18"/>
                  <w:szCs w:val="18"/>
                  <w:color w:val="0000FF"/>
                </w:rPr>
                <w:t>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10.15</w:t>
            </w:r>
          </w:p>
        </w:tc>
        <w:tc>
          <w:tcPr>
            <w:tcW w:w="9740" w:type="dxa"/>
            <w:vAlign w:val="bottom"/>
            <w:tcBorders>
              <w:bottom w:val="single" w:sz="8" w:color="0000FF"/>
            </w:tcBorders>
            <w:gridSpan w:val="28"/>
          </w:tcPr>
          <w:p>
            <w:pPr>
              <w:spacing w:after="0"/>
              <w:rPr>
                <w:rFonts w:ascii="Arial" w:cs="Arial" w:eastAsia="Arial" w:hAnsi="Arial"/>
                <w:sz w:val="18"/>
                <w:szCs w:val="18"/>
                <w:color w:val="0000FF"/>
                <w:w w:val="90"/>
              </w:rPr>
            </w:pPr>
            <w:hyperlink r:id="rId295">
              <w:r>
                <w:rPr>
                  <w:rFonts w:ascii="Arial" w:cs="Arial" w:eastAsia="Arial" w:hAnsi="Arial"/>
                  <w:sz w:val="18"/>
                  <w:szCs w:val="18"/>
                  <w:color w:val="0000FF"/>
                  <w:w w:val="90"/>
                </w:rPr>
                <w:t>At Market Issuance Sales Agreement between Orion Energy Systems, Inc. and B. Riley Securities, Inc., dated March 26, 2021, filed as</w:t>
              </w:r>
            </w:hyperlink>
          </w:p>
        </w:tc>
        <w:tc>
          <w:tcPr>
            <w:tcW w:w="3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4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95">
              <w:r>
                <w:rPr>
                  <w:rFonts w:ascii="Arial" w:cs="Arial" w:eastAsia="Arial" w:hAnsi="Arial"/>
                  <w:sz w:val="18"/>
                  <w:szCs w:val="18"/>
                  <w:color w:val="0000FF"/>
                  <w:w w:val="91"/>
                </w:rPr>
                <w:t>Exhibit 10.1 to the Registrant's Form 8-K filed on March 26, 2021, is hereby incorporated by reference.</w:t>
              </w:r>
            </w:hyperlink>
          </w:p>
        </w:tc>
        <w:tc>
          <w:tcPr>
            <w:tcW w:w="258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200" w:type="dxa"/>
            <w:vAlign w:val="bottom"/>
          </w:tcPr>
          <w:p>
            <w:pPr>
              <w:jc w:val="center"/>
              <w:ind w:right="371"/>
              <w:spacing w:after="0"/>
              <w:rPr>
                <w:sz w:val="20"/>
                <w:szCs w:val="20"/>
                <w:color w:val="auto"/>
              </w:rPr>
            </w:pPr>
            <w:r>
              <w:rPr>
                <w:rFonts w:ascii="Arial" w:cs="Arial" w:eastAsia="Arial" w:hAnsi="Arial"/>
                <w:sz w:val="18"/>
                <w:szCs w:val="18"/>
                <w:color w:val="auto"/>
                <w:w w:val="93"/>
              </w:rPr>
              <w:t>10.16</w:t>
            </w:r>
          </w:p>
        </w:tc>
        <w:tc>
          <w:tcPr>
            <w:tcW w:w="10040" w:type="dxa"/>
            <w:vAlign w:val="bottom"/>
            <w:tcBorders>
              <w:bottom w:val="single" w:sz="8" w:color="0000FF"/>
            </w:tcBorders>
            <w:gridSpan w:val="34"/>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Amended Executive Employment and Severance Agreement, effective as of November 10, 2022, by and between Orion Energy Systems,</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tcBorders>
              <w:bottom w:val="single" w:sz="8" w:color="0000FF"/>
            </w:tcBorders>
            <w:gridSpan w:val="34"/>
          </w:tcPr>
          <w:p>
            <w:pPr>
              <w:spacing w:after="0" w:line="196" w:lineRule="exact"/>
              <w:rPr>
                <w:rFonts w:ascii="Arial" w:cs="Arial" w:eastAsia="Arial" w:hAnsi="Arial"/>
                <w:sz w:val="18"/>
                <w:szCs w:val="18"/>
                <w:color w:val="0000FF"/>
                <w:w w:val="98"/>
              </w:rPr>
            </w:pPr>
            <w:hyperlink r:id="rId296">
              <w:r>
                <w:rPr>
                  <w:rFonts w:ascii="Arial" w:cs="Arial" w:eastAsia="Arial" w:hAnsi="Arial"/>
                  <w:sz w:val="18"/>
                  <w:szCs w:val="18"/>
                  <w:color w:val="0000FF"/>
                  <w:w w:val="98"/>
                </w:rPr>
                <w:t>Inc. and Michael H. Jenkins, filed as Exhibit 10.2 to the Registrant's Form 8-K filed on August 3, 2022, is hereby incorporated by</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4"/>
          </w:tcPr>
          <w:p>
            <w:pPr>
              <w:spacing w:after="0" w:line="196" w:lineRule="exact"/>
              <w:rPr>
                <w:rFonts w:ascii="Arial" w:cs="Arial" w:eastAsia="Arial" w:hAnsi="Arial"/>
                <w:sz w:val="18"/>
                <w:szCs w:val="18"/>
                <w:color w:val="0000FF"/>
              </w:rPr>
            </w:pPr>
            <w:hyperlink r:id="rId296">
              <w:r>
                <w:rPr>
                  <w:rFonts w:ascii="Arial" w:cs="Arial" w:eastAsia="Arial" w:hAnsi="Arial"/>
                  <w:sz w:val="18"/>
                  <w:szCs w:val="18"/>
                  <w:color w:val="0000FF"/>
                </w:rPr>
                <w:t>reference.*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4"/>
        </w:trPr>
        <w:tc>
          <w:tcPr>
            <w:tcW w:w="1200" w:type="dxa"/>
            <w:vAlign w:val="bottom"/>
          </w:tcPr>
          <w:p>
            <w:pPr>
              <w:spacing w:after="0"/>
              <w:rPr>
                <w:sz w:val="24"/>
                <w:szCs w:val="24"/>
                <w:color w:val="auto"/>
              </w:rPr>
            </w:pPr>
          </w:p>
        </w:tc>
        <w:tc>
          <w:tcPr>
            <w:tcW w:w="800" w:type="dxa"/>
            <w:vAlign w:val="bottom"/>
            <w:tcBorders>
              <w:top w:val="single" w:sz="8" w:color="0000FF"/>
            </w:tcBorders>
            <w:gridSpan w:val="3"/>
          </w:tcPr>
          <w:p>
            <w:pPr>
              <w:spacing w:after="0"/>
              <w:rPr>
                <w:sz w:val="24"/>
                <w:szCs w:val="24"/>
                <w:color w:val="auto"/>
              </w:rPr>
            </w:pPr>
          </w:p>
        </w:tc>
        <w:tc>
          <w:tcPr>
            <w:tcW w:w="4020" w:type="dxa"/>
            <w:vAlign w:val="bottom"/>
            <w:gridSpan w:val="6"/>
          </w:tcPr>
          <w:p>
            <w:pPr>
              <w:jc w:val="right"/>
              <w:ind w:right="300"/>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10.17</w:t>
            </w:r>
          </w:p>
        </w:tc>
        <w:tc>
          <w:tcPr>
            <w:tcW w:w="9580" w:type="dxa"/>
            <w:vAlign w:val="bottom"/>
            <w:tcBorders>
              <w:bottom w:val="single" w:sz="8" w:color="0000FF"/>
            </w:tcBorders>
            <w:gridSpan w:val="18"/>
          </w:tcPr>
          <w:p>
            <w:pPr>
              <w:spacing w:after="0"/>
              <w:rPr>
                <w:rFonts w:ascii="Arial" w:cs="Arial" w:eastAsia="Arial" w:hAnsi="Arial"/>
                <w:sz w:val="18"/>
                <w:szCs w:val="18"/>
                <w:color w:val="0000FF"/>
                <w:w w:val="90"/>
              </w:rPr>
            </w:pPr>
            <w:hyperlink r:id="rId299">
              <w:r>
                <w:rPr>
                  <w:rFonts w:ascii="Arial" w:cs="Arial" w:eastAsia="Arial" w:hAnsi="Arial"/>
                  <w:sz w:val="18"/>
                  <w:szCs w:val="18"/>
                  <w:color w:val="0000FF"/>
                  <w:w w:val="90"/>
                </w:rPr>
                <w:t>Voluntary Retirement and Consulting Agreement, dated as of August 2, 2022 and effective as of November 10, 2022, between Orion</w:t>
              </w:r>
            </w:hyperlink>
          </w:p>
        </w:tc>
        <w:tc>
          <w:tcPr>
            <w:tcW w:w="5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6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99">
              <w:r>
                <w:rPr>
                  <w:rFonts w:ascii="Arial" w:cs="Arial" w:eastAsia="Arial" w:hAnsi="Arial"/>
                  <w:sz w:val="18"/>
                  <w:szCs w:val="18"/>
                  <w:color w:val="0000FF"/>
                  <w:w w:val="91"/>
                </w:rPr>
                <w:t>Energy Systems, Inc. and Michael W. Altschaefl, filed as Exhibit 10.1 to the Registrant's Form 8-K filed on August 3, 2022, is hereby</w:t>
              </w:r>
            </w:hyperlink>
          </w:p>
        </w:tc>
        <w:tc>
          <w:tcPr>
            <w:tcW w:w="42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rPr>
            </w:pPr>
            <w:hyperlink r:id="rId299">
              <w:r>
                <w:rPr>
                  <w:rFonts w:ascii="Arial" w:cs="Arial" w:eastAsia="Arial" w:hAnsi="Arial"/>
                  <w:sz w:val="18"/>
                  <w:szCs w:val="18"/>
                  <w:color w:val="0000FF"/>
                </w:rPr>
                <w:t>incorporated by reference.*</w:t>
              </w:r>
            </w:hyperlink>
          </w:p>
        </w:tc>
      </w:tr>
      <w:tr>
        <w:trPr>
          <w:trHeight w:val="20"/>
        </w:trPr>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10.18</w:t>
            </w:r>
          </w:p>
        </w:tc>
        <w:tc>
          <w:tcPr>
            <w:tcW w:w="10080" w:type="dxa"/>
            <w:vAlign w:val="bottom"/>
            <w:tcBorders>
              <w:bottom w:val="single" w:sz="8" w:color="0000FF"/>
            </w:tcBorders>
            <w:gridSpan w:val="22"/>
          </w:tcPr>
          <w:p>
            <w:pPr>
              <w:spacing w:after="0"/>
              <w:rPr>
                <w:rFonts w:ascii="Arial" w:cs="Arial" w:eastAsia="Arial" w:hAnsi="Arial"/>
                <w:sz w:val="18"/>
                <w:szCs w:val="18"/>
                <w:color w:val="0000FF"/>
                <w:w w:val="91"/>
              </w:rPr>
            </w:pPr>
            <w:hyperlink r:id="rId300">
              <w:r>
                <w:rPr>
                  <w:rFonts w:ascii="Arial" w:cs="Arial" w:eastAsia="Arial" w:hAnsi="Arial"/>
                  <w:sz w:val="18"/>
                  <w:szCs w:val="18"/>
                  <w:color w:val="0000FF"/>
                  <w:w w:val="91"/>
                </w:rPr>
                <w:t>Restricted Stock Award Agreement, effective as of the third business day after the Company publicly announces its financial results for its</w:t>
              </w:r>
            </w:hyperlink>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FF"/>
            </w:tcBorders>
            <w:gridSpan w:val="22"/>
          </w:tcPr>
          <w:p>
            <w:pPr>
              <w:spacing w:after="0" w:line="196" w:lineRule="exact"/>
              <w:rPr>
                <w:rFonts w:ascii="Arial" w:cs="Arial" w:eastAsia="Arial" w:hAnsi="Arial"/>
                <w:sz w:val="18"/>
                <w:szCs w:val="18"/>
                <w:color w:val="0000FF"/>
                <w:w w:val="96"/>
              </w:rPr>
            </w:pPr>
            <w:hyperlink r:id="rId300">
              <w:r>
                <w:rPr>
                  <w:rFonts w:ascii="Arial" w:cs="Arial" w:eastAsia="Arial" w:hAnsi="Arial"/>
                  <w:sz w:val="18"/>
                  <w:szCs w:val="18"/>
                  <w:color w:val="0000FF"/>
                  <w:w w:val="96"/>
                </w:rPr>
                <w:t>fiscal 2022 fourth quarter and year-end, between Orion Energy Systems, Inc. and Michael W. Altschaefl, filed as Exhibit 10.3 to the</w:t>
              </w:r>
            </w:hyperlink>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rPr>
            </w:pPr>
            <w:hyperlink r:id="rId300">
              <w:r>
                <w:rPr>
                  <w:rFonts w:ascii="Arial" w:cs="Arial" w:eastAsia="Arial" w:hAnsi="Arial"/>
                  <w:sz w:val="18"/>
                  <w:szCs w:val="18"/>
                  <w:color w:val="0000FF"/>
                </w:rPr>
                <w:t>Registrant's Form 8-K filed on February 22, 2022, is hereby incorporated by reference.*</w:t>
              </w:r>
            </w:hyperlink>
          </w:p>
        </w:tc>
      </w:tr>
      <w:tr>
        <w:trPr>
          <w:trHeight w:val="20"/>
        </w:trPr>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10.19</w:t>
            </w:r>
          </w:p>
        </w:tc>
        <w:tc>
          <w:tcPr>
            <w:tcW w:w="10080" w:type="dxa"/>
            <w:vAlign w:val="bottom"/>
            <w:tcBorders>
              <w:bottom w:val="single" w:sz="8" w:color="0000FF"/>
            </w:tcBorders>
            <w:gridSpan w:val="22"/>
          </w:tcPr>
          <w:p>
            <w:pPr>
              <w:spacing w:after="0"/>
              <w:rPr>
                <w:rFonts w:ascii="Arial" w:cs="Arial" w:eastAsia="Arial" w:hAnsi="Arial"/>
                <w:sz w:val="18"/>
                <w:szCs w:val="18"/>
                <w:color w:val="0000FF"/>
                <w:w w:val="94"/>
              </w:rPr>
            </w:pPr>
            <w:hyperlink r:id="rId301">
              <w:r>
                <w:rPr>
                  <w:rFonts w:ascii="Arial" w:cs="Arial" w:eastAsia="Arial" w:hAnsi="Arial"/>
                  <w:sz w:val="18"/>
                  <w:szCs w:val="18"/>
                  <w:color w:val="0000FF"/>
                  <w:w w:val="94"/>
                </w:rPr>
                <w:t>Form of Executive Performance Share Award Agreement under the Orion Energy Systems, Inc. 2016 Omnibus Incentive Plan, filed as</w:t>
              </w:r>
            </w:hyperlink>
          </w:p>
        </w:tc>
      </w:tr>
      <w:tr>
        <w:trPr>
          <w:trHeight w:val="196"/>
        </w:trPr>
        <w:tc>
          <w:tcPr>
            <w:tcW w:w="1040" w:type="dxa"/>
            <w:vAlign w:val="bottom"/>
          </w:tcPr>
          <w:p>
            <w:pPr>
              <w:spacing w:after="0"/>
              <w:rPr>
                <w:sz w:val="17"/>
                <w:szCs w:val="17"/>
                <w:color w:val="auto"/>
              </w:rPr>
            </w:pPr>
          </w:p>
        </w:tc>
        <w:tc>
          <w:tcPr>
            <w:tcW w:w="76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01">
              <w:r>
                <w:rPr>
                  <w:rFonts w:ascii="Arial" w:cs="Arial" w:eastAsia="Arial" w:hAnsi="Arial"/>
                  <w:sz w:val="18"/>
                  <w:szCs w:val="18"/>
                  <w:color w:val="0000FF"/>
                  <w:w w:val="91"/>
                </w:rPr>
                <w:t>Exhibit 10.19 to the Registrant's Form 10-K filed on June 10, 2022, is hereby incorporated by reference.*</w:t>
              </w:r>
            </w:hyperlink>
          </w:p>
        </w:tc>
        <w:tc>
          <w:tcPr>
            <w:tcW w:w="2480" w:type="dxa"/>
            <w:vAlign w:val="bottom"/>
            <w:gridSpan w:val="11"/>
          </w:tcPr>
          <w:p>
            <w:pPr>
              <w:spacing w:after="0"/>
              <w:rPr>
                <w:sz w:val="17"/>
                <w:szCs w:val="17"/>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10.20</w:t>
            </w:r>
          </w:p>
        </w:tc>
        <w:tc>
          <w:tcPr>
            <w:tcW w:w="10080" w:type="dxa"/>
            <w:vAlign w:val="bottom"/>
            <w:tcBorders>
              <w:bottom w:val="single" w:sz="8" w:color="0000FF"/>
            </w:tcBorders>
            <w:gridSpan w:val="22"/>
          </w:tcPr>
          <w:p>
            <w:pPr>
              <w:spacing w:after="0"/>
              <w:rPr>
                <w:rFonts w:ascii="Arial" w:cs="Arial" w:eastAsia="Arial" w:hAnsi="Arial"/>
                <w:sz w:val="18"/>
                <w:szCs w:val="18"/>
                <w:color w:val="0000FF"/>
                <w:w w:val="92"/>
              </w:rPr>
            </w:pPr>
            <w:hyperlink r:id="rId302">
              <w:r>
                <w:rPr>
                  <w:rFonts w:ascii="Arial" w:cs="Arial" w:eastAsia="Arial" w:hAnsi="Arial"/>
                  <w:sz w:val="18"/>
                  <w:szCs w:val="18"/>
                  <w:color w:val="0000FF"/>
                  <w:w w:val="92"/>
                </w:rPr>
                <w:t>Form of Non-Employee Director Restricted Stock Award Agreement under the Orion Energy Systems, Inc. 2016 Omnibus Incentive Plan,</w:t>
              </w:r>
            </w:hyperlink>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rPr>
            </w:pPr>
            <w:hyperlink r:id="rId302">
              <w:r>
                <w:rPr>
                  <w:rFonts w:ascii="Arial" w:cs="Arial" w:eastAsia="Arial" w:hAnsi="Arial"/>
                  <w:sz w:val="18"/>
                  <w:szCs w:val="18"/>
                  <w:color w:val="0000FF"/>
                </w:rPr>
                <w:t>filed as Exhibit 10.20 to the Registrant's Form 10-K filed on June 10, 2022, is hereby incorporated by reference. *</w:t>
              </w:r>
            </w:hyperlink>
          </w:p>
        </w:tc>
      </w:tr>
      <w:tr>
        <w:trPr>
          <w:trHeight w:val="20"/>
        </w:trPr>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10.21</w:t>
            </w:r>
          </w:p>
        </w:tc>
        <w:tc>
          <w:tcPr>
            <w:tcW w:w="10080" w:type="dxa"/>
            <w:vAlign w:val="bottom"/>
            <w:tcBorders>
              <w:bottom w:val="single" w:sz="8" w:color="0000FF"/>
            </w:tcBorders>
            <w:gridSpan w:val="22"/>
          </w:tcPr>
          <w:p>
            <w:pPr>
              <w:spacing w:after="0"/>
              <w:rPr>
                <w:rFonts w:ascii="Arial" w:cs="Arial" w:eastAsia="Arial" w:hAnsi="Arial"/>
                <w:sz w:val="18"/>
                <w:szCs w:val="18"/>
                <w:color w:val="0000FF"/>
                <w:w w:val="92"/>
              </w:rPr>
            </w:pPr>
            <w:hyperlink r:id="rId303">
              <w:r>
                <w:rPr>
                  <w:rFonts w:ascii="Arial" w:cs="Arial" w:eastAsia="Arial" w:hAnsi="Arial"/>
                  <w:sz w:val="18"/>
                  <w:szCs w:val="18"/>
                  <w:color w:val="0000FF"/>
                  <w:w w:val="92"/>
                </w:rPr>
                <w:t>Form of Executive Tandem Restricted Stock and Cash Award Agreement under the Orion Energy Systems, Inc. 2016 Omnibus Incentive</w:t>
              </w:r>
            </w:hyperlink>
          </w:p>
        </w:tc>
      </w:tr>
      <w:tr>
        <w:trPr>
          <w:trHeight w:val="196"/>
        </w:trPr>
        <w:tc>
          <w:tcPr>
            <w:tcW w:w="1040" w:type="dxa"/>
            <w:vAlign w:val="bottom"/>
          </w:tcPr>
          <w:p>
            <w:pPr>
              <w:spacing w:after="0"/>
              <w:rPr>
                <w:sz w:val="17"/>
                <w:szCs w:val="17"/>
                <w:color w:val="auto"/>
              </w:rPr>
            </w:pPr>
          </w:p>
        </w:tc>
        <w:tc>
          <w:tcPr>
            <w:tcW w:w="87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03">
              <w:r>
                <w:rPr>
                  <w:rFonts w:ascii="Arial" w:cs="Arial" w:eastAsia="Arial" w:hAnsi="Arial"/>
                  <w:sz w:val="18"/>
                  <w:szCs w:val="18"/>
                  <w:color w:val="0000FF"/>
                  <w:w w:val="91"/>
                </w:rPr>
                <w:t>Plan, filed as Exhibit 10.21 to the Registrant's Form 10-K filed on June 10, 2022, is hereby incorporated by reference. *+</w:t>
              </w:r>
            </w:hyperlink>
          </w:p>
        </w:tc>
        <w:tc>
          <w:tcPr>
            <w:tcW w:w="20" w:type="dxa"/>
            <w:vAlign w:val="bottom"/>
            <w:tcBorders>
              <w:bottom w:val="single" w:sz="8" w:color="0000EE"/>
            </w:tcBorders>
          </w:tcPr>
          <w:p>
            <w:pPr>
              <w:spacing w:after="0"/>
              <w:rPr>
                <w:sz w:val="17"/>
                <w:szCs w:val="17"/>
                <w:color w:val="auto"/>
              </w:rPr>
            </w:pPr>
          </w:p>
        </w:tc>
        <w:tc>
          <w:tcPr>
            <w:tcW w:w="1340" w:type="dxa"/>
            <w:vAlign w:val="bottom"/>
            <w:gridSpan w:val="6"/>
          </w:tcPr>
          <w:p>
            <w:pPr>
              <w:spacing w:after="0"/>
              <w:rPr>
                <w:sz w:val="17"/>
                <w:szCs w:val="17"/>
                <w:color w:val="auto"/>
              </w:rPr>
            </w:pPr>
          </w:p>
        </w:tc>
      </w:tr>
      <w:tr>
        <w:trPr>
          <w:trHeight w:val="371"/>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10.22</w:t>
            </w:r>
          </w:p>
        </w:tc>
        <w:tc>
          <w:tcPr>
            <w:tcW w:w="10080" w:type="dxa"/>
            <w:vAlign w:val="bottom"/>
            <w:tcBorders>
              <w:bottom w:val="single" w:sz="8" w:color="0000FF"/>
            </w:tcBorders>
            <w:gridSpan w:val="22"/>
          </w:tcPr>
          <w:p>
            <w:pPr>
              <w:spacing w:after="0"/>
              <w:rPr>
                <w:rFonts w:ascii="Arial" w:cs="Arial" w:eastAsia="Arial" w:hAnsi="Arial"/>
                <w:sz w:val="18"/>
                <w:szCs w:val="18"/>
                <w:color w:val="0000FF"/>
                <w:w w:val="96"/>
              </w:rPr>
            </w:pPr>
            <w:hyperlink r:id="rId304">
              <w:r>
                <w:rPr>
                  <w:rFonts w:ascii="Arial" w:cs="Arial" w:eastAsia="Arial" w:hAnsi="Arial"/>
                  <w:sz w:val="18"/>
                  <w:szCs w:val="18"/>
                  <w:color w:val="0000FF"/>
                  <w:w w:val="96"/>
                </w:rPr>
                <w:t>Form of Non-Employee Director Tandem Restricted Stock and Cash Award Agreement under the Orion Energy Systems, Inc. 2016</w:t>
              </w:r>
            </w:hyperlink>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304">
              <w:r>
                <w:rPr>
                  <w:rFonts w:ascii="Arial" w:cs="Arial" w:eastAsia="Arial" w:hAnsi="Arial"/>
                  <w:sz w:val="18"/>
                  <w:szCs w:val="18"/>
                  <w:color w:val="0000FF"/>
                  <w:w w:val="92"/>
                </w:rPr>
                <w:t>Omnibus Incentive Plan, filed as Exhibit 10.22 to the Registrant's Form 10-K filed on June 10, 2022, is hereby incorporated by reference.</w:t>
              </w:r>
            </w:hyperlink>
          </w:p>
        </w:tc>
      </w:tr>
      <w:tr>
        <w:trPr>
          <w:trHeight w:val="196"/>
        </w:trPr>
        <w:tc>
          <w:tcPr>
            <w:tcW w:w="10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rPr>
            </w:pPr>
            <w:hyperlink r:id="rId304">
              <w:r>
                <w:rPr>
                  <w:rFonts w:ascii="Arial" w:cs="Arial" w:eastAsia="Arial" w:hAnsi="Arial"/>
                  <w:sz w:val="18"/>
                  <w:szCs w:val="18"/>
                  <w:color w:val="0000FF"/>
                </w:rPr>
                <w:t>*</w:t>
              </w:r>
            </w:hyperlink>
          </w:p>
        </w:tc>
        <w:tc>
          <w:tcPr>
            <w:tcW w:w="20" w:type="dxa"/>
            <w:vAlign w:val="bottom"/>
            <w:tcBorders>
              <w:bottom w:val="single" w:sz="8" w:color="0000EE"/>
            </w:tcBorders>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10.23</w:t>
            </w:r>
          </w:p>
        </w:tc>
        <w:tc>
          <w:tcPr>
            <w:tcW w:w="9520" w:type="dxa"/>
            <w:vAlign w:val="bottom"/>
            <w:tcBorders>
              <w:bottom w:val="single" w:sz="8" w:color="0000FF"/>
            </w:tcBorders>
            <w:gridSpan w:val="17"/>
          </w:tcPr>
          <w:p>
            <w:pP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Form of Executive Restricted Stock Award Agreement under the Orion Energy Systems, Inc. 2016 Omnibus Incentive Plan, filed as</w:t>
              </w:r>
            </w:hyperlink>
          </w:p>
        </w:tc>
        <w:tc>
          <w:tcPr>
            <w:tcW w:w="5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680" w:type="dxa"/>
            <w:vAlign w:val="bottom"/>
            <w:tcBorders>
              <w:bottom w:val="single" w:sz="8" w:color="0000EE"/>
            </w:tcBorders>
            <w:gridSpan w:val="12"/>
          </w:tcPr>
          <w:p>
            <w:pPr>
              <w:spacing w:after="0" w:line="196" w:lineRule="exact"/>
              <w:rPr>
                <w:rFonts w:ascii="Arial" w:cs="Arial" w:eastAsia="Arial" w:hAnsi="Arial"/>
                <w:sz w:val="18"/>
                <w:szCs w:val="18"/>
                <w:color w:val="0000FF"/>
                <w:w w:val="91"/>
              </w:rPr>
            </w:pPr>
            <w:hyperlink r:id="rId305">
              <w:r>
                <w:rPr>
                  <w:rFonts w:ascii="Arial" w:cs="Arial" w:eastAsia="Arial" w:hAnsi="Arial"/>
                  <w:sz w:val="18"/>
                  <w:szCs w:val="18"/>
                  <w:color w:val="0000FF"/>
                  <w:w w:val="91"/>
                </w:rPr>
                <w:t>Exhibit 10.23 to the Registrant's Form 10-K filed on June 10, 2022, is hereby incorporated by reference. *</w:t>
              </w:r>
            </w:hyperlink>
          </w:p>
        </w:tc>
        <w:tc>
          <w:tcPr>
            <w:tcW w:w="2400" w:type="dxa"/>
            <w:vAlign w:val="bottom"/>
            <w:gridSpan w:val="10"/>
          </w:tcPr>
          <w:p>
            <w:pPr>
              <w:spacing w:after="0"/>
              <w:rPr>
                <w:sz w:val="17"/>
                <w:szCs w:val="17"/>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10.24</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Form of Executive Tandem Performance Share and Cash Award Agreement under the Orion Energy Systems, Inc. 2016 Omnibus Incentive</w:t>
            </w: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rPr>
              <w:t>Plan, effective May 24, 2023.* +</w:t>
            </w:r>
          </w:p>
        </w:tc>
      </w:tr>
      <w:tr>
        <w:trPr>
          <w:trHeight w:val="20"/>
        </w:trPr>
        <w:tc>
          <w:tcPr>
            <w:tcW w:w="104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10.25</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6"/>
              </w:rPr>
              <w:t>Form of Non-Employee Director Tandem Restricted Stock and Cash Award Agreement under the Orion Energy Systems, Inc. 2016</w:t>
            </w: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rPr>
              <w:t>Omnibus Incentive Plan, effective May 24, 2023.* +</w:t>
            </w:r>
          </w:p>
        </w:tc>
      </w:tr>
      <w:tr>
        <w:trPr>
          <w:trHeight w:val="20"/>
        </w:trPr>
        <w:tc>
          <w:tcPr>
            <w:tcW w:w="104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10.26</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2"/>
              </w:rPr>
              <w:t>Form of Executive Tandem Restricted Stock and Cash Award Agreement under the Orion Energy Systems, Inc. 2016 Omnibus Incentive</w:t>
            </w: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rPr>
              <w:t>Plan, effective May 24, 2023.* +</w:t>
            </w:r>
          </w:p>
        </w:tc>
      </w:tr>
      <w:tr>
        <w:trPr>
          <w:trHeight w:val="20"/>
        </w:trPr>
        <w:tc>
          <w:tcPr>
            <w:tcW w:w="104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10.27</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2"/>
              </w:rPr>
              <w:t>Cooperation Agreement, dated January 3, 2023, by and among Orion Energy Systems, Inc., Kanen Wealth Management, LLC, Philotimo</w:t>
            </w: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w w:val="92"/>
              </w:rPr>
              <w:t>Fund, LP and David Kanen and Charles McDulin (incorporated by reference to Exhibit 10.1 to the Company’s Current Report on Form 8-</w:t>
            </w:r>
          </w:p>
        </w:tc>
      </w:tr>
      <w:tr>
        <w:trPr>
          <w:trHeight w:val="196"/>
        </w:trPr>
        <w:tc>
          <w:tcPr>
            <w:tcW w:w="1040" w:type="dxa"/>
            <w:vAlign w:val="bottom"/>
          </w:tcPr>
          <w:p>
            <w:pPr>
              <w:spacing w:after="0"/>
              <w:rPr>
                <w:sz w:val="17"/>
                <w:szCs w:val="17"/>
                <w:color w:val="auto"/>
              </w:rPr>
            </w:pPr>
          </w:p>
        </w:tc>
        <w:tc>
          <w:tcPr>
            <w:tcW w:w="10020" w:type="dxa"/>
            <w:vAlign w:val="bottom"/>
            <w:tcBorders>
              <w:top w:val="single" w:sz="8" w:color="0000FF"/>
            </w:tcBorders>
            <w:gridSpan w:val="21"/>
          </w:tcPr>
          <w:p>
            <w:pPr>
              <w:spacing w:after="0" w:line="196" w:lineRule="exact"/>
              <w:rPr>
                <w:sz w:val="20"/>
                <w:szCs w:val="20"/>
                <w:color w:val="auto"/>
              </w:rPr>
            </w:pPr>
            <w:r>
              <w:rPr>
                <w:rFonts w:ascii="Arial" w:cs="Arial" w:eastAsia="Arial" w:hAnsi="Arial"/>
                <w:sz w:val="18"/>
                <w:szCs w:val="18"/>
                <w:color w:val="0000FF"/>
              </w:rPr>
              <w:t>K filed on January 4, 2023).</w:t>
            </w:r>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93"/>
              </w:rPr>
              <w:t>10.28</w:t>
            </w:r>
          </w:p>
        </w:tc>
        <w:tc>
          <w:tcPr>
            <w:tcW w:w="96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Consulting Agreement, dated as of August 2, 2022 and effective as of August 4, 2022, between Orion Energy Systems, Inc. and Alan</w:t>
            </w:r>
          </w:p>
        </w:tc>
        <w:tc>
          <w:tcPr>
            <w:tcW w:w="4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rPr>
              <w:t>Howe, filed as Exhibit 10.3 to the Registrant's Form 8-K filed on August 3, 2022, is hereby incorporated by reference.*</w:t>
            </w:r>
          </w:p>
        </w:tc>
      </w:tr>
      <w:tr>
        <w:trPr>
          <w:trHeight w:val="371"/>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21.1</w:t>
            </w:r>
          </w:p>
        </w:tc>
        <w:tc>
          <w:tcPr>
            <w:tcW w:w="32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Subsidiaries of Orion Energy Systems, Inc.+</w:t>
            </w:r>
          </w:p>
        </w:tc>
        <w:tc>
          <w:tcPr>
            <w:tcW w:w="5360" w:type="dxa"/>
            <w:vAlign w:val="bottom"/>
            <w:tcBorders>
              <w:top w:val="single" w:sz="8" w:color="0000FF"/>
            </w:tcBorders>
            <w:gridSpan w:val="7"/>
          </w:tcPr>
          <w:p>
            <w:pPr>
              <w:spacing w:after="0"/>
              <w:rPr>
                <w:sz w:val="24"/>
                <w:szCs w:val="24"/>
                <w:color w:val="auto"/>
              </w:rPr>
            </w:pPr>
          </w:p>
        </w:tc>
        <w:tc>
          <w:tcPr>
            <w:tcW w:w="1500" w:type="dxa"/>
            <w:vAlign w:val="bottom"/>
            <w:gridSpan w:val="8"/>
          </w:tcPr>
          <w:p>
            <w:pPr>
              <w:spacing w:after="0"/>
              <w:rPr>
                <w:sz w:val="24"/>
                <w:szCs w:val="24"/>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23.1</w:t>
            </w:r>
          </w:p>
        </w:tc>
        <w:tc>
          <w:tcPr>
            <w:tcW w:w="10080" w:type="dxa"/>
            <w:vAlign w:val="bottom"/>
            <w:gridSpan w:val="22"/>
          </w:tcPr>
          <w:p>
            <w:pPr>
              <w:spacing w:after="0"/>
              <w:rPr>
                <w:sz w:val="20"/>
                <w:szCs w:val="20"/>
                <w:color w:val="auto"/>
              </w:rPr>
            </w:pPr>
            <w:r>
              <w:rPr>
                <w:rFonts w:ascii="Arial" w:cs="Arial" w:eastAsia="Arial" w:hAnsi="Arial"/>
                <w:sz w:val="18"/>
                <w:szCs w:val="18"/>
                <w:color w:val="0000FF"/>
              </w:rPr>
              <w:t>Consent of Independent Registered Public Accounting Firm. +</w:t>
            </w:r>
          </w:p>
        </w:tc>
      </w:tr>
      <w:tr>
        <w:trPr>
          <w:trHeight w:val="20"/>
        </w:trPr>
        <w:tc>
          <w:tcPr>
            <w:tcW w:w="104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580" w:type="dxa"/>
            <w:vAlign w:val="bottom"/>
            <w:gridSpan w:val="13"/>
          </w:tcPr>
          <w:p>
            <w:pPr>
              <w:spacing w:after="0" w:line="20" w:lineRule="exact"/>
              <w:rPr>
                <w:sz w:val="1"/>
                <w:szCs w:val="1"/>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31.1</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4"/>
              </w:rPr>
              <w:t>Certification of Chief Executive Officer of Orion Energy Systems, Inc. pursuant to Rule 13a-14(a) or Rule 15d-14(a) promulgated under</w:t>
            </w:r>
          </w:p>
        </w:tc>
      </w:tr>
      <w:tr>
        <w:trPr>
          <w:trHeight w:val="196"/>
        </w:trPr>
        <w:tc>
          <w:tcPr>
            <w:tcW w:w="1040" w:type="dxa"/>
            <w:vAlign w:val="bottom"/>
          </w:tcPr>
          <w:p>
            <w:pPr>
              <w:spacing w:after="0"/>
              <w:rPr>
                <w:sz w:val="17"/>
                <w:szCs w:val="17"/>
                <w:color w:val="auto"/>
              </w:rPr>
            </w:pPr>
          </w:p>
        </w:tc>
        <w:tc>
          <w:tcPr>
            <w:tcW w:w="37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the Securities Exchange Act of 1934, as amended. +</w:t>
            </w:r>
          </w:p>
        </w:tc>
        <w:tc>
          <w:tcPr>
            <w:tcW w:w="6300" w:type="dxa"/>
            <w:vAlign w:val="bottom"/>
            <w:gridSpan w:val="14"/>
          </w:tcPr>
          <w:p>
            <w:pPr>
              <w:spacing w:after="0"/>
              <w:rPr>
                <w:sz w:val="17"/>
                <w:szCs w:val="17"/>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31.2</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4"/>
              </w:rPr>
              <w:t>Certification of Chief Financial Officer of Orion Energy Systems, Inc. pursuant to Rule 13a-14(a) or Rule 15d-14(a) promulgated under</w:t>
            </w:r>
          </w:p>
        </w:tc>
      </w:tr>
      <w:tr>
        <w:trPr>
          <w:trHeight w:val="196"/>
        </w:trPr>
        <w:tc>
          <w:tcPr>
            <w:tcW w:w="1040" w:type="dxa"/>
            <w:vAlign w:val="bottom"/>
          </w:tcPr>
          <w:p>
            <w:pPr>
              <w:spacing w:after="0"/>
              <w:rPr>
                <w:sz w:val="17"/>
                <w:szCs w:val="17"/>
                <w:color w:val="auto"/>
              </w:rPr>
            </w:pPr>
          </w:p>
        </w:tc>
        <w:tc>
          <w:tcPr>
            <w:tcW w:w="37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the Securities Exchange Act of 1934, as amended. +</w:t>
            </w:r>
          </w:p>
        </w:tc>
        <w:tc>
          <w:tcPr>
            <w:tcW w:w="6300" w:type="dxa"/>
            <w:vAlign w:val="bottom"/>
            <w:gridSpan w:val="14"/>
          </w:tcPr>
          <w:p>
            <w:pPr>
              <w:spacing w:after="0"/>
              <w:rPr>
                <w:sz w:val="17"/>
                <w:szCs w:val="17"/>
                <w:color w:val="auto"/>
              </w:rPr>
            </w:pPr>
          </w:p>
        </w:tc>
      </w:tr>
      <w:tr>
        <w:trPr>
          <w:trHeight w:val="372"/>
        </w:trPr>
        <w:tc>
          <w:tcPr>
            <w:tcW w:w="1040" w:type="dxa"/>
            <w:vAlign w:val="bottom"/>
          </w:tcPr>
          <w:p>
            <w:pPr>
              <w:jc w:val="center"/>
              <w:ind w:right="530"/>
              <w:spacing w:after="0"/>
              <w:rPr>
                <w:sz w:val="20"/>
                <w:szCs w:val="20"/>
                <w:color w:val="auto"/>
              </w:rPr>
            </w:pPr>
            <w:r>
              <w:rPr>
                <w:rFonts w:ascii="Arial" w:cs="Arial" w:eastAsia="Arial" w:hAnsi="Arial"/>
                <w:sz w:val="18"/>
                <w:szCs w:val="18"/>
                <w:color w:val="auto"/>
                <w:w w:val="85"/>
              </w:rPr>
              <w:t>32.1</w:t>
            </w:r>
          </w:p>
        </w:tc>
        <w:tc>
          <w:tcPr>
            <w:tcW w:w="100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rPr>
              <w:t>Certification of Chief Executive Officer and Chief Financial Officer of Orion Energy Systems, Inc. pursuant to Rule 13a-14(b)</w:t>
            </w: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91"/>
              </w:rPr>
              <w:t>promulgated under the Securities Exchange Act of 1934, as amended, and 18 U.S.C. Section 1350, as adopted pursuant to Section 906 of</w:t>
            </w:r>
          </w:p>
        </w:tc>
      </w:tr>
      <w:tr>
        <w:trPr>
          <w:trHeight w:val="196"/>
        </w:trPr>
        <w:tc>
          <w:tcPr>
            <w:tcW w:w="1040" w:type="dxa"/>
            <w:vAlign w:val="bottom"/>
          </w:tcPr>
          <w:p>
            <w:pPr>
              <w:spacing w:after="0"/>
              <w:rPr>
                <w:sz w:val="17"/>
                <w:szCs w:val="17"/>
                <w:color w:val="auto"/>
              </w:rPr>
            </w:pPr>
          </w:p>
        </w:tc>
        <w:tc>
          <w:tcPr>
            <w:tcW w:w="10080" w:type="dxa"/>
            <w:vAlign w:val="bottom"/>
            <w:gridSpan w:val="22"/>
          </w:tcPr>
          <w:p>
            <w:pPr>
              <w:spacing w:after="0" w:line="196" w:lineRule="exact"/>
              <w:rPr>
                <w:sz w:val="20"/>
                <w:szCs w:val="20"/>
                <w:color w:val="auto"/>
              </w:rPr>
            </w:pPr>
            <w:r>
              <w:rPr>
                <w:rFonts w:ascii="Arial" w:cs="Arial" w:eastAsia="Arial" w:hAnsi="Arial"/>
                <w:sz w:val="18"/>
                <w:szCs w:val="18"/>
                <w:color w:val="0000FF"/>
              </w:rPr>
              <w:t>the Sarbanes-Oxley Act of 2002. +</w:t>
            </w:r>
          </w:p>
        </w:tc>
      </w:tr>
      <w:tr>
        <w:trPr>
          <w:trHeight w:val="20"/>
        </w:trPr>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40" w:hanging="87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101.INS Inline XBRL Instance Document+</w:t>
      </w:r>
    </w:p>
    <w:p>
      <w:pPr>
        <w:spacing w:after="0" w:line="18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101.SCH Inline XBRL Taxonomy extension schema document+</w:t>
      </w:r>
    </w:p>
    <w:p>
      <w:pPr>
        <w:spacing w:after="0" w:line="18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101.CAL Inline XBRL Taxonomy extension calculation linkbase document+</w:t>
      </w:r>
    </w:p>
    <w:p>
      <w:pPr>
        <w:spacing w:after="0" w:line="18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101.DEF Inline XBRL Taxonomy extension definition linkbase document+</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185" w:lineRule="exact"/>
        <w:rPr>
          <w:sz w:val="20"/>
          <w:szCs w:val="20"/>
          <w:color w:val="auto"/>
        </w:rPr>
      </w:pPr>
    </w:p>
    <w:p>
      <w:pPr>
        <w:ind w:left="1040" w:hanging="895"/>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March 31, 2022, has been formatted in Inline</w:t>
      </w:r>
    </w:p>
    <w:p>
      <w:pPr>
        <w:spacing w:after="0" w:line="46"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80" w:top="364" w:right="299" w:bottom="1440" w:gutter="0" w:footer="0" w:header="0"/>
        </w:sectPr>
      </w:pPr>
    </w:p>
    <w:bookmarkStart w:id="89" w:name="page90"/>
    <w:bookmarkEnd w:id="89"/>
    <w:p>
      <w:pPr>
        <w:ind w:left="500"/>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33887.</w:t>
      </w:r>
    </w:p>
    <w:p>
      <w:pPr>
        <w:spacing w:after="0" w:line="211" w:lineRule="exact"/>
        <w:rPr>
          <w:sz w:val="20"/>
          <w:szCs w:val="20"/>
          <w:color w:val="auto"/>
        </w:rPr>
      </w:pPr>
    </w:p>
    <w:p>
      <w:pPr>
        <w:ind w:right="6740" w:firstLine="8"/>
        <w:spacing w:after="0" w:line="277" w:lineRule="auto"/>
        <w:tabs>
          <w:tab w:leader="none" w:pos="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12, 2023.</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ORION ENERGY SYSTEMS, INC.</w:t>
      </w:r>
    </w:p>
    <w:p>
      <w:pPr>
        <w:spacing w:after="0" w:line="185" w:lineRule="exact"/>
        <w:rPr>
          <w:sz w:val="20"/>
          <w:szCs w:val="20"/>
          <w:color w:val="auto"/>
        </w:rPr>
      </w:pPr>
    </w:p>
    <w:p>
      <w:pPr>
        <w:ind w:left="7220"/>
        <w:spacing w:after="0"/>
        <w:tabs>
          <w:tab w:leader="none" w:pos="7740" w:val="left"/>
        </w:tabs>
        <w:rPr>
          <w:sz w:val="20"/>
          <w:szCs w:val="20"/>
          <w:color w:val="auto"/>
        </w:rPr>
      </w:pPr>
      <w:r>
        <w:rPr>
          <w:rFonts w:ascii="Arial" w:cs="Arial" w:eastAsia="Arial" w:hAnsi="Arial"/>
          <w:sz w:val="18"/>
          <w:szCs w:val="18"/>
          <w:color w:val="auto"/>
        </w:rPr>
        <w:t>By:</w:t>
        <w:tab/>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23495</wp:posOffset>
            </wp:positionV>
            <wp:extent cx="22288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12, 2023.</w:t>
      </w:r>
    </w:p>
    <w:p>
      <w:pPr>
        <w:sectPr>
          <w:pgSz w:w="11900" w:h="16838" w:orient="portrait"/>
          <w:cols w:equalWidth="0" w:num="1">
            <w:col w:w="11240"/>
          </w:cols>
          <w:pgMar w:left="320" w:top="337" w:right="339" w:bottom="1440" w:gutter="0" w:footer="0" w:header="0"/>
        </w:sectPr>
      </w:pPr>
    </w:p>
    <w:p>
      <w:pPr>
        <w:spacing w:after="0" w:line="29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489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489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Michael H. Jenkins</w:t>
      </w:r>
    </w:p>
    <w:p>
      <w:pPr>
        <w:spacing w:after="0" w:line="38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9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 Per Brodin</w:t>
      </w:r>
    </w:p>
    <w:p>
      <w:pPr>
        <w:spacing w:after="0" w:line="18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Anthony L.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9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Anthony L. Otten</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489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5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Michael W. Altschaefl</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/s/ Ellen B. Richstone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489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Ellen B. Richstone</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Sally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9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Sally Washlow</w:t>
      </w:r>
    </w:p>
    <w:p>
      <w:pPr>
        <w:spacing w:after="0" w:line="18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Richard A.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34290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Richard A. Shapiro</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wp:posOffset>
            </wp:positionV>
            <wp:extent cx="3489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 (Principal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18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Chief Financial Officer, Executive Vice President, Chief Accounting Officer and</w:t>
      </w:r>
    </w:p>
    <w:p>
      <w:pPr>
        <w:spacing w:after="0"/>
        <w:rPr>
          <w:sz w:val="20"/>
          <w:szCs w:val="20"/>
          <w:color w:val="auto"/>
        </w:rPr>
      </w:pPr>
      <w:r>
        <w:rPr>
          <w:rFonts w:ascii="Arial" w:cs="Arial" w:eastAsia="Arial" w:hAnsi="Arial"/>
          <w:sz w:val="18"/>
          <w:szCs w:val="18"/>
          <w:color w:val="auto"/>
        </w:rPr>
        <w:t>Treasurer (Principal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Chair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42" w:lineRule="exact"/>
        <w:rPr>
          <w:sz w:val="20"/>
          <w:szCs w:val="20"/>
          <w:color w:val="auto"/>
        </w:rPr>
      </w:pPr>
    </w:p>
    <w:p>
      <w:pPr>
        <w:sectPr>
          <w:pgSz w:w="11900" w:h="16838" w:orient="portrait"/>
          <w:cols w:equalWidth="0" w:num="2">
            <w:col w:w="5080" w:space="720"/>
            <w:col w:w="5440"/>
          </w:cols>
          <w:pgMar w:left="320" w:top="337" w:right="33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Our authorized capital stock consists of 230,000,000 shares, consisting of 200,000,000 shares of common stock, no par value per share, and 30,000,000 shares of preferred stock, par value $0.01 per share.</w:t>
      </w:r>
    </w:p>
    <w:p>
      <w:pPr>
        <w:spacing w:after="0" w:line="170"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The description below summarizes the material terms of our common stock, preferred stock and provisions of our amended and restated articles of incorporation and amended and restated bylaws. This description is only a summary. For more detailed information, you should refer to our amended and restated articles of incorporation and bylaws filed as exhibits to our most recent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shareholders and do not have cumulative voting rights.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board of directors is authorized to issue from time to time up to 30 million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on the rights of holders of common stock until our board of directors determines the specific rights associated with that preferred stock. The effects of issuing preferred stock could include one or more of the following:</w:t>
      </w:r>
    </w:p>
    <w:p>
      <w:pPr>
        <w:spacing w:after="0" w:line="122" w:lineRule="exact"/>
        <w:rPr>
          <w:sz w:val="20"/>
          <w:szCs w:val="20"/>
          <w:color w:val="auto"/>
        </w:rPr>
      </w:pPr>
    </w:p>
    <w:p>
      <w:pPr>
        <w:ind w:left="1000" w:hanging="39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decreasing the amount of earnings and assets available for distribution to holders of common stock;</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delaying, deferring or preventing changes in our control or management.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Anti-Takeover Law and Certain Articles of Incorporation and Bylaw Provisions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Wisconsin law and our amended and restated articles of incorporation and amended and restated bylaws that will be effective upon closing of this offering contain provisions that could delay or prevent a change of control of our company or changes in our board of directors that our shareholders might consider favorable. The following is a summary of these provisions.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Articles of Incorporation and Amended and Restated Bylaws</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i w:val="1"/>
          <w:iCs w:val="1"/>
          <w:color w:val="auto"/>
        </w:rPr>
        <w:t>Classified board of directors; removal of directors for cause</w:t>
      </w:r>
      <w:r>
        <w:rPr>
          <w:rFonts w:ascii="Arial" w:cs="Arial" w:eastAsia="Arial" w:hAnsi="Arial"/>
          <w:sz w:val="16"/>
          <w:szCs w:val="16"/>
          <w:color w:val="auto"/>
        </w:rPr>
        <w:t>. Our amended and restated articles of incorporation and amended and restated bylaws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that our board of directors is divided into three classes, with the term of office of each class expiring at successive annual meetings of shareholders. At each annual meeting of shareholders, each director is elected for a term ending on the date of the third annual shareholders’ meeting</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ind w:right="260"/>
        <w:spacing w:after="0" w:line="277" w:lineRule="auto"/>
        <w:rPr>
          <w:sz w:val="20"/>
          <w:szCs w:val="20"/>
          <w:color w:val="auto"/>
        </w:rPr>
      </w:pPr>
      <w:r>
        <w:rPr>
          <w:rFonts w:ascii="Arial" w:cs="Arial" w:eastAsia="Arial" w:hAnsi="Arial"/>
          <w:sz w:val="18"/>
          <w:szCs w:val="18"/>
          <w:color w:val="auto"/>
        </w:rPr>
        <w:t>following the annual shareholders’ meeting at which such director was elected and until his or her successor shall be elected and shall qualify, subject to prior death, resignation or removal from office.</w:t>
      </w:r>
    </w:p>
    <w:p>
      <w:pPr>
        <w:spacing w:after="0" w:line="10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amended and restated articles of incorporation also provide that the affirmative vote of shareholders possessing at least 75% of the voting power of the then outstanding shares of our capital stock is required to amend, alter, change or repeal, or to adopt any provision inconsistent with, the relevant sections of the bylaws establishing the classified board. The board of directors (or its remaining members, even if less than a quorum) is also empowered to fill vacancies on the board of directors occurring for any reason for the remainder of the term of the class of directors in which the vacancy occurred, unless the vacancy was caused by the action of shareholders (in which event such vacancy will be filled by the shareholders and may not be filled by the directors).</w:t>
      </w:r>
    </w:p>
    <w:p>
      <w:pPr>
        <w:spacing w:after="0" w:line="19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Members of the board of directors may be removed only for cause at a meeting of the shareholders called for the purpose of removing the director, and the meeting notice must state that the purpose, or one of the purposes, of the meeting is removal of the director and must state the alleged cause upon which the director’s removal would be based.</w:t>
      </w:r>
    </w:p>
    <w:p>
      <w:pPr>
        <w:spacing w:after="0" w:line="184" w:lineRule="exact"/>
        <w:rPr>
          <w:sz w:val="20"/>
          <w:szCs w:val="20"/>
          <w:color w:val="auto"/>
        </w:rPr>
      </w:pPr>
    </w:p>
    <w:p>
      <w:pPr>
        <w:ind w:right="500" w:firstLine="509"/>
        <w:spacing w:after="0" w:line="342" w:lineRule="auto"/>
        <w:rPr>
          <w:sz w:val="20"/>
          <w:szCs w:val="20"/>
          <w:color w:val="auto"/>
        </w:rPr>
      </w:pPr>
      <w:r>
        <w:rPr>
          <w:rFonts w:ascii="Arial" w:cs="Arial" w:eastAsia="Arial" w:hAnsi="Arial"/>
          <w:sz w:val="16"/>
          <w:szCs w:val="16"/>
          <w:color w:val="auto"/>
        </w:rPr>
        <w:t>These provisions are likely to increase the time required for shareholders to change the composition of our board of directors. For example, in general, at least two annual meetings will be necessary for shareholders to effect a change in a majority of the members of our board of directors.</w:t>
      </w:r>
    </w:p>
    <w:p>
      <w:pPr>
        <w:spacing w:after="0" w:line="124"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i w:val="1"/>
          <w:iCs w:val="1"/>
          <w:color w:val="auto"/>
        </w:rPr>
        <w:t>Advance notice provisions for shareholder proposals and shareholder nominations of directors</w:t>
      </w:r>
      <w:r>
        <w:rPr>
          <w:rFonts w:ascii="Arial" w:cs="Arial" w:eastAsia="Arial" w:hAnsi="Arial"/>
          <w:sz w:val="16"/>
          <w:szCs w:val="16"/>
          <w:color w:val="auto"/>
        </w:rPr>
        <w:t>. Our amended and restated bylaws provide that, for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nominations to the board of directors or for other business to be properly brought by a shareholder before a meeting of shareholders, the shareholder must first have given timely notice of the proposal in writing to our secretary. For an annual meeting, a shareholder’s notice generally must be delivered on or before December 31 of the year immediately preceding the annual meeting, unless the date of the annual meeting is on or after May 1 in any year, in which case notice must be received not later than the close of business on the day which is determined by adding to December 31 of the year immediately preceding such annual meeting the number of days starting with May 1 and ending on the date of the annual meeting in such year. Detailed requirements as to the form of the notice and information required in the notice are specified in the amended and restated bylaws. If it is determined that business was not properly brought before a meeting in accordance with our amended and restated bylaws, such business will not be conducted at the meeting.</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Wisconsin Business Corporation Law</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Sections 180.1140 to 180.1144 of the Wisconsin Business Corporation Law, or the WBCL, restrict a broad range of business combinations between a Wisconsin corporation and an “interested stockholder” for a period of three years unless specified conditions are met. The WBCL defines a “business combination” as including certain mergers or share exchanges, sales of assets, issuances of stock or rights to purchase stock and other related party transactions. An “interested stockholder” is a person who beneficially owns, directly or indirectly, 10% of the outstanding voting stock of a corporation or who is an affiliate or associate of the corporation and beneficially owned 10% of the voting stock within the last three years. During the initial three-year period after a person becomes an interested stockholder in a Wisconsin corporation, with some exceptions, the WBCL prohibits a business combination with the interested stockholder unless the corporation’s board of directors approved the business combination or the acquisition of the stock by the interested stockholder prior to the acquisition date. Following this three-year period, the WBCL also prohibits a business combination with an interested stockholder unless:</w:t>
      </w:r>
    </w:p>
    <w:p>
      <w:pPr>
        <w:spacing w:after="0" w:line="264" w:lineRule="exact"/>
        <w:rPr>
          <w:sz w:val="20"/>
          <w:szCs w:val="20"/>
          <w:color w:val="auto"/>
        </w:rPr>
      </w:pPr>
    </w:p>
    <w:p>
      <w:pPr>
        <w:ind w:left="1000" w:hanging="39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approved the acquisition of the stock prior to the acquisition date;</w:t>
      </w:r>
    </w:p>
    <w:p>
      <w:pPr>
        <w:spacing w:after="0" w:line="306" w:lineRule="exact"/>
        <w:rPr>
          <w:rFonts w:ascii="Arial" w:cs="Arial" w:eastAsia="Arial" w:hAnsi="Arial"/>
          <w:sz w:val="18"/>
          <w:szCs w:val="18"/>
          <w:color w:val="auto"/>
        </w:rPr>
      </w:pPr>
    </w:p>
    <w:p>
      <w:pPr>
        <w:ind w:left="1000" w:hanging="39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outstanding voting stock not owned by the interested stockholder;</w:t>
      </w:r>
    </w:p>
    <w:p>
      <w:pPr>
        <w:spacing w:after="0" w:line="306" w:lineRule="exact"/>
        <w:rPr>
          <w:rFonts w:ascii="Arial" w:cs="Arial" w:eastAsia="Arial" w:hAnsi="Arial"/>
          <w:sz w:val="18"/>
          <w:szCs w:val="18"/>
          <w:color w:val="auto"/>
        </w:rPr>
      </w:pPr>
    </w:p>
    <w:p>
      <w:pPr>
        <w:ind w:left="1000" w:hanging="39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consideration to be received by shareholders meets certain requirements of the statute with respect to form and amount; or</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4" w:name="page95"/>
    <w:bookmarkEnd w:id="94"/>
    <w:p>
      <w:pPr>
        <w:ind w:left="1000" w:hanging="39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business combination is of a type specifically excluded from the coverage of the statute.</w:t>
      </w:r>
    </w:p>
    <w:p>
      <w:pPr>
        <w:spacing w:after="0" w:line="17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Sections 180.1130 to 180.1133 of the WBCL govern certain mergers or share exchanges between public Wisconsin corporations and significant shareholders, and sales of all or substantially all of the assets of public Wisconsin corporations to significant shareholders. These transactions must be approved by 80% of all shareholders and two-thirds of shareholders other than the significant shareholder, unless the shareholders receive a statutory “fair price.” Section 180.1130 of the WBCL generally defines a “significant shareholder” as the beneficial owner of 10% or more of the voting power of the outstanding voting shares, or an affiliate of the corporation who beneficially owned 10% or more of the voting power of the then outstanding shares within the last two years.</w:t>
      </w:r>
    </w:p>
    <w:p>
      <w:pPr>
        <w:spacing w:after="0" w:line="192"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Section 180.1150 of the WBCL provides that in particular circumstances the voting power of shares of a public Wisconsin corporation held by any person in excess of 20% of the voting power is limited to 10% of the voting power these excess shares would otherwise have. Full voting power may be restored if a majority of the voting power of shares represented at a meeting, including those held by the party seeking restoration, are voted in favor of the restoration. This voting restriction does not apply to shares acquired directly from the corporation.</w:t>
      </w:r>
    </w:p>
    <w:p>
      <w:pPr>
        <w:spacing w:after="0" w:line="171"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Section 180.1134 of the WBCL requires shareholder approval for some transactions in the context of a tender offer or similar action for more than 5% of any class of a Wisconsin corporation’s stock. Shareholder approval is required for the acquisition of more than 5% of the corporation’s stock at a price above market value from any person who holds more than 3% of the voting shares and has held the shares for less than two years, unless the corporation makes an equal offer to acquire all shares. Shareholder approval is also required for the sale or option of assets that amount to at least 10% of the market value of the corporation, but this requirement does not apply if the corporation has at least three independent directors and a majority of the independent directors vote not to have this provision apply to the corporation.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Directors’ Liability and Indemnification</w:t>
      </w:r>
    </w:p>
    <w:p>
      <w:pPr>
        <w:spacing w:after="0" w:line="121" w:lineRule="exact"/>
        <w:rPr>
          <w:sz w:val="20"/>
          <w:szCs w:val="20"/>
          <w:color w:val="auto"/>
        </w:rPr>
      </w:pPr>
    </w:p>
    <w:p>
      <w:pPr>
        <w:jc w:val="both"/>
        <w:ind w:right="80" w:firstLine="509"/>
        <w:spacing w:after="0" w:line="296" w:lineRule="auto"/>
        <w:rPr>
          <w:sz w:val="20"/>
          <w:szCs w:val="20"/>
          <w:color w:val="auto"/>
        </w:rPr>
      </w:pPr>
      <w:r>
        <w:rPr>
          <w:rFonts w:ascii="Arial" w:cs="Arial" w:eastAsia="Arial" w:hAnsi="Arial"/>
          <w:sz w:val="16"/>
          <w:szCs w:val="16"/>
          <w:color w:val="auto"/>
        </w:rPr>
        <w:t>Our amended and restated bylaws provide that, to the fullest extent permitted or required by Wisconsin law, we will indemnify all of our directors and officers, any trustee of any of our employee benefit plans, and person who is serving at our request as a director, officer, employee or agent of another entity, against certain liabilities and losses incurred in connection with these positions or services. We will indemnify these parties to the extent the parties are successful in the defense of a proceeding and in proceedings in which the party is not successful in defense of the proceeding unless, in the latter case only, it is determined that the party breached or failed to perform his or her duties to us and this breach or failure constituted:</w:t>
      </w:r>
    </w:p>
    <w:p>
      <w:pPr>
        <w:spacing w:after="0" w:line="107" w:lineRule="exact"/>
        <w:rPr>
          <w:sz w:val="20"/>
          <w:szCs w:val="20"/>
          <w:color w:val="auto"/>
        </w:rPr>
      </w:pPr>
    </w:p>
    <w:p>
      <w:pPr>
        <w:ind w:left="1000" w:hanging="39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willful failure to deal fairly with us or our shareholders in connection with a matter in which the director or officer has a material conflict of interest;</w:t>
      </w:r>
    </w:p>
    <w:p>
      <w:pPr>
        <w:spacing w:after="0" w:line="129" w:lineRule="exact"/>
        <w:rPr>
          <w:rFonts w:ascii="Arial" w:cs="Arial" w:eastAsia="Arial" w:hAnsi="Arial"/>
          <w:sz w:val="18"/>
          <w:szCs w:val="18"/>
          <w:color w:val="auto"/>
        </w:rPr>
      </w:pPr>
    </w:p>
    <w:p>
      <w:pPr>
        <w:ind w:left="1000" w:hanging="39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violation of criminal law, unless the director or officer had reasonable cause to believe his or her conduct was unlawful;</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profit; or</w:t>
      </w:r>
    </w:p>
    <w:p>
      <w:pPr>
        <w:spacing w:after="0" w:line="184" w:lineRule="exact"/>
        <w:rPr>
          <w:rFonts w:ascii="Arial" w:cs="Arial" w:eastAsia="Arial" w:hAnsi="Arial"/>
          <w:sz w:val="18"/>
          <w:szCs w:val="18"/>
          <w:color w:val="auto"/>
        </w:rPr>
      </w:pPr>
    </w:p>
    <w:p>
      <w:pPr>
        <w:ind w:left="1000" w:hanging="39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39"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Our amended and restated bylaws provide that we are required to indemnify our directors and executive officers and may indemnify our employees and other agents to the fullest extent required or permitted by Wisconsin law. Additionally, our amended and restated bylaws require us under certain circumstances to advance reasonable expenses incurred by a director or officer who is a party to a proceeding for which indemnification may be available.</w:t>
      </w:r>
    </w:p>
    <w:p>
      <w:pPr>
        <w:spacing w:after="0" w:line="14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Wisconsin law further provides that it is the public policy of the State of Wisconsin to require or permit indemnification, allowance of expenses and insurance to the extent required or permitted under Wisconsin law for any liability incurred in connection with a proceeding involving a federal or state statute, rule or regulation regulating the offer, sale or purchase of securities.</w:t>
      </w:r>
    </w:p>
    <w:p>
      <w:pPr>
        <w:spacing w:after="0" w:line="116"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Under Wisconsin law, a director is not personally liable for breach of any duty resulting solely from his or her status as a director, unless it is proved that the director’s conduct constituted conduct described in the bullet points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above. In addition, we maintain directors’ and officers’ liability insurance that will insure against certain liabilities, subject to applicable restrictions.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Capital Market under the symbol “OESX.”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68" w:right="89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1.Annual cash retainer: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2.Board meeting fee: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3.Committee meeting fee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4.Annual restricted stock grant:</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5 Annual Independent Chair / Lead Director . retainer:</w:t>
      </w:r>
    </w:p>
    <w:p>
      <w:pPr>
        <w:spacing w:after="0" w:line="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6 Annual Audit and Finance Committee . Chair retainer:</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7 Annual Compensation Committee Chair . retainer: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8 Annual Nominating and Corporate</w:t>
      </w:r>
    </w:p>
    <w:p>
      <w:pPr>
        <w:spacing w:after="0" w:line="23" w:lineRule="exact"/>
        <w:rPr>
          <w:sz w:val="20"/>
          <w:szCs w:val="20"/>
          <w:color w:val="auto"/>
        </w:rPr>
      </w:pPr>
    </w:p>
    <w:p>
      <w:pPr>
        <w:ind w:left="120" w:hanging="115"/>
        <w:spacing w:after="0"/>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Governance Committee Chair retainer:</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9.Reimburse out-of-pocket expenses: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 Non-Employee Director Early Retirement . Plan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14" w:lineRule="exact"/>
        <w:rPr>
          <w:sz w:val="20"/>
          <w:szCs w:val="20"/>
          <w:color w:val="auto"/>
        </w:rPr>
      </w:pPr>
    </w:p>
    <w:p>
      <w:pPr>
        <w:jc w:val="center"/>
        <w:ind w:right="3600"/>
        <w:spacing w:after="0"/>
        <w:rPr>
          <w:sz w:val="20"/>
          <w:szCs w:val="20"/>
          <w:color w:val="auto"/>
        </w:rPr>
      </w:pPr>
      <w:r>
        <w:rPr>
          <w:rFonts w:ascii="Arial" w:cs="Arial" w:eastAsia="Arial" w:hAnsi="Arial"/>
          <w:sz w:val="22"/>
          <w:szCs w:val="22"/>
          <w:color w:val="auto"/>
        </w:rPr>
        <w:t>Orion Energy Systems, Inc.</w:t>
      </w:r>
    </w:p>
    <w:p>
      <w:pPr>
        <w:jc w:val="center"/>
        <w:ind w:right="3600"/>
        <w:spacing w:after="0"/>
        <w:rPr>
          <w:sz w:val="20"/>
          <w:szCs w:val="20"/>
          <w:color w:val="auto"/>
        </w:rPr>
      </w:pPr>
      <w:r>
        <w:rPr>
          <w:rFonts w:ascii="Arial" w:cs="Arial" w:eastAsia="Arial" w:hAnsi="Arial"/>
          <w:sz w:val="19"/>
          <w:szCs w:val="19"/>
          <w:color w:val="auto"/>
        </w:rPr>
        <w:t>Non-Employee Director Compensation Plan</w:t>
      </w:r>
    </w:p>
    <w:p>
      <w:pPr>
        <w:spacing w:after="0" w:line="25" w:lineRule="exact"/>
        <w:rPr>
          <w:sz w:val="20"/>
          <w:szCs w:val="20"/>
          <w:color w:val="auto"/>
        </w:rPr>
      </w:pPr>
    </w:p>
    <w:p>
      <w:pPr>
        <w:jc w:val="center"/>
        <w:ind w:right="3600"/>
        <w:spacing w:after="0"/>
        <w:rPr>
          <w:sz w:val="20"/>
          <w:szCs w:val="20"/>
          <w:color w:val="auto"/>
        </w:rPr>
      </w:pPr>
      <w:r>
        <w:rPr>
          <w:rFonts w:ascii="Arial" w:cs="Arial" w:eastAsia="Arial" w:hAnsi="Arial"/>
          <w:sz w:val="22"/>
          <w:szCs w:val="22"/>
          <w:color w:val="auto"/>
        </w:rPr>
        <w:t>Updated and Effective February 16,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$45,000 (cash or stock) ($11,250 paid quarterly)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$50,000 grant date fair market value (option to accept tandem restricted stock (60%) and restricted cash (40%))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$40,000 (cash or stock)</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($10,000 paid quarterly)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$30,000 (cash or stock)</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($7,500 paid quarterly)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$20,000</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(cash or stock)</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($5,000 paid quarterly)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$20,000</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(cash or stock)</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($5,000 paid quarterly)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144" w:lineRule="exact"/>
        <w:rPr>
          <w:sz w:val="20"/>
          <w:szCs w:val="20"/>
          <w:color w:val="auto"/>
        </w:rPr>
      </w:pPr>
    </w:p>
    <w:p>
      <w:pPr>
        <w:jc w:val="both"/>
        <w:ind w:left="260" w:right="100" w:hanging="258"/>
        <w:spacing w:after="0" w:line="254"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recommendation of the Compensation Committee and the approval of the Board of Directors, any non-employee director who voluntarily retires from the Board prior to the end of his or her stated term or who voluntarily decides not to stand for re-election at the end of his or her stated term will be entitled to continued vesting of up to all of his or her then outstanding unvested restricted stock, restricted cash and options on the dates when such vesting would otherwise occur if such director remained on the Board on such dates, subject to such additional terms and conditions, if any, as may be determined necessary or appropriate by the Compensation Committee and the Board of Directors.</w:t>
      </w:r>
    </w:p>
    <w:p>
      <w:pPr>
        <w:spacing w:after="0" w:line="83" w:lineRule="exact"/>
        <w:rPr>
          <w:rFonts w:ascii="Arial" w:cs="Arial" w:eastAsia="Arial" w:hAnsi="Arial"/>
          <w:sz w:val="18"/>
          <w:szCs w:val="18"/>
          <w:color w:val="auto"/>
        </w:rPr>
      </w:pPr>
    </w:p>
    <w:p>
      <w:pPr>
        <w:jc w:val="both"/>
        <w:ind w:left="260" w:right="100" w:hanging="258"/>
        <w:spacing w:after="0" w:line="272"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the recommendation of the Compensation Committee and approval by the Board of Directors, any non-employee director who voluntarily retires from the Board prior to the end of his or her stated term or who voluntarily decides not to stand for re-election at the end of his or her stated term will be entitled to receive a services fee of $200 per hour for any time spent at the request of the Company on Company-related matters, plus reimbursement for all out-of-pocket expenses, subject to such additional terms and conditions, if any, as may be determined necessary or appropriate by the Compensation Committee and the Board of Directors.</w:t>
      </w:r>
    </w:p>
    <w:p>
      <w:pPr>
        <w:spacing w:after="0" w:line="69" w:lineRule="exact"/>
        <w:rPr>
          <w:rFonts w:ascii="Arial" w:cs="Arial" w:eastAsia="Arial" w:hAnsi="Arial"/>
          <w:sz w:val="17"/>
          <w:szCs w:val="17"/>
          <w:color w:val="auto"/>
        </w:rPr>
      </w:pPr>
    </w:p>
    <w:p>
      <w:pPr>
        <w:jc w:val="both"/>
        <w:ind w:left="260" w:right="100" w:hanging="258"/>
        <w:spacing w:after="0" w:line="272"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approval of the Compensation Committee, any non-employee director who voluntarily retires from the Board prior to the end of his or her stated term or who voluntarily decides not to stand for re-election at the end of his or her stated term will be entitled to an extension of the terms of all vested stock options until dates determined by the Compensation Committee that shall not exceed the dates on which such term would have otherwise expired if such director remained on the Board on such dates, subject to such additional terms and conditions, if any, as may be determined necessary or appropriate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340360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40" w:space="260"/>
            <w:col w:w="7640"/>
          </w:cols>
          <w:pgMar w:left="420" w:top="364" w:right="3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10220"/>
        <w:spacing w:after="0"/>
        <w:rPr>
          <w:sz w:val="20"/>
          <w:szCs w:val="20"/>
          <w:color w:val="auto"/>
        </w:rPr>
      </w:pPr>
      <w:r>
        <w:rPr>
          <w:rFonts w:ascii="Arial" w:cs="Arial" w:eastAsia="Arial" w:hAnsi="Arial"/>
          <w:sz w:val="16"/>
          <w:szCs w:val="16"/>
          <w:b w:val="1"/>
          <w:bCs w:val="1"/>
          <w:color w:val="auto"/>
        </w:rPr>
        <w:t>Exhibit 10.24</w:t>
      </w:r>
    </w:p>
    <w:p>
      <w:pPr>
        <w:spacing w:after="0" w:line="272" w:lineRule="exact"/>
        <w:rPr>
          <w:sz w:val="20"/>
          <w:szCs w:val="20"/>
          <w:color w:val="auto"/>
        </w:rPr>
      </w:pPr>
    </w:p>
    <w:p>
      <w:pPr>
        <w:ind w:left="9940"/>
        <w:spacing w:after="0"/>
        <w:rPr>
          <w:sz w:val="20"/>
          <w:szCs w:val="20"/>
          <w:color w:val="auto"/>
        </w:rPr>
      </w:pPr>
      <w:r>
        <w:rPr>
          <w:rFonts w:ascii="Arial" w:cs="Arial" w:eastAsia="Arial" w:hAnsi="Arial"/>
          <w:sz w:val="22"/>
          <w:szCs w:val="22"/>
          <w:color w:val="auto"/>
        </w:rPr>
        <w:t>Grantee:</w:t>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9"/>
          <w:szCs w:val="19"/>
          <w:color w:val="auto"/>
        </w:rPr>
        <w:t xml:space="preserve">Grant Date: </w:t>
      </w:r>
      <w:r>
        <w:rPr>
          <w:rFonts w:ascii="Arial" w:cs="Arial" w:eastAsia="Arial" w:hAnsi="Arial"/>
          <w:sz w:val="19"/>
          <w:szCs w:val="19"/>
          <w:u w:val="single" w:color="auto"/>
          <w:color w:val="auto"/>
        </w:rPr>
        <w:t>August 10, 2023</w:t>
      </w:r>
    </w:p>
    <w:p>
      <w:pPr>
        <w:spacing w:after="0" w:line="25" w:lineRule="exact"/>
        <w:rPr>
          <w:sz w:val="20"/>
          <w:szCs w:val="20"/>
          <w:color w:val="auto"/>
        </w:rPr>
      </w:pPr>
    </w:p>
    <w:p>
      <w:pPr>
        <w:ind w:left="8640"/>
        <w:spacing w:after="0"/>
        <w:rPr>
          <w:sz w:val="20"/>
          <w:szCs w:val="20"/>
          <w:color w:val="auto"/>
        </w:rPr>
      </w:pPr>
      <w:r>
        <w:rPr>
          <w:rFonts w:ascii="Arial" w:cs="Arial" w:eastAsia="Arial" w:hAnsi="Arial"/>
          <w:sz w:val="19"/>
          <w:szCs w:val="19"/>
          <w:color w:val="auto"/>
        </w:rPr>
        <w:t>No. of Performance Shares:</w:t>
      </w:r>
    </w:p>
    <w:p>
      <w:pPr>
        <w:spacing w:after="0" w:line="25"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Amount of Restricted Cash: $</w:t>
      </w:r>
    </w:p>
    <w:p>
      <w:pPr>
        <w:spacing w:after="0" w:line="245"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Exhibit 10.24</w:t>
      </w:r>
    </w:p>
    <w:p>
      <w:pPr>
        <w:spacing w:after="0" w:line="35" w:lineRule="exact"/>
        <w:rPr>
          <w:sz w:val="20"/>
          <w:szCs w:val="20"/>
          <w:color w:val="auto"/>
        </w:rPr>
      </w:pPr>
    </w:p>
    <w:p>
      <w:pPr>
        <w:ind w:left="8880"/>
        <w:spacing w:after="0"/>
        <w:rPr>
          <w:sz w:val="20"/>
          <w:szCs w:val="20"/>
          <w:color w:val="auto"/>
        </w:rPr>
      </w:pPr>
      <w:r>
        <w:rPr>
          <w:rFonts w:ascii="Arial" w:cs="Arial" w:eastAsia="Arial" w:hAnsi="Arial"/>
          <w:sz w:val="19"/>
          <w:szCs w:val="19"/>
          <w:color w:val="auto"/>
        </w:rPr>
        <w:t>Grantee: ______________</w:t>
      </w:r>
    </w:p>
    <w:p>
      <w:pPr>
        <w:spacing w:after="0" w:line="25" w:lineRule="exact"/>
        <w:rPr>
          <w:sz w:val="20"/>
          <w:szCs w:val="20"/>
          <w:color w:val="auto"/>
        </w:rPr>
      </w:pPr>
    </w:p>
    <w:p>
      <w:pPr>
        <w:ind w:left="8600"/>
        <w:spacing w:after="0"/>
        <w:rPr>
          <w:sz w:val="20"/>
          <w:szCs w:val="20"/>
          <w:color w:val="auto"/>
        </w:rPr>
      </w:pPr>
      <w:r>
        <w:rPr>
          <w:rFonts w:ascii="Arial" w:cs="Arial" w:eastAsia="Arial" w:hAnsi="Arial"/>
          <w:sz w:val="19"/>
          <w:szCs w:val="19"/>
          <w:color w:val="auto"/>
        </w:rPr>
        <w:t>Grant Date: ______________</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No. of Performance Shares: ______________</w:t>
      </w:r>
    </w:p>
    <w:p>
      <w:pPr>
        <w:spacing w:after="0" w:line="25"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Amount of Restricted Cash: $_____________</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ORION ENERGY SYSTEMS, INC.</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2016 OMNIBUS INCENTIVE PLAN</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TANDEM PERFORMANCE SHARE AND CASH AWARD AGREEMENT</w:t>
      </w:r>
    </w:p>
    <w:p>
      <w:pPr>
        <w:spacing w:after="0" w:line="23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THIS AGREEMENT, made and entered into as of the Grant Date specified above (the “Grant Date”) by and between Orion Energy Systems, Inc., a Wisconsin corporation (the “Company”), and the Grantee specified above (“Grantee”).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the Company maintains the Orion Energy Systems, Inc. 2016 Omnibus Incentive Plan (the “Plan”), and Grantee has been selected by the Administrator to receive a Tandem Performance Share and Cash Award under the Plan; and</w:t>
      </w:r>
    </w:p>
    <w:p>
      <w:pPr>
        <w:spacing w:after="0" w:line="1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WHEREAS, as a condition to the receipt by Grantee of this Tandem Performance Share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Performance Share and Cash Award pursuant hereto, continued employment, and other good and valuable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00"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Tandem Award of Performance Shares and Restricted Cash</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1.1Effective as of the Grant Date, the Company hereby grants to Grantee a tandem and coupled award of (i) the number of performance shares of the Company specified above (“Performance Shares”) and (ii) the amount of restricted cash specificized above (“Restricted Cash”), in each instance, subject to, and in accordance with, the restrictions, terms and conditions set forth in the Plan and this Agreement. Each Performance Share represents the potential right to receive a Share subject to, and in accordance with, the restrictions, terms and conditions set forth in the Plan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firstLine="749"/>
        <w:spacing w:after="0" w:line="257" w:lineRule="auto"/>
        <w:rPr>
          <w:sz w:val="20"/>
          <w:szCs w:val="20"/>
          <w:color w:val="auto"/>
        </w:rPr>
      </w:pPr>
      <w:r>
        <w:rPr>
          <w:rFonts w:ascii="Arial" w:cs="Arial" w:eastAsia="Arial" w:hAnsi="Arial"/>
          <w:sz w:val="21"/>
          <w:szCs w:val="21"/>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6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1.3This Tandem Performance Share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Performance Share and Cash Award may be cancelled by the Administrator.</w:t>
      </w:r>
    </w:p>
    <w:p>
      <w:pPr>
        <w:spacing w:after="0" w:line="181"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Vesting; Performance Goals; Settlement</w:t>
      </w:r>
    </w:p>
    <w:p>
      <w:pPr>
        <w:spacing w:after="0" w:line="21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2.1Subject to the terms of the Plan and this Agreement, if Grantee remains employed by the Company through the date (the “Vesting Date”) on which the Administrator determines the level of achievement of the performance goals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during the applicable performance period indicated therein, the percentage of the Performance Shares and Restricted Cash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each vest on the Vesting Date. The Administrator will determine the level of the performance goals achieved in its sole and absolute discretion following the end of the applicable performance period. Except as otherwise expressly provided herein, upon any termination of Grantee’s employment or service with the Company or a Subsidiary prior to the Vesting Date, the Performance Shares and Restricted Cash will be immediately and automatically forfeited without consideration. For purposes of this Agreement, employment with a Subsidiary of the Company or service as a member of the Board of Directors of the Company shall be considered employment or service with the Company. To the extent Performance Shares and Restricted Cash do not vest following the end of the applicable performance period based on the Administrator’s determination of the level of the performance goal achieved, such Performance Shares and Restricted Cash shall be immediately and automatically forfeited without consideration on the Vesting Date.</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2.2As soon as reasonably practicable (and in no event later than thirty (30) days) following the vesting of the Performance Shares hereunder, the Company will issue to the Grantee one Share for each Performance Share that has vested. Any Restricted Cash (less any applicable withholding pursuant to Section 5) that vests following the end of the applicable performance period will be payable in cash in accordance with the Company’s standard payroll practices (provided that the vested Restricted Cash shall in no event be paid later than two and one-half (2 ½) months after the end of the year in which the Restricted Cash vests)). The Grantee will have no further rights with regard to a Performance Share or Restricted Cash, and such Performance Share and rights with respect to Restricted Cash will be deemed extinguished, once the Shares and cash related to this Tandem Performance Share and Cash Award have been issued or paid (or such Performance Share and Restricted Cash have been forfeited).</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the Performance Shares and Restricted Cash shall become fully vested and nonforfeitable as of the date of Grantee’s death or Disability.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jc w:val="both"/>
        <w:ind w:firstLine="749"/>
        <w:spacing w:after="0" w:line="297" w:lineRule="auto"/>
        <w:rPr>
          <w:sz w:val="20"/>
          <w:szCs w:val="20"/>
          <w:color w:val="auto"/>
        </w:rPr>
      </w:pPr>
      <w:r>
        <w:rPr>
          <w:rFonts w:ascii="Arial" w:cs="Arial" w:eastAsia="Arial" w:hAnsi="Arial"/>
          <w:sz w:val="19"/>
          <w:szCs w:val="19"/>
          <w:color w:val="auto"/>
        </w:rPr>
        <w:t>2.4In exchange for receipt of consideration in the form of this Tandem Performance Share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3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2.5Except for death or Disability as provided in Section 2.3, or except as otherwise provided in a severance agreement with Grantee, if Grantee terminates his or her employment or if the Company terminates Grantee’s employment prior to vesting, the Performance Shares and the Restricted Cash shall each cease to be eligible to vest, all of the unvested Performance Shares and Restricted Cash shall be immediately forfeited and cancelled, and Grantee shall only be entitled to the Performance Shares and Restricted Cash that have vested as of his or her date of termination.</w:t>
      </w:r>
    </w:p>
    <w:p>
      <w:pPr>
        <w:spacing w:after="0" w:line="14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2.6In the event of a Change of Control prior to vesting, the provisions of Section 17(c) of the Plan as in effect on the date hereof shall apply.</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2.7Neither the Performance Shares nor the Restricted Cash may be sold, assigned, transferred, pledged, or otherwise encumbered,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37"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Stock; No Dividends; No Voting; Interest</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3.1The Company reserves the right to place a legend on any stock certificate(s), or an appropriate stop-transfer order in the case of book-entry registration, restricting the transferability of any Shares issued following the vesting of the Performance Shares and referring to the terms and conditions (including forfeiture) of this Agreement and the Plan.</w:t>
      </w:r>
    </w:p>
    <w:p>
      <w:pPr>
        <w:spacing w:after="0" w:line="16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3.2Prior to the vesting of the Performance Shares in accordance with Section 2.1, the Plan and this Agreement, and the issuance of Shares hereunder, the Grantee shall have no rights as a shareholder with respect to the Performance Shares. Prior to the settlement of the Performance Shares, the Grantee shall not be entitled to receive any dividends or similar distributions declared on the Shares subject to the Performance Shares, and Grantee shall not be entitled to vote any Shares subject to the Performance Shares.</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ind w:left="760" w:hanging="752"/>
        <w:spacing w:after="0"/>
        <w:tabs>
          <w:tab w:leader="none" w:pos="76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No Right to Continued Employment or Additional Grants</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81"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21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Grantee shall be responsible for all federal, state, local and foreign taxes payable with respect to this Tandem Performance Share and Cash Award. In the event the Company or one of its Affiliates is required to withhold any Federal, state or local taxes or other amounts in respect of any income recognized by Grantee as a result of the grant, vesting, payment or settlement of, or other event relating to, this Tandem Performance Share and Cash Award or the issuance or disposition of any Shares acquired under this Tandem Performance Share and Cash Award, the Company may deduct (or require an Affiliate to deduct) from any payments of any kind otherwise due to Grantee in cash (including Restricted Cash), or with the consent of the Administrator, Shares otherwise deliverable or vesting under this Tandem Performance Share and Cash Award, to satisfy such tax or other obligations. Alternatively, the Company or its Affiliate may require Grantee to pay to the Company or its Affiliate, in cash, promptly on demand, or make other arrangements satisfactory to the Company or its Affiliate regarding the payment to the Company or its Affiliate of, the aggregate amount of any such taxes and other amounts.</w:t>
      </w:r>
    </w:p>
    <w:p>
      <w:pPr>
        <w:spacing w:after="0" w:line="155" w:lineRule="exact"/>
        <w:rPr>
          <w:sz w:val="20"/>
          <w:szCs w:val="20"/>
          <w:color w:val="auto"/>
        </w:rPr>
      </w:pPr>
    </w:p>
    <w:p>
      <w:pPr>
        <w:ind w:left="760" w:hanging="752"/>
        <w:spacing w:after="0"/>
        <w:tabs>
          <w:tab w:leader="none" w:pos="76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Grantee hereby acknowledges and agrees to comply with and bound by all of the restrictive covenants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69" w:lineRule="exact"/>
        <w:rPr>
          <w:sz w:val="20"/>
          <w:szCs w:val="20"/>
          <w:color w:val="auto"/>
        </w:rPr>
      </w:pPr>
    </w:p>
    <w:p>
      <w:pPr>
        <w:ind w:left="760" w:hanging="752"/>
        <w:spacing w:after="0"/>
        <w:tabs>
          <w:tab w:leader="none" w:pos="76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Grantee Bound by the Plan</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760" w:hanging="752"/>
        <w:spacing w:after="0"/>
        <w:tabs>
          <w:tab w:leader="none" w:pos="7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Modification of Agreement</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15 of the Plan.</w:t>
      </w:r>
    </w:p>
    <w:p>
      <w:pPr>
        <w:spacing w:after="0" w:line="145"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ind w:left="760" w:hanging="752"/>
        <w:spacing w:after="0"/>
        <w:tabs>
          <w:tab w:leader="none" w:pos="7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99"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Successors in Interest</w:t>
      </w:r>
    </w:p>
    <w:p>
      <w:pPr>
        <w:spacing w:after="0" w:line="21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37"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Resolution of Disputes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3"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Pronouns; Including</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ind w:left="7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ORION ENERGY SYSTEMS,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1"/>
                <w:szCs w:val="21"/>
                <w:color w:val="auto"/>
              </w:rPr>
            </w:pPr>
          </w:p>
        </w:tc>
        <w:tc>
          <w:tcPr>
            <w:tcW w:w="8220" w:type="dxa"/>
            <w:vAlign w:val="bottom"/>
          </w:tcPr>
          <w:p>
            <w:pPr>
              <w:jc w:val="right"/>
              <w:ind w:right="4318"/>
              <w:spacing w:after="0"/>
              <w:rPr>
                <w:sz w:val="20"/>
                <w:szCs w:val="20"/>
                <w:color w:val="auto"/>
              </w:rPr>
            </w:pPr>
            <w:r>
              <w:rPr>
                <w:rFonts w:ascii="Arial" w:cs="Arial" w:eastAsia="Arial" w:hAnsi="Arial"/>
                <w:sz w:val="22"/>
                <w:szCs w:val="22"/>
                <w:color w:val="auto"/>
                <w:w w:val="88"/>
              </w:rPr>
              <w:t>___________________________________</w:t>
            </w:r>
          </w:p>
        </w:tc>
      </w:tr>
      <w:tr>
        <w:trPr>
          <w:trHeight w:val="274"/>
        </w:trPr>
        <w:tc>
          <w:tcPr>
            <w:tcW w:w="3020" w:type="dxa"/>
            <w:vAlign w:val="bottom"/>
          </w:tcPr>
          <w:p>
            <w:pPr>
              <w:spacing w:after="0"/>
              <w:rPr>
                <w:sz w:val="20"/>
                <w:szCs w:val="20"/>
                <w:color w:val="auto"/>
              </w:rPr>
            </w:pPr>
            <w:r>
              <w:rPr>
                <w:rFonts w:ascii="Arial" w:cs="Arial" w:eastAsia="Arial" w:hAnsi="Arial"/>
                <w:sz w:val="22"/>
                <w:szCs w:val="22"/>
                <w:color w:val="auto"/>
                <w:w w:val="90"/>
              </w:rPr>
              <w:t>By: ________________________</w:t>
            </w:r>
          </w:p>
        </w:tc>
        <w:tc>
          <w:tcPr>
            <w:tcW w:w="8220" w:type="dxa"/>
            <w:vAlign w:val="bottom"/>
          </w:tcPr>
          <w:p>
            <w:pPr>
              <w:jc w:val="right"/>
              <w:ind w:right="6118"/>
              <w:spacing w:after="0"/>
              <w:rPr>
                <w:sz w:val="20"/>
                <w:szCs w:val="20"/>
                <w:color w:val="auto"/>
              </w:rPr>
            </w:pPr>
            <w:r>
              <w:rPr>
                <w:rFonts w:ascii="Arial" w:cs="Arial" w:eastAsia="Arial" w:hAnsi="Arial"/>
                <w:sz w:val="22"/>
                <w:szCs w:val="22"/>
                <w:color w:val="auto"/>
              </w:rPr>
              <w:t>Grantee</w:t>
            </w:r>
          </w:p>
        </w:tc>
      </w:tr>
      <w:tr>
        <w:trPr>
          <w:trHeight w:val="351"/>
        </w:trPr>
        <w:tc>
          <w:tcPr>
            <w:tcW w:w="3020" w:type="dxa"/>
            <w:vAlign w:val="bottom"/>
          </w:tcPr>
          <w:p>
            <w:pPr>
              <w:spacing w:after="0"/>
              <w:rPr>
                <w:sz w:val="20"/>
                <w:szCs w:val="20"/>
                <w:color w:val="auto"/>
              </w:rPr>
            </w:pPr>
            <w:r>
              <w:rPr>
                <w:rFonts w:ascii="Arial" w:cs="Arial" w:eastAsia="Arial" w:hAnsi="Arial"/>
                <w:sz w:val="22"/>
                <w:szCs w:val="22"/>
                <w:color w:val="auto"/>
                <w:w w:val="89"/>
              </w:rPr>
              <w:t>Title: _______________________</w:t>
            </w:r>
          </w:p>
        </w:tc>
        <w:tc>
          <w:tcPr>
            <w:tcW w:w="8220" w:type="dxa"/>
            <w:vAlign w:val="bottom"/>
          </w:tcPr>
          <w:p>
            <w:pPr>
              <w:spacing w:after="0"/>
              <w:rPr>
                <w:sz w:val="24"/>
                <w:szCs w:val="24"/>
                <w:color w:val="auto"/>
              </w:rPr>
            </w:pPr>
          </w:p>
        </w:tc>
      </w:tr>
      <w:tr>
        <w:trPr>
          <w:trHeight w:val="908"/>
        </w:trPr>
        <w:tc>
          <w:tcPr>
            <w:tcW w:w="3020" w:type="dxa"/>
            <w:vAlign w:val="bottom"/>
          </w:tcPr>
          <w:p>
            <w:pPr>
              <w:spacing w:after="0"/>
              <w:rPr>
                <w:sz w:val="24"/>
                <w:szCs w:val="24"/>
                <w:color w:val="auto"/>
              </w:rPr>
            </w:pPr>
          </w:p>
        </w:tc>
        <w:tc>
          <w:tcPr>
            <w:tcW w:w="8220" w:type="dxa"/>
            <w:vAlign w:val="bottom"/>
          </w:tcPr>
          <w:p>
            <w:pPr>
              <w:jc w:val="right"/>
              <w:ind w:right="5478"/>
              <w:spacing w:after="0"/>
              <w:rPr>
                <w:sz w:val="20"/>
                <w:szCs w:val="20"/>
                <w:color w:val="auto"/>
              </w:rPr>
            </w:pPr>
            <w:r>
              <w:rPr>
                <w:rFonts w:ascii="Arial" w:cs="Arial" w:eastAsia="Arial" w:hAnsi="Arial"/>
                <w:sz w:val="18"/>
                <w:szCs w:val="18"/>
                <w:color w:val="auto"/>
              </w:rPr>
              <w:t>6</w:t>
            </w:r>
          </w:p>
        </w:tc>
      </w:tr>
      <w:tr>
        <w:trPr>
          <w:trHeight w:val="520"/>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Grantee remains employed by the Company through the date on which the Administrator determines the level of revenue growth (“Revenue Growth”) achieved for fiscal year 2026 compared to fiscal year 2023, the following percentage of the Performance Shares and Restricted Cash shall vest to the extent the Administrator determines the applicable level of Revenue Growth has been achieved following the end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4225" cy="1433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34225" cy="143383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33" w:lineRule="exact"/>
        <w:rPr>
          <w:sz w:val="20"/>
          <w:szCs w:val="20"/>
          <w:color w:val="auto"/>
        </w:rPr>
      </w:pPr>
    </w:p>
    <w:p>
      <w:pPr>
        <w:jc w:val="center"/>
        <w:ind w:left="340"/>
        <w:spacing w:after="0" w:line="256" w:lineRule="auto"/>
        <w:rPr>
          <w:sz w:val="20"/>
          <w:szCs w:val="20"/>
          <w:color w:val="auto"/>
        </w:rPr>
      </w:pPr>
      <w:r>
        <w:rPr>
          <w:rFonts w:ascii="Arial" w:cs="Arial" w:eastAsia="Arial" w:hAnsi="Arial"/>
          <w:sz w:val="22"/>
          <w:szCs w:val="22"/>
          <w:b w:val="1"/>
          <w:bCs w:val="1"/>
          <w:color w:val="auto"/>
        </w:rPr>
        <w:t>Fiscal Year 2026 Revenue Growth Rate Compared to Fiscal Year 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400"/>
        <w:spacing w:after="0" w:line="256" w:lineRule="auto"/>
        <w:rPr>
          <w:sz w:val="20"/>
          <w:szCs w:val="20"/>
          <w:color w:val="auto"/>
        </w:rPr>
      </w:pPr>
      <w:r>
        <w:rPr>
          <w:rFonts w:ascii="Arial" w:cs="Arial" w:eastAsia="Arial" w:hAnsi="Arial"/>
          <w:sz w:val="22"/>
          <w:szCs w:val="22"/>
          <w:b w:val="1"/>
          <w:bCs w:val="1"/>
          <w:color w:val="auto"/>
        </w:rPr>
        <w:t>Percentage of Total Tandem Performance Shares and Restricted Cash Vesting*</w:t>
      </w:r>
    </w:p>
    <w:p>
      <w:pPr>
        <w:spacing w:after="0" w:line="200" w:lineRule="exact"/>
        <w:rPr>
          <w:sz w:val="20"/>
          <w:szCs w:val="20"/>
          <w:color w:val="auto"/>
        </w:rPr>
      </w:pPr>
    </w:p>
    <w:p>
      <w:pPr>
        <w:sectPr>
          <w:pgSz w:w="11900" w:h="16838" w:orient="portrait"/>
          <w:cols w:equalWidth="0" w:num="2">
            <w:col w:w="5220" w:space="720"/>
            <w:col w:w="5300"/>
          </w:cols>
          <w:pgMar w:left="320" w:top="355"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2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25%</w:t>
            </w:r>
          </w:p>
        </w:tc>
        <w:tc>
          <w:tcPr>
            <w:tcW w:w="5620" w:type="dxa"/>
            <w:vAlign w:val="bottom"/>
          </w:tcPr>
          <w:p>
            <w:pPr>
              <w:jc w:val="center"/>
              <w:spacing w:after="0"/>
              <w:rPr>
                <w:sz w:val="20"/>
                <w:szCs w:val="20"/>
                <w:color w:val="auto"/>
              </w:rPr>
            </w:pPr>
            <w:r>
              <w:rPr>
                <w:rFonts w:ascii="Arial" w:cs="Arial" w:eastAsia="Arial" w:hAnsi="Arial"/>
                <w:sz w:val="22"/>
                <w:szCs w:val="22"/>
                <w:color w:val="auto"/>
                <w:w w:val="90"/>
              </w:rPr>
              <w:t>50%</w:t>
            </w:r>
          </w:p>
        </w:tc>
      </w:tr>
      <w:tr>
        <w:trPr>
          <w:trHeight w:val="219"/>
        </w:trPr>
        <w:tc>
          <w:tcPr>
            <w:tcW w:w="2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268"/>
        </w:trPr>
        <w:tc>
          <w:tcPr>
            <w:tcW w:w="562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40%</w:t>
            </w:r>
          </w:p>
        </w:tc>
        <w:tc>
          <w:tcPr>
            <w:tcW w:w="56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12"/>
        </w:trPr>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3080" w:type="dxa"/>
            <w:vAlign w:val="bottom"/>
            <w:gridSpan w:val="2"/>
          </w:tcPr>
          <w:p>
            <w:pPr>
              <w:jc w:val="center"/>
              <w:ind w:right="2560"/>
              <w:spacing w:after="0" w:line="209" w:lineRule="exact"/>
              <w:rPr>
                <w:sz w:val="20"/>
                <w:szCs w:val="20"/>
                <w:color w:val="auto"/>
              </w:rPr>
            </w:pPr>
            <w:r>
              <w:rPr>
                <w:rFonts w:ascii="Arial" w:cs="Arial" w:eastAsia="Arial" w:hAnsi="Arial"/>
                <w:sz w:val="22"/>
                <w:szCs w:val="22"/>
                <w:color w:val="auto"/>
                <w:w w:val="91"/>
              </w:rPr>
              <w:t>&gt;50%</w:t>
            </w:r>
          </w:p>
        </w:tc>
        <w:tc>
          <w:tcPr>
            <w:tcW w:w="5620" w:type="dxa"/>
            <w:vAlign w:val="bottom"/>
          </w:tcPr>
          <w:p>
            <w:pPr>
              <w:jc w:val="center"/>
              <w:spacing w:after="0" w:line="209" w:lineRule="exact"/>
              <w:rPr>
                <w:sz w:val="20"/>
                <w:szCs w:val="20"/>
                <w:color w:val="auto"/>
              </w:rPr>
            </w:pPr>
            <w:r>
              <w:rPr>
                <w:rFonts w:ascii="Arial" w:cs="Arial" w:eastAsia="Arial" w:hAnsi="Arial"/>
                <w:sz w:val="22"/>
                <w:szCs w:val="22"/>
                <w:color w:val="auto"/>
                <w:w w:val="88"/>
              </w:rPr>
              <w:t>150%</w:t>
            </w:r>
          </w:p>
        </w:tc>
      </w:tr>
      <w:tr>
        <w:trPr>
          <w:trHeight w:val="20"/>
        </w:trPr>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number of Performance Shares, and the amount of Restricted Cash, vesting will be interpolated for Revenue Growth between 25% and 40%, or between 40% and 50%. The Administrator will include acquired revenue in its determination of Revenue Growth, and will otherwise determine the Revenue Growth achieved in its sole and absolute discretion following the end of fiscal year 2026.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*Comprised of 60% Performance Shares and 40% of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w:t>
      </w:r>
    </w:p>
    <w:p>
      <w:pPr>
        <w:spacing w:after="0" w:line="239" w:lineRule="exact"/>
        <w:rPr>
          <w:sz w:val="20"/>
          <w:szCs w:val="20"/>
          <w:color w:val="auto"/>
        </w:rPr>
      </w:pPr>
    </w:p>
    <w:p>
      <w:pPr>
        <w:jc w:val="both"/>
        <w:ind w:firstLine="1505"/>
        <w:spacing w:after="0" w:line="269" w:lineRule="auto"/>
        <w:tabs>
          <w:tab w:leader="none" w:pos="203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505"/>
        <w:spacing w:after="0" w:line="275" w:lineRule="auto"/>
        <w:tabs>
          <w:tab w:leader="none" w:pos="203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Solicitation of Employees</w:t>
      </w:r>
      <w:r>
        <w:rPr>
          <w:rFonts w:ascii="Arial" w:cs="Arial" w:eastAsia="Arial" w:hAnsi="Arial"/>
          <w:sz w:val="19"/>
          <w:szCs w:val="19"/>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7" w:name="page108"/>
    <w:bookmarkEnd w:id="107"/>
    <w:p>
      <w:pPr>
        <w:spacing w:after="0" w:line="250" w:lineRule="auto"/>
        <w:rPr>
          <w:sz w:val="20"/>
          <w:szCs w:val="20"/>
          <w:color w:val="auto"/>
        </w:rPr>
      </w:pPr>
      <w:r>
        <w:rPr>
          <w:rFonts w:ascii="Arial" w:cs="Arial" w:eastAsia="Arial" w:hAnsi="Arial"/>
          <w:sz w:val="22"/>
          <w:szCs w:val="22"/>
          <w:color w:val="auto"/>
        </w:rPr>
        <w:t>through (a) public advertisements or general solicitations that are not specifically targeted at such person(s); or (b) recruiting or search firms not targeting the Company’s management employees.</w:t>
      </w:r>
    </w:p>
    <w:p>
      <w:pPr>
        <w:spacing w:after="0" w:line="175" w:lineRule="exact"/>
        <w:rPr>
          <w:sz w:val="20"/>
          <w:szCs w:val="20"/>
          <w:color w:val="auto"/>
        </w:rPr>
      </w:pPr>
    </w:p>
    <w:p>
      <w:pPr>
        <w:jc w:val="both"/>
        <w:ind w:firstLine="1505"/>
        <w:spacing w:after="0" w:line="271" w:lineRule="auto"/>
        <w:tabs>
          <w:tab w:leader="none" w:pos="203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64" w:lineRule="exact"/>
        <w:rPr>
          <w:rFonts w:ascii="Arial" w:cs="Arial" w:eastAsia="Arial" w:hAnsi="Arial"/>
          <w:sz w:val="19"/>
          <w:szCs w:val="19"/>
          <w:color w:val="auto"/>
        </w:rPr>
      </w:pPr>
    </w:p>
    <w:p>
      <w:pPr>
        <w:jc w:val="both"/>
        <w:ind w:firstLine="1505"/>
        <w:spacing w:after="0" w:line="277" w:lineRule="auto"/>
        <w:tabs>
          <w:tab w:leader="none" w:pos="203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Return of All Company Documents and Property</w:t>
      </w:r>
      <w:r>
        <w:rPr>
          <w:rFonts w:ascii="Arial" w:cs="Arial" w:eastAsia="Arial" w:hAnsi="Arial"/>
          <w:sz w:val="19"/>
          <w:szCs w:val="19"/>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51" w:lineRule="exact"/>
        <w:rPr>
          <w:rFonts w:ascii="Arial" w:cs="Arial" w:eastAsia="Arial" w:hAnsi="Arial"/>
          <w:sz w:val="19"/>
          <w:szCs w:val="19"/>
          <w:color w:val="auto"/>
        </w:rPr>
      </w:pPr>
    </w:p>
    <w:p>
      <w:pPr>
        <w:jc w:val="both"/>
        <w:ind w:firstLine="1505"/>
        <w:spacing w:after="0"/>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Mutual Non-Disparagement Agreement</w:t>
      </w:r>
      <w:r>
        <w:rPr>
          <w:rFonts w:ascii="Arial" w:cs="Arial" w:eastAsia="Arial" w:hAnsi="Arial"/>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ind w:left="10220"/>
        <w:spacing w:after="0"/>
        <w:rPr>
          <w:sz w:val="20"/>
          <w:szCs w:val="20"/>
          <w:color w:val="auto"/>
        </w:rPr>
      </w:pPr>
      <w:r>
        <w:rPr>
          <w:rFonts w:ascii="Arial" w:cs="Arial" w:eastAsia="Arial" w:hAnsi="Arial"/>
          <w:sz w:val="16"/>
          <w:szCs w:val="16"/>
          <w:b w:val="1"/>
          <w:bCs w:val="1"/>
          <w:color w:val="auto"/>
        </w:rPr>
        <w:t>Exhibit 10.25</w:t>
      </w:r>
    </w:p>
    <w:p>
      <w:pPr>
        <w:spacing w:after="0" w:line="47" w:lineRule="exact"/>
        <w:rPr>
          <w:sz w:val="20"/>
          <w:szCs w:val="20"/>
          <w:color w:val="auto"/>
        </w:rPr>
      </w:pPr>
    </w:p>
    <w:p>
      <w:pPr>
        <w:ind w:left="8400"/>
        <w:spacing w:after="0"/>
        <w:rPr>
          <w:sz w:val="20"/>
          <w:szCs w:val="20"/>
          <w:color w:val="auto"/>
        </w:rPr>
      </w:pPr>
      <w:r>
        <w:rPr>
          <w:rFonts w:ascii="Arial" w:cs="Arial" w:eastAsia="Arial" w:hAnsi="Arial"/>
          <w:sz w:val="19"/>
          <w:szCs w:val="19"/>
          <w:color w:val="auto"/>
        </w:rPr>
        <w:t>Grantee: ___________________</w:t>
      </w:r>
    </w:p>
    <w:p>
      <w:pPr>
        <w:spacing w:after="0" w:line="25" w:lineRule="exact"/>
        <w:rPr>
          <w:sz w:val="20"/>
          <w:szCs w:val="20"/>
          <w:color w:val="auto"/>
        </w:rPr>
      </w:pPr>
    </w:p>
    <w:p>
      <w:pPr>
        <w:ind w:left="8700"/>
        <w:spacing w:after="0"/>
        <w:rPr>
          <w:sz w:val="20"/>
          <w:szCs w:val="20"/>
          <w:color w:val="auto"/>
        </w:rPr>
      </w:pPr>
      <w:r>
        <w:rPr>
          <w:rFonts w:ascii="Arial" w:cs="Arial" w:eastAsia="Arial" w:hAnsi="Arial"/>
          <w:sz w:val="19"/>
          <w:szCs w:val="19"/>
          <w:color w:val="auto"/>
        </w:rPr>
        <w:t xml:space="preserve">Grant Date: </w:t>
      </w:r>
      <w:r>
        <w:rPr>
          <w:rFonts w:ascii="Arial" w:cs="Arial" w:eastAsia="Arial" w:hAnsi="Arial"/>
          <w:sz w:val="19"/>
          <w:szCs w:val="19"/>
          <w:u w:val="single" w:color="auto"/>
          <w:color w:val="auto"/>
        </w:rPr>
        <w:t>August 10, 2023</w:t>
      </w:r>
    </w:p>
    <w:p>
      <w:pPr>
        <w:spacing w:after="0" w:line="15" w:lineRule="exact"/>
        <w:rPr>
          <w:sz w:val="20"/>
          <w:szCs w:val="20"/>
          <w:color w:val="auto"/>
        </w:rPr>
      </w:pPr>
    </w:p>
    <w:p>
      <w:pPr>
        <w:ind w:left="8640"/>
        <w:spacing w:after="0"/>
        <w:rPr>
          <w:sz w:val="20"/>
          <w:szCs w:val="20"/>
          <w:color w:val="auto"/>
        </w:rPr>
      </w:pPr>
      <w:r>
        <w:rPr>
          <w:rFonts w:ascii="Arial" w:cs="Arial" w:eastAsia="Arial" w:hAnsi="Arial"/>
          <w:sz w:val="22"/>
          <w:szCs w:val="22"/>
          <w:color w:val="auto"/>
        </w:rPr>
        <w:t>No. of Restricted Shares:</w:t>
      </w:r>
    </w:p>
    <w:p>
      <w:pPr>
        <w:ind w:left="7800"/>
        <w:spacing w:after="0"/>
        <w:rPr>
          <w:sz w:val="20"/>
          <w:szCs w:val="20"/>
          <w:color w:val="auto"/>
        </w:rPr>
      </w:pPr>
      <w:r>
        <w:rPr>
          <w:rFonts w:ascii="Arial" w:cs="Arial" w:eastAsia="Arial" w:hAnsi="Arial"/>
          <w:sz w:val="19"/>
          <w:szCs w:val="19"/>
          <w:color w:val="auto"/>
        </w:rPr>
        <w:t>Amount of Restricted Cash: $________</w:t>
      </w:r>
    </w:p>
    <w:p>
      <w:pPr>
        <w:spacing w:after="0" w:line="38"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Exhibit 10.25</w:t>
      </w:r>
    </w:p>
    <w:p>
      <w:pPr>
        <w:spacing w:after="0" w:line="34" w:lineRule="exact"/>
        <w:rPr>
          <w:sz w:val="20"/>
          <w:szCs w:val="20"/>
          <w:color w:val="auto"/>
        </w:rPr>
      </w:pPr>
    </w:p>
    <w:p>
      <w:pPr>
        <w:ind w:left="8880"/>
        <w:spacing w:after="0"/>
        <w:rPr>
          <w:sz w:val="20"/>
          <w:szCs w:val="20"/>
          <w:color w:val="auto"/>
        </w:rPr>
      </w:pPr>
      <w:r>
        <w:rPr>
          <w:rFonts w:ascii="Arial" w:cs="Arial" w:eastAsia="Arial" w:hAnsi="Arial"/>
          <w:sz w:val="19"/>
          <w:szCs w:val="19"/>
          <w:color w:val="auto"/>
        </w:rPr>
        <w:t>Grantee: ______________</w:t>
      </w:r>
    </w:p>
    <w:p>
      <w:pPr>
        <w:spacing w:after="0" w:line="25" w:lineRule="exact"/>
        <w:rPr>
          <w:sz w:val="20"/>
          <w:szCs w:val="20"/>
          <w:color w:val="auto"/>
        </w:rPr>
      </w:pPr>
    </w:p>
    <w:p>
      <w:pPr>
        <w:ind w:left="8600"/>
        <w:spacing w:after="0"/>
        <w:rPr>
          <w:sz w:val="20"/>
          <w:szCs w:val="20"/>
          <w:color w:val="auto"/>
        </w:rPr>
      </w:pPr>
      <w:r>
        <w:rPr>
          <w:rFonts w:ascii="Arial" w:cs="Arial" w:eastAsia="Arial" w:hAnsi="Arial"/>
          <w:sz w:val="19"/>
          <w:szCs w:val="19"/>
          <w:color w:val="auto"/>
        </w:rPr>
        <w:t>Grant Date: ______________</w:t>
      </w:r>
    </w:p>
    <w:p>
      <w:pPr>
        <w:spacing w:after="0" w:line="25" w:lineRule="exact"/>
        <w:rPr>
          <w:sz w:val="20"/>
          <w:szCs w:val="20"/>
          <w:color w:val="auto"/>
        </w:rPr>
      </w:pPr>
    </w:p>
    <w:p>
      <w:pPr>
        <w:ind w:left="7440"/>
        <w:spacing w:after="0"/>
        <w:rPr>
          <w:sz w:val="20"/>
          <w:szCs w:val="20"/>
          <w:color w:val="auto"/>
        </w:rPr>
      </w:pPr>
      <w:r>
        <w:rPr>
          <w:rFonts w:ascii="Arial" w:cs="Arial" w:eastAsia="Arial" w:hAnsi="Arial"/>
          <w:sz w:val="19"/>
          <w:szCs w:val="19"/>
          <w:color w:val="auto"/>
        </w:rPr>
        <w:t>No. of Restricted Shares: ______________</w:t>
      </w:r>
    </w:p>
    <w:p>
      <w:pPr>
        <w:spacing w:after="0" w:line="25"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Amount of Restricted Cash: $_____________</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ORION ENERGY SYSTEMS, INC.</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2016 OMNIBUS INCENTIVE PLAN</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TANDEM RESTRICTED STOCK AND CASH AWARD AGREEMENT</w:t>
      </w:r>
    </w:p>
    <w:p>
      <w:pPr>
        <w:spacing w:after="0" w:line="23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THIS AGREEMENT, made and entered into as of the Grant Date specified above (the “Grant Date”) by and between Orion Energy Systems, Inc., a Wisconsin corporation (the “Company”), and the Grantee specified above (“Grantee”).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the Company maintains the Orion Energy Systems, Inc. 2016 Omnibus Incentive Plan (the “Plan”), and Grantee has been selected by the Administrator to receive a Tandem Restricted Stock and Cash Award under the Plan; and</w:t>
      </w:r>
    </w:p>
    <w:p>
      <w:pPr>
        <w:spacing w:after="0" w:line="10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00" w:lineRule="exact"/>
        <w:rPr>
          <w:sz w:val="20"/>
          <w:szCs w:val="20"/>
          <w:color w:val="auto"/>
        </w:rPr>
      </w:pPr>
    </w:p>
    <w:p>
      <w:pPr>
        <w:ind w:left="760" w:hanging="752"/>
        <w:spacing w:after="0"/>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Tandem Award of Restricted Stock and Restricted Cash</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749"/>
        <w:spacing w:after="0" w:line="236" w:lineRule="auto"/>
        <w:rPr>
          <w:sz w:val="20"/>
          <w:szCs w:val="20"/>
          <w:color w:val="auto"/>
        </w:rPr>
      </w:pPr>
      <w:r>
        <w:rPr>
          <w:rFonts w:ascii="Arial" w:cs="Arial" w:eastAsia="Arial" w:hAnsi="Arial"/>
          <w:sz w:val="22"/>
          <w:szCs w:val="22"/>
          <w:color w:val="auto"/>
        </w:rPr>
        <w:t>1.3This Tandem Restricted Stock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 by the Administrator.</w:t>
      </w:r>
    </w:p>
    <w:p>
      <w:pPr>
        <w:spacing w:after="0" w:line="181"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Restrictions</w:t>
      </w:r>
    </w:p>
    <w:p>
      <w:pPr>
        <w:spacing w:after="0" w:line="21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2.1Subject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43" w:lineRule="exact"/>
        <w:rPr>
          <w:sz w:val="20"/>
          <w:szCs w:val="20"/>
          <w:color w:val="auto"/>
        </w:rPr>
      </w:pPr>
    </w:p>
    <w:p>
      <w:pPr>
        <w:ind w:right="80" w:firstLine="749"/>
        <w:spacing w:after="0" w:line="277" w:lineRule="auto"/>
        <w:rPr>
          <w:sz w:val="20"/>
          <w:szCs w:val="20"/>
          <w:color w:val="auto"/>
        </w:rPr>
      </w:pPr>
      <w:r>
        <w:rPr>
          <w:rFonts w:ascii="Arial" w:cs="Arial" w:eastAsia="Arial" w:hAnsi="Arial"/>
          <w:sz w:val="19"/>
          <w:szCs w:val="19"/>
          <w:color w:val="auto"/>
        </w:rPr>
        <w:t>2.2Subject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 (provided that the vested Restricted Cash shall in no event be paid later than two and one-half (2 ½) months after the end of the year in which the Restricted Cash vests).</w:t>
      </w:r>
    </w:p>
    <w:p>
      <w:pPr>
        <w:spacing w:after="0" w:line="15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5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2.4In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3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ind w:firstLine="749"/>
        <w:spacing w:after="0" w:line="252" w:lineRule="auto"/>
        <w:rPr>
          <w:sz w:val="20"/>
          <w:szCs w:val="20"/>
          <w:color w:val="auto"/>
        </w:rPr>
      </w:pPr>
      <w:r>
        <w:rPr>
          <w:rFonts w:ascii="Arial" w:cs="Arial" w:eastAsia="Arial" w:hAnsi="Arial"/>
          <w:sz w:val="21"/>
          <w:szCs w:val="21"/>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17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2.7Neither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2"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Stock; Dividends; Voting; Interest</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179"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No Right to Continued Employment or Additional Grants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spacing w:after="0"/>
        <w:rPr>
          <w:sz w:val="20"/>
          <w:szCs w:val="20"/>
          <w:color w:val="auto"/>
        </w:rPr>
      </w:pPr>
      <w:r>
        <w:rPr>
          <w:rFonts w:ascii="Arial" w:cs="Arial" w:eastAsia="Arial" w:hAnsi="Arial"/>
          <w:sz w:val="21"/>
          <w:szCs w:val="21"/>
          <w:color w:val="auto"/>
        </w:rPr>
        <w:t>any time, and, even if the Plan is not terminated, Grantee shall not be entitled to any additional awards under the Plan.</w:t>
      </w:r>
    </w:p>
    <w:p>
      <w:pPr>
        <w:spacing w:after="0" w:line="212"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200" w:lineRule="exact"/>
        <w:rPr>
          <w:sz w:val="20"/>
          <w:szCs w:val="20"/>
          <w:color w:val="auto"/>
        </w:rPr>
      </w:pPr>
    </w:p>
    <w:p>
      <w:pPr>
        <w:spacing w:after="0" w:line="201"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Grantee hereby acknowledges and agrees to comply with and bound by all of the restrictive covenants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9"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Grantee Bound by the Plan</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Modification of Agreement</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15 of the Plan.</w:t>
      </w:r>
    </w:p>
    <w:p>
      <w:pPr>
        <w:spacing w:after="0" w:line="145"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ind w:left="760" w:hanging="752"/>
        <w:spacing w:after="0"/>
        <w:tabs>
          <w:tab w:leader="none" w:pos="76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99"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Successors in Interest</w:t>
      </w:r>
    </w:p>
    <w:p>
      <w:pPr>
        <w:spacing w:after="0" w:line="21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37"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Resolution of Disputes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3"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Pronouns; Including</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ind w:left="7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ORION ENERGY SYSTEMS,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gridSpan w:val="3"/>
          </w:tcPr>
          <w:p>
            <w:pPr>
              <w:spacing w:after="0"/>
              <w:rPr>
                <w:sz w:val="20"/>
                <w:szCs w:val="20"/>
                <w:color w:val="auto"/>
              </w:rPr>
            </w:pPr>
            <w:r>
              <w:rPr>
                <w:rFonts w:ascii="Arial" w:cs="Arial" w:eastAsia="Arial" w:hAnsi="Arial"/>
                <w:sz w:val="22"/>
                <w:szCs w:val="22"/>
                <w:color w:val="auto"/>
                <w:w w:val="89"/>
              </w:rPr>
              <w:t>_______________________________</w:t>
            </w:r>
          </w:p>
        </w:tc>
        <w:tc>
          <w:tcPr>
            <w:tcW w:w="4260" w:type="dxa"/>
            <w:vAlign w:val="bottom"/>
            <w:gridSpan w:val="3"/>
          </w:tcPr>
          <w:p>
            <w:pPr>
              <w:jc w:val="right"/>
              <w:spacing w:after="0"/>
              <w:rPr>
                <w:sz w:val="20"/>
                <w:szCs w:val="20"/>
                <w:color w:val="auto"/>
              </w:rPr>
            </w:pPr>
            <w:r>
              <w:rPr>
                <w:rFonts w:ascii="Arial" w:cs="Arial" w:eastAsia="Arial" w:hAnsi="Arial"/>
                <w:sz w:val="22"/>
                <w:szCs w:val="22"/>
                <w:color w:val="auto"/>
                <w:w w:val="99"/>
              </w:rPr>
              <w:t>___________________________________</w:t>
            </w:r>
          </w:p>
        </w:tc>
      </w:tr>
      <w:tr>
        <w:trPr>
          <w:trHeight w:val="224"/>
        </w:trPr>
        <w:tc>
          <w:tcPr>
            <w:tcW w:w="3420" w:type="dxa"/>
            <w:vAlign w:val="bottom"/>
            <w:gridSpan w:val="3"/>
          </w:tcPr>
          <w:p>
            <w:pPr>
              <w:spacing w:after="0" w:line="224" w:lineRule="exact"/>
              <w:rPr>
                <w:sz w:val="20"/>
                <w:szCs w:val="20"/>
                <w:color w:val="auto"/>
              </w:rPr>
            </w:pPr>
            <w:r>
              <w:rPr>
                <w:rFonts w:ascii="Arial" w:cs="Arial" w:eastAsia="Arial" w:hAnsi="Arial"/>
                <w:sz w:val="22"/>
                <w:szCs w:val="22"/>
                <w:color w:val="auto"/>
              </w:rPr>
              <w:t>By: __________</w:t>
            </w:r>
          </w:p>
        </w:tc>
        <w:tc>
          <w:tcPr>
            <w:tcW w:w="4260" w:type="dxa"/>
            <w:vAlign w:val="bottom"/>
            <w:gridSpan w:val="3"/>
          </w:tcPr>
          <w:p>
            <w:pPr>
              <w:jc w:val="right"/>
              <w:ind w:right="1860"/>
              <w:spacing w:after="0" w:line="224" w:lineRule="exact"/>
              <w:rPr>
                <w:sz w:val="20"/>
                <w:szCs w:val="20"/>
                <w:color w:val="auto"/>
              </w:rPr>
            </w:pPr>
            <w:r>
              <w:rPr>
                <w:rFonts w:ascii="Arial" w:cs="Arial" w:eastAsia="Arial" w:hAnsi="Arial"/>
                <w:sz w:val="22"/>
                <w:szCs w:val="22"/>
                <w:color w:val="auto"/>
                <w:w w:val="90"/>
              </w:rPr>
              <w:t>Grantee: ______________</w:t>
            </w:r>
          </w:p>
        </w:tc>
      </w:tr>
      <w:tr>
        <w:trPr>
          <w:trHeight w:val="20"/>
        </w:trPr>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________________</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w:t>
      </w:r>
    </w:p>
    <w:p>
      <w:pPr>
        <w:spacing w:after="0" w:line="239" w:lineRule="exact"/>
        <w:rPr>
          <w:sz w:val="20"/>
          <w:szCs w:val="20"/>
          <w:color w:val="auto"/>
        </w:rPr>
      </w:pPr>
    </w:p>
    <w:p>
      <w:pPr>
        <w:jc w:val="both"/>
        <w:ind w:firstLine="1505"/>
        <w:spacing w:after="0" w:line="269" w:lineRule="auto"/>
        <w:tabs>
          <w:tab w:leader="none" w:pos="203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505"/>
        <w:spacing w:after="0" w:line="275" w:lineRule="auto"/>
        <w:tabs>
          <w:tab w:leader="none" w:pos="203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 Solicitation of Employees</w:t>
      </w:r>
      <w:r>
        <w:rPr>
          <w:rFonts w:ascii="Arial" w:cs="Arial" w:eastAsia="Arial" w:hAnsi="Arial"/>
          <w:sz w:val="19"/>
          <w:szCs w:val="19"/>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spacing w:after="0" w:line="250" w:lineRule="auto"/>
        <w:rPr>
          <w:sz w:val="20"/>
          <w:szCs w:val="20"/>
          <w:color w:val="auto"/>
        </w:rPr>
      </w:pPr>
      <w:r>
        <w:rPr>
          <w:rFonts w:ascii="Arial" w:cs="Arial" w:eastAsia="Arial" w:hAnsi="Arial"/>
          <w:sz w:val="22"/>
          <w:szCs w:val="22"/>
          <w:color w:val="auto"/>
        </w:rPr>
        <w:t>through (a) public advertisements or general solicitations that are not specifically targeted at such person(s); or (b) recruiting or search firms not targeting the Company’s management employees.</w:t>
      </w:r>
    </w:p>
    <w:p>
      <w:pPr>
        <w:spacing w:after="0" w:line="175" w:lineRule="exact"/>
        <w:rPr>
          <w:sz w:val="20"/>
          <w:szCs w:val="20"/>
          <w:color w:val="auto"/>
        </w:rPr>
      </w:pPr>
    </w:p>
    <w:p>
      <w:pPr>
        <w:jc w:val="both"/>
        <w:ind w:firstLine="1505"/>
        <w:spacing w:after="0" w:line="271" w:lineRule="auto"/>
        <w:tabs>
          <w:tab w:leader="none" w:pos="203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64" w:lineRule="exact"/>
        <w:rPr>
          <w:rFonts w:ascii="Arial" w:cs="Arial" w:eastAsia="Arial" w:hAnsi="Arial"/>
          <w:sz w:val="19"/>
          <w:szCs w:val="19"/>
          <w:color w:val="auto"/>
        </w:rPr>
      </w:pPr>
    </w:p>
    <w:p>
      <w:pPr>
        <w:jc w:val="both"/>
        <w:ind w:firstLine="1505"/>
        <w:spacing w:after="0" w:line="277" w:lineRule="auto"/>
        <w:tabs>
          <w:tab w:leader="none" w:pos="203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Return of All Company Documents and Property</w:t>
      </w:r>
      <w:r>
        <w:rPr>
          <w:rFonts w:ascii="Arial" w:cs="Arial" w:eastAsia="Arial" w:hAnsi="Arial"/>
          <w:sz w:val="19"/>
          <w:szCs w:val="19"/>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51" w:lineRule="exact"/>
        <w:rPr>
          <w:rFonts w:ascii="Arial" w:cs="Arial" w:eastAsia="Arial" w:hAnsi="Arial"/>
          <w:sz w:val="19"/>
          <w:szCs w:val="19"/>
          <w:color w:val="auto"/>
        </w:rPr>
      </w:pPr>
    </w:p>
    <w:p>
      <w:pPr>
        <w:jc w:val="both"/>
        <w:ind w:firstLine="1505"/>
        <w:spacing w:after="0"/>
        <w:tabs>
          <w:tab w:leader="none" w:pos="203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Mutual Non-Disparagement Agreement</w:t>
      </w:r>
      <w:r>
        <w:rPr>
          <w:rFonts w:ascii="Arial" w:cs="Arial" w:eastAsia="Arial" w:hAnsi="Arial"/>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220"/>
        <w:spacing w:after="0"/>
        <w:rPr>
          <w:sz w:val="20"/>
          <w:szCs w:val="20"/>
          <w:color w:val="auto"/>
        </w:rPr>
      </w:pPr>
      <w:r>
        <w:rPr>
          <w:rFonts w:ascii="Arial" w:cs="Arial" w:eastAsia="Arial" w:hAnsi="Arial"/>
          <w:sz w:val="16"/>
          <w:szCs w:val="16"/>
          <w:b w:val="1"/>
          <w:bCs w:val="1"/>
          <w:color w:val="auto"/>
        </w:rPr>
        <w:t>Exhibit 10.26</w:t>
      </w:r>
    </w:p>
    <w:p>
      <w:pPr>
        <w:spacing w:after="0" w:line="272" w:lineRule="exact"/>
        <w:rPr>
          <w:sz w:val="20"/>
          <w:szCs w:val="20"/>
          <w:color w:val="auto"/>
        </w:rPr>
      </w:pPr>
    </w:p>
    <w:p>
      <w:pPr>
        <w:ind w:left="7960"/>
        <w:spacing w:after="0"/>
        <w:rPr>
          <w:sz w:val="20"/>
          <w:szCs w:val="20"/>
          <w:color w:val="auto"/>
        </w:rPr>
      </w:pPr>
      <w:r>
        <w:rPr>
          <w:rFonts w:ascii="Arial" w:cs="Arial" w:eastAsia="Arial" w:hAnsi="Arial"/>
          <w:sz w:val="22"/>
          <w:szCs w:val="22"/>
          <w:color w:val="auto"/>
        </w:rPr>
        <w:t>Non-Employee Director Grantee:</w:t>
      </w:r>
    </w:p>
    <w:p>
      <w:pPr>
        <w:spacing w:after="0" w:line="8" w:lineRule="exact"/>
        <w:rPr>
          <w:sz w:val="20"/>
          <w:szCs w:val="20"/>
          <w:color w:val="auto"/>
        </w:rPr>
      </w:pPr>
    </w:p>
    <w:p>
      <w:pPr>
        <w:ind w:left="8640"/>
        <w:spacing w:after="0"/>
        <w:rPr>
          <w:sz w:val="20"/>
          <w:szCs w:val="20"/>
          <w:color w:val="auto"/>
        </w:rPr>
      </w:pPr>
      <w:r>
        <w:rPr>
          <w:rFonts w:ascii="Arial" w:cs="Arial" w:eastAsia="Arial" w:hAnsi="Arial"/>
          <w:sz w:val="19"/>
          <w:szCs w:val="19"/>
          <w:color w:val="auto"/>
        </w:rPr>
        <w:t xml:space="preserve">Grant Date: </w:t>
      </w:r>
      <w:r>
        <w:rPr>
          <w:rFonts w:ascii="Arial" w:cs="Arial" w:eastAsia="Arial" w:hAnsi="Arial"/>
          <w:sz w:val="19"/>
          <w:szCs w:val="19"/>
          <w:u w:val="single" w:color="auto"/>
          <w:color w:val="auto"/>
        </w:rPr>
        <w:t>August 15, 2023</w:t>
      </w:r>
    </w:p>
    <w:p>
      <w:pPr>
        <w:spacing w:after="0" w:line="15" w:lineRule="exact"/>
        <w:rPr>
          <w:sz w:val="20"/>
          <w:szCs w:val="20"/>
          <w:color w:val="auto"/>
        </w:rPr>
      </w:pPr>
    </w:p>
    <w:p>
      <w:pPr>
        <w:ind w:left="8640"/>
        <w:spacing w:after="0"/>
        <w:rPr>
          <w:sz w:val="20"/>
          <w:szCs w:val="20"/>
          <w:color w:val="auto"/>
        </w:rPr>
      </w:pPr>
      <w:r>
        <w:rPr>
          <w:rFonts w:ascii="Arial" w:cs="Arial" w:eastAsia="Arial" w:hAnsi="Arial"/>
          <w:sz w:val="22"/>
          <w:szCs w:val="22"/>
          <w:color w:val="auto"/>
        </w:rPr>
        <w:t>No. of Restricted Shares:</w:t>
      </w:r>
    </w:p>
    <w:p>
      <w:pPr>
        <w:ind w:left="8220"/>
        <w:spacing w:after="0"/>
        <w:rPr>
          <w:sz w:val="20"/>
          <w:szCs w:val="20"/>
          <w:color w:val="auto"/>
        </w:rPr>
      </w:pPr>
      <w:r>
        <w:rPr>
          <w:rFonts w:ascii="Arial" w:cs="Arial" w:eastAsia="Arial" w:hAnsi="Arial"/>
          <w:sz w:val="22"/>
          <w:szCs w:val="22"/>
          <w:color w:val="auto"/>
        </w:rPr>
        <w:t>Amount of Restricted Cash: $</w:t>
      </w:r>
    </w:p>
    <w:p>
      <w:pPr>
        <w:spacing w:after="0" w:line="3"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Exhibit 10.26</w:t>
      </w:r>
    </w:p>
    <w:p>
      <w:pPr>
        <w:spacing w:after="0" w:line="34" w:lineRule="exact"/>
        <w:rPr>
          <w:sz w:val="20"/>
          <w:szCs w:val="20"/>
          <w:color w:val="auto"/>
        </w:rPr>
      </w:pPr>
    </w:p>
    <w:p>
      <w:pPr>
        <w:ind w:left="8880"/>
        <w:spacing w:after="0"/>
        <w:rPr>
          <w:sz w:val="20"/>
          <w:szCs w:val="20"/>
          <w:color w:val="auto"/>
        </w:rPr>
      </w:pPr>
      <w:r>
        <w:rPr>
          <w:rFonts w:ascii="Arial" w:cs="Arial" w:eastAsia="Arial" w:hAnsi="Arial"/>
          <w:sz w:val="19"/>
          <w:szCs w:val="19"/>
          <w:color w:val="auto"/>
        </w:rPr>
        <w:t>Grantee: ______________</w:t>
      </w:r>
    </w:p>
    <w:p>
      <w:pPr>
        <w:spacing w:after="0" w:line="25" w:lineRule="exact"/>
        <w:rPr>
          <w:sz w:val="20"/>
          <w:szCs w:val="20"/>
          <w:color w:val="auto"/>
        </w:rPr>
      </w:pPr>
    </w:p>
    <w:p>
      <w:pPr>
        <w:ind w:left="8600"/>
        <w:spacing w:after="0"/>
        <w:rPr>
          <w:sz w:val="20"/>
          <w:szCs w:val="20"/>
          <w:color w:val="auto"/>
        </w:rPr>
      </w:pPr>
      <w:r>
        <w:rPr>
          <w:rFonts w:ascii="Arial" w:cs="Arial" w:eastAsia="Arial" w:hAnsi="Arial"/>
          <w:sz w:val="19"/>
          <w:szCs w:val="19"/>
          <w:color w:val="auto"/>
        </w:rPr>
        <w:t>Grant Date: ______________</w:t>
      </w:r>
    </w:p>
    <w:p>
      <w:pPr>
        <w:spacing w:after="0" w:line="25" w:lineRule="exact"/>
        <w:rPr>
          <w:sz w:val="20"/>
          <w:szCs w:val="20"/>
          <w:color w:val="auto"/>
        </w:rPr>
      </w:pPr>
    </w:p>
    <w:p>
      <w:pPr>
        <w:ind w:left="7440"/>
        <w:spacing w:after="0"/>
        <w:rPr>
          <w:sz w:val="20"/>
          <w:szCs w:val="20"/>
          <w:color w:val="auto"/>
        </w:rPr>
      </w:pPr>
      <w:r>
        <w:rPr>
          <w:rFonts w:ascii="Arial" w:cs="Arial" w:eastAsia="Arial" w:hAnsi="Arial"/>
          <w:sz w:val="19"/>
          <w:szCs w:val="19"/>
          <w:color w:val="auto"/>
        </w:rPr>
        <w:t>No. of Restricted Shares: ______________</w:t>
      </w:r>
    </w:p>
    <w:p>
      <w:pPr>
        <w:spacing w:after="0" w:line="25" w:lineRule="exact"/>
        <w:rPr>
          <w:sz w:val="20"/>
          <w:szCs w:val="20"/>
          <w:color w:val="auto"/>
        </w:rPr>
      </w:pPr>
    </w:p>
    <w:p>
      <w:pPr>
        <w:ind w:left="7200"/>
        <w:spacing w:after="0"/>
        <w:rPr>
          <w:sz w:val="20"/>
          <w:szCs w:val="20"/>
          <w:color w:val="auto"/>
        </w:rPr>
      </w:pPr>
      <w:r>
        <w:rPr>
          <w:rFonts w:ascii="Arial" w:cs="Arial" w:eastAsia="Arial" w:hAnsi="Arial"/>
          <w:sz w:val="19"/>
          <w:szCs w:val="19"/>
          <w:color w:val="auto"/>
        </w:rPr>
        <w:t>Amount of Restricted Cash: $_____________</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ORION ENERGY SYSTEMS, INC.</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2016 OMNIBUS INCENTIVE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TANDEM RESTRICTED STOCK AND CASH AWARD AGREEMENT</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(for Non-Employee Members of the Board of Directors)</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the Company maintains the Orion Energy Systems, Inc. 2016 Omnibus Incentive Plan (the “Plan”), and Grantee is receiving this Tandem Restricted Stock and Cash Award under the Plan as part of the Grantee’s annual retainer for services as a non-employee member of the Board of Directors of the Company.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00"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Tandem Award of Restricted Stock and Restricted Cash</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subject to, and in accordance with, the restrictions, terms and conditions set forth in the Plan and this Agreement.</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6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1.3This Tandem Restricted Stock and Cash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left="760" w:hanging="752"/>
        <w:spacing w:after="0"/>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Restrictions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2.1Subject to the terms of the Plan and this Agreement, if the Grantee remains a member of the Board of Directors of the Company as of the applicable vesting date, the Restricted Stock and Restricted Cash shall each vest one-third (1/3) per year on each of the first three (3) anniversaries of the Grant Date set forth herein.</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2.2Subject to vesting in accordance with Section 2.1, the terms of the Plan and this Agreement, Grantee shall own the vested Restricted Stock and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practices, in each event as soon as practical after each applicable anniversary of the Grant Date (provided that the vested Restricted Cash shall in no event be paid later than two and one-half (2 ½) months after the end of the year in which the Restricted Cash vests).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2.3In the event, prior to vesting, (i) Grantee dies while serving as a member of the Board of Directors of the Company, or</w:t>
      </w:r>
    </w:p>
    <w:p>
      <w:pPr>
        <w:spacing w:after="0" w:line="43" w:lineRule="exact"/>
        <w:rPr>
          <w:sz w:val="20"/>
          <w:szCs w:val="20"/>
          <w:color w:val="auto"/>
        </w:rPr>
      </w:pPr>
    </w:p>
    <w:p>
      <w:pPr>
        <w:jc w:val="both"/>
        <w:ind w:firstLine="8"/>
        <w:spacing w:after="0" w:line="277" w:lineRule="auto"/>
        <w:tabs>
          <w:tab w:leader="none" w:pos="328" w:val="left"/>
        </w:tabs>
        <w:numPr>
          <w:ilvl w:val="0"/>
          <w:numId w:val="64"/>
        </w:numPr>
        <w:rPr>
          <w:rFonts w:ascii="Arial" w:cs="Arial" w:eastAsia="Arial" w:hAnsi="Arial"/>
          <w:sz w:val="19"/>
          <w:szCs w:val="19"/>
          <w:color w:val="auto"/>
        </w:rPr>
      </w:pPr>
      <w:r>
        <w:rPr>
          <w:rFonts w:ascii="Arial" w:cs="Arial" w:eastAsia="Arial" w:hAnsi="Arial"/>
          <w:sz w:val="19"/>
          <w:szCs w:val="19"/>
          <w:color w:val="auto"/>
        </w:rPr>
        <w:t>Grantee has his or her directorship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5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2.4Except for death or Disability as provided in Section 2.3, if Grantee’s status as a member of the Board of Directors of the Company terminates prior to vesting for any reason, the Restricted Stock and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 as a director; provided, however, if Grantee’s status as a member of the Board of Directors of the Company terminates prior to vesting for any reason (except for death or Disability as provided in Section 2.3), the Administrator may, in its absolute discretion and in lieu of the forfeiture and cancellation of unvested Restricted Stock and Restricted Cash provided for in this Section 2.4, decide to: (i) accelerate the vesting of all or a portion of the unvested Restricted Stock and/or Restricted Cash or (ii) allow all or a portion of the unvested Restricted Stock to continue to vest on the same or a revised schedule; in each instance, subject to any additional terms and conditions the Administrator determines appropriate.</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2.5Neither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ind w:right="40" w:firstLine="749"/>
        <w:spacing w:after="0" w:line="252" w:lineRule="auto"/>
        <w:rPr>
          <w:sz w:val="20"/>
          <w:szCs w:val="20"/>
          <w:color w:val="auto"/>
        </w:rPr>
      </w:pPr>
      <w:r>
        <w:rPr>
          <w:rFonts w:ascii="Arial" w:cs="Arial" w:eastAsia="Arial" w:hAnsi="Arial"/>
          <w:sz w:val="21"/>
          <w:szCs w:val="21"/>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168"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Stock; Dividends; Voting; Interest</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79"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No Right to Continued Service or Additional Grants</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72"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Grantee shall be responsible for all federal, state, local and foreign taxes payable with respect to this Tandem Restricted Stock and Cash Award and dividends or other distributions paid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spacing w:after="0" w:line="272" w:lineRule="auto"/>
        <w:rPr>
          <w:sz w:val="20"/>
          <w:szCs w:val="20"/>
          <w:color w:val="auto"/>
        </w:rPr>
      </w:pPr>
      <w:r>
        <w:rPr>
          <w:rFonts w:ascii="Arial" w:cs="Arial" w:eastAsia="Arial" w:hAnsi="Arial"/>
          <w:sz w:val="19"/>
          <w:szCs w:val="19"/>
          <w:color w:val="auto"/>
        </w:rPr>
        <w:t>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50"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Grantee hereby acknowledges and agrees to comply with and bound by all of the restrictive covenants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9"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Grantee Bound by the Plan</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Modification of Agreement</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15 of the Plan.</w:t>
      </w:r>
    </w:p>
    <w:p>
      <w:pPr>
        <w:spacing w:after="0" w:line="145"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80" w:lineRule="exact"/>
        <w:rPr>
          <w:sz w:val="20"/>
          <w:szCs w:val="20"/>
          <w:color w:val="auto"/>
        </w:rPr>
      </w:pPr>
    </w:p>
    <w:p>
      <w:pPr>
        <w:ind w:left="760" w:hanging="752"/>
        <w:spacing w:after="0"/>
        <w:tabs>
          <w:tab w:leader="none" w:pos="76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ind w:left="760" w:hanging="752"/>
        <w:spacing w:after="0"/>
        <w:tabs>
          <w:tab w:leader="none" w:pos="760"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Successors in Interest</w:t>
      </w:r>
    </w:p>
    <w:p>
      <w:pPr>
        <w:spacing w:after="0" w:line="21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37"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Resolution of Disputes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3"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Pronouns; Including</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3" w:name="page124"/>
    <w:bookmarkEnd w:id="123"/>
    <w:p>
      <w:pPr>
        <w:ind w:left="7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ORION ENERGY SYSTEMS, INC.</w:t>
      </w:r>
    </w:p>
    <w:p>
      <w:pPr>
        <w:sectPr>
          <w:pgSz w:w="11900" w:h="16838" w:orient="portrait"/>
          <w:cols w:equalWidth="0" w:num="1">
            <w:col w:w="11240"/>
          </w:cols>
          <w:pgMar w:left="320" w:top="52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43"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Grantee</w:t>
      </w:r>
    </w:p>
    <w:p>
      <w:pPr>
        <w:spacing w:after="0" w:line="80" w:lineRule="exact"/>
        <w:rPr>
          <w:sz w:val="20"/>
          <w:szCs w:val="20"/>
          <w:color w:val="auto"/>
        </w:rPr>
      </w:pPr>
    </w:p>
    <w:p>
      <w:pPr>
        <w:sectPr>
          <w:pgSz w:w="11900" w:h="16838" w:orient="portrait"/>
          <w:cols w:equalWidth="0" w:num="2">
            <w:col w:w="3020" w:space="20"/>
            <w:col w:w="8200"/>
          </w:cols>
          <w:pgMar w:left="320" w:top="523" w:right="339" w:bottom="1440" w:gutter="0" w:footer="0" w:header="0"/>
          <w:type w:val="continuous"/>
        </w:sectPr>
      </w:pPr>
    </w:p>
    <w:p>
      <w:pPr>
        <w:spacing w:after="0"/>
        <w:rPr>
          <w:sz w:val="20"/>
          <w:szCs w:val="20"/>
          <w:color w:val="auto"/>
        </w:rPr>
      </w:pPr>
      <w:r>
        <w:rPr>
          <w:rFonts w:ascii="Arial" w:cs="Arial" w:eastAsia="Arial" w:hAnsi="Arial"/>
          <w:sz w:val="22"/>
          <w:szCs w:val="22"/>
          <w:color w:val="auto"/>
        </w:rPr>
        <w:t>Title: _______________________</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w:t>
      </w:r>
    </w:p>
    <w:p>
      <w:pPr>
        <w:spacing w:after="0" w:line="239" w:lineRule="exact"/>
        <w:rPr>
          <w:sz w:val="20"/>
          <w:szCs w:val="20"/>
          <w:color w:val="auto"/>
        </w:rPr>
      </w:pPr>
    </w:p>
    <w:p>
      <w:pPr>
        <w:jc w:val="both"/>
        <w:ind w:firstLine="1505"/>
        <w:spacing w:after="0" w:line="269"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505"/>
        <w:spacing w:after="0" w:line="275"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 Solicitation of Employees</w:t>
      </w:r>
      <w:r>
        <w:rPr>
          <w:rFonts w:ascii="Arial" w:cs="Arial" w:eastAsia="Arial" w:hAnsi="Arial"/>
          <w:sz w:val="19"/>
          <w:szCs w:val="19"/>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5" w:name="page126"/>
    <w:bookmarkEnd w:id="125"/>
    <w:p>
      <w:pPr>
        <w:spacing w:after="0" w:line="250" w:lineRule="auto"/>
        <w:rPr>
          <w:sz w:val="20"/>
          <w:szCs w:val="20"/>
          <w:color w:val="auto"/>
        </w:rPr>
      </w:pPr>
      <w:r>
        <w:rPr>
          <w:rFonts w:ascii="Arial" w:cs="Arial" w:eastAsia="Arial" w:hAnsi="Arial"/>
          <w:sz w:val="22"/>
          <w:szCs w:val="22"/>
          <w:color w:val="auto"/>
        </w:rPr>
        <w:t>through (a) public advertisements or general solicitations that are not specifically targeted at such person(s); or (b) recruiting or search firms not targeting the Company’s management employees.</w:t>
      </w:r>
    </w:p>
    <w:p>
      <w:pPr>
        <w:spacing w:after="0" w:line="175" w:lineRule="exact"/>
        <w:rPr>
          <w:sz w:val="20"/>
          <w:szCs w:val="20"/>
          <w:color w:val="auto"/>
        </w:rPr>
      </w:pPr>
    </w:p>
    <w:p>
      <w:pPr>
        <w:jc w:val="both"/>
        <w:ind w:firstLine="1505"/>
        <w:spacing w:after="0" w:line="271" w:lineRule="auto"/>
        <w:tabs>
          <w:tab w:leader="none" w:pos="203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64" w:lineRule="exact"/>
        <w:rPr>
          <w:rFonts w:ascii="Arial" w:cs="Arial" w:eastAsia="Arial" w:hAnsi="Arial"/>
          <w:sz w:val="19"/>
          <w:szCs w:val="19"/>
          <w:color w:val="auto"/>
        </w:rPr>
      </w:pPr>
    </w:p>
    <w:p>
      <w:pPr>
        <w:jc w:val="both"/>
        <w:ind w:firstLine="1505"/>
        <w:spacing w:after="0" w:line="277" w:lineRule="auto"/>
        <w:tabs>
          <w:tab w:leader="none" w:pos="203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Return of All Company Documents and Property</w:t>
      </w:r>
      <w:r>
        <w:rPr>
          <w:rFonts w:ascii="Arial" w:cs="Arial" w:eastAsia="Arial" w:hAnsi="Arial"/>
          <w:sz w:val="19"/>
          <w:szCs w:val="19"/>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51" w:lineRule="exact"/>
        <w:rPr>
          <w:rFonts w:ascii="Arial" w:cs="Arial" w:eastAsia="Arial" w:hAnsi="Arial"/>
          <w:sz w:val="19"/>
          <w:szCs w:val="19"/>
          <w:color w:val="auto"/>
        </w:rPr>
      </w:pPr>
    </w:p>
    <w:p>
      <w:pPr>
        <w:jc w:val="both"/>
        <w:ind w:firstLine="1505"/>
        <w:spacing w:after="0"/>
        <w:tabs>
          <w:tab w:leader="none" w:pos="203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Mutual Non-Disparagement Agreement</w:t>
      </w:r>
      <w:r>
        <w:rPr>
          <w:rFonts w:ascii="Arial" w:cs="Arial" w:eastAsia="Arial" w:hAnsi="Arial"/>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ind w:left="1032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200" w:type="dxa"/>
            <w:vAlign w:val="bottom"/>
            <w:gridSpan w:val="3"/>
          </w:tcPr>
          <w:p>
            <w:pPr>
              <w:ind w:left="1120"/>
              <w:spacing w:after="0"/>
              <w:rPr>
                <w:sz w:val="20"/>
                <w:szCs w:val="20"/>
                <w:color w:val="auto"/>
              </w:rPr>
            </w:pPr>
            <w:r>
              <w:rPr>
                <w:rFonts w:ascii="Arial" w:cs="Arial" w:eastAsia="Arial" w:hAnsi="Arial"/>
                <w:sz w:val="18"/>
                <w:szCs w:val="18"/>
                <w:b w:val="1"/>
                <w:bCs w:val="1"/>
                <w:color w:val="auto"/>
              </w:rPr>
              <w:t>Subsidiaries</w:t>
            </w:r>
          </w:p>
        </w:tc>
      </w:tr>
      <w:tr>
        <w:trPr>
          <w:trHeight w:val="50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1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Jurisdiction of Organization</w:t>
            </w: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Great Lakes Energy Technologies, LLC</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42"/>
        </w:trPr>
        <w:tc>
          <w:tcPr>
            <w:tcW w:w="404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Orion LED Canada, Inc.</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British Columbia, Canada</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Stay-Lite Lighting, Inc.</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Wisconsin</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Voltrek, LLC</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344"/>
        </w:trPr>
        <w:tc>
          <w:tcPr>
            <w:tcW w:w="40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333-270197) and Form S-8 (No. 333-169611, 333-176176, 333-213042 and 333-233180) of Orion Energy Systems, Inc. of our report dated June 12, 2023, relating to the consolidated financial statements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Jenkins, certify that:</w:t>
      </w:r>
    </w:p>
    <w:p>
      <w:pPr>
        <w:spacing w:after="0" w:line="225"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right="280" w:hanging="378"/>
        <w:spacing w:after="0" w:line="263"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2023</w:t>
      </w:r>
    </w:p>
    <w:p>
      <w:pPr>
        <w:spacing w:after="0" w:line="29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right="280" w:hanging="378"/>
        <w:spacing w:after="0" w:line="263" w:lineRule="auto"/>
        <w:tabs>
          <w:tab w:leader="none" w:pos="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2023</w:t>
      </w:r>
    </w:p>
    <w:p>
      <w:pPr>
        <w:spacing w:after="0" w:line="29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ind w:left="10320"/>
        <w:spacing w:after="0"/>
        <w:rPr>
          <w:sz w:val="20"/>
          <w:szCs w:val="20"/>
          <w:color w:val="auto"/>
        </w:rPr>
      </w:pPr>
      <w:r>
        <w:rPr>
          <w:rFonts w:ascii="Arial" w:cs="Arial" w:eastAsia="Arial" w:hAnsi="Arial"/>
          <w:sz w:val="16"/>
          <w:szCs w:val="16"/>
          <w:b w:val="1"/>
          <w:bCs w:val="1"/>
          <w:color w:val="auto"/>
        </w:rPr>
        <w:t>Exhibit 32.1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2023,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177800</wp:posOffset>
            </wp:positionV>
            <wp:extent cx="32061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177800</wp:posOffset>
            </wp:positionV>
            <wp:extent cx="32061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6220"/>
        <w:spacing w:after="0"/>
        <w:tabs>
          <w:tab w:leader="none" w:pos="6860" w:val="left"/>
        </w:tabs>
        <w:rPr>
          <w:sz w:val="20"/>
          <w:szCs w:val="20"/>
          <w:color w:val="auto"/>
        </w:rPr>
      </w:pPr>
      <w:r>
        <w:rPr>
          <w:rFonts w:ascii="Arial" w:cs="Arial" w:eastAsia="Arial" w:hAnsi="Arial"/>
          <w:sz w:val="18"/>
          <w:szCs w:val="18"/>
          <w:color w:val="auto"/>
        </w:rPr>
        <w:t>Date:</w:t>
        <w:tab/>
        <w:t>June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2"/>
    </w:lvl>
  </w:abstractNum>
  <w:abstractNum w:abstractNumId="17">
    <w:nsid w:val="32FFF902"/>
    <w:multiLevelType w:val="hybridMultilevel"/>
    <w:lvl w:ilvl="0">
      <w:lvlJc w:val="left"/>
      <w:lvlText w:val="(%1)"/>
      <w:numFmt w:val="decimal"/>
      <w:start w:val="7"/>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lowerLetter"/>
      <w:start w:val="3"/>
    </w:lvl>
    <w:lvl w:ilvl="1">
      <w:lvlJc w:val="left"/>
      <w:lvlText w:val="•"/>
      <w:numFmt w:val="bullet"/>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lowerRoman"/>
      <w:start w:val="1"/>
    </w:lvl>
  </w:abstractNum>
  <w:abstractNum w:abstractNumId="22">
    <w:nsid w:val="1BA026FA"/>
    <w:multiLevelType w:val="hybridMultilevel"/>
    <w:lvl w:ilvl="0">
      <w:lvlJc w:val="left"/>
      <w:lvlText w:val="%1"/>
      <w:numFmt w:val="decimal"/>
      <w:start w:val="101"/>
    </w:lvl>
  </w:abstractNum>
  <w:abstractNum w:abstractNumId="23">
    <w:nsid w:val="79A1DEAA"/>
    <w:multiLevelType w:val="hybridMultilevel"/>
    <w:lvl w:ilvl="0">
      <w:lvlJc w:val="left"/>
      <w:lvlText w:val="%1"/>
      <w:numFmt w:val="decimal"/>
      <w:start w:val="104"/>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2"/>
    </w:lvl>
  </w:abstractNum>
  <w:abstractNum w:abstractNumId="33">
    <w:nsid w:val="39386575"/>
    <w:multiLevelType w:val="hybridMultilevel"/>
    <w:lvl w:ilvl="0">
      <w:lvlJc w:val="left"/>
      <w:lvlText w:val="%1."/>
      <w:numFmt w:val="decimal"/>
      <w:start w:val="3"/>
    </w:lvl>
  </w:abstractNum>
  <w:abstractNum w:abstractNumId="34">
    <w:nsid w:val="1CF10FD8"/>
    <w:multiLevelType w:val="hybridMultilevel"/>
    <w:lvl w:ilvl="0">
      <w:lvlJc w:val="left"/>
      <w:lvlText w:val="%1."/>
      <w:numFmt w:val="decimal"/>
      <w:start w:val="4"/>
    </w:lvl>
  </w:abstractNum>
  <w:abstractNum w:abstractNumId="35">
    <w:nsid w:val="180115BE"/>
    <w:multiLevelType w:val="hybridMultilevel"/>
    <w:lvl w:ilvl="0">
      <w:lvlJc w:val="left"/>
      <w:lvlText w:val="%1."/>
      <w:numFmt w:val="decimal"/>
      <w:start w:val="5"/>
    </w:lvl>
  </w:abstractNum>
  <w:abstractNum w:abstractNumId="36">
    <w:nsid w:val="235BA861"/>
    <w:multiLevelType w:val="hybridMultilevel"/>
    <w:lvl w:ilvl="0">
      <w:lvlJc w:val="left"/>
      <w:lvlText w:val="%1."/>
      <w:numFmt w:val="decimal"/>
      <w:start w:val="6"/>
    </w:lvl>
  </w:abstractNum>
  <w:abstractNum w:abstractNumId="37">
    <w:nsid w:val="47398C89"/>
    <w:multiLevelType w:val="hybridMultilevel"/>
    <w:lvl w:ilvl="0">
      <w:lvlJc w:val="left"/>
      <w:lvlText w:val="%1."/>
      <w:numFmt w:val="decimal"/>
      <w:start w:val="7"/>
    </w:lvl>
  </w:abstractNum>
  <w:abstractNum w:abstractNumId="38">
    <w:nsid w:val="354FE9F9"/>
    <w:multiLevelType w:val="hybridMultilevel"/>
    <w:lvl w:ilvl="0">
      <w:lvlJc w:val="left"/>
      <w:lvlText w:val="%1."/>
      <w:numFmt w:val="decimal"/>
      <w:start w:val="8"/>
    </w:lvl>
  </w:abstractNum>
  <w:abstractNum w:abstractNumId="39">
    <w:nsid w:val="15B5AF5C"/>
    <w:multiLevelType w:val="hybridMultilevel"/>
    <w:lvl w:ilvl="0">
      <w:lvlJc w:val="left"/>
      <w:lvlText w:val="%1."/>
      <w:numFmt w:val="decimal"/>
      <w:start w:val="9"/>
    </w:lvl>
  </w:abstractNum>
  <w:abstractNum w:abstractNumId="40">
    <w:nsid w:val="741226BB"/>
    <w:multiLevelType w:val="hybridMultilevel"/>
    <w:lvl w:ilvl="0">
      <w:lvlJc w:val="left"/>
      <w:lvlText w:val="%1."/>
      <w:numFmt w:val="decimal"/>
      <w:start w:val="10"/>
    </w:lvl>
  </w:abstractNum>
  <w:abstractNum w:abstractNumId="41">
    <w:nsid w:val="D34B6A8"/>
    <w:multiLevelType w:val="hybridMultilevel"/>
    <w:lvl w:ilvl="0">
      <w:lvlJc w:val="left"/>
      <w:lvlText w:val="%1."/>
      <w:numFmt w:val="decimal"/>
      <w:start w:val="11"/>
    </w:lvl>
  </w:abstractNum>
  <w:abstractNum w:abstractNumId="42">
    <w:nsid w:val="10233C99"/>
    <w:multiLevelType w:val="hybridMultilevel"/>
    <w:lvl w:ilvl="0">
      <w:lvlJc w:val="left"/>
      <w:lvlText w:val="%1."/>
      <w:numFmt w:val="decimal"/>
      <w:start w:val="12"/>
    </w:lvl>
  </w:abstractNum>
  <w:abstractNum w:abstractNumId="43">
    <w:nsid w:val="3F6AB60F"/>
    <w:multiLevelType w:val="hybridMultilevel"/>
    <w:lvl w:ilvl="0">
      <w:lvlJc w:val="left"/>
      <w:lvlText w:val="%1."/>
      <w:numFmt w:val="decimal"/>
      <w:start w:val="13"/>
    </w:lvl>
  </w:abstractNum>
  <w:abstractNum w:abstractNumId="44">
    <w:nsid w:val="61574095"/>
    <w:multiLevelType w:val="hybridMultilevel"/>
    <w:lvl w:ilvl="0">
      <w:lvlJc w:val="left"/>
      <w:lvlText w:val="%1."/>
      <w:numFmt w:val="upperLetter"/>
      <w:start w:val="1"/>
    </w:lvl>
  </w:abstractNum>
  <w:abstractNum w:abstractNumId="45">
    <w:nsid w:val="7E0C57B1"/>
    <w:multiLevelType w:val="hybridMultilevel"/>
    <w:lvl w:ilvl="0">
      <w:lvlJc w:val="left"/>
      <w:lvlText w:val="%1."/>
      <w:numFmt w:val="upperLetter"/>
      <w:start w:val="3"/>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2"/>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1."/>
      <w:numFmt w:val="decimal"/>
      <w:start w:val="4"/>
    </w:lvl>
  </w:abstractNum>
  <w:abstractNum w:abstractNumId="50">
    <w:nsid w:val="2F305DEF"/>
    <w:multiLevelType w:val="hybridMultilevel"/>
    <w:lvl w:ilvl="0">
      <w:lvlJc w:val="left"/>
      <w:lvlText w:val="%1."/>
      <w:numFmt w:val="decimal"/>
      <w:start w:val="5"/>
    </w:lvl>
  </w:abstractNum>
  <w:abstractNum w:abstractNumId="51">
    <w:nsid w:val="25A70BF7"/>
    <w:multiLevelType w:val="hybridMultilevel"/>
    <w:lvl w:ilvl="0">
      <w:lvlJc w:val="left"/>
      <w:lvlText w:val="%1."/>
      <w:numFmt w:val="decimal"/>
      <w:start w:val="6"/>
    </w:lvl>
  </w:abstractNum>
  <w:abstractNum w:abstractNumId="52">
    <w:nsid w:val="1DBABF00"/>
    <w:multiLevelType w:val="hybridMultilevel"/>
    <w:lvl w:ilvl="0">
      <w:lvlJc w:val="left"/>
      <w:lvlText w:val="%1."/>
      <w:numFmt w:val="decimal"/>
      <w:start w:val="7"/>
    </w:lvl>
  </w:abstractNum>
  <w:abstractNum w:abstractNumId="53">
    <w:nsid w:val="4AD084E9"/>
    <w:multiLevelType w:val="hybridMultilevel"/>
    <w:lvl w:ilvl="0">
      <w:lvlJc w:val="left"/>
      <w:lvlText w:val="%1."/>
      <w:numFmt w:val="decimal"/>
      <w:start w:val="8"/>
    </w:lvl>
  </w:abstractNum>
  <w:abstractNum w:abstractNumId="54">
    <w:nsid w:val="1F48EAA1"/>
    <w:multiLevelType w:val="hybridMultilevel"/>
    <w:lvl w:ilvl="0">
      <w:lvlJc w:val="left"/>
      <w:lvlText w:val="%1."/>
      <w:numFmt w:val="decimal"/>
      <w:start w:val="9"/>
    </w:lvl>
  </w:abstractNum>
  <w:abstractNum w:abstractNumId="55">
    <w:nsid w:val="1381823A"/>
    <w:multiLevelType w:val="hybridMultilevel"/>
    <w:lvl w:ilvl="0">
      <w:lvlJc w:val="left"/>
      <w:lvlText w:val="%1."/>
      <w:numFmt w:val="decimal"/>
      <w:start w:val="10"/>
    </w:lvl>
  </w:abstractNum>
  <w:abstractNum w:abstractNumId="56">
    <w:nsid w:val="5DB70AE5"/>
    <w:multiLevelType w:val="hybridMultilevel"/>
    <w:lvl w:ilvl="0">
      <w:lvlJc w:val="left"/>
      <w:lvlText w:val="%1."/>
      <w:numFmt w:val="decimal"/>
      <w:start w:val="11"/>
    </w:lvl>
  </w:abstractNum>
  <w:abstractNum w:abstractNumId="57">
    <w:nsid w:val="100F8FCA"/>
    <w:multiLevelType w:val="hybridMultilevel"/>
    <w:lvl w:ilvl="0">
      <w:lvlJc w:val="left"/>
      <w:lvlText w:val="%1."/>
      <w:numFmt w:val="decimal"/>
      <w:start w:val="12"/>
    </w:lvl>
  </w:abstractNum>
  <w:abstractNum w:abstractNumId="58">
    <w:nsid w:val="6590700B"/>
    <w:multiLevelType w:val="hybridMultilevel"/>
    <w:lvl w:ilvl="0">
      <w:lvlJc w:val="left"/>
      <w:lvlText w:val="%1."/>
      <w:numFmt w:val="decimal"/>
      <w:start w:val="13"/>
    </w:lvl>
  </w:abstractNum>
  <w:abstractNum w:abstractNumId="59">
    <w:nsid w:val="15014ACB"/>
    <w:multiLevelType w:val="hybridMultilevel"/>
    <w:lvl w:ilvl="0">
      <w:lvlJc w:val="left"/>
      <w:lvlText w:val="%1."/>
      <w:numFmt w:val="upperLetter"/>
      <w:start w:val="1"/>
    </w:lvl>
  </w:abstractNum>
  <w:abstractNum w:abstractNumId="60">
    <w:nsid w:val="5F5E7FD0"/>
    <w:multiLevelType w:val="hybridMultilevel"/>
    <w:lvl w:ilvl="0">
      <w:lvlJc w:val="left"/>
      <w:lvlText w:val="%1."/>
      <w:numFmt w:val="upperLetter"/>
      <w:start w:val="3"/>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2"/>
    </w:lvl>
  </w:abstractNum>
  <w:abstractNum w:abstractNumId="63">
    <w:nsid w:val="6B94764"/>
    <w:multiLevelType w:val="hybridMultilevel"/>
    <w:lvl w:ilvl="0">
      <w:lvlJc w:val="left"/>
      <w:lvlText w:val="(%1)"/>
      <w:numFmt w:val="lowerRoman"/>
      <w:start w:val="2"/>
    </w:lvl>
  </w:abstractNum>
  <w:abstractNum w:abstractNumId="64">
    <w:nsid w:val="42C296BD"/>
    <w:multiLevelType w:val="hybridMultilevel"/>
    <w:lvl w:ilvl="0">
      <w:lvlJc w:val="left"/>
      <w:lvlText w:val="%1."/>
      <w:numFmt w:val="decimal"/>
      <w:start w:val="3"/>
    </w:lvl>
  </w:abstractNum>
  <w:abstractNum w:abstractNumId="65">
    <w:nsid w:val="168E121F"/>
    <w:multiLevelType w:val="hybridMultilevel"/>
    <w:lvl w:ilvl="0">
      <w:lvlJc w:val="left"/>
      <w:lvlText w:val="%1."/>
      <w:numFmt w:val="decimal"/>
      <w:start w:val="4"/>
    </w:lvl>
  </w:abstractNum>
  <w:abstractNum w:abstractNumId="66">
    <w:nsid w:val="1EBA5D23"/>
    <w:multiLevelType w:val="hybridMultilevel"/>
    <w:lvl w:ilvl="0">
      <w:lvlJc w:val="left"/>
      <w:lvlText w:val="%1."/>
      <w:numFmt w:val="decimal"/>
      <w:start w:val="5"/>
    </w:lvl>
  </w:abstractNum>
  <w:abstractNum w:abstractNumId="67">
    <w:nsid w:val="661E3F1E"/>
    <w:multiLevelType w:val="hybridMultilevel"/>
    <w:lvl w:ilvl="0">
      <w:lvlJc w:val="left"/>
      <w:lvlText w:val="%1."/>
      <w:numFmt w:val="decimal"/>
      <w:start w:val="6"/>
    </w:lvl>
  </w:abstractNum>
  <w:abstractNum w:abstractNumId="68">
    <w:nsid w:val="5DC79EA8"/>
    <w:multiLevelType w:val="hybridMultilevel"/>
    <w:lvl w:ilvl="0">
      <w:lvlJc w:val="left"/>
      <w:lvlText w:val="%1."/>
      <w:numFmt w:val="decimal"/>
      <w:start w:val="7"/>
    </w:lvl>
  </w:abstractNum>
  <w:abstractNum w:abstractNumId="69">
    <w:nsid w:val="540A471C"/>
    <w:multiLevelType w:val="hybridMultilevel"/>
    <w:lvl w:ilvl="0">
      <w:lvlJc w:val="left"/>
      <w:lvlText w:val="%1."/>
      <w:numFmt w:val="decimal"/>
      <w:start w:val="8"/>
    </w:lvl>
  </w:abstractNum>
  <w:abstractNum w:abstractNumId="70">
    <w:nsid w:val="7BD3EE7B"/>
    <w:multiLevelType w:val="hybridMultilevel"/>
    <w:lvl w:ilvl="0">
      <w:lvlJc w:val="left"/>
      <w:lvlText w:val="%1."/>
      <w:numFmt w:val="decimal"/>
      <w:start w:val="9"/>
    </w:lvl>
  </w:abstractNum>
  <w:abstractNum w:abstractNumId="71">
    <w:nsid w:val="51D9C564"/>
    <w:multiLevelType w:val="hybridMultilevel"/>
    <w:lvl w:ilvl="0">
      <w:lvlJc w:val="left"/>
      <w:lvlText w:val="%1."/>
      <w:numFmt w:val="decimal"/>
      <w:start w:val="10"/>
    </w:lvl>
  </w:abstractNum>
  <w:abstractNum w:abstractNumId="72">
    <w:nsid w:val="613EFDC5"/>
    <w:multiLevelType w:val="hybridMultilevel"/>
    <w:lvl w:ilvl="0">
      <w:lvlJc w:val="left"/>
      <w:lvlText w:val="%1."/>
      <w:numFmt w:val="decimal"/>
      <w:start w:val="11"/>
    </w:lvl>
  </w:abstractNum>
  <w:abstractNum w:abstractNumId="73">
    <w:nsid w:val="BF72B14"/>
    <w:multiLevelType w:val="hybridMultilevel"/>
    <w:lvl w:ilvl="0">
      <w:lvlJc w:val="left"/>
      <w:lvlText w:val="%1."/>
      <w:numFmt w:val="decimal"/>
      <w:start w:val="12"/>
    </w:lvl>
  </w:abstractNum>
  <w:abstractNum w:abstractNumId="74">
    <w:nsid w:val="11447B73"/>
    <w:multiLevelType w:val="hybridMultilevel"/>
    <w:lvl w:ilvl="0">
      <w:lvlJc w:val="left"/>
      <w:lvlText w:val="%1."/>
      <w:numFmt w:val="decimal"/>
      <w:start w:val="13"/>
    </w:lvl>
  </w:abstractNum>
  <w:abstractNum w:abstractNumId="75">
    <w:nsid w:val="42963E5A"/>
    <w:multiLevelType w:val="hybridMultilevel"/>
    <w:lvl w:ilvl="0">
      <w:lvlJc w:val="left"/>
      <w:lvlText w:val="%1."/>
      <w:numFmt w:val="upperLetter"/>
      <w:start w:val="1"/>
    </w:lvl>
  </w:abstractNum>
  <w:abstractNum w:abstractNumId="76">
    <w:nsid w:val="A0382C5"/>
    <w:multiLevelType w:val="hybridMultilevel"/>
    <w:lvl w:ilvl="0">
      <w:lvlJc w:val="left"/>
      <w:lvlText w:val="%1."/>
      <w:numFmt w:val="upperLetter"/>
      <w:start w:val="3"/>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280" Type="http://schemas.openxmlformats.org/officeDocument/2006/relationships/hyperlink" Target="https://www.sec.gov/Archives/edgar/data/1409375/000095013407018504/c17612exv3w3.htm" TargetMode="External"/><Relationship Id="rId281" Type="http://schemas.openxmlformats.org/officeDocument/2006/relationships/hyperlink" Target="https://www.sec.gov/Archives/edgar/data/1409375/000119312520150150/d895611dex31.htm" TargetMode="External"/><Relationship Id="rId282" Type="http://schemas.openxmlformats.org/officeDocument/2006/relationships/hyperlink" Target="https://www.sec.gov/Archives/edgar/data/0001409375/000119312521001520/d104429dex101.htm" TargetMode="External"/><Relationship Id="rId283" Type="http://schemas.openxmlformats.org/officeDocument/2006/relationships/hyperlink" Target="https://www.sec.gov/Archives/edgar/data/1409375/000095017022023245/oesx-ex10_4.htm" TargetMode="External"/><Relationship Id="rId284" Type="http://schemas.openxmlformats.org/officeDocument/2006/relationships/hyperlink" Target="https://www.sec.gov/Archives/edgar/data/1409375/000095013407018504/c17612exv10w9.htm" TargetMode="External"/><Relationship Id="rId285" Type="http://schemas.openxmlformats.org/officeDocument/2006/relationships/hyperlink" Target="https://www.sec.gov/Archives/edgar/data/1409375/000095012311083696/c66008ddef14a.htm" TargetMode="External"/><Relationship Id="rId286" Type="http://schemas.openxmlformats.org/officeDocument/2006/relationships/hyperlink" Target="https://www.sec.gov/Archives/edgar/data/1409375/000095013407018504/c17612exv10w10.htm" TargetMode="External"/><Relationship Id="rId287" Type="http://schemas.openxmlformats.org/officeDocument/2006/relationships/hyperlink" Target="https://www.sec.gov/Archives/edgar/data/1409375/000140937514000014/oesx-20140331xex107.htm" TargetMode="External"/><Relationship Id="rId288" Type="http://schemas.openxmlformats.org/officeDocument/2006/relationships/hyperlink" Target="https://www.sec.gov/Archives/edgar/data/1409375/000119312519178044/d769736ddef14a.htm" TargetMode="External"/><Relationship Id="rId289" Type="http://schemas.openxmlformats.org/officeDocument/2006/relationships/hyperlink" Target="https://www.sec.gov/Archives/edgar/data/1409375/000119312516677067/d208453dex45.htm" TargetMode="External"/><Relationship Id="rId290" Type="http://schemas.openxmlformats.org/officeDocument/2006/relationships/hyperlink" Target="https://www.sec.gov/Archives/edgar/data/1409375/000119312516677067/d208453dex46.htm" TargetMode="External"/><Relationship Id="rId291" Type="http://schemas.openxmlformats.org/officeDocument/2006/relationships/hyperlink" Target="https://www.sec.gov/Archives/edgar/data/1409375/000119312516677067/d208453dex47.htm" TargetMode="External"/><Relationship Id="rId292" Type="http://schemas.openxmlformats.org/officeDocument/2006/relationships/hyperlink" Target="https://www.sec.gov/Archives/edgar/data/1409375/000119312516677067/d208453dex48.htm" TargetMode="External"/><Relationship Id="rId293" Type="http://schemas.openxmlformats.org/officeDocument/2006/relationships/hyperlink" Target="https://www.sec.gov/Archives/edgar/data/0001409375/000119312520270310/d43679dex101.htm" TargetMode="External"/><Relationship Id="rId294" Type="http://schemas.openxmlformats.org/officeDocument/2006/relationships/hyperlink" Target="https://www.sec.gov/Archives/edgar/data/1409375/000156459020028509/oesx-ex1017_207.htm" TargetMode="External"/><Relationship Id="rId295" Type="http://schemas.openxmlformats.org/officeDocument/2006/relationships/hyperlink" Target="https://www.sec.gov/Archives/edgar/data/0001409375/000119312521096717/d156952dex101.htm" TargetMode="External"/><Relationship Id="rId296" Type="http://schemas.openxmlformats.org/officeDocument/2006/relationships/hyperlink" Target="https://www.sec.gov/Archives/edgar/data/1409375/000119312521319367/d152064dex101.htm" TargetMode="External"/><Relationship Id="rId299" Type="http://schemas.openxmlformats.org/officeDocument/2006/relationships/hyperlink" Target="https://www.sec.gov/Archives/edgar/data/1409375/000119312522047836/d311450dex101.htm" TargetMode="External"/><Relationship Id="rId300" Type="http://schemas.openxmlformats.org/officeDocument/2006/relationships/hyperlink" Target="https://www.sec.gov/Archives/edgar/data/1409375/000119312522047836/d311450dex103.htm" TargetMode="External"/><Relationship Id="rId301" Type="http://schemas.openxmlformats.org/officeDocument/2006/relationships/hyperlink" Target="https://www.sec.gov/Archives/edgar/data/1409375/000156459022022983/oesx-ex1019_285.htm" TargetMode="External"/><Relationship Id="rId302" Type="http://schemas.openxmlformats.org/officeDocument/2006/relationships/hyperlink" Target="https://www.sec.gov/Archives/edgar/data/1409375/000156459022022983/oesx-ex1020_283.htm" TargetMode="External"/><Relationship Id="rId303" Type="http://schemas.openxmlformats.org/officeDocument/2006/relationships/hyperlink" Target="https://www.sec.gov/Archives/edgar/data/1409375/000156459022022983/oesx-ex1021_284.htm" TargetMode="External"/><Relationship Id="rId304" Type="http://schemas.openxmlformats.org/officeDocument/2006/relationships/hyperlink" Target="https://www.sec.gov/Archives/edgar/data/1409375/000156459022022983/oesx-ex1022_282.htm" TargetMode="External"/><Relationship Id="rId305" Type="http://schemas.openxmlformats.org/officeDocument/2006/relationships/hyperlink" Target="https://www.sec.gov/Archives/edgar/data/1409375/000156459022022983/oesx-ex1023_2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2023-06-12T15:21:15Z</dcterms:created>
  <dcterms:modified xsi:type="dcterms:W3CDTF">2023-06-12T15:21:15Z</dcterms:modified>
</cp:coreProperties>
</file>